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B56B6" w14:textId="77777777" w:rsidR="00F150DB" w:rsidRDefault="00F150DB">
      <w:pPr>
        <w:rPr>
          <w:rFonts w:eastAsiaTheme="majorEastAsia" w:cstheme="majorBidi"/>
          <w:color w:val="2F5496" w:themeColor="accent1" w:themeShade="BF"/>
          <w:sz w:val="32"/>
          <w:szCs w:val="32"/>
          <w:lang w:val="en-GB"/>
        </w:rPr>
      </w:pPr>
    </w:p>
    <w:p w14:paraId="44FEDA71" w14:textId="77777777" w:rsidR="00F150DB" w:rsidRDefault="00F150DB">
      <w:pPr>
        <w:rPr>
          <w:rFonts w:eastAsiaTheme="majorEastAsia" w:cstheme="majorBidi"/>
          <w:color w:val="2F5496" w:themeColor="accent1" w:themeShade="BF"/>
          <w:sz w:val="32"/>
          <w:szCs w:val="32"/>
          <w:lang w:val="en-GB"/>
        </w:rPr>
      </w:pPr>
    </w:p>
    <w:p w14:paraId="506ADDF2" w14:textId="77777777" w:rsidR="00F150DB" w:rsidRDefault="00F150DB">
      <w:pPr>
        <w:rPr>
          <w:rFonts w:eastAsiaTheme="majorEastAsia" w:cstheme="majorBidi"/>
          <w:color w:val="2F5496" w:themeColor="accent1" w:themeShade="BF"/>
          <w:sz w:val="32"/>
          <w:szCs w:val="32"/>
          <w:lang w:val="en-GB"/>
        </w:rPr>
      </w:pPr>
    </w:p>
    <w:p w14:paraId="79490369" w14:textId="77777777" w:rsidR="00F150DB" w:rsidRDefault="00F150DB">
      <w:pPr>
        <w:rPr>
          <w:rFonts w:eastAsiaTheme="majorEastAsia" w:cstheme="majorBidi"/>
          <w:color w:val="2F5496" w:themeColor="accent1" w:themeShade="BF"/>
          <w:sz w:val="32"/>
          <w:szCs w:val="32"/>
          <w:lang w:val="en-GB"/>
        </w:rPr>
      </w:pPr>
    </w:p>
    <w:p w14:paraId="0114D945" w14:textId="77777777" w:rsidR="00F150DB" w:rsidRDefault="00F150DB">
      <w:pPr>
        <w:rPr>
          <w:rFonts w:eastAsiaTheme="majorEastAsia" w:cstheme="majorBidi"/>
          <w:color w:val="2F5496" w:themeColor="accent1" w:themeShade="BF"/>
          <w:sz w:val="32"/>
          <w:szCs w:val="32"/>
          <w:lang w:val="en-GB"/>
        </w:rPr>
      </w:pPr>
    </w:p>
    <w:p w14:paraId="17DFE4F1" w14:textId="77777777" w:rsidR="00F150DB" w:rsidRDefault="00F150DB">
      <w:pPr>
        <w:rPr>
          <w:rFonts w:eastAsiaTheme="majorEastAsia" w:cstheme="majorBidi"/>
          <w:color w:val="2F5496" w:themeColor="accent1" w:themeShade="BF"/>
          <w:sz w:val="32"/>
          <w:szCs w:val="32"/>
          <w:lang w:val="en-GB"/>
        </w:rPr>
      </w:pPr>
    </w:p>
    <w:p w14:paraId="035E9FDD" w14:textId="77777777" w:rsidR="00F150DB" w:rsidRDefault="00F150DB">
      <w:pPr>
        <w:rPr>
          <w:rFonts w:eastAsiaTheme="majorEastAsia" w:cstheme="majorBidi"/>
          <w:color w:val="2F5496" w:themeColor="accent1" w:themeShade="BF"/>
          <w:sz w:val="32"/>
          <w:szCs w:val="32"/>
          <w:lang w:val="en-GB"/>
        </w:rPr>
      </w:pPr>
    </w:p>
    <w:p w14:paraId="602783A3" w14:textId="77777777" w:rsidR="00F150DB" w:rsidRDefault="00F150DB">
      <w:pPr>
        <w:rPr>
          <w:rFonts w:eastAsiaTheme="majorEastAsia" w:cstheme="majorBidi"/>
          <w:color w:val="2F5496" w:themeColor="accent1" w:themeShade="BF"/>
          <w:sz w:val="32"/>
          <w:szCs w:val="32"/>
          <w:lang w:val="en-GB"/>
        </w:rPr>
      </w:pPr>
    </w:p>
    <w:p w14:paraId="66F1FC10" w14:textId="31DFE12E" w:rsidR="00F150DB" w:rsidRPr="003D43CF" w:rsidRDefault="00F150DB" w:rsidP="00F150DB">
      <w:pPr>
        <w:jc w:val="center"/>
        <w:rPr>
          <w:rFonts w:eastAsiaTheme="majorEastAsia" w:cstheme="majorBidi"/>
          <w:b/>
          <w:sz w:val="32"/>
          <w:szCs w:val="32"/>
          <w:lang w:val="en-GB"/>
        </w:rPr>
      </w:pPr>
      <w:r w:rsidRPr="003D43CF">
        <w:rPr>
          <w:rFonts w:eastAsiaTheme="majorEastAsia" w:cstheme="majorBidi"/>
          <w:b/>
          <w:sz w:val="32"/>
          <w:szCs w:val="32"/>
          <w:lang w:val="en-GB"/>
        </w:rPr>
        <w:t>Opening up the politics of standard setting through discourse theory: The case of IFRS for SMEs</w:t>
      </w:r>
    </w:p>
    <w:p w14:paraId="2DABC636" w14:textId="77777777" w:rsidR="00F150DB" w:rsidRPr="00F150DB" w:rsidRDefault="00F150DB" w:rsidP="00F150DB">
      <w:pPr>
        <w:jc w:val="center"/>
        <w:rPr>
          <w:rFonts w:eastAsiaTheme="majorEastAsia" w:cstheme="majorBidi"/>
          <w:sz w:val="32"/>
          <w:szCs w:val="32"/>
          <w:lang w:val="en-GB"/>
        </w:rPr>
      </w:pPr>
    </w:p>
    <w:p w14:paraId="74CE7A33" w14:textId="5B3B1E04" w:rsidR="00F150DB" w:rsidRPr="00F150DB" w:rsidRDefault="00F150DB" w:rsidP="00F150DB">
      <w:pPr>
        <w:jc w:val="center"/>
        <w:rPr>
          <w:rFonts w:eastAsiaTheme="majorEastAsia" w:cstheme="majorBidi"/>
          <w:sz w:val="28"/>
          <w:szCs w:val="28"/>
          <w:lang w:val="en-GB"/>
        </w:rPr>
      </w:pPr>
      <w:r w:rsidRPr="00F150DB">
        <w:rPr>
          <w:rFonts w:eastAsiaTheme="majorEastAsia" w:cstheme="majorBidi"/>
          <w:sz w:val="28"/>
          <w:szCs w:val="28"/>
          <w:lang w:val="en-GB"/>
        </w:rPr>
        <w:t>Rebecca Warren</w:t>
      </w:r>
      <w:r w:rsidRPr="00F150DB">
        <w:rPr>
          <w:rFonts w:eastAsiaTheme="majorEastAsia" w:cstheme="majorBidi"/>
          <w:sz w:val="28"/>
          <w:szCs w:val="28"/>
          <w:vertAlign w:val="superscript"/>
          <w:lang w:val="en-GB"/>
        </w:rPr>
        <w:t>1</w:t>
      </w:r>
      <w:r w:rsidRPr="00F150DB">
        <w:rPr>
          <w:rFonts w:eastAsiaTheme="majorEastAsia" w:cstheme="majorBidi"/>
          <w:sz w:val="28"/>
          <w:szCs w:val="28"/>
          <w:lang w:val="en-GB"/>
        </w:rPr>
        <w:t>*, David Bernard Carter</w:t>
      </w:r>
      <w:r w:rsidRPr="00F150DB">
        <w:rPr>
          <w:rFonts w:eastAsiaTheme="majorEastAsia" w:cstheme="majorBidi"/>
          <w:sz w:val="28"/>
          <w:szCs w:val="28"/>
          <w:vertAlign w:val="superscript"/>
          <w:lang w:val="en-GB"/>
        </w:rPr>
        <w:t>2</w:t>
      </w:r>
      <w:r w:rsidRPr="00F150DB">
        <w:rPr>
          <w:rFonts w:eastAsiaTheme="majorEastAsia" w:cstheme="majorBidi"/>
          <w:sz w:val="28"/>
          <w:szCs w:val="28"/>
          <w:lang w:val="en-GB"/>
        </w:rPr>
        <w:t xml:space="preserve"> and Christopher J Napier</w:t>
      </w:r>
      <w:r w:rsidRPr="00F150DB">
        <w:rPr>
          <w:rFonts w:eastAsiaTheme="majorEastAsia" w:cstheme="majorBidi"/>
          <w:sz w:val="28"/>
          <w:szCs w:val="28"/>
          <w:vertAlign w:val="superscript"/>
          <w:lang w:val="en-GB"/>
        </w:rPr>
        <w:t>3</w:t>
      </w:r>
    </w:p>
    <w:p w14:paraId="05FB7804" w14:textId="77777777" w:rsidR="00F150DB" w:rsidRPr="00F150DB" w:rsidRDefault="00F150DB" w:rsidP="00F150DB">
      <w:pPr>
        <w:jc w:val="center"/>
        <w:rPr>
          <w:rFonts w:eastAsiaTheme="majorEastAsia" w:cstheme="majorBidi"/>
          <w:sz w:val="28"/>
          <w:szCs w:val="28"/>
          <w:lang w:val="en-GB"/>
        </w:rPr>
      </w:pPr>
    </w:p>
    <w:p w14:paraId="1B37EEE6" w14:textId="726D4C9F" w:rsidR="00F150DB" w:rsidRDefault="00F150DB" w:rsidP="00F150DB">
      <w:pPr>
        <w:rPr>
          <w:rFonts w:eastAsiaTheme="majorEastAsia" w:cstheme="majorBidi"/>
          <w:lang w:val="en-GB"/>
        </w:rPr>
      </w:pPr>
      <w:r w:rsidRPr="00F150DB">
        <w:rPr>
          <w:rFonts w:eastAsiaTheme="majorEastAsia" w:cstheme="majorBidi"/>
          <w:sz w:val="28"/>
          <w:szCs w:val="28"/>
          <w:vertAlign w:val="superscript"/>
          <w:lang w:val="en-GB"/>
        </w:rPr>
        <w:t>1</w:t>
      </w:r>
      <w:r w:rsidRPr="00F150DB">
        <w:rPr>
          <w:rFonts w:eastAsiaTheme="majorEastAsia" w:cstheme="majorBidi"/>
          <w:sz w:val="28"/>
          <w:szCs w:val="28"/>
          <w:lang w:val="en-GB"/>
        </w:rPr>
        <w:t xml:space="preserve"> </w:t>
      </w:r>
      <w:r w:rsidRPr="00F150DB">
        <w:rPr>
          <w:rFonts w:eastAsiaTheme="majorEastAsia" w:cstheme="majorBidi"/>
          <w:lang w:val="en-GB"/>
        </w:rPr>
        <w:t>Essex Business School</w:t>
      </w:r>
      <w:r>
        <w:rPr>
          <w:rFonts w:eastAsiaTheme="majorEastAsia" w:cstheme="majorBidi"/>
          <w:lang w:val="en-GB"/>
        </w:rPr>
        <w:t>, Colchester, Essex, UK</w:t>
      </w:r>
    </w:p>
    <w:p w14:paraId="56D632F2" w14:textId="374883BA" w:rsidR="00F150DB" w:rsidRDefault="00F150DB" w:rsidP="00F150DB">
      <w:pPr>
        <w:rPr>
          <w:rFonts w:eastAsiaTheme="majorEastAsia" w:cstheme="majorBidi"/>
          <w:lang w:val="en-GB"/>
        </w:rPr>
      </w:pPr>
      <w:r>
        <w:rPr>
          <w:rFonts w:eastAsiaTheme="majorEastAsia" w:cstheme="majorBidi"/>
          <w:vertAlign w:val="superscript"/>
          <w:lang w:val="en-GB"/>
        </w:rPr>
        <w:t>2</w:t>
      </w:r>
      <w:r>
        <w:rPr>
          <w:rFonts w:eastAsiaTheme="majorEastAsia" w:cstheme="majorBidi"/>
          <w:lang w:val="en-GB"/>
        </w:rPr>
        <w:t xml:space="preserve"> Faculty of Business, Government and Law, University of Canberra, Canberra, Australia</w:t>
      </w:r>
    </w:p>
    <w:p w14:paraId="2CEDBBC0" w14:textId="56398F26" w:rsidR="00F150DB" w:rsidRDefault="00F150DB" w:rsidP="00F150DB">
      <w:pPr>
        <w:rPr>
          <w:rFonts w:eastAsiaTheme="majorEastAsia" w:cstheme="majorBidi"/>
          <w:lang w:val="en-GB"/>
        </w:rPr>
      </w:pPr>
      <w:r>
        <w:rPr>
          <w:rFonts w:eastAsiaTheme="majorEastAsia" w:cstheme="majorBidi"/>
          <w:vertAlign w:val="superscript"/>
          <w:lang w:val="en-GB"/>
        </w:rPr>
        <w:t>3</w:t>
      </w:r>
      <w:r>
        <w:rPr>
          <w:rFonts w:eastAsiaTheme="majorEastAsia" w:cstheme="majorBidi"/>
          <w:lang w:val="en-GB"/>
        </w:rPr>
        <w:t xml:space="preserve"> School of Business and Management, Royal Holloway University of London, UK</w:t>
      </w:r>
    </w:p>
    <w:p w14:paraId="2ED9024A" w14:textId="77777777" w:rsidR="00F150DB" w:rsidRDefault="00F150DB" w:rsidP="00F150DB">
      <w:pPr>
        <w:rPr>
          <w:rFonts w:eastAsiaTheme="majorEastAsia" w:cstheme="majorBidi"/>
          <w:lang w:val="en-GB"/>
        </w:rPr>
      </w:pPr>
    </w:p>
    <w:p w14:paraId="79357C78" w14:textId="7E9DBFB8" w:rsidR="00F150DB" w:rsidRPr="00F150DB" w:rsidRDefault="00F150DB" w:rsidP="00F150DB">
      <w:pPr>
        <w:rPr>
          <w:rFonts w:eastAsiaTheme="majorEastAsia" w:cstheme="majorBidi"/>
          <w:lang w:val="en-GB"/>
        </w:rPr>
      </w:pPr>
      <w:r>
        <w:rPr>
          <w:rFonts w:eastAsiaTheme="majorEastAsia" w:cstheme="majorBidi"/>
          <w:lang w:val="en-GB"/>
        </w:rPr>
        <w:t>*</w:t>
      </w:r>
      <w:r w:rsidR="003D43CF">
        <w:rPr>
          <w:rFonts w:eastAsiaTheme="majorEastAsia" w:cstheme="majorBidi"/>
          <w:lang w:val="en-GB"/>
        </w:rPr>
        <w:t xml:space="preserve"> </w:t>
      </w:r>
      <w:r w:rsidRPr="00F150DB">
        <w:rPr>
          <w:rFonts w:eastAsiaTheme="majorEastAsia" w:cstheme="majorBidi"/>
          <w:lang w:val="en-GB"/>
        </w:rPr>
        <w:t>Corresponding author</w:t>
      </w:r>
    </w:p>
    <w:p w14:paraId="6C5FCCEC" w14:textId="77777777" w:rsidR="00F150DB" w:rsidRPr="00F150DB" w:rsidRDefault="00F150DB">
      <w:pPr>
        <w:rPr>
          <w:rFonts w:eastAsiaTheme="majorEastAsia" w:cstheme="majorBidi"/>
          <w:sz w:val="32"/>
          <w:szCs w:val="32"/>
          <w:lang w:val="en-GB"/>
        </w:rPr>
      </w:pPr>
    </w:p>
    <w:p w14:paraId="32457524" w14:textId="77777777" w:rsidR="00F150DB" w:rsidRPr="00F150DB" w:rsidRDefault="00F150DB">
      <w:pPr>
        <w:rPr>
          <w:rFonts w:eastAsiaTheme="majorEastAsia" w:cstheme="majorBidi"/>
          <w:lang w:val="en-GB"/>
        </w:rPr>
      </w:pPr>
    </w:p>
    <w:p w14:paraId="2D5A8237" w14:textId="77777777" w:rsidR="00F150DB" w:rsidRPr="00F150DB" w:rsidRDefault="00F150DB">
      <w:pPr>
        <w:rPr>
          <w:rFonts w:eastAsiaTheme="majorEastAsia" w:cstheme="majorBidi"/>
          <w:lang w:val="en-GB"/>
        </w:rPr>
      </w:pPr>
    </w:p>
    <w:p w14:paraId="04423FB1" w14:textId="77777777" w:rsidR="00F150DB" w:rsidRPr="00F150DB" w:rsidRDefault="00F150DB">
      <w:pPr>
        <w:rPr>
          <w:rFonts w:eastAsiaTheme="majorEastAsia" w:cstheme="majorBidi"/>
          <w:lang w:val="en-GB"/>
        </w:rPr>
      </w:pPr>
    </w:p>
    <w:p w14:paraId="7C921641" w14:textId="44DD1665" w:rsidR="00F150DB" w:rsidRDefault="00F150DB">
      <w:pPr>
        <w:rPr>
          <w:rFonts w:eastAsiaTheme="majorEastAsia" w:cstheme="majorBidi"/>
          <w:b/>
          <w:lang w:val="en-GB"/>
        </w:rPr>
      </w:pPr>
      <w:r>
        <w:rPr>
          <w:rFonts w:eastAsiaTheme="majorEastAsia" w:cstheme="majorBidi"/>
          <w:b/>
          <w:lang w:val="en-GB"/>
        </w:rPr>
        <w:t xml:space="preserve">Accepted for publication in </w:t>
      </w:r>
      <w:r>
        <w:rPr>
          <w:rFonts w:eastAsiaTheme="majorEastAsia" w:cstheme="majorBidi"/>
          <w:b/>
          <w:i/>
          <w:lang w:val="en-GB"/>
        </w:rPr>
        <w:t>Accounting, Auditing &amp; Accountability Journal</w:t>
      </w:r>
      <w:r>
        <w:rPr>
          <w:rFonts w:eastAsiaTheme="majorEastAsia" w:cstheme="majorBidi"/>
          <w:b/>
          <w:lang w:val="en-GB"/>
        </w:rPr>
        <w:t xml:space="preserve"> and available on-line from 8 August 2019</w:t>
      </w:r>
    </w:p>
    <w:p w14:paraId="3C73E320" w14:textId="77777777" w:rsidR="00F150DB" w:rsidRDefault="00F150DB">
      <w:pPr>
        <w:rPr>
          <w:rFonts w:eastAsiaTheme="majorEastAsia" w:cstheme="majorBidi"/>
          <w:b/>
          <w:lang w:val="en-GB"/>
        </w:rPr>
      </w:pPr>
    </w:p>
    <w:p w14:paraId="70B0FD60" w14:textId="3BDE0826" w:rsidR="00F150DB" w:rsidRPr="00F150DB" w:rsidRDefault="00F150DB">
      <w:pPr>
        <w:rPr>
          <w:rFonts w:eastAsiaTheme="majorEastAsia" w:cstheme="majorBidi"/>
          <w:b/>
          <w:lang w:val="en-GB"/>
        </w:rPr>
      </w:pPr>
      <w:r w:rsidRPr="00F150DB">
        <w:rPr>
          <w:rFonts w:eastAsiaTheme="majorEastAsia" w:cstheme="majorBidi"/>
          <w:b/>
          <w:lang w:val="en-GB"/>
        </w:rPr>
        <w:t>DOI 10.1108/AAAJ-04-2018-3464</w:t>
      </w:r>
    </w:p>
    <w:p w14:paraId="0B6CBB38" w14:textId="77777777" w:rsidR="00F150DB" w:rsidRPr="00F150DB" w:rsidRDefault="00F150DB">
      <w:pPr>
        <w:rPr>
          <w:rFonts w:eastAsiaTheme="majorEastAsia" w:cstheme="majorBidi"/>
          <w:lang w:val="en-GB"/>
        </w:rPr>
      </w:pPr>
    </w:p>
    <w:p w14:paraId="655713B5" w14:textId="1B2DAF44" w:rsidR="00F150DB" w:rsidRPr="00F150DB" w:rsidRDefault="00F150DB">
      <w:pPr>
        <w:rPr>
          <w:rFonts w:eastAsiaTheme="majorEastAsia" w:cstheme="majorBidi"/>
          <w:b/>
          <w:lang w:val="en-GB"/>
        </w:rPr>
      </w:pPr>
      <w:r>
        <w:rPr>
          <w:rFonts w:eastAsiaTheme="majorEastAsia" w:cstheme="majorBidi"/>
          <w:b/>
          <w:lang w:val="en-GB"/>
        </w:rPr>
        <w:t xml:space="preserve">PLEASE </w:t>
      </w:r>
      <w:r w:rsidR="003D43CF">
        <w:rPr>
          <w:rFonts w:eastAsiaTheme="majorEastAsia" w:cstheme="majorBidi"/>
          <w:b/>
          <w:lang w:val="en-GB"/>
        </w:rPr>
        <w:t xml:space="preserve">CITE AND </w:t>
      </w:r>
      <w:r>
        <w:rPr>
          <w:rFonts w:eastAsiaTheme="majorEastAsia" w:cstheme="majorBidi"/>
          <w:b/>
          <w:lang w:val="en-GB"/>
        </w:rPr>
        <w:t>REFER</w:t>
      </w:r>
      <w:r w:rsidR="003D43CF">
        <w:rPr>
          <w:rFonts w:eastAsiaTheme="majorEastAsia" w:cstheme="majorBidi"/>
          <w:b/>
          <w:lang w:val="en-GB"/>
        </w:rPr>
        <w:t>ENCE</w:t>
      </w:r>
      <w:r>
        <w:rPr>
          <w:rFonts w:eastAsiaTheme="majorEastAsia" w:cstheme="majorBidi"/>
          <w:b/>
          <w:lang w:val="en-GB"/>
        </w:rPr>
        <w:t xml:space="preserve"> THE </w:t>
      </w:r>
      <w:r w:rsidR="003D43CF">
        <w:rPr>
          <w:rFonts w:eastAsiaTheme="majorEastAsia" w:cstheme="majorBidi"/>
          <w:b/>
          <w:lang w:val="en-GB"/>
        </w:rPr>
        <w:t>PUBLISHED VERSION OF THIS PAPER</w:t>
      </w:r>
    </w:p>
    <w:p w14:paraId="589BE1B7" w14:textId="77777777" w:rsidR="00F150DB" w:rsidRPr="00F150DB" w:rsidRDefault="00F150DB">
      <w:pPr>
        <w:rPr>
          <w:rFonts w:eastAsiaTheme="majorEastAsia" w:cstheme="majorBidi"/>
          <w:lang w:val="en-GB"/>
        </w:rPr>
      </w:pPr>
    </w:p>
    <w:p w14:paraId="6F2F16F3" w14:textId="77777777" w:rsidR="00F150DB" w:rsidRPr="00F150DB" w:rsidRDefault="00F150DB">
      <w:pPr>
        <w:rPr>
          <w:rFonts w:eastAsiaTheme="majorEastAsia" w:cstheme="majorBidi"/>
          <w:lang w:val="en-GB"/>
        </w:rPr>
      </w:pPr>
    </w:p>
    <w:p w14:paraId="7C905093" w14:textId="77777777" w:rsidR="00F150DB" w:rsidRPr="00F150DB" w:rsidRDefault="00F150DB">
      <w:pPr>
        <w:rPr>
          <w:rFonts w:eastAsiaTheme="majorEastAsia" w:cstheme="majorBidi"/>
          <w:lang w:val="en-GB"/>
        </w:rPr>
      </w:pPr>
    </w:p>
    <w:p w14:paraId="4770119C" w14:textId="77777777" w:rsidR="00F150DB" w:rsidRPr="00F150DB" w:rsidRDefault="00F150DB">
      <w:pPr>
        <w:rPr>
          <w:rFonts w:eastAsiaTheme="majorEastAsia" w:cstheme="majorBidi"/>
          <w:lang w:val="en-GB"/>
        </w:rPr>
      </w:pPr>
    </w:p>
    <w:p w14:paraId="049F72C5" w14:textId="77777777" w:rsidR="00F150DB" w:rsidRDefault="00F150DB">
      <w:pPr>
        <w:rPr>
          <w:rFonts w:eastAsiaTheme="majorEastAsia" w:cstheme="majorBidi"/>
          <w:color w:val="2F5496" w:themeColor="accent1" w:themeShade="BF"/>
          <w:sz w:val="32"/>
          <w:szCs w:val="32"/>
          <w:lang w:val="en-GB"/>
        </w:rPr>
        <w:sectPr w:rsidR="00F150DB" w:rsidSect="00C04BDA">
          <w:footerReference w:type="even" r:id="rId8"/>
          <w:footerReference w:type="default" r:id="rId9"/>
          <w:pgSz w:w="11900" w:h="16840"/>
          <w:pgMar w:top="1440" w:right="1440" w:bottom="1440" w:left="1440" w:header="708" w:footer="708" w:gutter="0"/>
          <w:cols w:space="708"/>
          <w:docGrid w:linePitch="360"/>
        </w:sectPr>
      </w:pPr>
    </w:p>
    <w:p w14:paraId="27D83530" w14:textId="24030337" w:rsidR="00C73E85" w:rsidRDefault="00CA57D3" w:rsidP="00960B63">
      <w:pPr>
        <w:pStyle w:val="Heading1"/>
        <w:spacing w:after="120"/>
        <w:jc w:val="center"/>
        <w:rPr>
          <w:rFonts w:asciiTheme="minorHAnsi" w:hAnsiTheme="minorHAnsi"/>
          <w:lang w:val="en-GB"/>
        </w:rPr>
      </w:pPr>
      <w:r>
        <w:rPr>
          <w:rFonts w:asciiTheme="minorHAnsi" w:hAnsiTheme="minorHAnsi"/>
          <w:lang w:val="en-GB"/>
        </w:rPr>
        <w:lastRenderedPageBreak/>
        <w:t>Opening up</w:t>
      </w:r>
      <w:r w:rsidR="00C73E85">
        <w:rPr>
          <w:rFonts w:asciiTheme="minorHAnsi" w:hAnsiTheme="minorHAnsi"/>
          <w:lang w:val="en-GB"/>
        </w:rPr>
        <w:t xml:space="preserve"> </w:t>
      </w:r>
      <w:r w:rsidR="00ED72D6">
        <w:rPr>
          <w:rFonts w:asciiTheme="minorHAnsi" w:hAnsiTheme="minorHAnsi"/>
          <w:lang w:val="en-GB"/>
        </w:rPr>
        <w:t xml:space="preserve">the politics of standard setting through Discourse Theory: </w:t>
      </w:r>
      <w:r>
        <w:rPr>
          <w:rFonts w:asciiTheme="minorHAnsi" w:hAnsiTheme="minorHAnsi"/>
          <w:lang w:val="en-GB"/>
        </w:rPr>
        <w:t>T</w:t>
      </w:r>
      <w:r w:rsidR="00ED72D6">
        <w:rPr>
          <w:rFonts w:asciiTheme="minorHAnsi" w:hAnsiTheme="minorHAnsi"/>
          <w:lang w:val="en-GB"/>
        </w:rPr>
        <w:t>he case of IFRS for SMEs</w:t>
      </w:r>
    </w:p>
    <w:p w14:paraId="5818650E" w14:textId="36347D6F" w:rsidR="006C3E7C" w:rsidRPr="00E176CF" w:rsidRDefault="006C3E7C" w:rsidP="008456E4">
      <w:pPr>
        <w:pStyle w:val="Heading1"/>
        <w:spacing w:after="120"/>
        <w:rPr>
          <w:rFonts w:asciiTheme="minorHAnsi" w:hAnsiTheme="minorHAnsi"/>
          <w:lang w:val="en-GB"/>
        </w:rPr>
      </w:pPr>
      <w:r w:rsidRPr="00E176CF">
        <w:rPr>
          <w:rFonts w:asciiTheme="minorHAnsi" w:hAnsiTheme="minorHAnsi"/>
          <w:lang w:val="en-GB"/>
        </w:rPr>
        <w:t xml:space="preserve">Abstract </w:t>
      </w:r>
    </w:p>
    <w:p w14:paraId="3AE9BCA7" w14:textId="463B719C" w:rsidR="006C3E7C" w:rsidRPr="00E176CF" w:rsidRDefault="006C3E7C" w:rsidP="008456E4">
      <w:pPr>
        <w:spacing w:after="120"/>
        <w:jc w:val="both"/>
        <w:rPr>
          <w:lang w:val="en-GB"/>
        </w:rPr>
      </w:pPr>
      <w:r w:rsidRPr="00E176CF">
        <w:rPr>
          <w:b/>
          <w:lang w:val="en-GB"/>
        </w:rPr>
        <w:t>Purpose</w:t>
      </w:r>
      <w:r w:rsidRPr="00E176CF">
        <w:rPr>
          <w:lang w:val="en-GB"/>
        </w:rPr>
        <w:t xml:space="preserve">: This paper investigates </w:t>
      </w:r>
      <w:r w:rsidR="005C0B97">
        <w:rPr>
          <w:lang w:val="en-GB"/>
        </w:rPr>
        <w:t xml:space="preserve">an element of the internal </w:t>
      </w:r>
      <w:r w:rsidR="0033635A">
        <w:rPr>
          <w:lang w:val="en-GB"/>
        </w:rPr>
        <w:t>politics of standard setting</w:t>
      </w:r>
      <w:r w:rsidR="00CA57D3">
        <w:rPr>
          <w:lang w:val="en-GB"/>
        </w:rPr>
        <w:t xml:space="preserve"> by reference to the</w:t>
      </w:r>
      <w:r w:rsidRPr="00E176CF">
        <w:rPr>
          <w:lang w:val="en-GB"/>
        </w:rPr>
        <w:t xml:space="preserve"> </w:t>
      </w:r>
      <w:r>
        <w:rPr>
          <w:lang w:val="en-GB"/>
        </w:rPr>
        <w:t xml:space="preserve">International Accounting Standards Board’s [IASB] </w:t>
      </w:r>
      <w:r w:rsidRPr="00E176CF">
        <w:rPr>
          <w:lang w:val="en-GB"/>
        </w:rPr>
        <w:t>movement to</w:t>
      </w:r>
      <w:r>
        <w:rPr>
          <w:lang w:val="en-GB"/>
        </w:rPr>
        <w:t xml:space="preserve"> </w:t>
      </w:r>
      <w:r w:rsidR="005C1462">
        <w:rPr>
          <w:lang w:val="en-GB"/>
        </w:rPr>
        <w:t xml:space="preserve">the </w:t>
      </w:r>
      <w:r>
        <w:rPr>
          <w:lang w:val="en-GB"/>
        </w:rPr>
        <w:t>International Financial Reporting Standard for Small and Medium-Sized Entities</w:t>
      </w:r>
      <w:r w:rsidRPr="00E176CF">
        <w:rPr>
          <w:lang w:val="en-GB"/>
        </w:rPr>
        <w:t xml:space="preserve"> </w:t>
      </w:r>
      <w:r>
        <w:rPr>
          <w:lang w:val="en-GB"/>
        </w:rPr>
        <w:t>[</w:t>
      </w:r>
      <w:r w:rsidRPr="00E176CF">
        <w:rPr>
          <w:i/>
          <w:lang w:val="en-GB"/>
        </w:rPr>
        <w:t>IFRS for SMEs</w:t>
      </w:r>
      <w:r w:rsidR="00CA57D3">
        <w:rPr>
          <w:lang w:val="en-GB"/>
        </w:rPr>
        <w:t>]</w:t>
      </w:r>
      <w:r w:rsidRPr="00E176CF">
        <w:rPr>
          <w:lang w:val="en-GB"/>
        </w:rPr>
        <w:t xml:space="preserve">. </w:t>
      </w:r>
      <w:r w:rsidR="0033635A">
        <w:rPr>
          <w:lang w:val="en-GB"/>
        </w:rPr>
        <w:t>We</w:t>
      </w:r>
      <w:r w:rsidR="00F729A0">
        <w:rPr>
          <w:lang w:val="en-GB"/>
        </w:rPr>
        <w:t xml:space="preserve"> examine the politics of </w:t>
      </w:r>
      <w:r w:rsidR="00C2471E">
        <w:rPr>
          <w:lang w:val="en-GB"/>
        </w:rPr>
        <w:t xml:space="preserve">the IASB’s </w:t>
      </w:r>
      <w:r w:rsidR="00F729A0">
        <w:rPr>
          <w:lang w:val="en-GB"/>
        </w:rPr>
        <w:t>expertise in technocratic governance</w:t>
      </w:r>
      <w:r w:rsidR="00C2471E">
        <w:rPr>
          <w:lang w:val="en-GB"/>
        </w:rPr>
        <w:t xml:space="preserve"> by </w:t>
      </w:r>
      <w:r w:rsidRPr="00E176CF">
        <w:rPr>
          <w:lang w:val="en-GB"/>
        </w:rPr>
        <w:t>focus</w:t>
      </w:r>
      <w:r w:rsidR="00C2471E">
        <w:rPr>
          <w:lang w:val="en-GB"/>
        </w:rPr>
        <w:t xml:space="preserve">ing on </w:t>
      </w:r>
      <w:r w:rsidRPr="00E176CF">
        <w:rPr>
          <w:lang w:val="en-GB"/>
        </w:rPr>
        <w:t>how the IASB</w:t>
      </w:r>
      <w:r w:rsidR="006C20D6">
        <w:rPr>
          <w:lang w:val="en-GB"/>
        </w:rPr>
        <w:t xml:space="preserve"> </w:t>
      </w:r>
      <w:r w:rsidRPr="00E176CF">
        <w:rPr>
          <w:lang w:val="en-GB"/>
        </w:rPr>
        <w:t>defi</w:t>
      </w:r>
      <w:r w:rsidR="006C20D6">
        <w:rPr>
          <w:lang w:val="en-GB"/>
        </w:rPr>
        <w:t>n</w:t>
      </w:r>
      <w:r w:rsidR="00C2471E">
        <w:rPr>
          <w:lang w:val="en-GB"/>
        </w:rPr>
        <w:t>e</w:t>
      </w:r>
      <w:r w:rsidR="00EE13F3">
        <w:rPr>
          <w:lang w:val="en-GB"/>
        </w:rPr>
        <w:t>d</w:t>
      </w:r>
      <w:r w:rsidRPr="00E176CF">
        <w:rPr>
          <w:lang w:val="en-GB"/>
        </w:rPr>
        <w:t xml:space="preserve"> SMEs, </w:t>
      </w:r>
      <w:r w:rsidR="006C20D6">
        <w:rPr>
          <w:lang w:val="en-GB"/>
        </w:rPr>
        <w:t>g</w:t>
      </w:r>
      <w:r w:rsidR="00EE13F3">
        <w:rPr>
          <w:lang w:val="en-GB"/>
        </w:rPr>
        <w:t>a</w:t>
      </w:r>
      <w:r w:rsidR="006C20D6">
        <w:rPr>
          <w:lang w:val="en-GB"/>
        </w:rPr>
        <w:t>v</w:t>
      </w:r>
      <w:r w:rsidR="00C2471E">
        <w:rPr>
          <w:lang w:val="en-GB"/>
        </w:rPr>
        <w:t>e</w:t>
      </w:r>
      <w:r w:rsidR="006C20D6" w:rsidRPr="00E176CF">
        <w:rPr>
          <w:lang w:val="en-GB"/>
        </w:rPr>
        <w:t xml:space="preserve"> </w:t>
      </w:r>
      <w:r w:rsidRPr="00E176CF">
        <w:rPr>
          <w:lang w:val="en-GB"/>
        </w:rPr>
        <w:t>the standard a title and issu</w:t>
      </w:r>
      <w:r w:rsidR="00C2471E">
        <w:rPr>
          <w:lang w:val="en-GB"/>
        </w:rPr>
        <w:t>e</w:t>
      </w:r>
      <w:r w:rsidR="00EE13F3">
        <w:rPr>
          <w:lang w:val="en-GB"/>
        </w:rPr>
        <w:t>d</w:t>
      </w:r>
      <w:r w:rsidRPr="00E176CF">
        <w:rPr>
          <w:lang w:val="en-GB"/>
        </w:rPr>
        <w:t xml:space="preserve"> </w:t>
      </w:r>
      <w:r>
        <w:rPr>
          <w:lang w:val="en-GB"/>
        </w:rPr>
        <w:t>a g</w:t>
      </w:r>
      <w:r w:rsidRPr="00E176CF">
        <w:rPr>
          <w:lang w:val="en-GB"/>
        </w:rPr>
        <w:t>uide</w:t>
      </w:r>
      <w:r>
        <w:rPr>
          <w:lang w:val="en-GB"/>
        </w:rPr>
        <w:t xml:space="preserve"> for micro-entities. </w:t>
      </w:r>
    </w:p>
    <w:p w14:paraId="33F72218" w14:textId="18D93B4C" w:rsidR="006C3E7C" w:rsidRPr="00E176CF" w:rsidRDefault="006C3E7C" w:rsidP="008456E4">
      <w:pPr>
        <w:spacing w:after="120"/>
        <w:jc w:val="both"/>
        <w:rPr>
          <w:lang w:val="en-GB"/>
        </w:rPr>
      </w:pPr>
      <w:r w:rsidRPr="00E176CF">
        <w:rPr>
          <w:b/>
          <w:lang w:val="en-GB"/>
        </w:rPr>
        <w:t>Methodology</w:t>
      </w:r>
      <w:r w:rsidRPr="00E176CF">
        <w:rPr>
          <w:lang w:val="en-GB"/>
        </w:rPr>
        <w:t xml:space="preserve">: </w:t>
      </w:r>
      <w:r w:rsidR="00C2471E">
        <w:rPr>
          <w:lang w:val="en-GB"/>
        </w:rPr>
        <w:t xml:space="preserve">Our </w:t>
      </w:r>
      <w:r w:rsidRPr="00E176CF">
        <w:rPr>
          <w:lang w:val="en-GB"/>
        </w:rPr>
        <w:t>narrative</w:t>
      </w:r>
      <w:r>
        <w:rPr>
          <w:lang w:val="en-GB"/>
        </w:rPr>
        <w:t xml:space="preserve"> </w:t>
      </w:r>
      <w:r w:rsidRPr="00E176CF">
        <w:rPr>
          <w:lang w:val="en-GB"/>
        </w:rPr>
        <w:t xml:space="preserve">case study </w:t>
      </w:r>
      <w:r w:rsidR="00F729A0">
        <w:rPr>
          <w:lang w:val="en-GB"/>
        </w:rPr>
        <w:t>focus</w:t>
      </w:r>
      <w:r w:rsidR="00C2471E">
        <w:rPr>
          <w:lang w:val="en-GB"/>
        </w:rPr>
        <w:t>es</w:t>
      </w:r>
      <w:r w:rsidR="00F729A0">
        <w:rPr>
          <w:lang w:val="en-GB"/>
        </w:rPr>
        <w:t xml:space="preserve"> on central ‘moments’ in </w:t>
      </w:r>
      <w:r w:rsidRPr="00E176CF">
        <w:rPr>
          <w:lang w:val="en-GB"/>
        </w:rPr>
        <w:t xml:space="preserve">the development of </w:t>
      </w:r>
      <w:r w:rsidRPr="00E176CF">
        <w:rPr>
          <w:i/>
          <w:lang w:val="en-GB"/>
        </w:rPr>
        <w:t>IFRS for SMEs</w:t>
      </w:r>
      <w:r w:rsidRPr="00E176CF">
        <w:rPr>
          <w:lang w:val="en-GB"/>
        </w:rPr>
        <w:t xml:space="preserve">. We employ Laclau and Mouffe’s </w:t>
      </w:r>
      <w:r>
        <w:rPr>
          <w:lang w:val="en-GB"/>
        </w:rPr>
        <w:t>condensation,</w:t>
      </w:r>
      <w:r w:rsidRPr="00E176CF">
        <w:rPr>
          <w:lang w:val="en-GB"/>
        </w:rPr>
        <w:t xml:space="preserve"> displacement </w:t>
      </w:r>
      <w:r>
        <w:rPr>
          <w:lang w:val="en-GB"/>
        </w:rPr>
        <w:t xml:space="preserve">and overdetermination </w:t>
      </w:r>
      <w:r w:rsidRPr="00E176CF">
        <w:rPr>
          <w:lang w:val="en-GB"/>
        </w:rPr>
        <w:t xml:space="preserve">to </w:t>
      </w:r>
      <w:r>
        <w:rPr>
          <w:lang w:val="en-GB"/>
        </w:rPr>
        <w:t>illustrate</w:t>
      </w:r>
      <w:r w:rsidRPr="00E176CF">
        <w:rPr>
          <w:lang w:val="en-GB"/>
        </w:rPr>
        <w:t xml:space="preserve"> </w:t>
      </w:r>
      <w:r>
        <w:rPr>
          <w:rFonts w:cs="Times New Roman"/>
          <w:lang w:val="en-GB"/>
        </w:rPr>
        <w:t xml:space="preserve">embedded politics </w:t>
      </w:r>
      <w:r w:rsidR="00C2471E">
        <w:rPr>
          <w:rFonts w:cs="Times New Roman"/>
          <w:lang w:val="en-GB"/>
        </w:rPr>
        <w:t>in</w:t>
      </w:r>
      <w:r>
        <w:rPr>
          <w:rFonts w:cs="Times New Roman"/>
          <w:lang w:val="en-GB"/>
        </w:rPr>
        <w:t xml:space="preserve"> articulatin</w:t>
      </w:r>
      <w:r w:rsidR="00C2471E">
        <w:rPr>
          <w:rFonts w:cs="Times New Roman"/>
          <w:lang w:val="en-GB"/>
        </w:rPr>
        <w:t>g</w:t>
      </w:r>
      <w:r w:rsidRPr="00E176CF">
        <w:rPr>
          <w:rFonts w:cs="Times New Roman"/>
          <w:lang w:val="en-GB"/>
        </w:rPr>
        <w:t xml:space="preserve"> </w:t>
      </w:r>
      <w:r w:rsidRPr="00E176CF">
        <w:rPr>
          <w:rFonts w:cs="Times New Roman"/>
          <w:i/>
          <w:lang w:val="en-GB"/>
        </w:rPr>
        <w:t>IFRS for SMEs</w:t>
      </w:r>
      <w:r w:rsidRPr="00E176CF">
        <w:rPr>
          <w:rFonts w:cs="Times New Roman"/>
          <w:lang w:val="en-GB"/>
        </w:rPr>
        <w:t xml:space="preserve">. </w:t>
      </w:r>
    </w:p>
    <w:p w14:paraId="2AE3BAE0" w14:textId="71824975" w:rsidR="006C3E7C" w:rsidRPr="00E176CF" w:rsidRDefault="006C3E7C" w:rsidP="008456E4">
      <w:pPr>
        <w:jc w:val="both"/>
        <w:rPr>
          <w:lang w:val="en-GB"/>
        </w:rPr>
      </w:pPr>
      <w:r w:rsidRPr="00E176CF">
        <w:rPr>
          <w:b/>
          <w:lang w:val="en-GB"/>
        </w:rPr>
        <w:t>Findings</w:t>
      </w:r>
      <w:r w:rsidRPr="00E176CF">
        <w:rPr>
          <w:lang w:val="en-GB"/>
        </w:rPr>
        <w:t xml:space="preserve">: </w:t>
      </w:r>
      <w:r w:rsidR="00F729A0">
        <w:rPr>
          <w:lang w:val="en-GB"/>
        </w:rPr>
        <w:t>We extend literatu</w:t>
      </w:r>
      <w:r w:rsidR="00AC6060">
        <w:rPr>
          <w:lang w:val="en-GB"/>
        </w:rPr>
        <w:t>r</w:t>
      </w:r>
      <w:r w:rsidR="00F729A0">
        <w:rPr>
          <w:lang w:val="en-GB"/>
        </w:rPr>
        <w:t xml:space="preserve">e on the </w:t>
      </w:r>
      <w:r w:rsidR="00025EB6">
        <w:rPr>
          <w:lang w:val="en-GB"/>
        </w:rPr>
        <w:t xml:space="preserve">internal </w:t>
      </w:r>
      <w:r w:rsidR="00F729A0">
        <w:rPr>
          <w:lang w:val="en-GB"/>
        </w:rPr>
        <w:t>politics of standard setting</w:t>
      </w:r>
      <w:r w:rsidR="005C0B97">
        <w:rPr>
          <w:lang w:val="en-GB"/>
        </w:rPr>
        <w:t>,</w:t>
      </w:r>
      <w:r w:rsidR="00025EB6">
        <w:rPr>
          <w:lang w:val="en-GB"/>
        </w:rPr>
        <w:t xml:space="preserve"> such as </w:t>
      </w:r>
      <w:r w:rsidR="00F729A0">
        <w:rPr>
          <w:lang w:val="en-GB"/>
        </w:rPr>
        <w:t>agenda setting</w:t>
      </w:r>
      <w:r w:rsidR="005C0B97">
        <w:rPr>
          <w:lang w:val="en-GB"/>
        </w:rPr>
        <w:t>,</w:t>
      </w:r>
      <w:r w:rsidR="00F729A0">
        <w:rPr>
          <w:lang w:val="en-GB"/>
        </w:rPr>
        <w:t xml:space="preserve"> by examining </w:t>
      </w:r>
      <w:r w:rsidR="00C2471E">
        <w:rPr>
          <w:lang w:val="en-GB"/>
        </w:rPr>
        <w:t xml:space="preserve">the condensing of </w:t>
      </w:r>
      <w:r w:rsidR="005C0B97">
        <w:rPr>
          <w:lang w:val="en-GB"/>
        </w:rPr>
        <w:t xml:space="preserve">disagreements between experts and </w:t>
      </w:r>
      <w:r w:rsidR="00F729A0">
        <w:rPr>
          <w:lang w:val="en-GB"/>
        </w:rPr>
        <w:t xml:space="preserve">political </w:t>
      </w:r>
      <w:r w:rsidR="00025EB6">
        <w:rPr>
          <w:lang w:val="en-GB"/>
        </w:rPr>
        <w:t xml:space="preserve">pressures and </w:t>
      </w:r>
      <w:r w:rsidR="00F729A0">
        <w:rPr>
          <w:lang w:val="en-GB"/>
        </w:rPr>
        <w:t xml:space="preserve">processes into central decision moments in </w:t>
      </w:r>
      <w:r w:rsidR="00F729A0">
        <w:rPr>
          <w:i/>
          <w:lang w:val="en-GB"/>
        </w:rPr>
        <w:t xml:space="preserve">IFRS for SMEs. </w:t>
      </w:r>
      <w:r w:rsidR="00F729A0">
        <w:rPr>
          <w:lang w:val="en-GB"/>
        </w:rPr>
        <w:t xml:space="preserve">We illustrate </w:t>
      </w:r>
      <w:r w:rsidR="00C2471E">
        <w:rPr>
          <w:lang w:val="en-GB"/>
        </w:rPr>
        <w:t xml:space="preserve">these </w:t>
      </w:r>
      <w:r w:rsidR="00025EB6">
        <w:rPr>
          <w:lang w:val="en-GB"/>
        </w:rPr>
        <w:t xml:space="preserve">moments </w:t>
      </w:r>
      <w:r w:rsidR="00C2471E">
        <w:rPr>
          <w:lang w:val="en-GB"/>
        </w:rPr>
        <w:t xml:space="preserve">as </w:t>
      </w:r>
      <w:r w:rsidR="00F729A0">
        <w:rPr>
          <w:lang w:val="en-GB"/>
        </w:rPr>
        <w:t>overdetermined</w:t>
      </w:r>
      <w:r w:rsidR="00025EB6">
        <w:rPr>
          <w:lang w:val="en-GB"/>
        </w:rPr>
        <w:t xml:space="preserve">, </w:t>
      </w:r>
      <w:r w:rsidR="00C2471E">
        <w:rPr>
          <w:lang w:val="en-GB"/>
        </w:rPr>
        <w:t xml:space="preserve">manifesting in an act of </w:t>
      </w:r>
      <w:r w:rsidR="00025EB6">
        <w:rPr>
          <w:lang w:val="en-GB"/>
        </w:rPr>
        <w:t xml:space="preserve">displacement through the production of </w:t>
      </w:r>
      <w:r w:rsidR="00C2471E">
        <w:rPr>
          <w:lang w:val="en-GB"/>
        </w:rPr>
        <w:t xml:space="preserve">a </w:t>
      </w:r>
      <w:r w:rsidR="00025EB6">
        <w:rPr>
          <w:lang w:val="en-GB"/>
        </w:rPr>
        <w:t>micro</w:t>
      </w:r>
      <w:r w:rsidR="00C2471E">
        <w:rPr>
          <w:lang w:val="en-GB"/>
        </w:rPr>
        <w:t>-entity g</w:t>
      </w:r>
      <w:r w:rsidR="00025EB6">
        <w:rPr>
          <w:lang w:val="en-GB"/>
        </w:rPr>
        <w:t xml:space="preserve">uide. </w:t>
      </w:r>
      <w:r w:rsidR="00C2471E">
        <w:rPr>
          <w:lang w:val="en-GB"/>
        </w:rPr>
        <w:t xml:space="preserve">This </w:t>
      </w:r>
      <w:r w:rsidR="002D0A8F">
        <w:rPr>
          <w:rFonts w:cs="Times New Roman"/>
          <w:lang w:val="en-GB"/>
        </w:rPr>
        <w:t xml:space="preserve">form </w:t>
      </w:r>
      <w:r w:rsidRPr="008D3E7A">
        <w:rPr>
          <w:rFonts w:cs="Times New Roman"/>
          <w:lang w:val="en-GB"/>
        </w:rPr>
        <w:t xml:space="preserve">of politics </w:t>
      </w:r>
      <w:r w:rsidR="00C2471E">
        <w:rPr>
          <w:rFonts w:cs="Times New Roman"/>
          <w:lang w:val="en-GB"/>
        </w:rPr>
        <w:t xml:space="preserve">is hidden due to </w:t>
      </w:r>
      <w:r w:rsidR="00025EB6">
        <w:rPr>
          <w:rFonts w:cs="Times New Roman"/>
          <w:lang w:val="en-GB"/>
        </w:rPr>
        <w:t xml:space="preserve">the </w:t>
      </w:r>
      <w:r w:rsidRPr="003800BA">
        <w:rPr>
          <w:rFonts w:cs="Times New Roman"/>
          <w:lang w:val="en-GB"/>
        </w:rPr>
        <w:t>IASB’s attempt to protect their technocra</w:t>
      </w:r>
      <w:r w:rsidR="005C0B97">
        <w:rPr>
          <w:rFonts w:cs="Times New Roman"/>
          <w:lang w:val="en-GB"/>
        </w:rPr>
        <w:t>tic neutrality</w:t>
      </w:r>
      <w:r w:rsidR="006C20D6">
        <w:rPr>
          <w:rFonts w:cs="Times New Roman"/>
          <w:lang w:val="en-GB"/>
        </w:rPr>
        <w:t xml:space="preserve"> </w:t>
      </w:r>
      <w:r w:rsidR="00025EB6">
        <w:rPr>
          <w:rFonts w:cs="Times New Roman"/>
          <w:lang w:val="en-GB"/>
        </w:rPr>
        <w:t xml:space="preserve">through </w:t>
      </w:r>
      <w:r w:rsidR="006C20D6">
        <w:rPr>
          <w:rFonts w:cs="Times New Roman"/>
          <w:lang w:val="en-GB"/>
        </w:rPr>
        <w:t>fix</w:t>
      </w:r>
      <w:r w:rsidR="00025EB6">
        <w:rPr>
          <w:rFonts w:cs="Times New Roman"/>
          <w:lang w:val="en-GB"/>
        </w:rPr>
        <w:t>ing</w:t>
      </w:r>
      <w:r w:rsidR="006C20D6">
        <w:rPr>
          <w:rFonts w:cs="Times New Roman"/>
          <w:lang w:val="en-GB"/>
        </w:rPr>
        <w:t xml:space="preserve"> meaning</w:t>
      </w:r>
      <w:r w:rsidRPr="003800BA">
        <w:rPr>
          <w:rFonts w:cs="Times New Roman"/>
          <w:lang w:val="en-GB"/>
        </w:rPr>
        <w:t xml:space="preserve">. </w:t>
      </w:r>
    </w:p>
    <w:p w14:paraId="7D84FA23" w14:textId="77777777" w:rsidR="006C3E7C" w:rsidRPr="00E176CF" w:rsidRDefault="006C3E7C" w:rsidP="008456E4">
      <w:pPr>
        <w:jc w:val="both"/>
        <w:rPr>
          <w:lang w:val="en-GB"/>
        </w:rPr>
      </w:pPr>
    </w:p>
    <w:p w14:paraId="717D1DF4" w14:textId="29189F2B" w:rsidR="006C3E7C" w:rsidRPr="00E176CF" w:rsidRDefault="006C3E7C" w:rsidP="008456E4">
      <w:pPr>
        <w:jc w:val="both"/>
        <w:rPr>
          <w:lang w:val="en-GB"/>
        </w:rPr>
      </w:pPr>
      <w:r w:rsidRPr="00E176CF">
        <w:rPr>
          <w:b/>
          <w:lang w:val="en-GB"/>
        </w:rPr>
        <w:t xml:space="preserve">Originality/value: </w:t>
      </w:r>
      <w:r w:rsidRPr="00E176CF">
        <w:rPr>
          <w:lang w:val="en-GB"/>
        </w:rPr>
        <w:t xml:space="preserve">We make three contributions. First, </w:t>
      </w:r>
      <w:r w:rsidR="00E274A1">
        <w:rPr>
          <w:lang w:val="en-GB"/>
        </w:rPr>
        <w:t xml:space="preserve">overdetermination through </w:t>
      </w:r>
      <w:r w:rsidRPr="00E176CF">
        <w:rPr>
          <w:lang w:val="en-GB"/>
        </w:rPr>
        <w:t>condensation and displacement illustrate</w:t>
      </w:r>
      <w:r w:rsidR="00C2471E">
        <w:rPr>
          <w:lang w:val="en-GB"/>
        </w:rPr>
        <w:t>s</w:t>
      </w:r>
      <w:r w:rsidRPr="00E176CF">
        <w:rPr>
          <w:lang w:val="en-GB"/>
        </w:rPr>
        <w:t xml:space="preserve"> the embedded nature of politics in regulatory settings, such as the IASB. Second, we provide </w:t>
      </w:r>
      <w:r w:rsidR="002D0A8F">
        <w:rPr>
          <w:lang w:val="en-GB"/>
        </w:rPr>
        <w:t>a</w:t>
      </w:r>
      <w:r w:rsidRPr="00E176CF">
        <w:rPr>
          <w:lang w:val="en-GB"/>
        </w:rPr>
        <w:t xml:space="preserve"> theoretical explanation of the </w:t>
      </w:r>
      <w:r w:rsidR="00EE13F3">
        <w:rPr>
          <w:lang w:val="en-GB"/>
        </w:rPr>
        <w:t xml:space="preserve">IASB’s </w:t>
      </w:r>
      <w:r w:rsidRPr="00E176CF">
        <w:rPr>
          <w:lang w:val="en-GB"/>
        </w:rPr>
        <w:t xml:space="preserve">movement from listed entities to </w:t>
      </w:r>
      <w:r w:rsidRPr="00E176CF">
        <w:rPr>
          <w:i/>
          <w:lang w:val="en-GB"/>
        </w:rPr>
        <w:t>IFRS for SMEs</w:t>
      </w:r>
      <w:r w:rsidR="002D0A8F">
        <w:rPr>
          <w:lang w:val="en-GB"/>
        </w:rPr>
        <w:t>, drawing on Laclau and Mouffe</w:t>
      </w:r>
      <w:r w:rsidRPr="00E176CF">
        <w:rPr>
          <w:lang w:val="en-GB"/>
        </w:rPr>
        <w:t xml:space="preserve">. Third, we reinforce the necessity </w:t>
      </w:r>
      <w:r w:rsidR="002D0A8F">
        <w:rPr>
          <w:lang w:val="en-GB"/>
        </w:rPr>
        <w:t>of</w:t>
      </w:r>
      <w:r w:rsidRPr="00E176CF">
        <w:rPr>
          <w:lang w:val="en-GB"/>
        </w:rPr>
        <w:t xml:space="preserve"> interrogat</w:t>
      </w:r>
      <w:r w:rsidR="002D0A8F">
        <w:rPr>
          <w:lang w:val="en-GB"/>
        </w:rPr>
        <w:t>ing</w:t>
      </w:r>
      <w:r w:rsidRPr="00E176CF">
        <w:rPr>
          <w:lang w:val="en-GB"/>
        </w:rPr>
        <w:t xml:space="preserve"> the </w:t>
      </w:r>
      <w:r w:rsidR="00C2471E">
        <w:rPr>
          <w:lang w:val="en-GB"/>
        </w:rPr>
        <w:t xml:space="preserve">internal </w:t>
      </w:r>
      <w:r w:rsidRPr="00E176CF">
        <w:rPr>
          <w:lang w:val="en-GB"/>
        </w:rPr>
        <w:t xml:space="preserve">politics of standard setting to challenge </w:t>
      </w:r>
      <w:r w:rsidR="002D0A8F">
        <w:rPr>
          <w:lang w:val="en-GB"/>
        </w:rPr>
        <w:t>claims of</w:t>
      </w:r>
      <w:r w:rsidRPr="00E176CF">
        <w:rPr>
          <w:lang w:val="en-GB"/>
        </w:rPr>
        <w:t xml:space="preserve"> technocracy. </w:t>
      </w:r>
    </w:p>
    <w:p w14:paraId="67F3029D" w14:textId="77777777" w:rsidR="006C3E7C" w:rsidRPr="00E176CF" w:rsidRDefault="006C3E7C" w:rsidP="008456E4">
      <w:pPr>
        <w:jc w:val="both"/>
        <w:rPr>
          <w:lang w:val="en-GB"/>
        </w:rPr>
      </w:pPr>
    </w:p>
    <w:p w14:paraId="70B82D4E" w14:textId="77777777" w:rsidR="006C3E7C" w:rsidRPr="006C3E7C" w:rsidRDefault="006C3E7C" w:rsidP="008456E4">
      <w:pPr>
        <w:rPr>
          <w:lang w:val="en-GB"/>
        </w:rPr>
      </w:pPr>
      <w:r w:rsidRPr="006C3E7C">
        <w:rPr>
          <w:b/>
          <w:lang w:val="en-GB"/>
        </w:rPr>
        <w:t>Key words</w:t>
      </w:r>
      <w:r w:rsidRPr="006C3E7C">
        <w:rPr>
          <w:lang w:val="en-GB"/>
        </w:rPr>
        <w:t>: Condensation; Displacement; Overdetermination; IASB; IFRS for SMEs; Politics.</w:t>
      </w:r>
    </w:p>
    <w:p w14:paraId="64AEF53B" w14:textId="77777777" w:rsidR="006C3E7C" w:rsidRDefault="006C3E7C" w:rsidP="008456E4">
      <w:pPr>
        <w:pStyle w:val="Heading1"/>
        <w:spacing w:after="120"/>
        <w:rPr>
          <w:rFonts w:asciiTheme="minorHAnsi" w:hAnsiTheme="minorHAnsi"/>
          <w:lang w:val="en-GB"/>
        </w:rPr>
      </w:pPr>
    </w:p>
    <w:p w14:paraId="2702C7DB" w14:textId="03368E89" w:rsidR="002D0A8F" w:rsidRDefault="002D0A8F">
      <w:pPr>
        <w:rPr>
          <w:lang w:val="en-GB"/>
        </w:rPr>
      </w:pPr>
      <w:r>
        <w:rPr>
          <w:lang w:val="en-GB"/>
        </w:rPr>
        <w:br w:type="page"/>
      </w:r>
    </w:p>
    <w:p w14:paraId="06B91F69" w14:textId="77777777" w:rsidR="002D0A8F" w:rsidRDefault="002D0A8F" w:rsidP="002D0A8F">
      <w:pPr>
        <w:pStyle w:val="Heading1"/>
        <w:spacing w:after="120"/>
        <w:rPr>
          <w:rFonts w:asciiTheme="minorHAnsi" w:hAnsiTheme="minorHAnsi"/>
          <w:lang w:val="en-GB"/>
        </w:rPr>
      </w:pPr>
      <w:r>
        <w:rPr>
          <w:rFonts w:asciiTheme="minorHAnsi" w:hAnsiTheme="minorHAnsi"/>
          <w:lang w:val="en-GB"/>
        </w:rPr>
        <w:lastRenderedPageBreak/>
        <w:t xml:space="preserve">Opening up the politics of standard setting through Discourse Theory: The case of </w:t>
      </w:r>
      <w:r w:rsidRPr="00EE13F3">
        <w:rPr>
          <w:rFonts w:asciiTheme="minorHAnsi" w:hAnsiTheme="minorHAnsi"/>
          <w:i/>
          <w:lang w:val="en-GB"/>
        </w:rPr>
        <w:t>IFRS for SMEs</w:t>
      </w:r>
      <w:r>
        <w:rPr>
          <w:rFonts w:asciiTheme="minorHAnsi" w:hAnsiTheme="minorHAnsi"/>
          <w:lang w:val="en-GB"/>
        </w:rPr>
        <w:t xml:space="preserve"> </w:t>
      </w:r>
    </w:p>
    <w:p w14:paraId="6B34C9ED" w14:textId="77777777" w:rsidR="006C3E7C" w:rsidRPr="006C3E7C" w:rsidRDefault="006C3E7C" w:rsidP="008456E4">
      <w:pPr>
        <w:rPr>
          <w:lang w:val="en-GB"/>
        </w:rPr>
      </w:pPr>
    </w:p>
    <w:p w14:paraId="63338673" w14:textId="77777777" w:rsidR="003608F0" w:rsidRDefault="008F58A7" w:rsidP="008456E4">
      <w:pPr>
        <w:pStyle w:val="Heading1"/>
        <w:spacing w:after="120"/>
        <w:rPr>
          <w:rFonts w:asciiTheme="minorHAnsi" w:hAnsiTheme="minorHAnsi"/>
          <w:lang w:val="en-GB"/>
        </w:rPr>
      </w:pPr>
      <w:r>
        <w:rPr>
          <w:rFonts w:asciiTheme="minorHAnsi" w:hAnsiTheme="minorHAnsi"/>
          <w:lang w:val="en-GB"/>
        </w:rPr>
        <w:t xml:space="preserve">1. </w:t>
      </w:r>
      <w:r w:rsidR="003608F0" w:rsidRPr="00E176CF">
        <w:rPr>
          <w:rFonts w:asciiTheme="minorHAnsi" w:hAnsiTheme="minorHAnsi"/>
          <w:lang w:val="en-GB"/>
        </w:rPr>
        <w:t>Introduction</w:t>
      </w:r>
    </w:p>
    <w:p w14:paraId="4AB9E5A2" w14:textId="77777777" w:rsidR="00870D0F" w:rsidRPr="00870D0F" w:rsidRDefault="00870D0F" w:rsidP="008456E4">
      <w:pPr>
        <w:rPr>
          <w:lang w:val="en-GB"/>
        </w:rPr>
      </w:pPr>
    </w:p>
    <w:p w14:paraId="5485AE12" w14:textId="02D99E7B" w:rsidR="006D4EA9" w:rsidRDefault="00D66BD0" w:rsidP="00D66BD0">
      <w:pPr>
        <w:jc w:val="both"/>
      </w:pPr>
      <w:r>
        <w:t xml:space="preserve">The political nature of accounting </w:t>
      </w:r>
      <w:r w:rsidR="00992C19">
        <w:t>standard setting</w:t>
      </w:r>
      <w:r>
        <w:t xml:space="preserve"> has been a focus of research for 60 years (for example, Catlett, 1960; Solomons, 1978). Much of this literature examines the role of the state in the establishment and operation of standard-setting bodies (Walker, 1987, 199</w:t>
      </w:r>
      <w:r w:rsidR="00A05AE3">
        <w:t>2</w:t>
      </w:r>
      <w:r>
        <w:t xml:space="preserve">; Black, 2008), how such bodies are subject to external pressure from governments and transnational organisations (Botzem, 2012; Gallhofer </w:t>
      </w:r>
      <w:r w:rsidR="007D6EBA">
        <w:t>and</w:t>
      </w:r>
      <w:r>
        <w:t xml:space="preserve"> Haslam, 2007; Zeff, 2002; Perry </w:t>
      </w:r>
      <w:r w:rsidR="007D6EBA">
        <w:t>and</w:t>
      </w:r>
      <w:r>
        <w:t xml:space="preserve"> N</w:t>
      </w:r>
      <w:r>
        <w:rPr>
          <w:rFonts w:cstheme="minorHAnsi"/>
        </w:rPr>
        <w:t>ö</w:t>
      </w:r>
      <w:r>
        <w:t>lke, 2006)</w:t>
      </w:r>
      <w:r w:rsidR="00992C19">
        <w:t>,</w:t>
      </w:r>
      <w:r>
        <w:t xml:space="preserve"> and how standard</w:t>
      </w:r>
      <w:r w:rsidR="00A05AE3">
        <w:t xml:space="preserve"> </w:t>
      </w:r>
      <w:r>
        <w:t xml:space="preserve">setters are influenced by external lobbying (Cortese </w:t>
      </w:r>
      <w:r w:rsidRPr="00B3770F">
        <w:rPr>
          <w:i/>
        </w:rPr>
        <w:t>et al</w:t>
      </w:r>
      <w:r>
        <w:t xml:space="preserve">., 2010; Howieson, 2011; Erb </w:t>
      </w:r>
      <w:r w:rsidR="007D6EBA">
        <w:t>and</w:t>
      </w:r>
      <w:r>
        <w:t xml:space="preserve"> Pelger, 2015; Porter, 2014). Solomons (1978, p. 65) claim</w:t>
      </w:r>
      <w:r w:rsidR="0042760F">
        <w:t xml:space="preserve">ed, for example, </w:t>
      </w:r>
      <w:r>
        <w:t>that the “politicization” of accounting was a pathology that infected standard</w:t>
      </w:r>
      <w:r w:rsidR="00A05AE3">
        <w:t xml:space="preserve"> </w:t>
      </w:r>
      <w:r>
        <w:t>setting. Further research critique</w:t>
      </w:r>
      <w:r w:rsidR="0042760F">
        <w:t>d</w:t>
      </w:r>
      <w:r>
        <w:t xml:space="preserve"> </w:t>
      </w:r>
      <w:r w:rsidR="0042760F">
        <w:t xml:space="preserve">standard setting for a form of </w:t>
      </w:r>
      <w:r>
        <w:t xml:space="preserve">“ad-hocism” – </w:t>
      </w:r>
      <w:r w:rsidR="00FE0CF6">
        <w:t xml:space="preserve">responding </w:t>
      </w:r>
      <w:r>
        <w:t xml:space="preserve">to crises in accounting by issuing </w:t>
      </w:r>
      <w:r w:rsidR="0042760F">
        <w:t xml:space="preserve">reactive </w:t>
      </w:r>
      <w:r>
        <w:t>standards (</w:t>
      </w:r>
      <w:r w:rsidR="0066687E" w:rsidRPr="000409CE">
        <w:rPr>
          <w:rFonts w:eastAsia="Times New Roman" w:cs="Arial"/>
          <w:shd w:val="clear" w:color="auto" w:fill="FFFFFF"/>
          <w:lang w:val="en-GB" w:eastAsia="en-GB"/>
        </w:rPr>
        <w:t xml:space="preserve">Bromwich, 1980; </w:t>
      </w:r>
      <w:r w:rsidRPr="000409CE">
        <w:rPr>
          <w:rFonts w:cs="Times New Roman"/>
          <w:lang w:val="en-GB"/>
        </w:rPr>
        <w:t>Horngren, 1981</w:t>
      </w:r>
      <w:r>
        <w:rPr>
          <w:rFonts w:cs="Times New Roman"/>
          <w:lang w:val="en-GB"/>
        </w:rPr>
        <w:t xml:space="preserve">; </w:t>
      </w:r>
      <w:r w:rsidRPr="000409CE">
        <w:rPr>
          <w:rFonts w:eastAsia="Times New Roman" w:cs="Arial"/>
          <w:shd w:val="clear" w:color="auto" w:fill="FFFFFF"/>
          <w:lang w:val="en-GB" w:eastAsia="en-GB"/>
        </w:rPr>
        <w:t>Peasnell, 1982</w:t>
      </w:r>
      <w:r w:rsidR="005D7A57">
        <w:rPr>
          <w:rFonts w:eastAsia="Times New Roman" w:cs="Arial"/>
          <w:shd w:val="clear" w:color="auto" w:fill="FFFFFF"/>
          <w:lang w:val="en-GB" w:eastAsia="en-GB"/>
        </w:rPr>
        <w:t>)</w:t>
      </w:r>
      <w:r>
        <w:rPr>
          <w:rFonts w:eastAsia="Times New Roman" w:cs="Arial"/>
          <w:shd w:val="clear" w:color="auto" w:fill="FFFFFF"/>
          <w:lang w:val="en-GB" w:eastAsia="en-GB"/>
        </w:rPr>
        <w:t xml:space="preserve">. </w:t>
      </w:r>
      <w:r w:rsidR="005D7A57">
        <w:rPr>
          <w:rFonts w:eastAsia="Times New Roman" w:cs="Arial"/>
          <w:shd w:val="clear" w:color="auto" w:fill="FFFFFF"/>
          <w:lang w:val="en-GB" w:eastAsia="en-GB"/>
        </w:rPr>
        <w:t>A common thread of this study of t</w:t>
      </w:r>
      <w:r>
        <w:t>he politics of accounting standard</w:t>
      </w:r>
      <w:r w:rsidR="00A05AE3">
        <w:t xml:space="preserve"> </w:t>
      </w:r>
      <w:r>
        <w:t>setting is</w:t>
      </w:r>
      <w:r w:rsidR="005D7A57">
        <w:t xml:space="preserve"> that politics is </w:t>
      </w:r>
      <w:r>
        <w:t xml:space="preserve">seen as external to the technical process, something that generates healthy argument </w:t>
      </w:r>
      <w:r w:rsidR="005D7A57">
        <w:t xml:space="preserve">as </w:t>
      </w:r>
      <w:r>
        <w:t>“</w:t>
      </w:r>
      <w:r w:rsidRPr="00465895">
        <w:t>heated debate”,</w:t>
      </w:r>
      <w:r>
        <w:t xml:space="preserve"> or </w:t>
      </w:r>
      <w:r w:rsidR="005D7A57">
        <w:t xml:space="preserve">the more negative </w:t>
      </w:r>
      <w:r w:rsidR="005D7A57">
        <w:rPr>
          <w:lang w:val="en-AU"/>
        </w:rPr>
        <w:t xml:space="preserve">connotations associated with </w:t>
      </w:r>
      <w:r>
        <w:t>“extensive political lobbying”</w:t>
      </w:r>
      <w:r w:rsidR="00687722">
        <w:t>.</w:t>
      </w:r>
    </w:p>
    <w:p w14:paraId="1BB2107A" w14:textId="77777777" w:rsidR="006D4EA9" w:rsidRDefault="006D4EA9" w:rsidP="00D66BD0">
      <w:pPr>
        <w:jc w:val="both"/>
      </w:pPr>
    </w:p>
    <w:p w14:paraId="4E08C0AC" w14:textId="71A1848F" w:rsidR="005D7A57" w:rsidRDefault="005D7A57" w:rsidP="00D66BD0">
      <w:pPr>
        <w:jc w:val="both"/>
        <w:rPr>
          <w:rFonts w:eastAsia="Times New Roman" w:cs="Arial"/>
          <w:shd w:val="clear" w:color="auto" w:fill="FFFFFF"/>
          <w:lang w:val="en-GB" w:eastAsia="en-GB"/>
        </w:rPr>
      </w:pPr>
      <w:r>
        <w:t>However, within a technocratic, expert-based approach to standard-setting</w:t>
      </w:r>
      <w:r w:rsidR="00D66BD0">
        <w:t xml:space="preserve">, this </w:t>
      </w:r>
      <w:r w:rsidR="00FE0CF6">
        <w:t>“</w:t>
      </w:r>
      <w:r>
        <w:t>politics</w:t>
      </w:r>
      <w:r w:rsidR="00FE0CF6">
        <w:t>”</w:t>
      </w:r>
      <w:r>
        <w:t xml:space="preserve"> </w:t>
      </w:r>
      <w:r w:rsidR="00D66BD0">
        <w:t xml:space="preserve">is </w:t>
      </w:r>
      <w:r>
        <w:t xml:space="preserve">a </w:t>
      </w:r>
      <w:r w:rsidR="00D66BD0">
        <w:t>mere distraction from the</w:t>
      </w:r>
      <w:r w:rsidR="00530B68">
        <w:t xml:space="preserve"> International Accounting Standards Board’s</w:t>
      </w:r>
      <w:r w:rsidR="00D66BD0">
        <w:t xml:space="preserve"> </w:t>
      </w:r>
      <w:r w:rsidR="008A67D7">
        <w:t>[</w:t>
      </w:r>
      <w:r w:rsidR="00D66BD0">
        <w:t>IASB’s</w:t>
      </w:r>
      <w:r w:rsidR="008A67D7">
        <w:t>]</w:t>
      </w:r>
      <w:r w:rsidR="00D66BD0">
        <w:t xml:space="preserve"> </w:t>
      </w:r>
      <w:r>
        <w:rPr>
          <w:lang w:val="en-AU"/>
        </w:rPr>
        <w:t xml:space="preserve">focus on </w:t>
      </w:r>
      <w:r w:rsidR="00D66BD0">
        <w:t>developing “neu</w:t>
      </w:r>
      <w:r w:rsidR="00530B68">
        <w:t>tral” standards (IFRS Foundation [IFRSF]</w:t>
      </w:r>
      <w:r w:rsidR="00D66BD0">
        <w:t xml:space="preserve">, </w:t>
      </w:r>
      <w:r w:rsidR="008B03EE">
        <w:t xml:space="preserve">2015, </w:t>
      </w:r>
      <w:r w:rsidR="00D66BD0">
        <w:t xml:space="preserve">p. 5). </w:t>
      </w:r>
      <w:r w:rsidR="00A05AE3">
        <w:rPr>
          <w:rFonts w:eastAsia="Times New Roman" w:cs="Arial"/>
          <w:shd w:val="clear" w:color="auto" w:fill="FFFFFF"/>
          <w:lang w:val="en-GB" w:eastAsia="en-GB"/>
        </w:rPr>
        <w:t xml:space="preserve">Sunder (2011) argues that the IASB increasingly is given monopoly status over </w:t>
      </w:r>
      <w:r w:rsidR="00992C19">
        <w:rPr>
          <w:rFonts w:eastAsia="Times New Roman" w:cs="Arial"/>
          <w:shd w:val="clear" w:color="auto" w:fill="FFFFFF"/>
          <w:lang w:val="en-GB" w:eastAsia="en-GB"/>
        </w:rPr>
        <w:t>standard setting</w:t>
      </w:r>
      <w:r w:rsidR="00A05AE3">
        <w:rPr>
          <w:rFonts w:eastAsia="Times New Roman" w:cs="Arial"/>
          <w:shd w:val="clear" w:color="auto" w:fill="FFFFFF"/>
          <w:lang w:val="en-GB" w:eastAsia="en-GB"/>
        </w:rPr>
        <w:t xml:space="preserve">, being perceived as possessing technical superiority in this area. </w:t>
      </w:r>
      <w:r>
        <w:rPr>
          <w:rFonts w:eastAsia="Times New Roman" w:cs="Arial"/>
          <w:shd w:val="clear" w:color="auto" w:fill="FFFFFF"/>
          <w:lang w:val="en-GB" w:eastAsia="en-GB"/>
        </w:rPr>
        <w:t>Botzem (2012) reinforces the aura of technocracy. In light of this focus on technocracy, we wish to examine the politics of expertise. This means a</w:t>
      </w:r>
      <w:r w:rsidR="00FE0CF6">
        <w:rPr>
          <w:rFonts w:eastAsia="Times New Roman" w:cs="Arial"/>
          <w:shd w:val="clear" w:color="auto" w:fill="FFFFFF"/>
          <w:lang w:val="en-GB" w:eastAsia="en-GB"/>
        </w:rPr>
        <w:t>n examination of the</w:t>
      </w:r>
      <w:r>
        <w:rPr>
          <w:rFonts w:eastAsia="Times New Roman" w:cs="Arial"/>
          <w:shd w:val="clear" w:color="auto" w:fill="FFFFFF"/>
          <w:lang w:val="en-GB" w:eastAsia="en-GB"/>
        </w:rPr>
        <w:t xml:space="preserve"> internal processes and practices of expertise. </w:t>
      </w:r>
      <w:r w:rsidR="00FE0CF6">
        <w:rPr>
          <w:rFonts w:eastAsia="Times New Roman" w:cs="Arial"/>
          <w:shd w:val="clear" w:color="auto" w:fill="FFFFFF"/>
          <w:lang w:val="en-GB" w:eastAsia="en-GB"/>
        </w:rPr>
        <w:t xml:space="preserve">In their work on agenda-setting, </w:t>
      </w:r>
      <w:r>
        <w:rPr>
          <w:rFonts w:eastAsia="Times New Roman" w:cs="Arial"/>
          <w:shd w:val="clear" w:color="auto" w:fill="FFFFFF"/>
          <w:lang w:val="en-GB" w:eastAsia="en-GB"/>
        </w:rPr>
        <w:t xml:space="preserve">Ram and Newberry (2017, p. 486) reinforce that this has received comparatively little attention: </w:t>
      </w:r>
    </w:p>
    <w:p w14:paraId="27B89F92" w14:textId="77777777" w:rsidR="005D7A57" w:rsidRDefault="005D7A57" w:rsidP="00D66BD0">
      <w:pPr>
        <w:jc w:val="both"/>
        <w:rPr>
          <w:rFonts w:eastAsia="Times New Roman" w:cs="Arial"/>
          <w:shd w:val="clear" w:color="auto" w:fill="FFFFFF"/>
          <w:lang w:val="en-GB" w:eastAsia="en-GB"/>
        </w:rPr>
      </w:pPr>
    </w:p>
    <w:p w14:paraId="685A5675" w14:textId="1DAEE699" w:rsidR="005D7A57" w:rsidRPr="005D7A57" w:rsidRDefault="005D7A57" w:rsidP="005D7A57">
      <w:pPr>
        <w:ind w:left="709" w:right="1082"/>
        <w:jc w:val="both"/>
        <w:rPr>
          <w:rFonts w:eastAsia="Times New Roman" w:cs="Arial"/>
          <w:sz w:val="20"/>
          <w:szCs w:val="20"/>
          <w:shd w:val="clear" w:color="auto" w:fill="FFFFFF"/>
          <w:lang w:val="en-GB" w:eastAsia="en-GB"/>
        </w:rPr>
      </w:pPr>
      <w:r w:rsidRPr="005D7A57">
        <w:rPr>
          <w:rFonts w:eastAsia="Times New Roman" w:cs="Arial"/>
          <w:sz w:val="20"/>
          <w:szCs w:val="20"/>
          <w:shd w:val="clear" w:color="auto" w:fill="FFFFFF"/>
          <w:lang w:val="en-GB" w:eastAsia="en-GB"/>
        </w:rPr>
        <w:t>Agenda entrance decisions involve the actions of individual board members and staff, and yet these have received little research attention</w:t>
      </w:r>
      <w:r>
        <w:rPr>
          <w:rFonts w:eastAsia="Times New Roman" w:cs="Arial"/>
          <w:sz w:val="20"/>
          <w:szCs w:val="20"/>
          <w:shd w:val="clear" w:color="auto" w:fill="FFFFFF"/>
          <w:lang w:val="en-GB" w:eastAsia="en-GB"/>
        </w:rPr>
        <w:t xml:space="preserve"> … </w:t>
      </w:r>
      <w:r w:rsidRPr="005D7A57">
        <w:rPr>
          <w:rFonts w:eastAsia="Times New Roman" w:cs="Arial"/>
          <w:sz w:val="20"/>
          <w:szCs w:val="20"/>
          <w:shd w:val="clear" w:color="auto" w:fill="FFFFFF"/>
          <w:lang w:val="en-GB" w:eastAsia="en-GB"/>
        </w:rPr>
        <w:t>This research reveals the power and influence wielded by key board members to overcome within‐IASB opposition to the project and secure its agenda entrance.</w:t>
      </w:r>
    </w:p>
    <w:p w14:paraId="71F3AD96" w14:textId="77777777" w:rsidR="005D7A57" w:rsidRDefault="005D7A57" w:rsidP="00D66BD0">
      <w:pPr>
        <w:jc w:val="both"/>
      </w:pPr>
    </w:p>
    <w:p w14:paraId="10D38530" w14:textId="0A356F85" w:rsidR="00D66BD0" w:rsidRPr="00331108" w:rsidRDefault="005D7A57" w:rsidP="00D66BD0">
      <w:pPr>
        <w:jc w:val="both"/>
      </w:pPr>
      <w:r>
        <w:t xml:space="preserve">We see our work as </w:t>
      </w:r>
      <w:r w:rsidR="00AC6060">
        <w:t xml:space="preserve">both </w:t>
      </w:r>
      <w:r>
        <w:t xml:space="preserve">complementary to </w:t>
      </w:r>
      <w:r w:rsidR="00AC6060">
        <w:t xml:space="preserve">and developmental of </w:t>
      </w:r>
      <w:r>
        <w:t xml:space="preserve">this </w:t>
      </w:r>
      <w:r w:rsidR="00AC6060">
        <w:t>study</w:t>
      </w:r>
      <w:r>
        <w:t>, with our associated challenge to the IASB’s maintenanc</w:t>
      </w:r>
      <w:r w:rsidR="00AC6060">
        <w:t>e</w:t>
      </w:r>
      <w:r>
        <w:t xml:space="preserve"> of a position of </w:t>
      </w:r>
      <w:r w:rsidR="00D66BD0">
        <w:t xml:space="preserve">technocratic neutrality </w:t>
      </w:r>
      <w:r>
        <w:t xml:space="preserve">(Botzem, 2012) </w:t>
      </w:r>
      <w:r w:rsidR="00D66BD0">
        <w:t>by showing how politics</w:t>
      </w:r>
      <w:r>
        <w:t xml:space="preserve"> around expertise is </w:t>
      </w:r>
      <w:r w:rsidR="00D66BD0">
        <w:t xml:space="preserve">embedded in the process by which the </w:t>
      </w:r>
      <w:r>
        <w:t xml:space="preserve">definition </w:t>
      </w:r>
      <w:r w:rsidR="00D66BD0">
        <w:t>and title of</w:t>
      </w:r>
      <w:r w:rsidR="00A05AE3" w:rsidRPr="00A05AE3">
        <w:t xml:space="preserve"> </w:t>
      </w:r>
      <w:r w:rsidR="00A05AE3">
        <w:t xml:space="preserve">the </w:t>
      </w:r>
      <w:r w:rsidR="00A05AE3">
        <w:rPr>
          <w:i/>
        </w:rPr>
        <w:t>International Financial Reporting Standard for Small and Medium-Sized Entities</w:t>
      </w:r>
      <w:r w:rsidR="00D66BD0">
        <w:t xml:space="preserve"> </w:t>
      </w:r>
      <w:r w:rsidR="00E63D82">
        <w:t>[</w:t>
      </w:r>
      <w:r w:rsidR="00D66BD0">
        <w:rPr>
          <w:i/>
        </w:rPr>
        <w:t>IFRS for SMEs</w:t>
      </w:r>
      <w:r w:rsidR="00E63D82">
        <w:t>]</w:t>
      </w:r>
      <w:r w:rsidR="00D66BD0">
        <w:t xml:space="preserve"> were determined. Here, we use “politics” to refer to the </w:t>
      </w:r>
      <w:r w:rsidR="00D66BD0" w:rsidRPr="00C4609F">
        <w:rPr>
          <w:i/>
        </w:rPr>
        <w:t>internal</w:t>
      </w:r>
      <w:r w:rsidR="00D66BD0">
        <w:t xml:space="preserve"> tensions and contradictions that shape the process of accounting standard</w:t>
      </w:r>
      <w:r w:rsidR="00A05AE3">
        <w:t xml:space="preserve"> </w:t>
      </w:r>
      <w:r w:rsidR="00D66BD0">
        <w:t>setting, and may</w:t>
      </w:r>
      <w:r w:rsidR="008A67D7">
        <w:t>,</w:t>
      </w:r>
      <w:r w:rsidR="00D66BD0">
        <w:t xml:space="preserve"> at the end of this process</w:t>
      </w:r>
      <w:r w:rsidR="008A67D7">
        <w:t>,</w:t>
      </w:r>
      <w:r w:rsidR="00D66BD0">
        <w:t xml:space="preserve"> still remain unresolved</w:t>
      </w:r>
      <w:r>
        <w:t xml:space="preserve"> (Howieson, 2009; Botzem, 2012</w:t>
      </w:r>
      <w:r w:rsidR="00AC6060">
        <w:t>;</w:t>
      </w:r>
      <w:r w:rsidR="00AC6060" w:rsidRPr="00AC6060">
        <w:t xml:space="preserve"> </w:t>
      </w:r>
      <w:r w:rsidR="00AC6060">
        <w:t>Ram and Newberry, 2017</w:t>
      </w:r>
      <w:r>
        <w:t>)</w:t>
      </w:r>
      <w:r w:rsidR="00D66BD0">
        <w:t xml:space="preserve">. To illuminate this “shadowy underside of politics” (Devenney, 2002, p. 176), we use three </w:t>
      </w:r>
      <w:r w:rsidR="00AB7D6E">
        <w:t>political strategies</w:t>
      </w:r>
      <w:r w:rsidR="00992C19">
        <w:t xml:space="preserve"> </w:t>
      </w:r>
      <w:r w:rsidR="00D66BD0">
        <w:t>from Laclau and Mouffe’s</w:t>
      </w:r>
      <w:r w:rsidR="00DC3635">
        <w:t xml:space="preserve"> (2001)</w:t>
      </w:r>
      <w:r w:rsidR="00D66BD0">
        <w:t xml:space="preserve"> Discourse Theory</w:t>
      </w:r>
      <w:r w:rsidR="00D91A79">
        <w:t xml:space="preserve"> </w:t>
      </w:r>
      <w:r w:rsidR="00D66BD0">
        <w:t xml:space="preserve">– condensation, displacement and overdetermination – which have scarcely </w:t>
      </w:r>
      <w:r w:rsidR="00D66BD0">
        <w:lastRenderedPageBreak/>
        <w:t xml:space="preserve">been explored in the accounting literature. These concepts </w:t>
      </w:r>
      <w:r>
        <w:t xml:space="preserve">provide us with further tools </w:t>
      </w:r>
      <w:r w:rsidR="00D66BD0">
        <w:t xml:space="preserve">to </w:t>
      </w:r>
      <w:r w:rsidR="00A05AE3">
        <w:t>open up</w:t>
      </w:r>
      <w:r w:rsidR="00D66BD0">
        <w:t xml:space="preserve"> the “black box” of the politics of standard setting. </w:t>
      </w:r>
    </w:p>
    <w:p w14:paraId="64820A4F" w14:textId="77777777" w:rsidR="006D4EA9" w:rsidRDefault="006D4EA9" w:rsidP="008456E4">
      <w:pPr>
        <w:jc w:val="both"/>
      </w:pPr>
    </w:p>
    <w:p w14:paraId="58AB5B5B" w14:textId="32DD07D3" w:rsidR="002B7670" w:rsidRPr="00933657" w:rsidRDefault="002B7670" w:rsidP="008456E4">
      <w:pPr>
        <w:jc w:val="both"/>
      </w:pPr>
      <w:r>
        <w:t>In 2009, the</w:t>
      </w:r>
      <w:r w:rsidR="00530B68">
        <w:t xml:space="preserve"> </w:t>
      </w:r>
      <w:r>
        <w:t xml:space="preserve">IASB published </w:t>
      </w:r>
      <w:r>
        <w:rPr>
          <w:i/>
        </w:rPr>
        <w:t>IFRS for SMEs</w:t>
      </w:r>
      <w:r>
        <w:t xml:space="preserve">. However, this </w:t>
      </w:r>
      <w:r w:rsidR="0029309C">
        <w:t>standard</w:t>
      </w:r>
      <w:r>
        <w:t xml:space="preserve"> applies not just to entities that had traditionally been considered to be small and medium-sized but to </w:t>
      </w:r>
      <w:r>
        <w:rPr>
          <w:i/>
        </w:rPr>
        <w:t>all</w:t>
      </w:r>
      <w:r>
        <w:t xml:space="preserve"> entities not already subject to International Financial Reporting Standards. </w:t>
      </w:r>
      <w:r w:rsidR="0029309C">
        <w:t xml:space="preserve">Our interest </w:t>
      </w:r>
      <w:r w:rsidR="002273F4">
        <w:t xml:space="preserve">was </w:t>
      </w:r>
      <w:r w:rsidR="00FE0CF6">
        <w:t xml:space="preserve">piqued </w:t>
      </w:r>
      <w:r w:rsidR="002273F4">
        <w:t xml:space="preserve">by the apparent contradiction between the title and the definition: </w:t>
      </w:r>
      <w:r w:rsidR="0029309C">
        <w:t xml:space="preserve">the </w:t>
      </w:r>
      <w:r w:rsidR="00DF3413">
        <w:t xml:space="preserve">title </w:t>
      </w:r>
      <w:r w:rsidR="0029309C">
        <w:t xml:space="preserve">appears to limit applicability to SMEs, but </w:t>
      </w:r>
      <w:r w:rsidR="002273F4">
        <w:t xml:space="preserve">the definition suggests </w:t>
      </w:r>
      <w:r w:rsidR="002273F4">
        <w:rPr>
          <w:lang w:val="en-AU"/>
        </w:rPr>
        <w:t xml:space="preserve">that the standard </w:t>
      </w:r>
      <w:r w:rsidR="002273F4">
        <w:t xml:space="preserve">applies </w:t>
      </w:r>
      <w:r w:rsidR="0029309C">
        <w:t xml:space="preserve">to </w:t>
      </w:r>
      <w:r w:rsidR="0029309C" w:rsidRPr="00E63D82">
        <w:rPr>
          <w:i/>
        </w:rPr>
        <w:t>all</w:t>
      </w:r>
      <w:r w:rsidR="0029309C">
        <w:t xml:space="preserve"> non-publicly accountable entities</w:t>
      </w:r>
      <w:r w:rsidR="00DF3413">
        <w:t>.</w:t>
      </w:r>
      <w:r w:rsidR="0029309C">
        <w:t xml:space="preserve"> </w:t>
      </w:r>
      <w:r>
        <w:t xml:space="preserve">Why </w:t>
      </w:r>
      <w:r w:rsidR="0029309C">
        <w:t xml:space="preserve">did </w:t>
      </w:r>
      <w:r>
        <w:t xml:space="preserve">the IASB produce a </w:t>
      </w:r>
      <w:r w:rsidR="0029309C">
        <w:t xml:space="preserve">standard </w:t>
      </w:r>
      <w:r>
        <w:t xml:space="preserve">with such a perverse title? In this paper, we show that </w:t>
      </w:r>
      <w:r w:rsidR="00DF3413">
        <w:t xml:space="preserve">both </w:t>
      </w:r>
      <w:r>
        <w:t xml:space="preserve">the title and the scope of </w:t>
      </w:r>
      <w:r>
        <w:rPr>
          <w:i/>
        </w:rPr>
        <w:t>IFRS for SMEs</w:t>
      </w:r>
      <w:r>
        <w:t xml:space="preserve"> were the outcome of a complex political process of negotiation and compromise, which belies the efforts of the IASB to present the development of </w:t>
      </w:r>
      <w:r>
        <w:rPr>
          <w:i/>
        </w:rPr>
        <w:t>IFRS for SMEs</w:t>
      </w:r>
      <w:r>
        <w:t xml:space="preserve"> as technical. We argue that examining the way in which the name and scope of the document were determined is important not only because it demonstrates the embedded politics of the standard-setting process in a new context but also because the choice of title and the determination of the scope of the document are central to the </w:t>
      </w:r>
      <w:r w:rsidR="0029309C">
        <w:t xml:space="preserve">technocratic </w:t>
      </w:r>
      <w:r>
        <w:t>IASB’s attempt</w:t>
      </w:r>
      <w:r w:rsidR="0029309C">
        <w:t>s</w:t>
      </w:r>
      <w:r>
        <w:t xml:space="preserve"> to maintain and extend its hegemony over accounting </w:t>
      </w:r>
      <w:r w:rsidR="00992C19">
        <w:t>standard setting</w:t>
      </w:r>
      <w:r>
        <w:t>.</w:t>
      </w:r>
      <w:r w:rsidR="00DF3413">
        <w:t xml:space="preserve"> </w:t>
      </w:r>
      <w:r w:rsidR="004A3C3D">
        <w:t xml:space="preserve">We also show that the contradictions involved in the IASB’s extension of </w:t>
      </w:r>
      <w:r w:rsidR="004A3C3D">
        <w:rPr>
          <w:i/>
        </w:rPr>
        <w:t>IFRS for SMEs</w:t>
      </w:r>
      <w:r w:rsidR="004A3C3D">
        <w:t xml:space="preserve"> to all entities to which full IFRS do not apply led the IASB to issue a “micro-guide” to address the concerns of smaller entities.</w:t>
      </w:r>
    </w:p>
    <w:p w14:paraId="40DC944A" w14:textId="77777777" w:rsidR="002B7670" w:rsidRDefault="002B7670" w:rsidP="008456E4">
      <w:pPr>
        <w:jc w:val="both"/>
      </w:pPr>
    </w:p>
    <w:p w14:paraId="634E2FD9" w14:textId="06256F07" w:rsidR="00857E9D" w:rsidRDefault="003608F0" w:rsidP="008456E4">
      <w:pPr>
        <w:jc w:val="both"/>
        <w:rPr>
          <w:rFonts w:cs="Times New Roman"/>
          <w:lang w:val="en-GB"/>
        </w:rPr>
      </w:pPr>
      <w:r w:rsidRPr="00E176CF">
        <w:rPr>
          <w:rFonts w:cs="Times New Roman"/>
          <w:lang w:val="en-GB"/>
        </w:rPr>
        <w:t xml:space="preserve">The IASB traditionally </w:t>
      </w:r>
      <w:r>
        <w:rPr>
          <w:rFonts w:cs="Times New Roman"/>
          <w:lang w:val="en-GB"/>
        </w:rPr>
        <w:t xml:space="preserve">developed IFRS for listed entities but they extended their ambit to non-listed entities </w:t>
      </w:r>
      <w:r w:rsidR="00E63D82">
        <w:rPr>
          <w:rFonts w:cs="Times New Roman"/>
          <w:lang w:val="en-GB"/>
        </w:rPr>
        <w:t xml:space="preserve">through </w:t>
      </w:r>
      <w:r w:rsidRPr="00E176CF">
        <w:rPr>
          <w:rFonts w:cs="Times New Roman"/>
          <w:i/>
          <w:lang w:val="en-GB"/>
        </w:rPr>
        <w:t>IFRS for SMEs</w:t>
      </w:r>
      <w:r w:rsidR="009D5212">
        <w:rPr>
          <w:rFonts w:cs="Times New Roman"/>
          <w:lang w:val="en-GB"/>
        </w:rPr>
        <w:t xml:space="preserve"> </w:t>
      </w:r>
      <w:r w:rsidR="00465895">
        <w:rPr>
          <w:rFonts w:cs="Times New Roman"/>
          <w:lang w:val="en-GB"/>
        </w:rPr>
        <w:t xml:space="preserve">(Ram </w:t>
      </w:r>
      <w:r w:rsidR="007D6EBA">
        <w:rPr>
          <w:rFonts w:cs="Times New Roman"/>
          <w:lang w:val="en-GB"/>
        </w:rPr>
        <w:t>and</w:t>
      </w:r>
      <w:r w:rsidR="00465895">
        <w:rPr>
          <w:rFonts w:cs="Times New Roman"/>
          <w:lang w:val="en-GB"/>
        </w:rPr>
        <w:t xml:space="preserve"> Newberry, 2013</w:t>
      </w:r>
      <w:r w:rsidR="00AC6060">
        <w:rPr>
          <w:rFonts w:cs="Times New Roman"/>
          <w:lang w:val="en-GB"/>
        </w:rPr>
        <w:t>, 2017</w:t>
      </w:r>
      <w:r w:rsidR="005813B8">
        <w:rPr>
          <w:rFonts w:cs="Times New Roman"/>
          <w:lang w:val="en-GB"/>
        </w:rPr>
        <w:t xml:space="preserve">; </w:t>
      </w:r>
      <w:r w:rsidR="00AC6060">
        <w:rPr>
          <w:rFonts w:cs="Times New Roman"/>
          <w:lang w:val="en-GB"/>
        </w:rPr>
        <w:t>Devi and Samujh, 2015</w:t>
      </w:r>
      <w:r w:rsidR="00C60175">
        <w:rPr>
          <w:rFonts w:cs="Times New Roman"/>
          <w:lang w:val="en-GB"/>
        </w:rPr>
        <w:t xml:space="preserve">; </w:t>
      </w:r>
      <w:r w:rsidR="00C60175" w:rsidRPr="00E176CF">
        <w:rPr>
          <w:rFonts w:cs="Times New Roman"/>
          <w:lang w:val="en-GB"/>
        </w:rPr>
        <w:t xml:space="preserve">Di Pietra </w:t>
      </w:r>
      <w:r w:rsidR="00C60175" w:rsidRPr="00E176CF">
        <w:rPr>
          <w:rFonts w:cs="Times New Roman"/>
          <w:i/>
          <w:lang w:val="en-GB"/>
        </w:rPr>
        <w:t>et al.,</w:t>
      </w:r>
      <w:r w:rsidR="00C60175" w:rsidRPr="00E176CF">
        <w:rPr>
          <w:rFonts w:cs="Times New Roman"/>
          <w:lang w:val="en-GB"/>
        </w:rPr>
        <w:t xml:space="preserve"> 2008</w:t>
      </w:r>
      <w:r w:rsidR="00465895">
        <w:rPr>
          <w:rFonts w:cs="Times New Roman"/>
          <w:lang w:val="en-GB"/>
        </w:rPr>
        <w:t>)</w:t>
      </w:r>
      <w:r w:rsidRPr="00E176CF">
        <w:rPr>
          <w:rFonts w:cs="Times New Roman"/>
          <w:lang w:val="en-GB"/>
        </w:rPr>
        <w:t xml:space="preserve">. </w:t>
      </w:r>
      <w:r w:rsidR="00E63D82">
        <w:rPr>
          <w:rFonts w:cs="Times New Roman"/>
          <w:lang w:val="en-GB"/>
        </w:rPr>
        <w:t xml:space="preserve">As of 2018, 86 </w:t>
      </w:r>
      <w:r w:rsidRPr="00E176CF">
        <w:rPr>
          <w:rFonts w:cs="Times New Roman"/>
          <w:lang w:val="en-GB"/>
        </w:rPr>
        <w:t>countries</w:t>
      </w:r>
      <w:r>
        <w:rPr>
          <w:rFonts w:cs="Times New Roman"/>
          <w:lang w:val="en-GB"/>
        </w:rPr>
        <w:t xml:space="preserve"> require or permit the </w:t>
      </w:r>
      <w:r w:rsidR="00465895">
        <w:rPr>
          <w:rFonts w:cs="Times New Roman"/>
          <w:lang w:val="en-GB"/>
        </w:rPr>
        <w:t xml:space="preserve">use of the SME </w:t>
      </w:r>
      <w:r>
        <w:rPr>
          <w:rFonts w:cs="Times New Roman"/>
          <w:lang w:val="en-GB"/>
        </w:rPr>
        <w:t>standard</w:t>
      </w:r>
      <w:r w:rsidRPr="00E176CF">
        <w:rPr>
          <w:rFonts w:cs="Times New Roman"/>
          <w:lang w:val="en-GB"/>
        </w:rPr>
        <w:t>, with emerging economies such as South Africa, Malaysia, Brazil, Nigeria and Ghana</w:t>
      </w:r>
      <w:r>
        <w:rPr>
          <w:rFonts w:cs="Times New Roman"/>
          <w:lang w:val="en-GB"/>
        </w:rPr>
        <w:t xml:space="preserve"> adopting</w:t>
      </w:r>
      <w:r w:rsidRPr="00E176CF">
        <w:rPr>
          <w:rFonts w:cs="Times New Roman"/>
          <w:lang w:val="en-GB"/>
        </w:rPr>
        <w:t xml:space="preserve">, </w:t>
      </w:r>
      <w:r>
        <w:rPr>
          <w:rFonts w:cs="Times New Roman"/>
          <w:lang w:val="en-GB"/>
        </w:rPr>
        <w:t>although uptake</w:t>
      </w:r>
      <w:r w:rsidRPr="00E176CF">
        <w:rPr>
          <w:rFonts w:cs="Times New Roman"/>
          <w:lang w:val="en-GB"/>
        </w:rPr>
        <w:t xml:space="preserve"> in </w:t>
      </w:r>
      <w:r w:rsidR="00E450DF">
        <w:rPr>
          <w:rFonts w:cs="Times New Roman"/>
          <w:lang w:val="en-GB"/>
        </w:rPr>
        <w:t xml:space="preserve">economically </w:t>
      </w:r>
      <w:r w:rsidRPr="00E176CF">
        <w:rPr>
          <w:rFonts w:cs="Times New Roman"/>
          <w:lang w:val="en-GB"/>
        </w:rPr>
        <w:t>advanced countries</w:t>
      </w:r>
      <w:r>
        <w:rPr>
          <w:rFonts w:cs="Times New Roman"/>
          <w:lang w:val="en-GB"/>
        </w:rPr>
        <w:t xml:space="preserve"> is lower (IFRS, 2018). </w:t>
      </w:r>
      <w:r w:rsidR="00465895">
        <w:rPr>
          <w:rFonts w:cs="Times New Roman"/>
          <w:lang w:val="en-GB"/>
        </w:rPr>
        <w:t>International financial institutions [IFIs] (such as the</w:t>
      </w:r>
      <w:r>
        <w:rPr>
          <w:rFonts w:cs="Times New Roman"/>
          <w:lang w:val="en-GB"/>
        </w:rPr>
        <w:t xml:space="preserve"> </w:t>
      </w:r>
      <w:r w:rsidRPr="00E176CF">
        <w:rPr>
          <w:rFonts w:cs="Times New Roman"/>
          <w:lang w:val="en-GB"/>
        </w:rPr>
        <w:t>World Bank [WB] and the International Monetary Fund [IMF])</w:t>
      </w:r>
      <w:r w:rsidR="00465895">
        <w:rPr>
          <w:rFonts w:cs="Times New Roman"/>
          <w:lang w:val="en-GB"/>
        </w:rPr>
        <w:t>, in their reports on individual countries,</w:t>
      </w:r>
      <w:r w:rsidRPr="00E176CF">
        <w:rPr>
          <w:rFonts w:cs="Times New Roman"/>
          <w:lang w:val="en-GB"/>
        </w:rPr>
        <w:t xml:space="preserve"> </w:t>
      </w:r>
      <w:r>
        <w:rPr>
          <w:rFonts w:cs="Times New Roman"/>
          <w:lang w:val="en-GB"/>
        </w:rPr>
        <w:t>have</w:t>
      </w:r>
      <w:r w:rsidRPr="00E176CF">
        <w:rPr>
          <w:rFonts w:cs="Times New Roman"/>
          <w:lang w:val="en-GB"/>
        </w:rPr>
        <w:t xml:space="preserve"> </w:t>
      </w:r>
      <w:r w:rsidR="00465895">
        <w:rPr>
          <w:rFonts w:cs="Times New Roman"/>
          <w:lang w:val="en-GB"/>
        </w:rPr>
        <w:t xml:space="preserve">recommended </w:t>
      </w:r>
      <w:r w:rsidRPr="00E176CF">
        <w:rPr>
          <w:rFonts w:cs="Times New Roman"/>
          <w:lang w:val="en-GB"/>
        </w:rPr>
        <w:t xml:space="preserve">adoption (Carter </w:t>
      </w:r>
      <w:r w:rsidR="007D6EBA">
        <w:rPr>
          <w:rFonts w:cs="Times New Roman"/>
          <w:lang w:val="en-GB"/>
        </w:rPr>
        <w:t>and</w:t>
      </w:r>
      <w:r w:rsidRPr="00E176CF">
        <w:rPr>
          <w:rFonts w:cs="Times New Roman"/>
          <w:lang w:val="en-GB"/>
        </w:rPr>
        <w:t xml:space="preserve"> Warren, 2018a).</w:t>
      </w:r>
      <w:r w:rsidR="004B2FED">
        <w:rPr>
          <w:rFonts w:cs="Times New Roman"/>
          <w:lang w:val="en-GB"/>
        </w:rPr>
        <w:t xml:space="preserve"> Thus, we explore standard setting in transnational governance (</w:t>
      </w:r>
      <w:r w:rsidR="004B2FED">
        <w:t>Djelic and Quack, 2011</w:t>
      </w:r>
      <w:r w:rsidR="009D5212">
        <w:t>; Black, 2008</w:t>
      </w:r>
      <w:r w:rsidR="004B2FED">
        <w:t>)</w:t>
      </w:r>
      <w:r w:rsidR="00E63D82">
        <w:t>.</w:t>
      </w:r>
      <w:r w:rsidR="004B2FED">
        <w:rPr>
          <w:rFonts w:cs="Times New Roman"/>
          <w:lang w:val="en-GB"/>
        </w:rPr>
        <w:t xml:space="preserve"> </w:t>
      </w:r>
      <w:r w:rsidRPr="00E176CF">
        <w:rPr>
          <w:rFonts w:cs="Times New Roman"/>
          <w:lang w:val="en-GB"/>
        </w:rPr>
        <w:t>The limited</w:t>
      </w:r>
      <w:r w:rsidR="005813B8">
        <w:rPr>
          <w:rFonts w:cs="Times New Roman"/>
          <w:lang w:val="en-GB"/>
        </w:rPr>
        <w:t xml:space="preserve"> mainstream</w:t>
      </w:r>
      <w:r w:rsidRPr="00E176CF">
        <w:rPr>
          <w:rFonts w:cs="Times New Roman"/>
          <w:lang w:val="en-GB"/>
        </w:rPr>
        <w:t xml:space="preserve"> literature </w:t>
      </w:r>
      <w:r>
        <w:rPr>
          <w:rFonts w:cs="Times New Roman"/>
          <w:lang w:val="en-GB"/>
        </w:rPr>
        <w:t>on</w:t>
      </w:r>
      <w:r w:rsidRPr="00E176CF">
        <w:rPr>
          <w:rFonts w:cs="Times New Roman"/>
          <w:lang w:val="en-GB"/>
        </w:rPr>
        <w:t xml:space="preserve"> </w:t>
      </w:r>
      <w:r w:rsidRPr="00E176CF">
        <w:rPr>
          <w:rFonts w:cs="Times New Roman"/>
          <w:i/>
          <w:lang w:val="en-GB"/>
        </w:rPr>
        <w:t>IFRS for SMEs</w:t>
      </w:r>
      <w:r w:rsidRPr="00E176CF">
        <w:rPr>
          <w:rFonts w:cs="Times New Roman"/>
          <w:lang w:val="en-GB"/>
        </w:rPr>
        <w:t xml:space="preserve"> </w:t>
      </w:r>
      <w:r>
        <w:rPr>
          <w:rFonts w:cs="Times New Roman"/>
          <w:lang w:val="en-GB"/>
        </w:rPr>
        <w:t>focuses</w:t>
      </w:r>
      <w:r w:rsidRPr="00E176CF">
        <w:rPr>
          <w:rFonts w:cs="Times New Roman"/>
          <w:lang w:val="en-GB"/>
        </w:rPr>
        <w:t xml:space="preserve"> on increasing the quality of SME financial reporting, improving user confidence and increasing access</w:t>
      </w:r>
      <w:r w:rsidR="00ED2F12">
        <w:rPr>
          <w:rFonts w:cs="Times New Roman"/>
          <w:lang w:val="en-GB"/>
        </w:rPr>
        <w:t xml:space="preserve"> to capital</w:t>
      </w:r>
      <w:r w:rsidRPr="00E176CF">
        <w:rPr>
          <w:rFonts w:cs="Times New Roman"/>
          <w:lang w:val="en-GB"/>
        </w:rPr>
        <w:t xml:space="preserve"> for emerging economies (see </w:t>
      </w:r>
      <w:r w:rsidR="0066687E" w:rsidRPr="00E176CF">
        <w:rPr>
          <w:rFonts w:cs="Times New Roman"/>
          <w:lang w:val="en-GB"/>
        </w:rPr>
        <w:t xml:space="preserve">Cotter </w:t>
      </w:r>
      <w:r w:rsidR="0066687E" w:rsidRPr="00E176CF">
        <w:rPr>
          <w:rFonts w:cs="Times New Roman"/>
          <w:i/>
          <w:lang w:val="en-GB"/>
        </w:rPr>
        <w:t>et al.,</w:t>
      </w:r>
      <w:r w:rsidR="0066687E" w:rsidRPr="00E176CF">
        <w:rPr>
          <w:rFonts w:cs="Times New Roman"/>
          <w:lang w:val="en-GB"/>
        </w:rPr>
        <w:t xml:space="preserve"> 2012</w:t>
      </w:r>
      <w:r w:rsidR="0066687E">
        <w:rPr>
          <w:rFonts w:cs="Times New Roman"/>
          <w:lang w:val="en-GB"/>
        </w:rPr>
        <w:t xml:space="preserve">; </w:t>
      </w:r>
      <w:r w:rsidRPr="00E176CF">
        <w:rPr>
          <w:rFonts w:cs="Times New Roman"/>
          <w:lang w:val="en-GB"/>
        </w:rPr>
        <w:t>Pacter, 2013).</w:t>
      </w:r>
    </w:p>
    <w:p w14:paraId="70369D55" w14:textId="77777777" w:rsidR="00DF3413" w:rsidRDefault="00DF3413" w:rsidP="008456E4">
      <w:pPr>
        <w:jc w:val="both"/>
        <w:rPr>
          <w:rFonts w:cs="Times New Roman"/>
          <w:lang w:val="en-GB"/>
        </w:rPr>
      </w:pPr>
    </w:p>
    <w:p w14:paraId="7A3EA8A2" w14:textId="375587E5" w:rsidR="00DF3413" w:rsidRPr="00933657" w:rsidRDefault="00DF3413" w:rsidP="008456E4">
      <w:pPr>
        <w:jc w:val="both"/>
        <w:rPr>
          <w:rFonts w:cs="Times New Roman"/>
          <w:lang w:val="en-GB"/>
        </w:rPr>
      </w:pPr>
      <w:r>
        <w:rPr>
          <w:rFonts w:cs="Times New Roman"/>
          <w:lang w:val="en-GB"/>
        </w:rPr>
        <w:t xml:space="preserve">In the next section, we examine in more detail the literature that addresses the politics of accounting standard setting. </w:t>
      </w:r>
      <w:r w:rsidR="003B65BA">
        <w:rPr>
          <w:rFonts w:cs="Times New Roman"/>
          <w:lang w:val="en-GB"/>
        </w:rPr>
        <w:t>Against</w:t>
      </w:r>
      <w:r>
        <w:rPr>
          <w:rFonts w:cs="Times New Roman"/>
          <w:lang w:val="en-GB"/>
        </w:rPr>
        <w:t xml:space="preserve"> this background, we develop our specific research questions in this section. We then set out the theoretical framework used in this paper, drawing in particular on the concepts of condensation, displacement and overdetermination that form part of Laclau and Mouffe’s Discourse Theory. This is followed by a discussion of our research approach. The empirical analysis </w:t>
      </w:r>
      <w:r w:rsidR="004A3C3D">
        <w:rPr>
          <w:rFonts w:cs="Times New Roman"/>
          <w:lang w:val="en-GB"/>
        </w:rPr>
        <w:t xml:space="preserve">explores the politics involved in determining the scope and title of </w:t>
      </w:r>
      <w:r w:rsidR="004A3C3D">
        <w:rPr>
          <w:rFonts w:cs="Times New Roman"/>
          <w:i/>
          <w:lang w:val="en-GB"/>
        </w:rPr>
        <w:t>IFRS for SMEs</w:t>
      </w:r>
      <w:r w:rsidR="004A3C3D">
        <w:rPr>
          <w:rFonts w:cs="Times New Roman"/>
          <w:lang w:val="en-GB"/>
        </w:rPr>
        <w:t xml:space="preserve"> and the development of the micro-guide. The final section of the paper identifies the contributions of the research.</w:t>
      </w:r>
    </w:p>
    <w:p w14:paraId="7C773971" w14:textId="2C611CAD" w:rsidR="00857E9D" w:rsidRPr="0080648D" w:rsidRDefault="00857E9D" w:rsidP="0080648D">
      <w:pPr>
        <w:pStyle w:val="Heading1"/>
        <w:rPr>
          <w:b/>
          <w:lang w:val="en-GB"/>
        </w:rPr>
      </w:pPr>
      <w:r w:rsidRPr="0080648D">
        <w:rPr>
          <w:b/>
          <w:lang w:val="en-GB"/>
        </w:rPr>
        <w:t xml:space="preserve">2. </w:t>
      </w:r>
      <w:r w:rsidR="000410B5">
        <w:rPr>
          <w:b/>
          <w:lang w:val="en-GB"/>
        </w:rPr>
        <w:t>The P</w:t>
      </w:r>
      <w:r w:rsidRPr="0080648D">
        <w:rPr>
          <w:b/>
          <w:lang w:val="en-GB"/>
        </w:rPr>
        <w:t xml:space="preserve">olitics of </w:t>
      </w:r>
      <w:r w:rsidR="000410B5">
        <w:rPr>
          <w:b/>
          <w:lang w:val="en-GB"/>
        </w:rPr>
        <w:t>Accounting S</w:t>
      </w:r>
      <w:r w:rsidRPr="0080648D">
        <w:rPr>
          <w:b/>
          <w:lang w:val="en-GB"/>
        </w:rPr>
        <w:t xml:space="preserve">tandard </w:t>
      </w:r>
      <w:r w:rsidR="000410B5">
        <w:rPr>
          <w:b/>
          <w:lang w:val="en-GB"/>
        </w:rPr>
        <w:t>S</w:t>
      </w:r>
      <w:r w:rsidRPr="0080648D">
        <w:rPr>
          <w:b/>
          <w:lang w:val="en-GB"/>
        </w:rPr>
        <w:t>etting</w:t>
      </w:r>
    </w:p>
    <w:p w14:paraId="36CA48CD" w14:textId="3B539E55" w:rsidR="00185A29" w:rsidRDefault="00185A29" w:rsidP="008456E4">
      <w:pPr>
        <w:jc w:val="both"/>
        <w:rPr>
          <w:rFonts w:cs="Times New Roman"/>
          <w:lang w:val="en-GB"/>
        </w:rPr>
      </w:pPr>
    </w:p>
    <w:p w14:paraId="6F2BE03D" w14:textId="1B8CCABD" w:rsidR="005B0652" w:rsidRDefault="002273F4" w:rsidP="002273F4">
      <w:pPr>
        <w:jc w:val="both"/>
        <w:rPr>
          <w:rFonts w:cs="Times New Roman"/>
          <w:lang w:val="en-GB"/>
        </w:rPr>
      </w:pPr>
      <w:r>
        <w:rPr>
          <w:rFonts w:cs="Times New Roman"/>
          <w:lang w:val="en-GB"/>
        </w:rPr>
        <w:t xml:space="preserve">Significant research examines the politics of standard setting. Much of this work </w:t>
      </w:r>
      <w:r w:rsidR="00F545AC">
        <w:rPr>
          <w:rFonts w:cs="Times New Roman"/>
          <w:lang w:val="en-GB"/>
        </w:rPr>
        <w:t>explore</w:t>
      </w:r>
      <w:r>
        <w:rPr>
          <w:rFonts w:cs="Times New Roman"/>
          <w:lang w:val="en-GB"/>
        </w:rPr>
        <w:t>s</w:t>
      </w:r>
      <w:r w:rsidR="00F545AC">
        <w:rPr>
          <w:rFonts w:cs="Times New Roman"/>
          <w:lang w:val="en-GB"/>
        </w:rPr>
        <w:t xml:space="preserve"> the external politics of standard setting (</w:t>
      </w:r>
      <w:r>
        <w:rPr>
          <w:rFonts w:cs="Times New Roman"/>
          <w:lang w:val="en-GB"/>
        </w:rPr>
        <w:t xml:space="preserve">see, e.g., </w:t>
      </w:r>
      <w:r w:rsidR="00F545AC">
        <w:rPr>
          <w:rFonts w:cs="Times New Roman"/>
          <w:lang w:val="en-GB"/>
        </w:rPr>
        <w:t xml:space="preserve">Solomons, 1983; Walker </w:t>
      </w:r>
      <w:r w:rsidR="008E2543">
        <w:rPr>
          <w:rFonts w:cs="Times New Roman"/>
          <w:lang w:val="en-GB"/>
        </w:rPr>
        <w:t xml:space="preserve">and </w:t>
      </w:r>
      <w:r w:rsidR="00F545AC">
        <w:rPr>
          <w:rFonts w:cs="Times New Roman"/>
          <w:lang w:val="en-GB"/>
        </w:rPr>
        <w:t>Robinson, 1993; 1994</w:t>
      </w:r>
      <w:r w:rsidR="003A317C">
        <w:rPr>
          <w:rFonts w:cs="Times New Roman"/>
          <w:lang w:val="en-GB"/>
        </w:rPr>
        <w:t xml:space="preserve">; Crawford </w:t>
      </w:r>
      <w:r w:rsidR="003A317C" w:rsidRPr="003B65BA">
        <w:rPr>
          <w:rFonts w:cs="Times New Roman"/>
          <w:i/>
          <w:lang w:val="en-GB"/>
        </w:rPr>
        <w:t>et al.,</w:t>
      </w:r>
      <w:r w:rsidR="003A317C">
        <w:rPr>
          <w:rFonts w:cs="Times New Roman"/>
          <w:lang w:val="en-GB"/>
        </w:rPr>
        <w:t xml:space="preserve"> 2014</w:t>
      </w:r>
      <w:r w:rsidR="00F545AC">
        <w:rPr>
          <w:rFonts w:cs="Times New Roman"/>
          <w:lang w:val="en-GB"/>
        </w:rPr>
        <w:t>)</w:t>
      </w:r>
      <w:r>
        <w:rPr>
          <w:rFonts w:cs="Times New Roman"/>
          <w:lang w:val="en-GB"/>
        </w:rPr>
        <w:t xml:space="preserve"> and includes issues such as lobbying </w:t>
      </w:r>
      <w:r w:rsidR="00F545AC">
        <w:rPr>
          <w:rFonts w:cs="Times New Roman"/>
          <w:lang w:val="en-GB"/>
        </w:rPr>
        <w:t>(</w:t>
      </w:r>
      <w:r w:rsidR="00AC6060">
        <w:rPr>
          <w:rFonts w:cs="Times New Roman"/>
          <w:lang w:val="en-GB"/>
        </w:rPr>
        <w:t xml:space="preserve">Klumpes, 1994; </w:t>
      </w:r>
      <w:r w:rsidR="00F545AC">
        <w:rPr>
          <w:rFonts w:cs="Times New Roman"/>
          <w:lang w:val="en-GB"/>
        </w:rPr>
        <w:t>Zeff, 2002)</w:t>
      </w:r>
      <w:r>
        <w:rPr>
          <w:rFonts w:cs="Times New Roman"/>
          <w:lang w:val="en-GB"/>
        </w:rPr>
        <w:t>. Our focus shifts to internal politics within standard setting. This does not mean a re-</w:t>
      </w:r>
      <w:r>
        <w:rPr>
          <w:rFonts w:cs="Times New Roman"/>
          <w:lang w:val="en-GB"/>
        </w:rPr>
        <w:lastRenderedPageBreak/>
        <w:t xml:space="preserve">examination of issues concerning </w:t>
      </w:r>
      <w:r w:rsidR="003E351A">
        <w:rPr>
          <w:rFonts w:cs="Times New Roman"/>
          <w:lang w:val="en-GB"/>
        </w:rPr>
        <w:t>due process (</w:t>
      </w:r>
      <w:r>
        <w:rPr>
          <w:rFonts w:cs="Times New Roman"/>
          <w:lang w:val="en-GB"/>
        </w:rPr>
        <w:t xml:space="preserve">e.g. </w:t>
      </w:r>
      <w:r w:rsidR="00AC6060" w:rsidRPr="002273F4">
        <w:rPr>
          <w:rFonts w:cs="Times New Roman"/>
          <w:lang w:val="en-GB"/>
        </w:rPr>
        <w:t>Quack 2010; Porter 2014</w:t>
      </w:r>
      <w:r w:rsidR="00AC6060">
        <w:rPr>
          <w:rFonts w:cs="Times New Roman"/>
          <w:lang w:val="en-GB"/>
        </w:rPr>
        <w:t xml:space="preserve">; </w:t>
      </w:r>
      <w:r w:rsidR="003E351A">
        <w:rPr>
          <w:rFonts w:cs="Times New Roman"/>
          <w:lang w:val="en-GB"/>
        </w:rPr>
        <w:t>Camf</w:t>
      </w:r>
      <w:r w:rsidR="003B65BA">
        <w:rPr>
          <w:rFonts w:cs="Times New Roman"/>
          <w:lang w:val="en-GB"/>
        </w:rPr>
        <w:t>f</w:t>
      </w:r>
      <w:r w:rsidR="003E351A">
        <w:rPr>
          <w:rFonts w:cs="Times New Roman"/>
          <w:lang w:val="en-GB"/>
        </w:rPr>
        <w:t xml:space="preserve">erman </w:t>
      </w:r>
      <w:r w:rsidR="0066687E">
        <w:rPr>
          <w:rFonts w:cs="Times New Roman"/>
          <w:lang w:val="en-GB"/>
        </w:rPr>
        <w:t xml:space="preserve">and </w:t>
      </w:r>
      <w:r w:rsidR="003E351A">
        <w:rPr>
          <w:rFonts w:cs="Times New Roman"/>
          <w:lang w:val="en-GB"/>
        </w:rPr>
        <w:t xml:space="preserve">Zeff, 2015; </w:t>
      </w:r>
      <w:r w:rsidRPr="002273F4">
        <w:rPr>
          <w:rFonts w:cs="Times New Roman"/>
          <w:lang w:val="en-GB"/>
        </w:rPr>
        <w:t xml:space="preserve">Erb </w:t>
      </w:r>
      <w:r w:rsidR="0066687E">
        <w:rPr>
          <w:rFonts w:cs="Times New Roman"/>
          <w:lang w:val="en-GB"/>
        </w:rPr>
        <w:t>and</w:t>
      </w:r>
      <w:r w:rsidR="0066687E" w:rsidRPr="002273F4">
        <w:rPr>
          <w:rFonts w:cs="Times New Roman"/>
          <w:lang w:val="en-GB"/>
        </w:rPr>
        <w:t xml:space="preserve"> </w:t>
      </w:r>
      <w:r w:rsidRPr="002273F4">
        <w:rPr>
          <w:rFonts w:cs="Times New Roman"/>
          <w:lang w:val="en-GB"/>
        </w:rPr>
        <w:t>Pelger 2015</w:t>
      </w:r>
      <w:r w:rsidR="003E351A">
        <w:rPr>
          <w:rFonts w:cs="Times New Roman"/>
          <w:lang w:val="en-GB"/>
        </w:rPr>
        <w:t>)</w:t>
      </w:r>
      <w:r>
        <w:rPr>
          <w:rFonts w:cs="Times New Roman"/>
          <w:lang w:val="en-GB"/>
        </w:rPr>
        <w:t>; accountability (</w:t>
      </w:r>
      <w:r w:rsidR="00AC6060">
        <w:t xml:space="preserve">Gallhofer </w:t>
      </w:r>
      <w:r w:rsidR="0066687E">
        <w:t xml:space="preserve">and </w:t>
      </w:r>
      <w:r w:rsidR="00AC6060">
        <w:t xml:space="preserve">Haslam, 2007; </w:t>
      </w:r>
      <w:r w:rsidR="00B0066B">
        <w:t xml:space="preserve">Chiapello </w:t>
      </w:r>
      <w:r w:rsidR="0066687E">
        <w:t xml:space="preserve">and </w:t>
      </w:r>
      <w:r w:rsidR="00B0066B">
        <w:t xml:space="preserve">Medjad, 2009; Burlaud </w:t>
      </w:r>
      <w:r w:rsidR="0066687E">
        <w:t xml:space="preserve">and </w:t>
      </w:r>
      <w:r w:rsidR="00B0066B">
        <w:t>Cola</w:t>
      </w:r>
      <w:r w:rsidR="00AC6060">
        <w:t>s</w:t>
      </w:r>
      <w:r w:rsidR="00B0066B">
        <w:t>se, 2011) or the p</w:t>
      </w:r>
      <w:r>
        <w:rPr>
          <w:rFonts w:cs="Times New Roman"/>
          <w:lang w:val="en-GB"/>
        </w:rPr>
        <w:t>ublic interest (</w:t>
      </w:r>
      <w:r w:rsidRPr="002273F4">
        <w:rPr>
          <w:rFonts w:cs="Times New Roman"/>
          <w:lang w:val="en-GB"/>
        </w:rPr>
        <w:t>Botzem and Quack 2009; Quack 2010</w:t>
      </w:r>
      <w:r w:rsidR="00AC6060">
        <w:rPr>
          <w:rFonts w:cs="Times New Roman"/>
          <w:lang w:val="en-GB"/>
        </w:rPr>
        <w:t>; Carter and Warren, 2018</w:t>
      </w:r>
      <w:r w:rsidR="00A8135E">
        <w:rPr>
          <w:rFonts w:cs="Times New Roman"/>
          <w:lang w:val="en-GB"/>
        </w:rPr>
        <w:t>b</w:t>
      </w:r>
      <w:r w:rsidRPr="002273F4">
        <w:rPr>
          <w:rFonts w:cs="Times New Roman"/>
          <w:lang w:val="en-GB"/>
        </w:rPr>
        <w:t>)</w:t>
      </w:r>
      <w:r w:rsidR="00B0066B">
        <w:rPr>
          <w:rFonts w:cs="Times New Roman"/>
          <w:lang w:val="en-GB"/>
        </w:rPr>
        <w:t xml:space="preserve">. Our focus is on the emerging stream of work that examines </w:t>
      </w:r>
      <w:r w:rsidR="00AC6060">
        <w:rPr>
          <w:rFonts w:cs="Times New Roman"/>
          <w:lang w:val="en-GB"/>
        </w:rPr>
        <w:t>“</w:t>
      </w:r>
      <w:r w:rsidR="00B0066B" w:rsidRPr="00B0066B">
        <w:rPr>
          <w:rFonts w:cs="Times New Roman"/>
          <w:lang w:val="en-GB"/>
        </w:rPr>
        <w:t>the actions of individual board members and staff</w:t>
      </w:r>
      <w:r w:rsidR="00AC6060">
        <w:rPr>
          <w:rFonts w:cs="Times New Roman"/>
          <w:lang w:val="en-GB"/>
        </w:rPr>
        <w:t>”</w:t>
      </w:r>
      <w:r w:rsidR="00B0066B">
        <w:rPr>
          <w:rFonts w:cs="Times New Roman"/>
          <w:lang w:val="en-GB"/>
        </w:rPr>
        <w:t xml:space="preserve">, which has </w:t>
      </w:r>
      <w:r w:rsidR="00AC6060">
        <w:rPr>
          <w:rFonts w:cs="Times New Roman"/>
          <w:lang w:val="en-GB"/>
        </w:rPr>
        <w:t>“</w:t>
      </w:r>
      <w:r w:rsidR="00B0066B" w:rsidRPr="00B0066B">
        <w:rPr>
          <w:rFonts w:cs="Times New Roman"/>
          <w:lang w:val="en-GB"/>
        </w:rPr>
        <w:t>received little research attention</w:t>
      </w:r>
      <w:r w:rsidR="00AC6060">
        <w:rPr>
          <w:rFonts w:cs="Times New Roman"/>
          <w:lang w:val="en-GB"/>
        </w:rPr>
        <w:t>”</w:t>
      </w:r>
      <w:r w:rsidR="00AC6060" w:rsidRPr="00AC6060">
        <w:rPr>
          <w:rFonts w:cs="Times New Roman"/>
          <w:lang w:val="en-GB"/>
        </w:rPr>
        <w:t xml:space="preserve"> </w:t>
      </w:r>
      <w:r w:rsidR="00AC6060">
        <w:rPr>
          <w:rFonts w:cs="Times New Roman"/>
          <w:lang w:val="en-GB"/>
        </w:rPr>
        <w:t>(Ram and Newberry, 2017, p. 486)</w:t>
      </w:r>
      <w:r w:rsidR="00B0066B">
        <w:rPr>
          <w:rFonts w:cs="Times New Roman"/>
          <w:lang w:val="en-GB"/>
        </w:rPr>
        <w:t xml:space="preserve">. In that sense, the literature on </w:t>
      </w:r>
      <w:r w:rsidR="00F545AC">
        <w:rPr>
          <w:rFonts w:cs="Times New Roman"/>
          <w:lang w:val="en-GB"/>
        </w:rPr>
        <w:t>the</w:t>
      </w:r>
      <w:r w:rsidR="00B0066B">
        <w:rPr>
          <w:rFonts w:cs="Times New Roman"/>
          <w:lang w:val="en-GB"/>
        </w:rPr>
        <w:t xml:space="preserve"> </w:t>
      </w:r>
      <w:r w:rsidR="00F545AC">
        <w:rPr>
          <w:rFonts w:cs="Times New Roman"/>
          <w:lang w:val="en-GB"/>
        </w:rPr>
        <w:t>politics of agenda setting and entrance (</w:t>
      </w:r>
      <w:r w:rsidR="00B0066B">
        <w:rPr>
          <w:rFonts w:cs="Times New Roman"/>
          <w:lang w:val="en-GB"/>
        </w:rPr>
        <w:t xml:space="preserve">such as </w:t>
      </w:r>
      <w:r w:rsidR="00F545AC">
        <w:rPr>
          <w:rFonts w:cs="Times New Roman"/>
          <w:lang w:val="en-GB"/>
        </w:rPr>
        <w:t xml:space="preserve">Ram </w:t>
      </w:r>
      <w:r w:rsidR="0066687E">
        <w:rPr>
          <w:rFonts w:cs="Times New Roman"/>
          <w:lang w:val="en-GB"/>
        </w:rPr>
        <w:t xml:space="preserve">and </w:t>
      </w:r>
      <w:r w:rsidR="00F545AC">
        <w:rPr>
          <w:rFonts w:cs="Times New Roman"/>
          <w:lang w:val="en-GB"/>
        </w:rPr>
        <w:t xml:space="preserve">Newberry, 2017; </w:t>
      </w:r>
      <w:r w:rsidR="00AC6060">
        <w:rPr>
          <w:rFonts w:cs="Times New Roman"/>
          <w:lang w:val="en-GB"/>
        </w:rPr>
        <w:t xml:space="preserve">see also Jones </w:t>
      </w:r>
      <w:r w:rsidR="00AC6060" w:rsidRPr="003B65BA">
        <w:rPr>
          <w:rFonts w:cs="Times New Roman"/>
          <w:i/>
          <w:lang w:val="en-GB"/>
        </w:rPr>
        <w:t>et al.,</w:t>
      </w:r>
      <w:r w:rsidR="00AC6060">
        <w:rPr>
          <w:rFonts w:cs="Times New Roman"/>
          <w:lang w:val="en-GB"/>
        </w:rPr>
        <w:t xml:space="preserve"> 1994; </w:t>
      </w:r>
      <w:r w:rsidR="00F545AC">
        <w:rPr>
          <w:rFonts w:cs="Times New Roman"/>
          <w:lang w:val="en-GB"/>
        </w:rPr>
        <w:t>Young, 1994</w:t>
      </w:r>
      <w:r w:rsidR="003A317C">
        <w:rPr>
          <w:rFonts w:cs="Times New Roman"/>
          <w:lang w:val="en-GB"/>
        </w:rPr>
        <w:t xml:space="preserve">; Johnson </w:t>
      </w:r>
      <w:r w:rsidR="0066687E">
        <w:rPr>
          <w:rFonts w:cs="Times New Roman"/>
          <w:lang w:val="en-GB"/>
        </w:rPr>
        <w:t xml:space="preserve">and </w:t>
      </w:r>
      <w:r w:rsidR="003A317C">
        <w:rPr>
          <w:rFonts w:cs="Times New Roman"/>
          <w:lang w:val="en-GB"/>
        </w:rPr>
        <w:t>Swieringa, 1996; Ryan, 1998)</w:t>
      </w:r>
      <w:r w:rsidR="003E351A">
        <w:rPr>
          <w:rFonts w:cs="Times New Roman"/>
          <w:lang w:val="en-GB"/>
        </w:rPr>
        <w:t xml:space="preserve"> and </w:t>
      </w:r>
      <w:r w:rsidR="00B0066B">
        <w:rPr>
          <w:rFonts w:cs="Times New Roman"/>
          <w:lang w:val="en-GB"/>
        </w:rPr>
        <w:t xml:space="preserve">how the IASB </w:t>
      </w:r>
      <w:r w:rsidR="003E351A">
        <w:rPr>
          <w:rFonts w:cs="Times New Roman"/>
          <w:lang w:val="en-GB"/>
        </w:rPr>
        <w:t>manag</w:t>
      </w:r>
      <w:r w:rsidR="00B0066B">
        <w:rPr>
          <w:rFonts w:cs="Times New Roman"/>
          <w:lang w:val="en-GB"/>
        </w:rPr>
        <w:t>e</w:t>
      </w:r>
      <w:r w:rsidR="003E351A">
        <w:rPr>
          <w:rFonts w:cs="Times New Roman"/>
          <w:lang w:val="en-GB"/>
        </w:rPr>
        <w:t xml:space="preserve"> </w:t>
      </w:r>
      <w:r>
        <w:rPr>
          <w:rFonts w:cs="Times New Roman"/>
          <w:lang w:val="en-GB"/>
        </w:rPr>
        <w:t xml:space="preserve">and respond to </w:t>
      </w:r>
      <w:r w:rsidR="003E351A">
        <w:rPr>
          <w:rFonts w:cs="Times New Roman"/>
          <w:lang w:val="en-GB"/>
        </w:rPr>
        <w:t>crisis (Bengtsson, 2011</w:t>
      </w:r>
      <w:r w:rsidR="00AC6060">
        <w:rPr>
          <w:rFonts w:cs="Times New Roman"/>
          <w:lang w:val="en-GB"/>
        </w:rPr>
        <w:t>; Botzem, 2014</w:t>
      </w:r>
      <w:r w:rsidR="003E351A">
        <w:rPr>
          <w:rFonts w:cs="Times New Roman"/>
          <w:lang w:val="en-GB"/>
        </w:rPr>
        <w:t>)</w:t>
      </w:r>
      <w:r w:rsidR="00B0066B">
        <w:rPr>
          <w:rFonts w:cs="Times New Roman"/>
          <w:lang w:val="en-GB"/>
        </w:rPr>
        <w:t xml:space="preserve"> is </w:t>
      </w:r>
      <w:r w:rsidR="005B0652">
        <w:rPr>
          <w:rFonts w:cs="Times New Roman"/>
          <w:lang w:val="en-GB"/>
        </w:rPr>
        <w:t xml:space="preserve">relevant </w:t>
      </w:r>
      <w:r w:rsidR="00D929F8">
        <w:rPr>
          <w:rFonts w:cs="Times New Roman"/>
          <w:lang w:val="en-GB"/>
        </w:rPr>
        <w:t xml:space="preserve">our exploration of </w:t>
      </w:r>
      <w:r w:rsidR="005B0652">
        <w:rPr>
          <w:rFonts w:cs="Times New Roman"/>
          <w:lang w:val="en-GB"/>
        </w:rPr>
        <w:t xml:space="preserve">politics </w:t>
      </w:r>
      <w:r w:rsidR="00D929F8">
        <w:rPr>
          <w:rFonts w:cs="Times New Roman"/>
          <w:lang w:val="en-GB"/>
        </w:rPr>
        <w:t>in this paper</w:t>
      </w:r>
      <w:r w:rsidR="005B0652">
        <w:rPr>
          <w:rFonts w:cs="Times New Roman"/>
          <w:lang w:val="en-GB"/>
        </w:rPr>
        <w:t xml:space="preserve">. </w:t>
      </w:r>
    </w:p>
    <w:p w14:paraId="49D9CC9E" w14:textId="77777777" w:rsidR="005B0652" w:rsidRDefault="005B0652" w:rsidP="002273F4">
      <w:pPr>
        <w:jc w:val="both"/>
        <w:rPr>
          <w:rFonts w:cs="Times New Roman"/>
          <w:lang w:val="en-GB"/>
        </w:rPr>
      </w:pPr>
    </w:p>
    <w:p w14:paraId="264C380B" w14:textId="05110307" w:rsidR="009664D3" w:rsidRDefault="005B0652" w:rsidP="008456E4">
      <w:pPr>
        <w:jc w:val="both"/>
        <w:rPr>
          <w:rFonts w:cs="Times New Roman"/>
          <w:lang w:val="en-GB"/>
        </w:rPr>
      </w:pPr>
      <w:r>
        <w:rPr>
          <w:rFonts w:cs="Times New Roman"/>
          <w:lang w:val="en-GB"/>
        </w:rPr>
        <w:t xml:space="preserve">In a simple sense, the tension we are interested in is the politics of expertise. In Botzem’s (2012) evaluation of the IASB as technocratic, the IASB is powerful in maintaining a position of technocratic neutrality, but within that, there is a politics of expertise involving power and influence within the Board, between Board members and between the Board and IASB staff and others involved in standard development and setting. While other research </w:t>
      </w:r>
      <w:r w:rsidR="003A317C">
        <w:rPr>
          <w:rFonts w:cs="Times New Roman"/>
          <w:lang w:val="en-GB"/>
        </w:rPr>
        <w:t>explor</w:t>
      </w:r>
      <w:r>
        <w:rPr>
          <w:rFonts w:cs="Times New Roman"/>
          <w:lang w:val="en-GB"/>
        </w:rPr>
        <w:t>es</w:t>
      </w:r>
      <w:r w:rsidR="003608F0" w:rsidRPr="00E176CF">
        <w:rPr>
          <w:rFonts w:cs="Times New Roman"/>
          <w:lang w:val="en-GB"/>
        </w:rPr>
        <w:t xml:space="preserve"> why</w:t>
      </w:r>
      <w:r w:rsidR="003608F0">
        <w:rPr>
          <w:rFonts w:cs="Times New Roman"/>
          <w:lang w:val="en-GB"/>
        </w:rPr>
        <w:t xml:space="preserve"> </w:t>
      </w:r>
      <w:r w:rsidR="003608F0" w:rsidRPr="00E176CF">
        <w:rPr>
          <w:rFonts w:cs="Times New Roman"/>
          <w:lang w:val="en-GB"/>
        </w:rPr>
        <w:t>the IASB extended their ambit to non-listed entities</w:t>
      </w:r>
      <w:r>
        <w:t xml:space="preserve"> (Cam</w:t>
      </w:r>
      <w:r w:rsidR="00D929F8">
        <w:t>f</w:t>
      </w:r>
      <w:r>
        <w:t>fer</w:t>
      </w:r>
      <w:r w:rsidR="00D929F8">
        <w:t>m</w:t>
      </w:r>
      <w:r>
        <w:t xml:space="preserve">an </w:t>
      </w:r>
      <w:r w:rsidR="0066687E">
        <w:t xml:space="preserve">and </w:t>
      </w:r>
      <w:r>
        <w:t xml:space="preserve">Zeff, 2015; Ram </w:t>
      </w:r>
      <w:r w:rsidR="0066687E">
        <w:t xml:space="preserve">and </w:t>
      </w:r>
      <w:r>
        <w:t>Newberry, 2017)</w:t>
      </w:r>
      <w:r w:rsidR="003608F0" w:rsidRPr="00E176CF">
        <w:rPr>
          <w:rFonts w:cs="Times New Roman"/>
          <w:lang w:val="en-GB"/>
        </w:rPr>
        <w:t xml:space="preserve">, </w:t>
      </w:r>
      <w:r>
        <w:rPr>
          <w:rFonts w:cs="Times New Roman"/>
          <w:lang w:val="en-GB"/>
        </w:rPr>
        <w:t xml:space="preserve">we are interested in the apparent tension between technocratic neutrality and the </w:t>
      </w:r>
      <w:r w:rsidR="003608F0" w:rsidRPr="00E176CF">
        <w:rPr>
          <w:rFonts w:cs="Times New Roman"/>
          <w:lang w:val="en-GB"/>
        </w:rPr>
        <w:t>politics</w:t>
      </w:r>
      <w:r>
        <w:rPr>
          <w:rFonts w:cs="Times New Roman"/>
          <w:lang w:val="en-GB"/>
        </w:rPr>
        <w:t xml:space="preserve"> of expertise</w:t>
      </w:r>
      <w:r w:rsidR="003608F0" w:rsidRPr="00E176CF">
        <w:rPr>
          <w:rFonts w:cs="Times New Roman"/>
          <w:lang w:val="en-GB"/>
        </w:rPr>
        <w:t xml:space="preserve"> </w:t>
      </w:r>
      <w:r>
        <w:rPr>
          <w:rFonts w:cs="Times New Roman"/>
          <w:lang w:val="en-GB"/>
        </w:rPr>
        <w:t xml:space="preserve">within the IASB </w:t>
      </w:r>
      <w:r w:rsidR="003608F0">
        <w:rPr>
          <w:rFonts w:cs="Times New Roman"/>
          <w:lang w:val="en-GB"/>
        </w:rPr>
        <w:t>in</w:t>
      </w:r>
      <w:r w:rsidR="003608F0" w:rsidRPr="00E176CF">
        <w:rPr>
          <w:rFonts w:cs="Times New Roman"/>
          <w:lang w:val="en-GB"/>
        </w:rPr>
        <w:t xml:space="preserve"> the develop</w:t>
      </w:r>
      <w:r w:rsidR="003608F0">
        <w:rPr>
          <w:rFonts w:cs="Times New Roman"/>
          <w:lang w:val="en-GB"/>
        </w:rPr>
        <w:t>ment</w:t>
      </w:r>
      <w:r w:rsidR="003608F0" w:rsidRPr="00E176CF">
        <w:rPr>
          <w:rFonts w:cs="Times New Roman"/>
          <w:lang w:val="en-GB"/>
        </w:rPr>
        <w:t xml:space="preserve"> of </w:t>
      </w:r>
      <w:r w:rsidR="003608F0" w:rsidRPr="00E176CF">
        <w:rPr>
          <w:rFonts w:cs="Times New Roman"/>
          <w:i/>
          <w:lang w:val="en-GB"/>
        </w:rPr>
        <w:t>IFRS for SMEs</w:t>
      </w:r>
      <w:r w:rsidR="00C142DF">
        <w:rPr>
          <w:rFonts w:cs="Times New Roman"/>
          <w:lang w:val="en-GB"/>
        </w:rPr>
        <w:t xml:space="preserve">. </w:t>
      </w:r>
      <w:r>
        <w:rPr>
          <w:rFonts w:cs="Times New Roman"/>
          <w:lang w:val="en-GB"/>
        </w:rPr>
        <w:t xml:space="preserve">Recent </w:t>
      </w:r>
      <w:r w:rsidR="00ED2F12">
        <w:rPr>
          <w:rFonts w:cs="Times New Roman"/>
          <w:lang w:val="en-GB"/>
        </w:rPr>
        <w:t xml:space="preserve">research </w:t>
      </w:r>
      <w:r>
        <w:rPr>
          <w:rFonts w:cs="Times New Roman"/>
          <w:lang w:val="en-GB"/>
        </w:rPr>
        <w:t xml:space="preserve">focuses on the </w:t>
      </w:r>
      <w:r w:rsidR="00C142DF">
        <w:rPr>
          <w:rFonts w:cs="Times New Roman"/>
          <w:lang w:val="en-GB"/>
        </w:rPr>
        <w:t>IASB as technocratic</w:t>
      </w:r>
      <w:r w:rsidR="004A3C3D">
        <w:rPr>
          <w:rFonts w:cs="Times New Roman"/>
          <w:lang w:val="en-GB"/>
        </w:rPr>
        <w:t xml:space="preserve"> </w:t>
      </w:r>
      <w:r w:rsidR="00C142DF">
        <w:rPr>
          <w:rFonts w:cs="Times New Roman"/>
          <w:lang w:val="en-GB"/>
        </w:rPr>
        <w:t xml:space="preserve">and </w:t>
      </w:r>
      <w:r>
        <w:rPr>
          <w:rFonts w:cs="Times New Roman"/>
          <w:lang w:val="en-GB"/>
        </w:rPr>
        <w:t xml:space="preserve">examines </w:t>
      </w:r>
      <w:r w:rsidR="00C142DF">
        <w:rPr>
          <w:rFonts w:cs="Times New Roman"/>
          <w:lang w:val="en-GB"/>
        </w:rPr>
        <w:t xml:space="preserve">the </w:t>
      </w:r>
      <w:r w:rsidR="00A35D06">
        <w:rPr>
          <w:rFonts w:cs="Times New Roman"/>
          <w:lang w:val="en-GB"/>
        </w:rPr>
        <w:t>politics of technocracy</w:t>
      </w:r>
      <w:r w:rsidR="003608F0">
        <w:rPr>
          <w:rFonts w:cs="Times New Roman"/>
          <w:lang w:val="en-GB"/>
        </w:rPr>
        <w:t xml:space="preserve"> </w:t>
      </w:r>
      <w:r w:rsidR="003608F0" w:rsidRPr="00E176CF">
        <w:rPr>
          <w:rFonts w:cs="Times New Roman"/>
          <w:lang w:val="en-GB"/>
        </w:rPr>
        <w:t>(see Botzem, 2012</w:t>
      </w:r>
      <w:r w:rsidR="003B65BA">
        <w:rPr>
          <w:rFonts w:cs="Times New Roman"/>
          <w:lang w:val="en-GB"/>
        </w:rPr>
        <w:t>,</w:t>
      </w:r>
      <w:r w:rsidR="003608F0" w:rsidRPr="00E176CF">
        <w:rPr>
          <w:rFonts w:cs="Times New Roman"/>
          <w:lang w:val="en-GB"/>
        </w:rPr>
        <w:t xml:space="preserve"> 2014; Botzem </w:t>
      </w:r>
      <w:r w:rsidR="007D6EBA">
        <w:rPr>
          <w:rFonts w:cs="Times New Roman"/>
          <w:lang w:val="en-GB"/>
        </w:rPr>
        <w:t>and</w:t>
      </w:r>
      <w:r w:rsidR="003608F0" w:rsidRPr="00E176CF">
        <w:rPr>
          <w:rFonts w:cs="Times New Roman"/>
          <w:lang w:val="en-GB"/>
        </w:rPr>
        <w:t xml:space="preserve"> Quack,</w:t>
      </w:r>
      <w:r w:rsidR="003608F0">
        <w:rPr>
          <w:rFonts w:cs="Times New Roman"/>
          <w:lang w:val="en-GB"/>
        </w:rPr>
        <w:t xml:space="preserve"> 2009</w:t>
      </w:r>
      <w:r w:rsidR="003608F0" w:rsidRPr="00E176CF">
        <w:rPr>
          <w:rFonts w:cs="Times New Roman"/>
          <w:lang w:val="en-GB"/>
        </w:rPr>
        <w:t xml:space="preserve">). </w:t>
      </w:r>
      <w:r w:rsidR="00A35D06">
        <w:rPr>
          <w:rFonts w:cs="Times New Roman"/>
          <w:lang w:val="en-GB"/>
        </w:rPr>
        <w:t>Traditional technocra</w:t>
      </w:r>
      <w:r w:rsidR="004A3C3D">
        <w:rPr>
          <w:rFonts w:cs="Times New Roman"/>
          <w:lang w:val="en-GB"/>
        </w:rPr>
        <w:t>cies</w:t>
      </w:r>
      <w:r w:rsidR="00A35D06">
        <w:rPr>
          <w:rFonts w:cs="Times New Roman"/>
          <w:lang w:val="en-GB"/>
        </w:rPr>
        <w:t xml:space="preserve"> hide behind a rhetoric of expertise</w:t>
      </w:r>
      <w:r w:rsidR="003A317C">
        <w:rPr>
          <w:rFonts w:cs="Times New Roman"/>
          <w:lang w:val="en-GB"/>
        </w:rPr>
        <w:t>, so we explore the internal di</w:t>
      </w:r>
      <w:r>
        <w:rPr>
          <w:rFonts w:cs="Times New Roman"/>
          <w:lang w:val="en-GB"/>
        </w:rPr>
        <w:t xml:space="preserve">scourse </w:t>
      </w:r>
      <w:r w:rsidR="003A317C">
        <w:rPr>
          <w:rFonts w:cs="Times New Roman"/>
          <w:lang w:val="en-GB"/>
        </w:rPr>
        <w:t>of e</w:t>
      </w:r>
      <w:r>
        <w:rPr>
          <w:rFonts w:cs="Times New Roman"/>
          <w:lang w:val="en-GB"/>
        </w:rPr>
        <w:t>x</w:t>
      </w:r>
      <w:r w:rsidR="003A317C">
        <w:rPr>
          <w:rFonts w:cs="Times New Roman"/>
          <w:lang w:val="en-GB"/>
        </w:rPr>
        <w:t xml:space="preserve">pertise and the way that the IASB manage technocracy when experts </w:t>
      </w:r>
      <w:r w:rsidR="00D929F8">
        <w:rPr>
          <w:rFonts w:cs="Times New Roman"/>
          <w:lang w:val="en-GB"/>
        </w:rPr>
        <w:t xml:space="preserve">agree and </w:t>
      </w:r>
      <w:r w:rsidR="003A317C">
        <w:rPr>
          <w:rFonts w:cs="Times New Roman"/>
          <w:lang w:val="en-GB"/>
        </w:rPr>
        <w:t>disagree.</w:t>
      </w:r>
      <w:r w:rsidR="00A35D06">
        <w:rPr>
          <w:rFonts w:cs="Times New Roman"/>
          <w:lang w:val="en-GB"/>
        </w:rPr>
        <w:t xml:space="preserve"> </w:t>
      </w:r>
      <w:r w:rsidR="004A3C3D">
        <w:rPr>
          <w:rFonts w:cs="Times New Roman"/>
          <w:lang w:val="en-GB"/>
        </w:rPr>
        <w:t>R</w:t>
      </w:r>
      <w:r w:rsidR="00A35D06">
        <w:rPr>
          <w:rFonts w:cs="Times New Roman"/>
          <w:lang w:val="en-GB"/>
        </w:rPr>
        <w:t>esearchers have begun to lift the veil of technocracy</w:t>
      </w:r>
      <w:r w:rsidR="004A3C3D">
        <w:rPr>
          <w:rFonts w:cs="Times New Roman"/>
          <w:lang w:val="en-GB"/>
        </w:rPr>
        <w:t>, which</w:t>
      </w:r>
      <w:r w:rsidR="00A35D06">
        <w:rPr>
          <w:rFonts w:cs="Times New Roman"/>
          <w:lang w:val="en-GB"/>
        </w:rPr>
        <w:t xml:space="preserve"> operates to mask the political nature of decision making </w:t>
      </w:r>
      <w:r w:rsidR="00E450DF">
        <w:rPr>
          <w:rFonts w:cs="Times New Roman"/>
          <w:lang w:val="en-GB"/>
        </w:rPr>
        <w:t>(</w:t>
      </w:r>
      <w:r w:rsidRPr="005B0652">
        <w:rPr>
          <w:rFonts w:cs="Times New Roman"/>
          <w:lang w:val="en-GB"/>
        </w:rPr>
        <w:t>Jennings</w:t>
      </w:r>
      <w:r w:rsidR="008B03EE">
        <w:rPr>
          <w:rFonts w:cs="Times New Roman"/>
          <w:lang w:val="en-GB"/>
        </w:rPr>
        <w:t>,</w:t>
      </w:r>
      <w:r w:rsidRPr="005B0652">
        <w:rPr>
          <w:rFonts w:cs="Times New Roman"/>
          <w:lang w:val="en-GB"/>
        </w:rPr>
        <w:t xml:space="preserve"> 2011; Lövbrand </w:t>
      </w:r>
      <w:r w:rsidR="0066687E">
        <w:rPr>
          <w:rFonts w:cs="Times New Roman"/>
          <w:lang w:val="en-GB"/>
        </w:rPr>
        <w:t xml:space="preserve">and </w:t>
      </w:r>
      <w:r w:rsidRPr="005B0652">
        <w:rPr>
          <w:rFonts w:cs="Times New Roman"/>
          <w:lang w:val="en-GB"/>
        </w:rPr>
        <w:t>Stripple 2011</w:t>
      </w:r>
      <w:r>
        <w:rPr>
          <w:rFonts w:cs="Times New Roman"/>
          <w:lang w:val="en-GB"/>
        </w:rPr>
        <w:t>;</w:t>
      </w:r>
      <w:r w:rsidRPr="005B0652">
        <w:rPr>
          <w:rFonts w:cs="Times New Roman"/>
          <w:lang w:val="en-GB"/>
        </w:rPr>
        <w:t xml:space="preserve"> </w:t>
      </w:r>
      <w:r w:rsidR="003B65BA">
        <w:rPr>
          <w:rFonts w:cs="Times New Roman"/>
          <w:lang w:val="en-GB"/>
        </w:rPr>
        <w:t xml:space="preserve">Botzem, 2012; </w:t>
      </w:r>
      <w:r w:rsidR="00C142DF">
        <w:rPr>
          <w:rFonts w:cs="Times New Roman"/>
          <w:lang w:val="en-GB"/>
        </w:rPr>
        <w:t xml:space="preserve">Carter </w:t>
      </w:r>
      <w:r w:rsidR="0066687E">
        <w:rPr>
          <w:rFonts w:cs="Times New Roman"/>
          <w:lang w:val="en-GB"/>
        </w:rPr>
        <w:t xml:space="preserve">and </w:t>
      </w:r>
      <w:r w:rsidR="00C142DF">
        <w:rPr>
          <w:rFonts w:cs="Times New Roman"/>
          <w:lang w:val="en-GB"/>
        </w:rPr>
        <w:t>Warren</w:t>
      </w:r>
      <w:r w:rsidR="00E450DF">
        <w:rPr>
          <w:rFonts w:cs="Times New Roman"/>
          <w:lang w:val="en-GB"/>
        </w:rPr>
        <w:t xml:space="preserve">, </w:t>
      </w:r>
      <w:r w:rsidR="00C142DF">
        <w:rPr>
          <w:rFonts w:cs="Times New Roman"/>
          <w:lang w:val="en-GB"/>
        </w:rPr>
        <w:t>2018b</w:t>
      </w:r>
      <w:r w:rsidR="004A3C3D">
        <w:rPr>
          <w:rFonts w:cs="Times New Roman"/>
          <w:lang w:val="en-GB"/>
        </w:rPr>
        <w:t>)</w:t>
      </w:r>
      <w:r w:rsidR="00ED2F12">
        <w:rPr>
          <w:rFonts w:cs="Times New Roman"/>
          <w:lang w:val="en-GB"/>
        </w:rPr>
        <w:t xml:space="preserve">. </w:t>
      </w:r>
      <w:r w:rsidR="00E450DF">
        <w:rPr>
          <w:rFonts w:cs="Times New Roman"/>
          <w:lang w:val="en-GB"/>
        </w:rPr>
        <w:t>This</w:t>
      </w:r>
      <w:r w:rsidR="00A35D06">
        <w:rPr>
          <w:rFonts w:cs="Times New Roman"/>
          <w:lang w:val="en-GB"/>
        </w:rPr>
        <w:t xml:space="preserve"> is connected to </w:t>
      </w:r>
      <w:r w:rsidR="00C142DF" w:rsidRPr="00C142DF">
        <w:rPr>
          <w:rFonts w:cs="Times New Roman"/>
          <w:lang w:val="en-GB"/>
        </w:rPr>
        <w:t>Suddaby and Greenwood</w:t>
      </w:r>
      <w:r w:rsidR="006558B1">
        <w:rPr>
          <w:rFonts w:cs="Times New Roman"/>
          <w:lang w:val="en-GB"/>
        </w:rPr>
        <w:t>’s</w:t>
      </w:r>
      <w:r w:rsidR="00C142DF" w:rsidRPr="00C142DF">
        <w:rPr>
          <w:rFonts w:cs="Times New Roman"/>
          <w:lang w:val="en-GB"/>
        </w:rPr>
        <w:t xml:space="preserve"> (2005)</w:t>
      </w:r>
      <w:r w:rsidR="00C142DF">
        <w:rPr>
          <w:rFonts w:cs="Times New Roman"/>
          <w:lang w:val="en-GB"/>
        </w:rPr>
        <w:t xml:space="preserve"> </w:t>
      </w:r>
      <w:r w:rsidR="006558B1">
        <w:rPr>
          <w:rFonts w:cs="Times New Roman"/>
          <w:lang w:val="en-GB"/>
        </w:rPr>
        <w:t xml:space="preserve">argument </w:t>
      </w:r>
      <w:r w:rsidR="00C142DF" w:rsidRPr="00C142DF">
        <w:rPr>
          <w:rFonts w:cs="Times New Roman"/>
          <w:lang w:val="en-GB"/>
        </w:rPr>
        <w:t xml:space="preserve">that the analysis of debate is a </w:t>
      </w:r>
      <w:r w:rsidR="00C142DF">
        <w:rPr>
          <w:rFonts w:cs="Times New Roman"/>
          <w:lang w:val="en-GB"/>
        </w:rPr>
        <w:t xml:space="preserve">window on internal tensions and </w:t>
      </w:r>
      <w:r w:rsidR="00C142DF" w:rsidRPr="00C142DF">
        <w:rPr>
          <w:rFonts w:cs="Times New Roman"/>
          <w:lang w:val="en-GB"/>
        </w:rPr>
        <w:t>contradictions</w:t>
      </w:r>
      <w:r w:rsidR="00E31C0D">
        <w:rPr>
          <w:rFonts w:cs="Times New Roman"/>
          <w:lang w:val="en-GB"/>
        </w:rPr>
        <w:t xml:space="preserve"> (</w:t>
      </w:r>
      <w:r w:rsidR="00E31C0D" w:rsidRPr="008D3E7A">
        <w:rPr>
          <w:rFonts w:cs="Times New Roman"/>
          <w:lang w:val="en-GB"/>
        </w:rPr>
        <w:t>Brunsson</w:t>
      </w:r>
      <w:r w:rsidR="008D3E7A" w:rsidRPr="003800BA">
        <w:rPr>
          <w:rFonts w:cs="Times New Roman"/>
          <w:lang w:val="en-GB"/>
        </w:rPr>
        <w:t>, 1989</w:t>
      </w:r>
      <w:r w:rsidR="00E31C0D">
        <w:rPr>
          <w:rFonts w:cs="Times New Roman"/>
          <w:lang w:val="en-GB"/>
        </w:rPr>
        <w:t>)</w:t>
      </w:r>
      <w:r w:rsidR="00C142DF">
        <w:rPr>
          <w:rFonts w:cs="Times New Roman"/>
          <w:lang w:val="en-GB"/>
        </w:rPr>
        <w:t xml:space="preserve">. </w:t>
      </w:r>
    </w:p>
    <w:p w14:paraId="30F77267" w14:textId="77777777" w:rsidR="009664D3" w:rsidRDefault="009664D3" w:rsidP="008456E4">
      <w:pPr>
        <w:jc w:val="both"/>
        <w:rPr>
          <w:rFonts w:cs="Times New Roman"/>
          <w:lang w:val="en-GB"/>
        </w:rPr>
      </w:pPr>
    </w:p>
    <w:p w14:paraId="5B79DDBB" w14:textId="322EFE9E" w:rsidR="009664D3" w:rsidRDefault="009664D3" w:rsidP="008456E4">
      <w:pPr>
        <w:jc w:val="both"/>
        <w:rPr>
          <w:rFonts w:cs="Times New Roman"/>
          <w:lang w:val="en-GB"/>
        </w:rPr>
      </w:pPr>
      <w:r>
        <w:rPr>
          <w:rFonts w:cs="Times New Roman"/>
          <w:lang w:val="en-GB"/>
        </w:rPr>
        <w:t>We</w:t>
      </w:r>
      <w:r w:rsidR="004B2FED">
        <w:rPr>
          <w:rFonts w:cs="Times New Roman"/>
          <w:lang w:val="en-GB"/>
        </w:rPr>
        <w:t xml:space="preserve"> extend </w:t>
      </w:r>
      <w:r w:rsidR="006558B1">
        <w:rPr>
          <w:rFonts w:cs="Times New Roman"/>
          <w:lang w:val="en-GB"/>
        </w:rPr>
        <w:t xml:space="preserve">the understanding of the politics of technocracy by </w:t>
      </w:r>
      <w:r w:rsidR="004B2FED">
        <w:rPr>
          <w:rFonts w:cs="Times New Roman"/>
          <w:lang w:val="en-GB"/>
        </w:rPr>
        <w:t>focusing</w:t>
      </w:r>
      <w:r w:rsidR="00857E9D">
        <w:rPr>
          <w:rFonts w:cs="Times New Roman"/>
          <w:lang w:val="en-GB"/>
        </w:rPr>
        <w:t xml:space="preserve"> on </w:t>
      </w:r>
      <w:r w:rsidR="004B2FED">
        <w:rPr>
          <w:rFonts w:cs="Times New Roman"/>
          <w:lang w:val="en-GB"/>
        </w:rPr>
        <w:t>how politics manifests</w:t>
      </w:r>
      <w:r>
        <w:rPr>
          <w:rFonts w:cs="Times New Roman"/>
          <w:lang w:val="en-GB"/>
        </w:rPr>
        <w:t xml:space="preserve"> itself</w:t>
      </w:r>
      <w:r w:rsidR="004B2FED">
        <w:rPr>
          <w:rFonts w:cs="Times New Roman"/>
          <w:lang w:val="en-GB"/>
        </w:rPr>
        <w:t xml:space="preserve"> and performs </w:t>
      </w:r>
      <w:r>
        <w:rPr>
          <w:rFonts w:cs="Times New Roman"/>
          <w:lang w:val="en-GB"/>
        </w:rPr>
        <w:t>through attempts to fix</w:t>
      </w:r>
      <w:r w:rsidR="004B2FED">
        <w:rPr>
          <w:rFonts w:cs="Times New Roman"/>
          <w:lang w:val="en-GB"/>
        </w:rPr>
        <w:t xml:space="preserve"> meaning </w:t>
      </w:r>
      <w:r w:rsidR="00501783">
        <w:rPr>
          <w:rFonts w:cs="Times New Roman"/>
          <w:lang w:val="en-GB"/>
        </w:rPr>
        <w:t>(</w:t>
      </w:r>
      <w:r w:rsidR="004B2FED">
        <w:rPr>
          <w:rFonts w:cs="Times New Roman"/>
          <w:lang w:val="en-GB"/>
        </w:rPr>
        <w:t>Laclau and Mouffe</w:t>
      </w:r>
      <w:r w:rsidR="00501783">
        <w:rPr>
          <w:rFonts w:cs="Times New Roman"/>
          <w:lang w:val="en-GB"/>
        </w:rPr>
        <w:t xml:space="preserve">, </w:t>
      </w:r>
      <w:r w:rsidR="004B2FED">
        <w:rPr>
          <w:rFonts w:cs="Times New Roman"/>
          <w:lang w:val="en-GB"/>
        </w:rPr>
        <w:t xml:space="preserve">2001). </w:t>
      </w:r>
      <w:r w:rsidR="00521D7E">
        <w:rPr>
          <w:rFonts w:cs="Times New Roman"/>
          <w:lang w:val="en-GB"/>
        </w:rPr>
        <w:t>Our</w:t>
      </w:r>
      <w:r w:rsidR="004B2FED">
        <w:rPr>
          <w:rFonts w:cs="Times New Roman"/>
          <w:lang w:val="en-GB"/>
        </w:rPr>
        <w:t xml:space="preserve"> </w:t>
      </w:r>
      <w:r w:rsidR="00521D7E">
        <w:rPr>
          <w:rFonts w:cs="Times New Roman"/>
          <w:lang w:val="en-GB"/>
        </w:rPr>
        <w:t xml:space="preserve">research </w:t>
      </w:r>
      <w:r>
        <w:rPr>
          <w:rFonts w:cs="Times New Roman"/>
          <w:lang w:val="en-GB"/>
        </w:rPr>
        <w:t>is relevant</w:t>
      </w:r>
      <w:r w:rsidR="004B2FED">
        <w:rPr>
          <w:rFonts w:cs="Times New Roman"/>
          <w:lang w:val="en-GB"/>
        </w:rPr>
        <w:t xml:space="preserve"> </w:t>
      </w:r>
      <w:r w:rsidR="00521D7E">
        <w:rPr>
          <w:rFonts w:cs="Times New Roman"/>
          <w:lang w:val="en-GB"/>
        </w:rPr>
        <w:t>to settings beyond the IASB</w:t>
      </w:r>
      <w:r>
        <w:rPr>
          <w:rFonts w:cs="Times New Roman"/>
          <w:lang w:val="en-GB"/>
        </w:rPr>
        <w:t>, and responds to</w:t>
      </w:r>
      <w:r w:rsidR="004B2FED">
        <w:rPr>
          <w:rFonts w:cs="Times New Roman"/>
          <w:lang w:val="en-GB"/>
        </w:rPr>
        <w:t xml:space="preserve"> </w:t>
      </w:r>
      <w:r w:rsidR="00E60CA9">
        <w:rPr>
          <w:rFonts w:cs="Times New Roman"/>
          <w:lang w:val="en-GB"/>
        </w:rPr>
        <w:t xml:space="preserve">calls for </w:t>
      </w:r>
      <w:r>
        <w:rPr>
          <w:rFonts w:cs="Times New Roman"/>
          <w:lang w:val="en-GB"/>
        </w:rPr>
        <w:t>further study in the field of</w:t>
      </w:r>
      <w:r w:rsidR="004B2FED">
        <w:rPr>
          <w:rFonts w:cs="Times New Roman"/>
          <w:lang w:val="en-GB"/>
        </w:rPr>
        <w:t xml:space="preserve"> transnational governance (</w:t>
      </w:r>
      <w:r w:rsidR="0066687E">
        <w:rPr>
          <w:rFonts w:cs="Times New Roman"/>
          <w:lang w:val="en-GB"/>
        </w:rPr>
        <w:t xml:space="preserve">Black, 2008; </w:t>
      </w:r>
      <w:r w:rsidR="004B2FED">
        <w:rPr>
          <w:rFonts w:cs="Times New Roman"/>
          <w:lang w:val="en-GB"/>
        </w:rPr>
        <w:t xml:space="preserve">Djelic </w:t>
      </w:r>
      <w:r w:rsidR="007D6EBA">
        <w:rPr>
          <w:rFonts w:cs="Times New Roman"/>
          <w:lang w:val="en-GB"/>
        </w:rPr>
        <w:t>and</w:t>
      </w:r>
      <w:r w:rsidR="004B2FED">
        <w:rPr>
          <w:rFonts w:cs="Times New Roman"/>
          <w:lang w:val="en-GB"/>
        </w:rPr>
        <w:t xml:space="preserve"> Quack, 2011), </w:t>
      </w:r>
      <w:r>
        <w:rPr>
          <w:rFonts w:cs="Times New Roman"/>
          <w:lang w:val="en-GB"/>
        </w:rPr>
        <w:t xml:space="preserve">for </w:t>
      </w:r>
      <w:r w:rsidR="004B2FED">
        <w:rPr>
          <w:rFonts w:cs="Times New Roman"/>
          <w:lang w:val="en-GB"/>
        </w:rPr>
        <w:t xml:space="preserve">work that opens up the </w:t>
      </w:r>
      <w:r w:rsidR="009D5212">
        <w:rPr>
          <w:rFonts w:cs="Times New Roman"/>
          <w:lang w:val="en-GB"/>
        </w:rPr>
        <w:t>“</w:t>
      </w:r>
      <w:r w:rsidR="004B2FED">
        <w:rPr>
          <w:rFonts w:cs="Times New Roman"/>
          <w:lang w:val="en-GB"/>
        </w:rPr>
        <w:t>black</w:t>
      </w:r>
      <w:r>
        <w:rPr>
          <w:rFonts w:cs="Times New Roman"/>
          <w:lang w:val="en-GB"/>
        </w:rPr>
        <w:t xml:space="preserve"> </w:t>
      </w:r>
      <w:r w:rsidR="004B2FED">
        <w:rPr>
          <w:rFonts w:cs="Times New Roman"/>
          <w:lang w:val="en-GB"/>
        </w:rPr>
        <w:t>box</w:t>
      </w:r>
      <w:r w:rsidR="009D5212">
        <w:rPr>
          <w:rFonts w:cs="Times New Roman"/>
          <w:lang w:val="en-GB"/>
        </w:rPr>
        <w:t>”</w:t>
      </w:r>
      <w:r w:rsidR="004B2FED">
        <w:rPr>
          <w:rFonts w:cs="Times New Roman"/>
          <w:lang w:val="en-GB"/>
        </w:rPr>
        <w:t xml:space="preserve"> of standard </w:t>
      </w:r>
      <w:r w:rsidR="00521D7E">
        <w:rPr>
          <w:rFonts w:cs="Times New Roman"/>
          <w:lang w:val="en-GB"/>
        </w:rPr>
        <w:t xml:space="preserve">setting and the </w:t>
      </w:r>
      <w:r>
        <w:rPr>
          <w:rFonts w:cs="Times New Roman"/>
          <w:lang w:val="en-GB"/>
        </w:rPr>
        <w:t xml:space="preserve">roles of </w:t>
      </w:r>
      <w:r w:rsidR="00521D7E">
        <w:rPr>
          <w:rFonts w:cs="Times New Roman"/>
          <w:lang w:val="en-GB"/>
        </w:rPr>
        <w:t>power in this process</w:t>
      </w:r>
      <w:r w:rsidR="004B2FED">
        <w:rPr>
          <w:rFonts w:cs="Times New Roman"/>
          <w:lang w:val="en-GB"/>
        </w:rPr>
        <w:t xml:space="preserve"> (</w:t>
      </w:r>
      <w:r w:rsidR="00521D7E">
        <w:t xml:space="preserve">Hirsch and Lounsbury 2015) and for </w:t>
      </w:r>
      <w:r w:rsidR="00E60CA9">
        <w:t xml:space="preserve">the </w:t>
      </w:r>
      <w:r w:rsidR="00521D7E">
        <w:t>exploration of in</w:t>
      </w:r>
      <w:r>
        <w:t>ternal</w:t>
      </w:r>
      <w:r w:rsidR="00521D7E">
        <w:t xml:space="preserve"> political debates surrounding legitimacy and categorization (</w:t>
      </w:r>
      <w:r w:rsidR="00521D7E" w:rsidRPr="00FC34C7">
        <w:rPr>
          <w:rFonts w:eastAsia="MS Mincho" w:cs="MS Mincho"/>
        </w:rPr>
        <w:t>Durand and Maguire</w:t>
      </w:r>
      <w:r w:rsidR="00521D7E">
        <w:rPr>
          <w:rFonts w:eastAsia="MS Mincho" w:cs="MS Mincho"/>
        </w:rPr>
        <w:t xml:space="preserve">, </w:t>
      </w:r>
      <w:r w:rsidR="00521D7E" w:rsidRPr="00FC34C7">
        <w:rPr>
          <w:rFonts w:eastAsia="MS Mincho" w:cs="MS Mincho"/>
        </w:rPr>
        <w:t>2005</w:t>
      </w:r>
      <w:r w:rsidR="00521D7E">
        <w:rPr>
          <w:rFonts w:eastAsia="MS Mincho" w:cs="MS Mincho"/>
        </w:rPr>
        <w:t xml:space="preserve">; </w:t>
      </w:r>
      <w:r w:rsidR="0066687E">
        <w:rPr>
          <w:rFonts w:eastAsia="MS Mincho" w:cs="MS Mincho"/>
        </w:rPr>
        <w:t xml:space="preserve">Howieson, 2009; </w:t>
      </w:r>
      <w:r w:rsidR="00521D7E">
        <w:rPr>
          <w:rFonts w:eastAsia="MS Mincho" w:cs="MS Mincho"/>
        </w:rPr>
        <w:t>Durand and Thornton</w:t>
      </w:r>
      <w:r w:rsidR="008A67D7">
        <w:rPr>
          <w:rFonts w:eastAsia="MS Mincho" w:cs="MS Mincho"/>
        </w:rPr>
        <w:t>,</w:t>
      </w:r>
      <w:r w:rsidR="00521D7E">
        <w:rPr>
          <w:rFonts w:eastAsia="MS Mincho" w:cs="MS Mincho"/>
        </w:rPr>
        <w:t xml:space="preserve"> </w:t>
      </w:r>
      <w:r w:rsidR="00D96019">
        <w:rPr>
          <w:rFonts w:eastAsia="MS Mincho" w:cs="MS Mincho"/>
        </w:rPr>
        <w:t>2018</w:t>
      </w:r>
      <w:r w:rsidR="006558B1">
        <w:rPr>
          <w:rFonts w:eastAsia="MS Mincho" w:cs="MS Mincho"/>
        </w:rPr>
        <w:t>; Ram and Newberry, 2017</w:t>
      </w:r>
      <w:r w:rsidR="00521D7E">
        <w:rPr>
          <w:rFonts w:eastAsia="MS Mincho" w:cs="MS Mincho"/>
        </w:rPr>
        <w:t xml:space="preserve">). </w:t>
      </w:r>
      <w:r w:rsidR="006558B1">
        <w:rPr>
          <w:rFonts w:eastAsia="MS Mincho" w:cs="MS Mincho"/>
        </w:rPr>
        <w:t>W</w:t>
      </w:r>
      <w:r>
        <w:rPr>
          <w:rFonts w:eastAsia="MS Mincho" w:cs="MS Mincho"/>
        </w:rPr>
        <w:t>e</w:t>
      </w:r>
      <w:r w:rsidR="00D96019">
        <w:rPr>
          <w:rFonts w:eastAsia="MS Mincho" w:cs="MS Mincho"/>
        </w:rPr>
        <w:t xml:space="preserve"> focus on the politics </w:t>
      </w:r>
      <w:r>
        <w:rPr>
          <w:rFonts w:eastAsia="MS Mincho" w:cs="MS Mincho"/>
        </w:rPr>
        <w:t xml:space="preserve">of discursive mechanisms </w:t>
      </w:r>
      <w:r w:rsidR="006558B1">
        <w:rPr>
          <w:rFonts w:eastAsia="MS Mincho" w:cs="MS Mincho"/>
        </w:rPr>
        <w:t xml:space="preserve">as </w:t>
      </w:r>
      <w:r w:rsidR="00D96019">
        <w:rPr>
          <w:rFonts w:eastAsia="MS Mincho" w:cs="MS Mincho"/>
        </w:rPr>
        <w:t>developed by Laclau and Mouffe (2001)</w:t>
      </w:r>
      <w:r w:rsidR="009D5212">
        <w:rPr>
          <w:rFonts w:eastAsia="MS Mincho" w:cs="MS Mincho"/>
        </w:rPr>
        <w:t xml:space="preserve"> to examine </w:t>
      </w:r>
      <w:r w:rsidR="006558B1">
        <w:rPr>
          <w:rFonts w:eastAsia="MS Mincho" w:cs="MS Mincho"/>
        </w:rPr>
        <w:t xml:space="preserve">this </w:t>
      </w:r>
      <w:r w:rsidR="009D5212">
        <w:rPr>
          <w:rFonts w:eastAsia="MS Mincho" w:cs="MS Mincho"/>
        </w:rPr>
        <w:t>internal politics</w:t>
      </w:r>
      <w:r w:rsidR="00E60CA9">
        <w:rPr>
          <w:rFonts w:eastAsia="MS Mincho" w:cs="MS Mincho"/>
        </w:rPr>
        <w:t xml:space="preserve">. </w:t>
      </w:r>
      <w:r w:rsidR="00E60CA9">
        <w:rPr>
          <w:rFonts w:cs="Times New Roman"/>
          <w:lang w:val="en-GB"/>
        </w:rPr>
        <w:t>T</w:t>
      </w:r>
      <w:r w:rsidR="00D96019">
        <w:rPr>
          <w:rFonts w:cs="Times New Roman"/>
          <w:lang w:val="en-GB"/>
        </w:rPr>
        <w:t xml:space="preserve">he deconstruction of these discursive mechanisms </w:t>
      </w:r>
      <w:r>
        <w:rPr>
          <w:rFonts w:cs="Times New Roman"/>
          <w:lang w:val="en-GB"/>
        </w:rPr>
        <w:t>requires us to pay attention to</w:t>
      </w:r>
      <w:r w:rsidR="00811F41">
        <w:rPr>
          <w:rFonts w:cs="Times New Roman"/>
          <w:lang w:val="en-GB"/>
        </w:rPr>
        <w:t xml:space="preserve"> the internal politics of the IASB</w:t>
      </w:r>
      <w:r w:rsidR="006558B1">
        <w:rPr>
          <w:rFonts w:cs="Times New Roman"/>
          <w:lang w:val="en-GB"/>
        </w:rPr>
        <w:t xml:space="preserve"> to help examine the ‘</w:t>
      </w:r>
      <w:r w:rsidR="006558B1" w:rsidRPr="006558B1">
        <w:rPr>
          <w:rFonts w:cs="Times New Roman"/>
          <w:lang w:val="en-GB"/>
        </w:rPr>
        <w:t>power and influence</w:t>
      </w:r>
      <w:r w:rsidR="006558B1">
        <w:rPr>
          <w:rFonts w:cs="Times New Roman"/>
          <w:lang w:val="en-GB"/>
        </w:rPr>
        <w:t xml:space="preserve">’ of key actors within the IASB in relation to key decision moments within the development of </w:t>
      </w:r>
      <w:r w:rsidR="006558B1" w:rsidRPr="006558B1">
        <w:rPr>
          <w:rFonts w:cs="Times New Roman"/>
          <w:i/>
          <w:lang w:val="en-GB"/>
        </w:rPr>
        <w:t>IFRS for SMEs</w:t>
      </w:r>
      <w:r w:rsidR="004B2FED">
        <w:t>.</w:t>
      </w:r>
      <w:r w:rsidR="004B2FED">
        <w:rPr>
          <w:rFonts w:cs="Times New Roman"/>
          <w:lang w:val="en-GB"/>
        </w:rPr>
        <w:t xml:space="preserve"> </w:t>
      </w:r>
    </w:p>
    <w:p w14:paraId="101C4721" w14:textId="27E1654D" w:rsidR="003E351A" w:rsidRDefault="003E351A" w:rsidP="008456E4">
      <w:pPr>
        <w:jc w:val="both"/>
        <w:rPr>
          <w:rFonts w:cs="Times New Roman"/>
          <w:lang w:val="en-GB"/>
        </w:rPr>
      </w:pPr>
    </w:p>
    <w:p w14:paraId="0A2F63DC" w14:textId="0591F665" w:rsidR="006558B1" w:rsidRDefault="006558B1" w:rsidP="00D50ADB">
      <w:pPr>
        <w:jc w:val="both"/>
        <w:rPr>
          <w:rFonts w:cs="Times New Roman"/>
          <w:lang w:val="en-GB"/>
        </w:rPr>
      </w:pPr>
      <w:r>
        <w:rPr>
          <w:rFonts w:cs="Times New Roman"/>
          <w:lang w:val="en-GB"/>
        </w:rPr>
        <w:t xml:space="preserve">While our work examines the internal debates central to key decision moments, </w:t>
      </w:r>
      <w:r w:rsidRPr="003B65BA">
        <w:rPr>
          <w:rFonts w:cs="Times New Roman"/>
          <w:i/>
          <w:lang w:val="en-GB"/>
        </w:rPr>
        <w:t>IFRS for SMEs</w:t>
      </w:r>
      <w:r>
        <w:rPr>
          <w:rFonts w:cs="Times New Roman"/>
          <w:lang w:val="en-GB"/>
        </w:rPr>
        <w:t xml:space="preserve"> is subject to research from </w:t>
      </w:r>
      <w:r w:rsidR="008A67D7">
        <w:rPr>
          <w:rFonts w:cs="Times New Roman"/>
          <w:lang w:val="en-GB"/>
        </w:rPr>
        <w:t>various</w:t>
      </w:r>
      <w:r>
        <w:rPr>
          <w:rFonts w:cs="Times New Roman"/>
          <w:lang w:val="en-GB"/>
        </w:rPr>
        <w:t xml:space="preserve"> directions. One stream focuses on how </w:t>
      </w:r>
      <w:r w:rsidR="000B5527" w:rsidRPr="00EF5813">
        <w:rPr>
          <w:rFonts w:cs="Times New Roman"/>
          <w:i/>
          <w:lang w:val="en-GB"/>
        </w:rPr>
        <w:t>IFRS for SMEs</w:t>
      </w:r>
      <w:r>
        <w:rPr>
          <w:rFonts w:cs="Times New Roman"/>
          <w:i/>
          <w:lang w:val="en-GB"/>
        </w:rPr>
        <w:t xml:space="preserve"> </w:t>
      </w:r>
      <w:r w:rsidR="006D4EA9">
        <w:rPr>
          <w:rFonts w:cs="Times New Roman"/>
          <w:iCs/>
          <w:lang w:val="en-GB"/>
        </w:rPr>
        <w:t>“</w:t>
      </w:r>
      <w:r w:rsidR="000B5527">
        <w:rPr>
          <w:rFonts w:cs="Times New Roman"/>
          <w:lang w:val="en-GB"/>
        </w:rPr>
        <w:t>fits</w:t>
      </w:r>
      <w:r w:rsidR="006D4EA9">
        <w:rPr>
          <w:rFonts w:cs="Times New Roman"/>
          <w:lang w:val="en-GB"/>
        </w:rPr>
        <w:t>”</w:t>
      </w:r>
      <w:r w:rsidR="000B5527">
        <w:rPr>
          <w:rFonts w:cs="Times New Roman"/>
          <w:lang w:val="en-GB"/>
        </w:rPr>
        <w:t xml:space="preserve"> in</w:t>
      </w:r>
      <w:r>
        <w:rPr>
          <w:rFonts w:cs="Times New Roman"/>
          <w:lang w:val="en-GB"/>
        </w:rPr>
        <w:t xml:space="preserve">to </w:t>
      </w:r>
      <w:r w:rsidR="000B5527">
        <w:rPr>
          <w:rFonts w:cs="Times New Roman"/>
          <w:lang w:val="en-GB"/>
        </w:rPr>
        <w:t>particular contexts (for e.g</w:t>
      </w:r>
      <w:r w:rsidR="000B5527" w:rsidRPr="00BB2ED5">
        <w:rPr>
          <w:rFonts w:cs="Times New Roman"/>
          <w:lang w:val="en-GB"/>
        </w:rPr>
        <w:t xml:space="preserve">. </w:t>
      </w:r>
      <w:r w:rsidR="000B5527" w:rsidRPr="00CB0B22">
        <w:t xml:space="preserve">Quagli </w:t>
      </w:r>
      <w:r w:rsidR="0066687E">
        <w:t>and</w:t>
      </w:r>
      <w:r w:rsidR="0066687E" w:rsidRPr="00CB0B22">
        <w:t xml:space="preserve"> </w:t>
      </w:r>
      <w:r w:rsidR="000B5527" w:rsidRPr="00CB0B22">
        <w:t xml:space="preserve">Paoloni, 2012; Albu </w:t>
      </w:r>
      <w:r w:rsidR="000B5527" w:rsidRPr="003B65BA">
        <w:rPr>
          <w:i/>
        </w:rPr>
        <w:t>et al.,</w:t>
      </w:r>
      <w:r w:rsidR="000B5527" w:rsidRPr="00CB0B22">
        <w:t xml:space="preserve"> 2013; Uyar </w:t>
      </w:r>
      <w:r w:rsidR="003B65BA">
        <w:t>and</w:t>
      </w:r>
      <w:r w:rsidR="000B5527" w:rsidRPr="00CB0B22">
        <w:t xml:space="preserve"> Güngörmüs, 2013</w:t>
      </w:r>
      <w:r w:rsidR="000B5527">
        <w:t xml:space="preserve">). </w:t>
      </w:r>
      <w:r>
        <w:t xml:space="preserve">Other research examines how emerging economies were limited or excluded from the development of the </w:t>
      </w:r>
      <w:r w:rsidRPr="006558B1">
        <w:rPr>
          <w:i/>
        </w:rPr>
        <w:t>IFRS for SMEs</w:t>
      </w:r>
      <w:r w:rsidRPr="008A67D7">
        <w:rPr>
          <w:iCs/>
        </w:rPr>
        <w:t xml:space="preserve">: </w:t>
      </w:r>
      <w:r w:rsidR="003E351A" w:rsidRPr="00E176CF">
        <w:rPr>
          <w:rFonts w:cs="Times New Roman"/>
          <w:lang w:val="en-GB"/>
        </w:rPr>
        <w:t xml:space="preserve">Fearnley </w:t>
      </w:r>
      <w:r w:rsidR="003E351A">
        <w:rPr>
          <w:rFonts w:cs="Times New Roman"/>
          <w:lang w:val="en-GB"/>
        </w:rPr>
        <w:t>and</w:t>
      </w:r>
      <w:r w:rsidR="003E351A" w:rsidRPr="00E176CF">
        <w:rPr>
          <w:rFonts w:cs="Times New Roman"/>
          <w:lang w:val="en-GB"/>
        </w:rPr>
        <w:t xml:space="preserve"> Hines (2007) critique the </w:t>
      </w:r>
      <w:r>
        <w:rPr>
          <w:rFonts w:cs="Times New Roman"/>
          <w:lang w:val="en-GB"/>
        </w:rPr>
        <w:t xml:space="preserve">IASB’s approach for </w:t>
      </w:r>
      <w:r w:rsidRPr="006558B1">
        <w:rPr>
          <w:rFonts w:cs="Times New Roman"/>
          <w:i/>
          <w:lang w:val="en-GB"/>
        </w:rPr>
        <w:t>IFRS for SMEs</w:t>
      </w:r>
      <w:r>
        <w:rPr>
          <w:rFonts w:cs="Times New Roman"/>
          <w:lang w:val="en-GB"/>
        </w:rPr>
        <w:t xml:space="preserve"> as </w:t>
      </w:r>
      <w:r w:rsidR="003B65BA">
        <w:rPr>
          <w:rFonts w:cs="Times New Roman"/>
          <w:lang w:val="en-GB"/>
        </w:rPr>
        <w:t>“</w:t>
      </w:r>
      <w:r w:rsidR="003E351A" w:rsidRPr="00E176CF">
        <w:rPr>
          <w:rFonts w:cs="Times New Roman"/>
          <w:lang w:val="en-GB"/>
        </w:rPr>
        <w:t>top-down</w:t>
      </w:r>
      <w:r w:rsidR="003B65BA">
        <w:rPr>
          <w:rFonts w:cs="Times New Roman"/>
          <w:lang w:val="en-GB"/>
        </w:rPr>
        <w:t>”</w:t>
      </w:r>
      <w:r>
        <w:rPr>
          <w:rFonts w:cs="Times New Roman"/>
          <w:lang w:val="en-GB"/>
        </w:rPr>
        <w:t xml:space="preserve">, while </w:t>
      </w:r>
      <w:r w:rsidR="003E351A" w:rsidRPr="00E176CF">
        <w:rPr>
          <w:rFonts w:cs="Times New Roman"/>
          <w:lang w:val="en-GB"/>
        </w:rPr>
        <w:t xml:space="preserve">Ram </w:t>
      </w:r>
      <w:r w:rsidR="003E351A">
        <w:rPr>
          <w:rFonts w:cs="Times New Roman"/>
          <w:lang w:val="en-GB"/>
        </w:rPr>
        <w:t>and</w:t>
      </w:r>
      <w:r w:rsidR="003E351A" w:rsidRPr="00E176CF">
        <w:rPr>
          <w:rFonts w:cs="Times New Roman"/>
          <w:lang w:val="en-GB"/>
        </w:rPr>
        <w:t xml:space="preserve"> Newberry (2013) and Devi </w:t>
      </w:r>
      <w:r w:rsidR="003E351A">
        <w:rPr>
          <w:rFonts w:cs="Times New Roman"/>
          <w:lang w:val="en-GB"/>
        </w:rPr>
        <w:lastRenderedPageBreak/>
        <w:t>and</w:t>
      </w:r>
      <w:r w:rsidR="003E351A" w:rsidRPr="00E176CF">
        <w:rPr>
          <w:rFonts w:cs="Times New Roman"/>
          <w:lang w:val="en-GB"/>
        </w:rPr>
        <w:t xml:space="preserve"> Samujh (2015) illustrate the exclusion of emerging economies from the IASB</w:t>
      </w:r>
      <w:r w:rsidR="003E351A">
        <w:rPr>
          <w:rFonts w:cs="Times New Roman"/>
          <w:lang w:val="en-GB"/>
        </w:rPr>
        <w:t>’</w:t>
      </w:r>
      <w:r w:rsidR="003E351A" w:rsidRPr="00E176CF">
        <w:rPr>
          <w:rFonts w:cs="Times New Roman"/>
          <w:lang w:val="en-GB"/>
        </w:rPr>
        <w:t>s due process</w:t>
      </w:r>
      <w:r w:rsidR="003E351A">
        <w:rPr>
          <w:rFonts w:cs="Times New Roman"/>
          <w:lang w:val="en-GB"/>
        </w:rPr>
        <w:t>. T</w:t>
      </w:r>
      <w:r w:rsidR="003E351A" w:rsidRPr="00E176CF">
        <w:rPr>
          <w:rFonts w:cs="Times New Roman"/>
          <w:lang w:val="en-GB"/>
        </w:rPr>
        <w:t xml:space="preserve">hese papers challenge the exclusion of interested parties </w:t>
      </w:r>
      <w:r w:rsidR="003E351A">
        <w:rPr>
          <w:rFonts w:cs="Times New Roman"/>
          <w:lang w:val="en-GB"/>
        </w:rPr>
        <w:t>and</w:t>
      </w:r>
      <w:r w:rsidR="003E351A">
        <w:rPr>
          <w:rFonts w:cs="Times New Roman"/>
          <w:i/>
          <w:lang w:val="en-GB"/>
        </w:rPr>
        <w:t xml:space="preserve"> </w:t>
      </w:r>
      <w:r w:rsidR="003E351A" w:rsidRPr="00E176CF">
        <w:rPr>
          <w:rFonts w:cs="Times New Roman"/>
          <w:lang w:val="en-GB"/>
        </w:rPr>
        <w:t xml:space="preserve">the </w:t>
      </w:r>
      <w:r w:rsidR="003E351A">
        <w:rPr>
          <w:rFonts w:cs="Times New Roman"/>
          <w:lang w:val="en-GB"/>
        </w:rPr>
        <w:t>extent to which</w:t>
      </w:r>
      <w:r w:rsidR="003E351A" w:rsidRPr="00E176CF">
        <w:rPr>
          <w:rFonts w:cs="Times New Roman"/>
          <w:lang w:val="en-GB"/>
        </w:rPr>
        <w:t xml:space="preserve"> the standard</w:t>
      </w:r>
      <w:r w:rsidR="003E351A">
        <w:rPr>
          <w:rFonts w:cs="Times New Roman"/>
          <w:lang w:val="en-GB"/>
        </w:rPr>
        <w:t xml:space="preserve"> represents the views of all constituencies</w:t>
      </w:r>
      <w:r w:rsidR="003E351A" w:rsidRPr="00E176CF">
        <w:rPr>
          <w:rFonts w:cs="Times New Roman"/>
          <w:lang w:val="en-GB"/>
        </w:rPr>
        <w:t xml:space="preserve">. Perera </w:t>
      </w:r>
      <w:r w:rsidR="003E351A">
        <w:rPr>
          <w:rFonts w:cs="Times New Roman"/>
          <w:lang w:val="en-GB"/>
        </w:rPr>
        <w:t>and</w:t>
      </w:r>
      <w:r w:rsidR="003E351A" w:rsidRPr="00E176CF">
        <w:rPr>
          <w:rFonts w:cs="Times New Roman"/>
          <w:lang w:val="en-GB"/>
        </w:rPr>
        <w:t xml:space="preserve"> Chand (2015) identify implementation issues focusing on the injustice of grouping micro-, small- and medium</w:t>
      </w:r>
      <w:r w:rsidR="003E351A">
        <w:rPr>
          <w:rFonts w:cs="Times New Roman"/>
          <w:lang w:val="en-GB"/>
        </w:rPr>
        <w:t>-sized</w:t>
      </w:r>
      <w:r w:rsidR="003E351A" w:rsidRPr="00E176CF">
        <w:rPr>
          <w:rFonts w:cs="Times New Roman"/>
          <w:lang w:val="en-GB"/>
        </w:rPr>
        <w:t xml:space="preserve"> entities due to the costs and burdens imposed upon </w:t>
      </w:r>
      <w:r w:rsidR="003E351A">
        <w:rPr>
          <w:rFonts w:cs="Times New Roman"/>
          <w:lang w:val="en-GB"/>
        </w:rPr>
        <w:t>adopting</w:t>
      </w:r>
      <w:r w:rsidR="003E351A" w:rsidRPr="00E176CF">
        <w:rPr>
          <w:rFonts w:cs="Times New Roman"/>
          <w:lang w:val="en-GB"/>
        </w:rPr>
        <w:t xml:space="preserve"> entities.</w:t>
      </w:r>
      <w:r w:rsidR="003E351A">
        <w:rPr>
          <w:rFonts w:cs="Times New Roman"/>
          <w:lang w:val="en-GB"/>
        </w:rPr>
        <w:t xml:space="preserve"> The IASB attempted to address these issues by publishing a guide for micro-entities in applying </w:t>
      </w:r>
      <w:r w:rsidR="003E351A" w:rsidRPr="0004241E">
        <w:rPr>
          <w:rFonts w:cs="Times New Roman"/>
          <w:i/>
          <w:lang w:val="en-GB"/>
        </w:rPr>
        <w:t>IFRS for SMEs</w:t>
      </w:r>
      <w:r w:rsidR="003E351A">
        <w:rPr>
          <w:rFonts w:cs="Times New Roman"/>
          <w:lang w:val="en-GB"/>
        </w:rPr>
        <w:t xml:space="preserve"> (the </w:t>
      </w:r>
      <w:r w:rsidR="003B65BA">
        <w:rPr>
          <w:rFonts w:cs="Times New Roman"/>
          <w:lang w:val="en-GB"/>
        </w:rPr>
        <w:t>“</w:t>
      </w:r>
      <w:r w:rsidR="003E351A">
        <w:rPr>
          <w:rFonts w:cs="Times New Roman"/>
          <w:lang w:val="en-GB"/>
        </w:rPr>
        <w:t>micro-guide</w:t>
      </w:r>
      <w:r w:rsidR="003B65BA">
        <w:rPr>
          <w:rFonts w:cs="Times New Roman"/>
          <w:lang w:val="en-GB"/>
        </w:rPr>
        <w:t>”</w:t>
      </w:r>
      <w:r w:rsidR="003E351A">
        <w:rPr>
          <w:rFonts w:cs="Times New Roman"/>
          <w:lang w:val="en-GB"/>
        </w:rPr>
        <w:t xml:space="preserve">), but this in itself can be seen as a political move by the IASB. </w:t>
      </w:r>
    </w:p>
    <w:p w14:paraId="25623FD6" w14:textId="77777777" w:rsidR="006558B1" w:rsidRDefault="006558B1" w:rsidP="00D50ADB">
      <w:pPr>
        <w:jc w:val="both"/>
        <w:rPr>
          <w:rFonts w:cs="Times New Roman"/>
          <w:lang w:val="en-GB"/>
        </w:rPr>
      </w:pPr>
    </w:p>
    <w:p w14:paraId="30A9969C" w14:textId="1906E8B1" w:rsidR="003E351A" w:rsidRDefault="006558B1" w:rsidP="00D50ADB">
      <w:pPr>
        <w:jc w:val="both"/>
        <w:rPr>
          <w:rFonts w:cs="Times New Roman"/>
          <w:lang w:val="en-GB"/>
        </w:rPr>
      </w:pPr>
      <w:r>
        <w:rPr>
          <w:rFonts w:cs="Times New Roman"/>
          <w:lang w:val="en-GB"/>
        </w:rPr>
        <w:t xml:space="preserve">Thus, in the </w:t>
      </w:r>
      <w:r w:rsidRPr="006558B1">
        <w:rPr>
          <w:rFonts w:cs="Times New Roman"/>
          <w:i/>
          <w:lang w:val="en-GB"/>
        </w:rPr>
        <w:t>IFRS for SMEs</w:t>
      </w:r>
      <w:r>
        <w:rPr>
          <w:rFonts w:cs="Times New Roman"/>
          <w:lang w:val="en-GB"/>
        </w:rPr>
        <w:t xml:space="preserve"> context, limited research explores the </w:t>
      </w:r>
      <w:r w:rsidR="00811F41">
        <w:rPr>
          <w:rFonts w:cs="Times New Roman"/>
          <w:lang w:val="en-GB"/>
        </w:rPr>
        <w:t>debates internal to the IASB</w:t>
      </w:r>
      <w:r w:rsidR="009664D3">
        <w:rPr>
          <w:rFonts w:cs="Times New Roman"/>
          <w:lang w:val="en-GB"/>
        </w:rPr>
        <w:t xml:space="preserve"> </w:t>
      </w:r>
      <w:r>
        <w:rPr>
          <w:rFonts w:cs="Times New Roman"/>
          <w:lang w:val="en-GB"/>
        </w:rPr>
        <w:t xml:space="preserve">in developing the standard. </w:t>
      </w:r>
      <w:r w:rsidR="00FE1A35" w:rsidRPr="006558B1">
        <w:rPr>
          <w:rFonts w:cs="Times New Roman"/>
          <w:lang w:val="en-GB"/>
        </w:rPr>
        <w:t xml:space="preserve">Camfferman </w:t>
      </w:r>
      <w:r w:rsidR="0066687E">
        <w:rPr>
          <w:rFonts w:cs="Times New Roman"/>
          <w:lang w:val="en-GB"/>
        </w:rPr>
        <w:t>and</w:t>
      </w:r>
      <w:r w:rsidR="0066687E" w:rsidRPr="006558B1">
        <w:rPr>
          <w:rFonts w:cs="Times New Roman"/>
          <w:lang w:val="en-GB"/>
        </w:rPr>
        <w:t xml:space="preserve"> </w:t>
      </w:r>
      <w:r w:rsidR="00FE1A35" w:rsidRPr="006558B1">
        <w:rPr>
          <w:rFonts w:cs="Times New Roman"/>
          <w:lang w:val="en-GB"/>
        </w:rPr>
        <w:t>Zeff (2015)</w:t>
      </w:r>
      <w:r w:rsidR="00FE1A35">
        <w:rPr>
          <w:rFonts w:cs="Times New Roman"/>
          <w:lang w:val="en-GB"/>
        </w:rPr>
        <w:t xml:space="preserve"> provide an historical context fo</w:t>
      </w:r>
      <w:r w:rsidR="009D5CE6">
        <w:rPr>
          <w:rFonts w:cs="Times New Roman"/>
          <w:lang w:val="en-GB"/>
        </w:rPr>
        <w:t>r</w:t>
      </w:r>
      <w:r w:rsidR="00FE1A35">
        <w:rPr>
          <w:rFonts w:cs="Times New Roman"/>
          <w:lang w:val="en-GB"/>
        </w:rPr>
        <w:t xml:space="preserve"> the </w:t>
      </w:r>
      <w:r w:rsidRPr="006558B1">
        <w:rPr>
          <w:rFonts w:cs="Times New Roman"/>
          <w:lang w:val="en-GB"/>
        </w:rPr>
        <w:t>development of the standard</w:t>
      </w:r>
      <w:r w:rsidR="00FE1A35">
        <w:rPr>
          <w:rFonts w:cs="Times New Roman"/>
          <w:lang w:val="en-GB"/>
        </w:rPr>
        <w:t xml:space="preserve">, within a contextual understanding of the </w:t>
      </w:r>
      <w:r w:rsidRPr="006558B1">
        <w:rPr>
          <w:rFonts w:cs="Times New Roman"/>
          <w:lang w:val="en-GB"/>
        </w:rPr>
        <w:t>IASB</w:t>
      </w:r>
      <w:r w:rsidR="009664D3">
        <w:rPr>
          <w:rFonts w:cs="Times New Roman"/>
          <w:lang w:val="en-GB"/>
        </w:rPr>
        <w:t xml:space="preserve">. </w:t>
      </w:r>
      <w:r w:rsidR="00FE1A35">
        <w:rPr>
          <w:rFonts w:cs="Times New Roman"/>
          <w:lang w:val="en-GB"/>
        </w:rPr>
        <w:t xml:space="preserve">A valuable paper for us is </w:t>
      </w:r>
      <w:r w:rsidR="004A3EBC" w:rsidRPr="00CB0B22">
        <w:rPr>
          <w:rFonts w:cs="Times New Roman"/>
          <w:lang w:val="en-GB"/>
        </w:rPr>
        <w:t xml:space="preserve">Ram </w:t>
      </w:r>
      <w:r w:rsidR="0066687E">
        <w:rPr>
          <w:rFonts w:cs="Times New Roman"/>
          <w:lang w:val="en-GB"/>
        </w:rPr>
        <w:t>and</w:t>
      </w:r>
      <w:r w:rsidR="0066687E" w:rsidRPr="00CB0B22">
        <w:rPr>
          <w:rFonts w:cs="Times New Roman"/>
          <w:lang w:val="en-GB"/>
        </w:rPr>
        <w:t xml:space="preserve"> </w:t>
      </w:r>
      <w:r w:rsidR="004A3EBC" w:rsidRPr="00CB0B22">
        <w:rPr>
          <w:rFonts w:cs="Times New Roman"/>
          <w:lang w:val="en-GB"/>
        </w:rPr>
        <w:t>Newberry (2017</w:t>
      </w:r>
      <w:r w:rsidR="004A3EBC" w:rsidRPr="00BB2ED5">
        <w:rPr>
          <w:rFonts w:cs="Times New Roman"/>
          <w:lang w:val="en-GB"/>
        </w:rPr>
        <w:t>)</w:t>
      </w:r>
      <w:r w:rsidR="00FE1A35" w:rsidRPr="00BB2ED5">
        <w:rPr>
          <w:rFonts w:cs="Times New Roman"/>
          <w:lang w:val="en-GB"/>
        </w:rPr>
        <w:t>’s</w:t>
      </w:r>
      <w:r w:rsidR="004A3EBC">
        <w:rPr>
          <w:rFonts w:cs="Times New Roman"/>
          <w:lang w:val="en-GB"/>
        </w:rPr>
        <w:t xml:space="preserve"> </w:t>
      </w:r>
      <w:r w:rsidR="00D929F8">
        <w:rPr>
          <w:rFonts w:cs="Times New Roman"/>
          <w:lang w:val="en-GB"/>
        </w:rPr>
        <w:t>examination of</w:t>
      </w:r>
      <w:r w:rsidR="004A3EBC">
        <w:rPr>
          <w:rFonts w:cs="Times New Roman"/>
          <w:lang w:val="en-GB"/>
        </w:rPr>
        <w:t xml:space="preserve"> </w:t>
      </w:r>
      <w:r w:rsidR="00FE1A35" w:rsidRPr="00FE1A35">
        <w:rPr>
          <w:rFonts w:cs="Times New Roman"/>
          <w:i/>
          <w:lang w:val="en-GB"/>
        </w:rPr>
        <w:t>IFRS for SMEs</w:t>
      </w:r>
      <w:r w:rsidR="00FE1A35">
        <w:rPr>
          <w:rFonts w:cs="Times New Roman"/>
          <w:lang w:val="en-GB"/>
        </w:rPr>
        <w:t xml:space="preserve"> from an </w:t>
      </w:r>
      <w:r w:rsidR="004A3EBC">
        <w:rPr>
          <w:rFonts w:cs="Times New Roman"/>
          <w:lang w:val="en-GB"/>
        </w:rPr>
        <w:t xml:space="preserve">agenda entrance </w:t>
      </w:r>
      <w:r w:rsidR="00FE1A35">
        <w:rPr>
          <w:rFonts w:cs="Times New Roman"/>
          <w:lang w:val="en-GB"/>
        </w:rPr>
        <w:t xml:space="preserve">perspective. </w:t>
      </w:r>
      <w:r w:rsidR="00D929F8">
        <w:rPr>
          <w:rFonts w:cs="Times New Roman"/>
          <w:lang w:val="en-GB"/>
        </w:rPr>
        <w:t>T</w:t>
      </w:r>
      <w:r w:rsidR="004A3EBC">
        <w:rPr>
          <w:rFonts w:cs="Times New Roman"/>
          <w:lang w:val="en-GB"/>
        </w:rPr>
        <w:t xml:space="preserve">he way that the </w:t>
      </w:r>
      <w:r w:rsidR="00FE1A35" w:rsidRPr="00FE1A35">
        <w:rPr>
          <w:rFonts w:cs="Times New Roman"/>
          <w:i/>
          <w:lang w:val="en-GB"/>
        </w:rPr>
        <w:t>IFRS for SMEs</w:t>
      </w:r>
      <w:r w:rsidR="00FE1A35">
        <w:rPr>
          <w:rFonts w:cs="Times New Roman"/>
          <w:lang w:val="en-GB"/>
        </w:rPr>
        <w:t xml:space="preserve"> </w:t>
      </w:r>
      <w:r w:rsidR="004A3EBC">
        <w:rPr>
          <w:rFonts w:cs="Times New Roman"/>
          <w:lang w:val="en-GB"/>
        </w:rPr>
        <w:t xml:space="preserve">project entered the </w:t>
      </w:r>
      <w:r w:rsidR="00D929F8">
        <w:rPr>
          <w:rFonts w:cs="Times New Roman"/>
          <w:lang w:val="en-GB"/>
        </w:rPr>
        <w:t xml:space="preserve">IASB’s </w:t>
      </w:r>
      <w:r w:rsidR="004A3EBC">
        <w:rPr>
          <w:rFonts w:cs="Times New Roman"/>
          <w:lang w:val="en-GB"/>
        </w:rPr>
        <w:t xml:space="preserve">agenda </w:t>
      </w:r>
      <w:r w:rsidR="00D929F8">
        <w:rPr>
          <w:rFonts w:cs="Times New Roman"/>
          <w:lang w:val="en-GB"/>
        </w:rPr>
        <w:t xml:space="preserve">defines and </w:t>
      </w:r>
      <w:r w:rsidR="00FE1A35">
        <w:rPr>
          <w:rFonts w:cs="Times New Roman"/>
          <w:lang w:val="en-GB"/>
        </w:rPr>
        <w:t xml:space="preserve">constrains the tensions that manifest </w:t>
      </w:r>
      <w:r w:rsidR="004A3EBC">
        <w:rPr>
          <w:rFonts w:cs="Times New Roman"/>
          <w:lang w:val="en-GB"/>
        </w:rPr>
        <w:t xml:space="preserve">in the definition </w:t>
      </w:r>
      <w:r w:rsidR="00D929F8">
        <w:rPr>
          <w:rFonts w:cs="Times New Roman"/>
          <w:lang w:val="en-GB"/>
        </w:rPr>
        <w:t>and in how</w:t>
      </w:r>
      <w:r w:rsidR="004A3EBC">
        <w:rPr>
          <w:rFonts w:cs="Times New Roman"/>
          <w:lang w:val="en-GB"/>
        </w:rPr>
        <w:t xml:space="preserve"> debate materialised in the daily workings of the IASB</w:t>
      </w:r>
      <w:r w:rsidR="00D929F8">
        <w:rPr>
          <w:rFonts w:cs="Times New Roman"/>
          <w:lang w:val="en-GB"/>
        </w:rPr>
        <w:t>.</w:t>
      </w:r>
      <w:r w:rsidR="00FE1A35">
        <w:rPr>
          <w:rFonts w:cs="Times New Roman"/>
          <w:lang w:val="en-GB"/>
        </w:rPr>
        <w:t xml:space="preserve"> The form of politics we are interested in is depicted in statements such as: </w:t>
      </w:r>
      <w:r w:rsidR="003E351A">
        <w:rPr>
          <w:rFonts w:cs="Times New Roman"/>
          <w:lang w:val="en-GB"/>
        </w:rPr>
        <w:t xml:space="preserve"> </w:t>
      </w:r>
    </w:p>
    <w:p w14:paraId="2B9941F4" w14:textId="77777777" w:rsidR="003E351A" w:rsidRDefault="003E351A" w:rsidP="00D50ADB">
      <w:pPr>
        <w:jc w:val="both"/>
        <w:rPr>
          <w:rFonts w:cs="Times New Roman"/>
          <w:lang w:val="en-GB"/>
        </w:rPr>
      </w:pPr>
    </w:p>
    <w:p w14:paraId="3B0DEC80" w14:textId="39198779" w:rsidR="003E351A" w:rsidRPr="00FE1A35" w:rsidRDefault="00FE1A35" w:rsidP="00FE1A35">
      <w:pPr>
        <w:ind w:left="720" w:right="720"/>
        <w:jc w:val="both"/>
        <w:rPr>
          <w:rFonts w:eastAsia="Times New Roman" w:cstheme="minorHAnsi"/>
          <w:sz w:val="20"/>
          <w:szCs w:val="20"/>
          <w:lang w:val="en-GB"/>
        </w:rPr>
      </w:pPr>
      <w:r>
        <w:rPr>
          <w:rFonts w:eastAsia="Times New Roman" w:cstheme="minorHAnsi"/>
          <w:sz w:val="20"/>
          <w:szCs w:val="20"/>
          <w:lang w:val="en-GB"/>
        </w:rPr>
        <w:t>[</w:t>
      </w:r>
      <w:r w:rsidR="00D929F8">
        <w:rPr>
          <w:rFonts w:eastAsia="Times New Roman" w:cstheme="minorHAnsi"/>
          <w:sz w:val="20"/>
          <w:szCs w:val="20"/>
          <w:lang w:val="en-GB"/>
        </w:rPr>
        <w:t>T</w:t>
      </w:r>
      <w:r>
        <w:rPr>
          <w:rFonts w:eastAsia="Times New Roman" w:cstheme="minorHAnsi"/>
          <w:sz w:val="20"/>
          <w:szCs w:val="20"/>
          <w:lang w:val="en-GB"/>
        </w:rPr>
        <w:t xml:space="preserve">he research] </w:t>
      </w:r>
      <w:r w:rsidR="003E351A" w:rsidRPr="00FE1A35">
        <w:rPr>
          <w:rFonts w:eastAsia="Times New Roman" w:cstheme="minorHAnsi"/>
          <w:sz w:val="20"/>
          <w:szCs w:val="20"/>
          <w:lang w:val="en-GB"/>
        </w:rPr>
        <w:t>demonstrates the differences in power between key board members who wanted the SME project on the IASB’s standard-setting agenda, and technical staff who held reservations about that</w:t>
      </w:r>
      <w:r w:rsidR="00D929F8">
        <w:rPr>
          <w:rFonts w:eastAsia="Times New Roman" w:cstheme="minorHAnsi"/>
          <w:sz w:val="20"/>
          <w:szCs w:val="20"/>
          <w:lang w:val="en-GB"/>
        </w:rPr>
        <w:t>.</w:t>
      </w:r>
      <w:r w:rsidR="003E351A" w:rsidRPr="00FE1A35">
        <w:rPr>
          <w:rFonts w:eastAsia="Times New Roman" w:cstheme="minorHAnsi"/>
          <w:sz w:val="20"/>
          <w:szCs w:val="20"/>
          <w:lang w:val="en-GB"/>
        </w:rPr>
        <w:t xml:space="preserve"> (Ram </w:t>
      </w:r>
      <w:r w:rsidR="0066687E">
        <w:rPr>
          <w:rFonts w:eastAsia="Times New Roman" w:cstheme="minorHAnsi"/>
          <w:sz w:val="20"/>
          <w:szCs w:val="20"/>
          <w:lang w:val="en-GB"/>
        </w:rPr>
        <w:t>and</w:t>
      </w:r>
      <w:r w:rsidR="0066687E" w:rsidRPr="00FE1A35">
        <w:rPr>
          <w:rFonts w:eastAsia="Times New Roman" w:cstheme="minorHAnsi"/>
          <w:sz w:val="20"/>
          <w:szCs w:val="20"/>
          <w:lang w:val="en-GB"/>
        </w:rPr>
        <w:t xml:space="preserve"> </w:t>
      </w:r>
      <w:r w:rsidR="003E351A" w:rsidRPr="00FE1A35">
        <w:rPr>
          <w:rFonts w:eastAsia="Times New Roman" w:cstheme="minorHAnsi"/>
          <w:sz w:val="20"/>
          <w:szCs w:val="20"/>
          <w:lang w:val="en-GB"/>
        </w:rPr>
        <w:t>Newberry, 2017</w:t>
      </w:r>
      <w:r>
        <w:rPr>
          <w:rFonts w:eastAsia="Times New Roman" w:cstheme="minorHAnsi"/>
          <w:sz w:val="20"/>
          <w:szCs w:val="20"/>
          <w:lang w:val="en-GB"/>
        </w:rPr>
        <w:t xml:space="preserve">, p. </w:t>
      </w:r>
      <w:r w:rsidR="003E351A" w:rsidRPr="00FE1A35">
        <w:rPr>
          <w:rFonts w:eastAsia="Times New Roman" w:cstheme="minorHAnsi"/>
          <w:sz w:val="20"/>
          <w:szCs w:val="20"/>
          <w:lang w:val="en-GB"/>
        </w:rPr>
        <w:t xml:space="preserve">486) </w:t>
      </w:r>
    </w:p>
    <w:p w14:paraId="0BD01820" w14:textId="77777777" w:rsidR="003E351A" w:rsidRDefault="003E351A" w:rsidP="00D50ADB">
      <w:pPr>
        <w:jc w:val="both"/>
        <w:rPr>
          <w:rFonts w:cs="Times New Roman"/>
          <w:lang w:val="en-GB"/>
        </w:rPr>
      </w:pPr>
    </w:p>
    <w:p w14:paraId="062EF22A" w14:textId="236EF723" w:rsidR="00011202" w:rsidRDefault="00D929F8" w:rsidP="00D50ADB">
      <w:pPr>
        <w:jc w:val="both"/>
        <w:rPr>
          <w:rFonts w:cs="Times New Roman"/>
          <w:lang w:val="en-GB"/>
        </w:rPr>
      </w:pPr>
      <w:r>
        <w:rPr>
          <w:rFonts w:cs="Times New Roman"/>
          <w:lang w:val="en-GB"/>
        </w:rPr>
        <w:t>Our study is complementary to that of</w:t>
      </w:r>
      <w:r w:rsidR="003A317C">
        <w:rPr>
          <w:rFonts w:cs="Times New Roman"/>
          <w:lang w:val="en-GB"/>
        </w:rPr>
        <w:t xml:space="preserve"> Ram and Newberry (2017)</w:t>
      </w:r>
      <w:r>
        <w:rPr>
          <w:rFonts w:cs="Times New Roman"/>
          <w:lang w:val="en-GB"/>
        </w:rPr>
        <w:t>,</w:t>
      </w:r>
      <w:r w:rsidR="003A317C">
        <w:rPr>
          <w:rFonts w:cs="Times New Roman"/>
          <w:lang w:val="en-GB"/>
        </w:rPr>
        <w:t xml:space="preserve"> </w:t>
      </w:r>
      <w:r>
        <w:rPr>
          <w:rFonts w:cs="Times New Roman"/>
          <w:lang w:val="en-GB"/>
        </w:rPr>
        <w:t>as</w:t>
      </w:r>
      <w:r w:rsidR="003E351A">
        <w:rPr>
          <w:rFonts w:cs="Times New Roman"/>
          <w:lang w:val="en-GB"/>
        </w:rPr>
        <w:t xml:space="preserve"> </w:t>
      </w:r>
      <w:r w:rsidR="007E64CC">
        <w:rPr>
          <w:rFonts w:cs="Times New Roman"/>
          <w:lang w:val="en-GB"/>
        </w:rPr>
        <w:t>we examine</w:t>
      </w:r>
      <w:r w:rsidR="003E351A">
        <w:rPr>
          <w:rFonts w:cs="Times New Roman"/>
          <w:lang w:val="en-GB"/>
        </w:rPr>
        <w:t xml:space="preserve"> the politics </w:t>
      </w:r>
      <w:r w:rsidR="00FE1A35">
        <w:rPr>
          <w:rFonts w:cs="Times New Roman"/>
          <w:lang w:val="en-GB"/>
        </w:rPr>
        <w:t xml:space="preserve">of </w:t>
      </w:r>
      <w:r w:rsidR="00FE1A35" w:rsidRPr="00CB0B22">
        <w:rPr>
          <w:rFonts w:cs="Times New Roman"/>
          <w:i/>
          <w:lang w:val="en-GB"/>
        </w:rPr>
        <w:t>IFRS for SMEs</w:t>
      </w:r>
      <w:r w:rsidR="00FE1A35">
        <w:rPr>
          <w:rFonts w:cs="Times New Roman"/>
          <w:lang w:val="en-GB"/>
        </w:rPr>
        <w:t xml:space="preserve"> </w:t>
      </w:r>
      <w:r w:rsidR="003E351A">
        <w:rPr>
          <w:rFonts w:cs="Times New Roman"/>
          <w:lang w:val="en-GB"/>
        </w:rPr>
        <w:t xml:space="preserve">once </w:t>
      </w:r>
      <w:r>
        <w:rPr>
          <w:rFonts w:cs="Times New Roman"/>
          <w:lang w:val="en-GB"/>
        </w:rPr>
        <w:t>this project</w:t>
      </w:r>
      <w:r w:rsidR="003E351A">
        <w:rPr>
          <w:rFonts w:cs="Times New Roman"/>
          <w:lang w:val="en-GB"/>
        </w:rPr>
        <w:t xml:space="preserve"> </w:t>
      </w:r>
      <w:r w:rsidR="00FE1A35">
        <w:rPr>
          <w:rFonts w:cs="Times New Roman"/>
          <w:lang w:val="en-GB"/>
        </w:rPr>
        <w:t xml:space="preserve">is on the </w:t>
      </w:r>
      <w:r w:rsidR="007E64CC">
        <w:rPr>
          <w:rFonts w:cs="Times New Roman"/>
          <w:lang w:val="en-GB"/>
        </w:rPr>
        <w:t xml:space="preserve">IASB’s </w:t>
      </w:r>
      <w:r w:rsidR="003E351A">
        <w:rPr>
          <w:rFonts w:cs="Times New Roman"/>
          <w:lang w:val="en-GB"/>
        </w:rPr>
        <w:t>agenda</w:t>
      </w:r>
      <w:r w:rsidR="00FE1A35">
        <w:rPr>
          <w:rFonts w:cs="Times New Roman"/>
          <w:lang w:val="en-GB"/>
        </w:rPr>
        <w:t xml:space="preserve">, </w:t>
      </w:r>
      <w:r w:rsidR="007E64CC">
        <w:rPr>
          <w:rFonts w:cs="Times New Roman"/>
          <w:lang w:val="en-GB"/>
        </w:rPr>
        <w:t xml:space="preserve">and </w:t>
      </w:r>
      <w:r w:rsidR="003E351A">
        <w:rPr>
          <w:rFonts w:cs="Times New Roman"/>
          <w:lang w:val="en-GB"/>
        </w:rPr>
        <w:t xml:space="preserve">the politics of </w:t>
      </w:r>
      <w:r w:rsidR="00FE1A35">
        <w:rPr>
          <w:rFonts w:cs="Times New Roman"/>
          <w:lang w:val="en-GB"/>
        </w:rPr>
        <w:t>expertise internal to the IASB.</w:t>
      </w:r>
      <w:r w:rsidR="003E351A">
        <w:rPr>
          <w:rFonts w:cs="Times New Roman"/>
          <w:lang w:val="en-GB"/>
        </w:rPr>
        <w:t xml:space="preserve"> </w:t>
      </w:r>
      <w:r w:rsidR="00FE1A35">
        <w:rPr>
          <w:rFonts w:cs="Times New Roman"/>
          <w:lang w:val="en-GB"/>
        </w:rPr>
        <w:t>We focus on three moments: defining SMEs</w:t>
      </w:r>
      <w:r w:rsidR="007E64CC">
        <w:rPr>
          <w:rFonts w:cs="Times New Roman"/>
          <w:lang w:val="en-GB"/>
        </w:rPr>
        <w:t>;</w:t>
      </w:r>
      <w:r w:rsidR="00FE1A35">
        <w:rPr>
          <w:rFonts w:cs="Times New Roman"/>
          <w:lang w:val="en-GB"/>
        </w:rPr>
        <w:t xml:space="preserve"> giving a title to the standard</w:t>
      </w:r>
      <w:r w:rsidR="007E64CC">
        <w:rPr>
          <w:rFonts w:cs="Times New Roman"/>
          <w:lang w:val="en-GB"/>
        </w:rPr>
        <w:t>;</w:t>
      </w:r>
      <w:r w:rsidR="00FE1A35">
        <w:rPr>
          <w:rFonts w:cs="Times New Roman"/>
          <w:lang w:val="en-GB"/>
        </w:rPr>
        <w:t xml:space="preserve"> and the subsequent publication of a micro-guide. </w:t>
      </w:r>
      <w:r w:rsidR="003E351A">
        <w:rPr>
          <w:rFonts w:cs="Times New Roman"/>
          <w:lang w:val="en-GB"/>
        </w:rPr>
        <w:t xml:space="preserve">Ram </w:t>
      </w:r>
      <w:r w:rsidR="0066687E">
        <w:rPr>
          <w:rFonts w:cs="Times New Roman"/>
          <w:lang w:val="en-GB"/>
        </w:rPr>
        <w:t xml:space="preserve">and </w:t>
      </w:r>
      <w:r w:rsidR="003E351A">
        <w:rPr>
          <w:rFonts w:cs="Times New Roman"/>
          <w:lang w:val="en-GB"/>
        </w:rPr>
        <w:t>Newberry</w:t>
      </w:r>
      <w:r w:rsidR="00FE1A35">
        <w:rPr>
          <w:rFonts w:cs="Times New Roman"/>
          <w:lang w:val="en-GB"/>
        </w:rPr>
        <w:t>’s</w:t>
      </w:r>
      <w:r w:rsidR="003E351A">
        <w:rPr>
          <w:rFonts w:cs="Times New Roman"/>
          <w:lang w:val="en-GB"/>
        </w:rPr>
        <w:t xml:space="preserve"> (2017</w:t>
      </w:r>
      <w:r w:rsidR="00011202">
        <w:rPr>
          <w:rFonts w:cs="Times New Roman"/>
          <w:lang w:val="en-GB"/>
        </w:rPr>
        <w:t>, p. 504</w:t>
      </w:r>
      <w:r w:rsidR="003E351A">
        <w:rPr>
          <w:rFonts w:cs="Times New Roman"/>
          <w:lang w:val="en-GB"/>
        </w:rPr>
        <w:t xml:space="preserve">) </w:t>
      </w:r>
      <w:r w:rsidR="00FE1A35">
        <w:rPr>
          <w:rFonts w:cs="Times New Roman"/>
          <w:lang w:val="en-GB"/>
        </w:rPr>
        <w:t xml:space="preserve">agenda-setting work </w:t>
      </w:r>
      <w:r w:rsidR="007E64CC">
        <w:rPr>
          <w:rFonts w:cs="Times New Roman"/>
          <w:lang w:val="en-GB"/>
        </w:rPr>
        <w:t>provides the background for</w:t>
      </w:r>
      <w:r w:rsidR="00FE1A35">
        <w:rPr>
          <w:rFonts w:cs="Times New Roman"/>
          <w:lang w:val="en-GB"/>
        </w:rPr>
        <w:t xml:space="preserve"> our contribution</w:t>
      </w:r>
      <w:r w:rsidR="007E64CC">
        <w:rPr>
          <w:rFonts w:cs="Times New Roman"/>
          <w:lang w:val="en-GB"/>
        </w:rPr>
        <w:t>,</w:t>
      </w:r>
      <w:r w:rsidR="00FE1A35">
        <w:rPr>
          <w:rFonts w:cs="Times New Roman"/>
          <w:lang w:val="en-GB"/>
        </w:rPr>
        <w:t xml:space="preserve"> as they </w:t>
      </w:r>
      <w:r w:rsidR="00011202">
        <w:rPr>
          <w:rFonts w:cs="Times New Roman"/>
          <w:lang w:val="en-GB"/>
        </w:rPr>
        <w:t>discuss</w:t>
      </w:r>
      <w:r w:rsidR="003E351A">
        <w:rPr>
          <w:rFonts w:cs="Times New Roman"/>
          <w:lang w:val="en-GB"/>
        </w:rPr>
        <w:t xml:space="preserve"> </w:t>
      </w:r>
      <w:r w:rsidR="007E64CC">
        <w:rPr>
          <w:rFonts w:cs="Times New Roman"/>
          <w:lang w:val="en-GB"/>
        </w:rPr>
        <w:t>how</w:t>
      </w:r>
      <w:r w:rsidR="003E351A">
        <w:rPr>
          <w:rFonts w:cs="Times New Roman"/>
          <w:lang w:val="en-GB"/>
        </w:rPr>
        <w:t xml:space="preserve"> the title </w:t>
      </w:r>
      <w:r w:rsidR="00FE1A35">
        <w:rPr>
          <w:rFonts w:cs="Times New Roman"/>
          <w:lang w:val="en-GB"/>
        </w:rPr>
        <w:t xml:space="preserve">of the standard was a source of tension, and </w:t>
      </w:r>
      <w:r w:rsidR="007E64CC">
        <w:rPr>
          <w:rFonts w:cs="Times New Roman"/>
          <w:lang w:val="en-GB"/>
        </w:rPr>
        <w:t xml:space="preserve">how </w:t>
      </w:r>
      <w:r w:rsidR="00FE1A35">
        <w:rPr>
          <w:rFonts w:cs="Times New Roman"/>
          <w:lang w:val="en-GB"/>
        </w:rPr>
        <w:t xml:space="preserve">the process of defining the scope of the standard was </w:t>
      </w:r>
      <w:r w:rsidR="003E351A">
        <w:rPr>
          <w:rFonts w:cs="Times New Roman"/>
          <w:lang w:val="en-GB"/>
        </w:rPr>
        <w:t>problematic</w:t>
      </w:r>
      <w:r w:rsidR="00011202">
        <w:rPr>
          <w:rFonts w:cs="Times New Roman"/>
          <w:lang w:val="en-GB"/>
        </w:rPr>
        <w:t xml:space="preserve">: </w:t>
      </w:r>
    </w:p>
    <w:p w14:paraId="69177D24" w14:textId="77777777" w:rsidR="00011202" w:rsidRDefault="00011202" w:rsidP="00D50ADB">
      <w:pPr>
        <w:jc w:val="both"/>
        <w:rPr>
          <w:rFonts w:cs="Times New Roman"/>
          <w:lang w:val="en-GB"/>
        </w:rPr>
      </w:pPr>
    </w:p>
    <w:p w14:paraId="352DB5CE" w14:textId="53EDCBCF" w:rsidR="00011202" w:rsidRPr="00CB0B22" w:rsidRDefault="00011202" w:rsidP="00011202">
      <w:pPr>
        <w:ind w:left="720" w:right="1082"/>
        <w:jc w:val="both"/>
        <w:rPr>
          <w:rFonts w:cs="Times New Roman"/>
          <w:sz w:val="20"/>
          <w:szCs w:val="20"/>
          <w:lang w:val="en-GB"/>
        </w:rPr>
      </w:pPr>
      <w:r w:rsidRPr="00CB0B22">
        <w:rPr>
          <w:rFonts w:cs="Times New Roman"/>
          <w:sz w:val="20"/>
          <w:szCs w:val="20"/>
          <w:lang w:val="en-GB"/>
        </w:rPr>
        <w:t xml:space="preserve">Even at the time of agenda entrance, the SME project title was known to be inappropriate, and its intended scope was wider than implied by the title … </w:t>
      </w:r>
    </w:p>
    <w:p w14:paraId="029C82E1" w14:textId="77777777" w:rsidR="00457D9A" w:rsidRDefault="00457D9A" w:rsidP="00D50ADB">
      <w:pPr>
        <w:jc w:val="both"/>
        <w:rPr>
          <w:rFonts w:cs="Times New Roman"/>
          <w:lang w:val="en-GB"/>
        </w:rPr>
      </w:pPr>
    </w:p>
    <w:p w14:paraId="3965CD75" w14:textId="432BFBC8" w:rsidR="003608F0" w:rsidRPr="00E176CF" w:rsidRDefault="009664D3" w:rsidP="008456E4">
      <w:pPr>
        <w:spacing w:after="120"/>
        <w:jc w:val="both"/>
        <w:rPr>
          <w:rFonts w:cs="Times New Roman"/>
          <w:lang w:val="en-GB"/>
        </w:rPr>
      </w:pPr>
      <w:r>
        <w:rPr>
          <w:rFonts w:cs="Times New Roman"/>
          <w:lang w:val="en-GB"/>
        </w:rPr>
        <w:t>O</w:t>
      </w:r>
      <w:r w:rsidR="00E450DF">
        <w:rPr>
          <w:rFonts w:cs="Times New Roman"/>
          <w:lang w:val="en-GB"/>
        </w:rPr>
        <w:t xml:space="preserve">ur </w:t>
      </w:r>
      <w:r w:rsidR="00E31C0D">
        <w:rPr>
          <w:rFonts w:cs="Times New Roman"/>
          <w:lang w:val="en-GB"/>
        </w:rPr>
        <w:t>work is important for three reasons</w:t>
      </w:r>
      <w:r w:rsidR="00E450DF">
        <w:rPr>
          <w:rFonts w:cs="Times New Roman"/>
          <w:lang w:val="en-GB"/>
        </w:rPr>
        <w:t>. First,</w:t>
      </w:r>
      <w:r w:rsidR="00E31C0D">
        <w:rPr>
          <w:rFonts w:cs="Times New Roman"/>
          <w:lang w:val="en-GB"/>
        </w:rPr>
        <w:t xml:space="preserve"> it continues to explore</w:t>
      </w:r>
      <w:r w:rsidR="00A35D06">
        <w:rPr>
          <w:rFonts w:cs="Times New Roman"/>
          <w:lang w:val="en-GB"/>
        </w:rPr>
        <w:t xml:space="preserve"> the </w:t>
      </w:r>
      <w:r w:rsidR="00E31C0D">
        <w:rPr>
          <w:rFonts w:cs="Times New Roman"/>
          <w:lang w:val="en-GB"/>
        </w:rPr>
        <w:t>politics</w:t>
      </w:r>
      <w:r w:rsidR="00A35D06">
        <w:rPr>
          <w:rFonts w:cs="Times New Roman"/>
          <w:lang w:val="en-GB"/>
        </w:rPr>
        <w:t xml:space="preserve"> underl</w:t>
      </w:r>
      <w:r w:rsidR="00E450DF">
        <w:rPr>
          <w:rFonts w:cs="Times New Roman"/>
          <w:lang w:val="en-GB"/>
        </w:rPr>
        <w:t>ying</w:t>
      </w:r>
      <w:r w:rsidR="00A35D06">
        <w:rPr>
          <w:rFonts w:cs="Times New Roman"/>
          <w:lang w:val="en-GB"/>
        </w:rPr>
        <w:t xml:space="preserve"> the IASB’</w:t>
      </w:r>
      <w:r w:rsidR="00E31C0D">
        <w:rPr>
          <w:rFonts w:cs="Times New Roman"/>
          <w:lang w:val="en-GB"/>
        </w:rPr>
        <w:t xml:space="preserve">s </w:t>
      </w:r>
      <w:r w:rsidR="00FD5E80">
        <w:rPr>
          <w:rFonts w:cs="Times New Roman"/>
          <w:lang w:val="en-GB"/>
        </w:rPr>
        <w:t>“</w:t>
      </w:r>
      <w:r w:rsidR="00E31C0D">
        <w:rPr>
          <w:rFonts w:cs="Times New Roman"/>
          <w:lang w:val="en-GB"/>
        </w:rPr>
        <w:t>technocratic</w:t>
      </w:r>
      <w:r w:rsidR="00FD5E80">
        <w:rPr>
          <w:rFonts w:cs="Times New Roman"/>
          <w:lang w:val="en-GB"/>
        </w:rPr>
        <w:t>”</w:t>
      </w:r>
      <w:r w:rsidR="00E31C0D">
        <w:rPr>
          <w:rFonts w:cs="Times New Roman"/>
          <w:lang w:val="en-GB"/>
        </w:rPr>
        <w:t xml:space="preserve"> work</w:t>
      </w:r>
      <w:r w:rsidR="00E450DF">
        <w:rPr>
          <w:rFonts w:cs="Times New Roman"/>
          <w:lang w:val="en-GB"/>
        </w:rPr>
        <w:t>,</w:t>
      </w:r>
      <w:r w:rsidR="00E31C0D">
        <w:rPr>
          <w:rFonts w:cs="Times New Roman"/>
          <w:lang w:val="en-GB"/>
        </w:rPr>
        <w:t xml:space="preserve"> as governance by experts hides politics under a veil of technocracy</w:t>
      </w:r>
      <w:r w:rsidR="00E450DF">
        <w:rPr>
          <w:rFonts w:cs="Times New Roman"/>
          <w:lang w:val="en-GB"/>
        </w:rPr>
        <w:t>:</w:t>
      </w:r>
      <w:r w:rsidR="00E31C0D">
        <w:rPr>
          <w:rFonts w:cs="Times New Roman"/>
          <w:lang w:val="en-GB"/>
        </w:rPr>
        <w:t xml:space="preserve"> work to pierce that veil is </w:t>
      </w:r>
      <w:r w:rsidR="00E450DF">
        <w:rPr>
          <w:rFonts w:cs="Times New Roman"/>
          <w:lang w:val="en-GB"/>
        </w:rPr>
        <w:t xml:space="preserve">therefore </w:t>
      </w:r>
      <w:r w:rsidR="00E31C0D">
        <w:rPr>
          <w:rFonts w:cs="Times New Roman"/>
          <w:lang w:val="en-GB"/>
        </w:rPr>
        <w:t xml:space="preserve">important. </w:t>
      </w:r>
      <w:r w:rsidR="00E450DF">
        <w:rPr>
          <w:rFonts w:cs="Times New Roman"/>
          <w:lang w:val="en-GB"/>
        </w:rPr>
        <w:t>Secondly, w</w:t>
      </w:r>
      <w:r w:rsidR="00E31C0D">
        <w:rPr>
          <w:rFonts w:cs="Times New Roman"/>
          <w:lang w:val="en-GB"/>
        </w:rPr>
        <w:t xml:space="preserve">e explore the politics </w:t>
      </w:r>
      <w:r w:rsidR="00E450DF">
        <w:rPr>
          <w:rFonts w:cs="Times New Roman"/>
          <w:lang w:val="en-GB"/>
        </w:rPr>
        <w:t>involved in</w:t>
      </w:r>
      <w:r w:rsidR="00E31C0D">
        <w:rPr>
          <w:rFonts w:cs="Times New Roman"/>
          <w:lang w:val="en-GB"/>
        </w:rPr>
        <w:t xml:space="preserve"> presenting a standard as the right answer to solve the problems of differential reporting across the globe (</w:t>
      </w:r>
      <w:r w:rsidR="00011202">
        <w:rPr>
          <w:rFonts w:cs="Times New Roman"/>
          <w:lang w:val="en-GB"/>
        </w:rPr>
        <w:t xml:space="preserve">Ram </w:t>
      </w:r>
      <w:r w:rsidR="00830C37">
        <w:rPr>
          <w:rFonts w:cs="Times New Roman"/>
          <w:lang w:val="en-GB"/>
        </w:rPr>
        <w:t>and</w:t>
      </w:r>
      <w:r w:rsidR="00011202">
        <w:rPr>
          <w:rFonts w:cs="Times New Roman"/>
          <w:lang w:val="en-GB"/>
        </w:rPr>
        <w:t xml:space="preserve"> Newberry, </w:t>
      </w:r>
      <w:r w:rsidR="007E64CC">
        <w:rPr>
          <w:rFonts w:cs="Times New Roman"/>
          <w:lang w:val="en-GB"/>
        </w:rPr>
        <w:t xml:space="preserve">2013, </w:t>
      </w:r>
      <w:r w:rsidR="00011202">
        <w:rPr>
          <w:rFonts w:cs="Times New Roman"/>
          <w:lang w:val="en-GB"/>
        </w:rPr>
        <w:t xml:space="preserve">2017; </w:t>
      </w:r>
      <w:r w:rsidR="00E31C0D">
        <w:rPr>
          <w:rFonts w:cs="Times New Roman"/>
          <w:lang w:val="en-GB"/>
        </w:rPr>
        <w:t xml:space="preserve">Devi </w:t>
      </w:r>
      <w:r w:rsidR="00A272D9">
        <w:rPr>
          <w:rFonts w:cs="Times New Roman"/>
          <w:lang w:val="en-GB"/>
        </w:rPr>
        <w:t>and</w:t>
      </w:r>
      <w:r w:rsidR="00E31C0D">
        <w:rPr>
          <w:rFonts w:cs="Times New Roman"/>
          <w:lang w:val="en-GB"/>
        </w:rPr>
        <w:t xml:space="preserve"> Samujh, 2015). The third issue is </w:t>
      </w:r>
      <w:r w:rsidR="00180080">
        <w:rPr>
          <w:rFonts w:cs="Times New Roman"/>
          <w:lang w:val="en-GB"/>
        </w:rPr>
        <w:t xml:space="preserve">the </w:t>
      </w:r>
      <w:r w:rsidR="00E31C0D">
        <w:rPr>
          <w:rFonts w:cs="Times New Roman"/>
          <w:lang w:val="en-GB"/>
        </w:rPr>
        <w:t>extension of the IASB’s scope away from listed entities</w:t>
      </w:r>
      <w:r w:rsidR="00180080">
        <w:rPr>
          <w:rFonts w:cs="Times New Roman"/>
          <w:lang w:val="en-GB"/>
        </w:rPr>
        <w:t>, which the IASB</w:t>
      </w:r>
      <w:r w:rsidR="00E31C0D">
        <w:rPr>
          <w:rFonts w:cs="Times New Roman"/>
          <w:lang w:val="en-GB"/>
        </w:rPr>
        <w:t xml:space="preserve"> rhetorically mask through the development of </w:t>
      </w:r>
      <w:r w:rsidR="00E31C0D" w:rsidRPr="00457D9A">
        <w:rPr>
          <w:rFonts w:cs="Times New Roman"/>
          <w:i/>
          <w:lang w:val="en-GB"/>
        </w:rPr>
        <w:t>IFRS for SMEs</w:t>
      </w:r>
      <w:r w:rsidR="00E31C0D">
        <w:rPr>
          <w:rFonts w:cs="Times New Roman"/>
          <w:lang w:val="en-GB"/>
        </w:rPr>
        <w:t xml:space="preserve"> (Ram </w:t>
      </w:r>
      <w:r w:rsidR="00A272D9">
        <w:rPr>
          <w:rFonts w:cs="Times New Roman"/>
          <w:lang w:val="en-GB"/>
        </w:rPr>
        <w:t>and</w:t>
      </w:r>
      <w:r w:rsidR="00E31C0D">
        <w:rPr>
          <w:rFonts w:cs="Times New Roman"/>
          <w:lang w:val="en-GB"/>
        </w:rPr>
        <w:t xml:space="preserve"> Newberry, 2013; Devi </w:t>
      </w:r>
      <w:r w:rsidR="00A272D9">
        <w:rPr>
          <w:rFonts w:cs="Times New Roman"/>
          <w:lang w:val="en-GB"/>
        </w:rPr>
        <w:t>and</w:t>
      </w:r>
      <w:r w:rsidR="00E31C0D">
        <w:rPr>
          <w:rFonts w:cs="Times New Roman"/>
          <w:lang w:val="en-GB"/>
        </w:rPr>
        <w:t xml:space="preserve"> Samujh, 2015). </w:t>
      </w:r>
      <w:r w:rsidR="003608F0" w:rsidRPr="00E176CF">
        <w:rPr>
          <w:rFonts w:cs="Times New Roman"/>
          <w:lang w:val="en-GB"/>
        </w:rPr>
        <w:t xml:space="preserve">To develop </w:t>
      </w:r>
      <w:r w:rsidR="003608F0">
        <w:rPr>
          <w:rFonts w:cs="Times New Roman"/>
          <w:lang w:val="en-GB"/>
        </w:rPr>
        <w:t xml:space="preserve">our </w:t>
      </w:r>
      <w:r w:rsidR="003608F0" w:rsidRPr="00E176CF">
        <w:rPr>
          <w:rFonts w:cs="Times New Roman"/>
          <w:lang w:val="en-GB"/>
        </w:rPr>
        <w:t>focus</w:t>
      </w:r>
      <w:r w:rsidR="00933657">
        <w:rPr>
          <w:rFonts w:cs="Times New Roman"/>
          <w:lang w:val="en-GB"/>
        </w:rPr>
        <w:t xml:space="preserve"> on the embedded politics of the IASB</w:t>
      </w:r>
      <w:r w:rsidR="003608F0" w:rsidRPr="00E176CF">
        <w:rPr>
          <w:rFonts w:cs="Times New Roman"/>
          <w:lang w:val="en-GB"/>
        </w:rPr>
        <w:t>, we examine the following questions</w:t>
      </w:r>
      <w:r w:rsidR="003608F0">
        <w:rPr>
          <w:rFonts w:cs="Times New Roman"/>
          <w:lang w:val="en-GB"/>
        </w:rPr>
        <w:t xml:space="preserve">, each of which addresses a specific </w:t>
      </w:r>
      <w:r w:rsidR="006D4EA9">
        <w:rPr>
          <w:rFonts w:cs="Times New Roman"/>
          <w:lang w:val="en-GB"/>
        </w:rPr>
        <w:t>“</w:t>
      </w:r>
      <w:r w:rsidR="003608F0">
        <w:rPr>
          <w:rFonts w:cs="Times New Roman"/>
          <w:lang w:val="en-GB"/>
        </w:rPr>
        <w:t>moment</w:t>
      </w:r>
      <w:r w:rsidR="006D4EA9">
        <w:rPr>
          <w:rFonts w:cs="Times New Roman"/>
          <w:lang w:val="en-GB"/>
        </w:rPr>
        <w:t>”</w:t>
      </w:r>
      <w:r w:rsidR="003608F0">
        <w:rPr>
          <w:rFonts w:cs="Times New Roman"/>
          <w:lang w:val="en-GB"/>
        </w:rPr>
        <w:t xml:space="preserve"> in the development of </w:t>
      </w:r>
      <w:r w:rsidR="003608F0" w:rsidRPr="0004241E">
        <w:rPr>
          <w:rFonts w:cs="Times New Roman"/>
          <w:i/>
          <w:lang w:val="en-GB"/>
        </w:rPr>
        <w:t>IFRS for SMEs</w:t>
      </w:r>
      <w:r w:rsidR="003608F0" w:rsidRPr="00E176CF">
        <w:rPr>
          <w:rFonts w:cs="Times New Roman"/>
          <w:lang w:val="en-GB"/>
        </w:rPr>
        <w:t xml:space="preserve">: </w:t>
      </w:r>
    </w:p>
    <w:p w14:paraId="1187D44E" w14:textId="1BAD470E" w:rsidR="003608F0" w:rsidRPr="00E176CF" w:rsidRDefault="003608F0" w:rsidP="008456E4">
      <w:pPr>
        <w:pStyle w:val="ListParagraph"/>
        <w:numPr>
          <w:ilvl w:val="0"/>
          <w:numId w:val="2"/>
        </w:numPr>
        <w:spacing w:after="120"/>
        <w:jc w:val="both"/>
        <w:rPr>
          <w:rFonts w:cs="Times New Roman"/>
          <w:lang w:val="en-GB"/>
        </w:rPr>
      </w:pPr>
      <w:r w:rsidRPr="00E176CF">
        <w:rPr>
          <w:rFonts w:cs="Times New Roman"/>
          <w:lang w:val="en-GB"/>
        </w:rPr>
        <w:t xml:space="preserve">How did the IASB define the term </w:t>
      </w:r>
      <w:r w:rsidR="00FD5E80">
        <w:rPr>
          <w:rFonts w:cs="Times New Roman"/>
          <w:lang w:val="en-GB"/>
        </w:rPr>
        <w:t>“</w:t>
      </w:r>
      <w:r w:rsidRPr="00E176CF">
        <w:rPr>
          <w:rFonts w:cs="Times New Roman"/>
          <w:lang w:val="en-GB"/>
        </w:rPr>
        <w:t>SMEs</w:t>
      </w:r>
      <w:r w:rsidR="00FD5E80">
        <w:rPr>
          <w:rFonts w:cs="Times New Roman"/>
          <w:lang w:val="en-GB"/>
        </w:rPr>
        <w:t>”</w:t>
      </w:r>
      <w:r w:rsidRPr="00E176CF">
        <w:rPr>
          <w:rFonts w:cs="Times New Roman"/>
          <w:lang w:val="en-GB"/>
        </w:rPr>
        <w:t>?</w:t>
      </w:r>
    </w:p>
    <w:p w14:paraId="22E85CCD" w14:textId="77777777" w:rsidR="003608F0" w:rsidRPr="00E176CF" w:rsidRDefault="003608F0" w:rsidP="008456E4">
      <w:pPr>
        <w:pStyle w:val="ListParagraph"/>
        <w:numPr>
          <w:ilvl w:val="0"/>
          <w:numId w:val="2"/>
        </w:numPr>
        <w:spacing w:after="120"/>
        <w:jc w:val="both"/>
        <w:rPr>
          <w:rFonts w:cs="Times New Roman"/>
          <w:lang w:val="en-GB"/>
        </w:rPr>
      </w:pPr>
      <w:r w:rsidRPr="00E176CF">
        <w:rPr>
          <w:rFonts w:cs="Times New Roman"/>
          <w:lang w:val="en-GB"/>
        </w:rPr>
        <w:t xml:space="preserve">How did the IASB title the standard? </w:t>
      </w:r>
    </w:p>
    <w:p w14:paraId="473CDB3F" w14:textId="39BC5953" w:rsidR="003608F0" w:rsidRDefault="00180080" w:rsidP="008456E4">
      <w:pPr>
        <w:pStyle w:val="ListParagraph"/>
        <w:numPr>
          <w:ilvl w:val="0"/>
          <w:numId w:val="2"/>
        </w:numPr>
        <w:spacing w:after="120"/>
        <w:jc w:val="both"/>
        <w:rPr>
          <w:rFonts w:cs="Times New Roman"/>
          <w:lang w:val="en-GB"/>
        </w:rPr>
      </w:pPr>
      <w:r>
        <w:rPr>
          <w:rFonts w:cs="Times New Roman"/>
          <w:lang w:val="en-GB"/>
        </w:rPr>
        <w:t>Why did the IASB develop and issue the</w:t>
      </w:r>
      <w:r w:rsidR="003608F0" w:rsidRPr="00E176CF">
        <w:rPr>
          <w:rFonts w:cs="Times New Roman"/>
          <w:lang w:val="en-GB"/>
        </w:rPr>
        <w:t xml:space="preserve"> micro-guide?  </w:t>
      </w:r>
    </w:p>
    <w:p w14:paraId="09BB885E" w14:textId="77777777" w:rsidR="00F5108D" w:rsidRDefault="00F5108D" w:rsidP="00F5108D">
      <w:pPr>
        <w:pStyle w:val="ListParagraph"/>
        <w:rPr>
          <w:rFonts w:cs="Times New Roman"/>
          <w:lang w:val="en-GB"/>
        </w:rPr>
      </w:pPr>
    </w:p>
    <w:p w14:paraId="357A1445" w14:textId="29BCF2AC" w:rsidR="003608F0" w:rsidRDefault="00457D9A" w:rsidP="008456E4">
      <w:pPr>
        <w:jc w:val="both"/>
        <w:rPr>
          <w:rFonts w:cs="Times New Roman"/>
          <w:lang w:val="en-GB"/>
        </w:rPr>
      </w:pPr>
      <w:r>
        <w:rPr>
          <w:rFonts w:cs="Times New Roman"/>
          <w:lang w:val="en-GB"/>
        </w:rPr>
        <w:t>R</w:t>
      </w:r>
      <w:r w:rsidR="003608F0">
        <w:rPr>
          <w:rFonts w:cs="Times New Roman"/>
          <w:lang w:val="en-GB"/>
        </w:rPr>
        <w:t>egulatory literature tends to focus on external interactions (Black, 2002</w:t>
      </w:r>
      <w:r w:rsidR="00A03531">
        <w:rPr>
          <w:rFonts w:cs="Times New Roman"/>
          <w:lang w:val="en-GB"/>
        </w:rPr>
        <w:t>a</w:t>
      </w:r>
      <w:r w:rsidR="006210A1">
        <w:rPr>
          <w:rFonts w:cs="Times New Roman"/>
          <w:lang w:val="en-GB"/>
        </w:rPr>
        <w:t xml:space="preserve">; </w:t>
      </w:r>
      <w:r w:rsidR="00A03531">
        <w:rPr>
          <w:rFonts w:cs="Times New Roman"/>
          <w:lang w:val="en-GB"/>
        </w:rPr>
        <w:t>b</w:t>
      </w:r>
      <w:r w:rsidR="003608F0">
        <w:rPr>
          <w:rFonts w:cs="Times New Roman"/>
          <w:lang w:val="en-GB"/>
        </w:rPr>
        <w:t>; Botzem, 2012)</w:t>
      </w:r>
      <w:r w:rsidR="003608F0" w:rsidRPr="00E176CF">
        <w:rPr>
          <w:rFonts w:cs="Times New Roman"/>
          <w:lang w:val="en-GB"/>
        </w:rPr>
        <w:t xml:space="preserve"> but we shift </w:t>
      </w:r>
      <w:r w:rsidR="003608F0">
        <w:rPr>
          <w:rFonts w:cs="Times New Roman"/>
          <w:lang w:val="en-GB"/>
        </w:rPr>
        <w:t>the</w:t>
      </w:r>
      <w:r w:rsidR="003608F0" w:rsidRPr="00E176CF">
        <w:rPr>
          <w:rFonts w:cs="Times New Roman"/>
          <w:lang w:val="en-GB"/>
        </w:rPr>
        <w:t xml:space="preserve"> </w:t>
      </w:r>
      <w:r w:rsidR="003608F0">
        <w:rPr>
          <w:rFonts w:cs="Times New Roman"/>
          <w:lang w:val="en-GB"/>
        </w:rPr>
        <w:t>focus onto the</w:t>
      </w:r>
      <w:r w:rsidR="003608F0" w:rsidRPr="00E176CF">
        <w:rPr>
          <w:rFonts w:cs="Times New Roman"/>
          <w:lang w:val="en-GB"/>
        </w:rPr>
        <w:t xml:space="preserve"> embedded nature of </w:t>
      </w:r>
      <w:r w:rsidR="003608F0">
        <w:rPr>
          <w:rFonts w:cs="Times New Roman"/>
          <w:lang w:val="en-GB"/>
        </w:rPr>
        <w:t>politics</w:t>
      </w:r>
      <w:r w:rsidR="003608F0" w:rsidRPr="00E176CF">
        <w:rPr>
          <w:rFonts w:cs="Times New Roman"/>
          <w:lang w:val="en-GB"/>
        </w:rPr>
        <w:t xml:space="preserve"> </w:t>
      </w:r>
      <w:r w:rsidR="003608F0">
        <w:rPr>
          <w:rFonts w:cs="Times New Roman"/>
          <w:lang w:val="en-GB"/>
        </w:rPr>
        <w:t>for</w:t>
      </w:r>
      <w:r w:rsidR="003608F0" w:rsidRPr="00E176CF">
        <w:rPr>
          <w:rFonts w:cs="Times New Roman"/>
          <w:lang w:val="en-GB"/>
        </w:rPr>
        <w:t xml:space="preserve"> the IASB </w:t>
      </w:r>
      <w:r w:rsidR="003608F0">
        <w:rPr>
          <w:rFonts w:cs="Times New Roman"/>
          <w:lang w:val="en-GB"/>
        </w:rPr>
        <w:t>through illustrating</w:t>
      </w:r>
      <w:r w:rsidR="003608F0" w:rsidRPr="00E176CF">
        <w:rPr>
          <w:rFonts w:cs="Times New Roman"/>
          <w:lang w:val="en-GB"/>
        </w:rPr>
        <w:t xml:space="preserve"> tensions between board members, staff members, project leaders and external interests. </w:t>
      </w:r>
      <w:r w:rsidR="003608F0">
        <w:rPr>
          <w:rFonts w:cs="Times New Roman"/>
          <w:lang w:val="en-GB"/>
        </w:rPr>
        <w:t>W</w:t>
      </w:r>
      <w:r w:rsidR="003608F0" w:rsidRPr="00E176CF">
        <w:rPr>
          <w:rFonts w:cs="Times New Roman"/>
          <w:lang w:val="en-GB"/>
        </w:rPr>
        <w:t xml:space="preserve">e </w:t>
      </w:r>
      <w:r w:rsidR="003608F0" w:rsidRPr="00E176CF">
        <w:rPr>
          <w:rFonts w:cs="Times New Roman"/>
          <w:lang w:val="en-GB"/>
        </w:rPr>
        <w:lastRenderedPageBreak/>
        <w:t xml:space="preserve">draw on </w:t>
      </w:r>
      <w:r w:rsidR="00D91A79">
        <w:rPr>
          <w:rFonts w:cs="Times New Roman"/>
          <w:lang w:val="en-GB"/>
        </w:rPr>
        <w:t>Laclau and Mouffe’s</w:t>
      </w:r>
      <w:r w:rsidR="003608F0" w:rsidRPr="00E176CF">
        <w:rPr>
          <w:rFonts w:cs="Times New Roman"/>
          <w:lang w:val="en-GB"/>
        </w:rPr>
        <w:t xml:space="preserve"> (2001) political strategies of </w:t>
      </w:r>
      <w:r w:rsidR="003608F0">
        <w:rPr>
          <w:rFonts w:cs="Times New Roman"/>
          <w:lang w:val="en-GB"/>
        </w:rPr>
        <w:t>condensation, displacement and overdetermination</w:t>
      </w:r>
      <w:r w:rsidR="003608F0" w:rsidRPr="00E176CF">
        <w:rPr>
          <w:rFonts w:cs="Times New Roman"/>
          <w:lang w:val="en-GB"/>
        </w:rPr>
        <w:t xml:space="preserve"> as a way of </w:t>
      </w:r>
      <w:r w:rsidR="003608F0">
        <w:rPr>
          <w:rFonts w:cs="Times New Roman"/>
          <w:lang w:val="en-GB"/>
        </w:rPr>
        <w:t>illustrating</w:t>
      </w:r>
      <w:r w:rsidR="003608F0" w:rsidRPr="00E176CF">
        <w:rPr>
          <w:rFonts w:cs="Times New Roman"/>
          <w:lang w:val="en-GB"/>
        </w:rPr>
        <w:t xml:space="preserve"> the</w:t>
      </w:r>
      <w:r w:rsidR="003608F0">
        <w:rPr>
          <w:rFonts w:cs="Times New Roman"/>
          <w:lang w:val="en-GB"/>
        </w:rPr>
        <w:t xml:space="preserve"> embedded</w:t>
      </w:r>
      <w:r w:rsidR="003608F0" w:rsidRPr="00E176CF">
        <w:rPr>
          <w:rFonts w:cs="Times New Roman"/>
          <w:lang w:val="en-GB"/>
        </w:rPr>
        <w:t xml:space="preserve"> politics of standard setting. </w:t>
      </w:r>
      <w:r w:rsidR="003608F0">
        <w:rPr>
          <w:rFonts w:cs="Times New Roman"/>
          <w:lang w:val="en-GB"/>
        </w:rPr>
        <w:t>T</w:t>
      </w:r>
      <w:r w:rsidR="003608F0" w:rsidRPr="00E176CF">
        <w:rPr>
          <w:rFonts w:cs="Times New Roman"/>
          <w:lang w:val="en-GB"/>
        </w:rPr>
        <w:t xml:space="preserve">hese </w:t>
      </w:r>
      <w:r w:rsidR="003608F0">
        <w:rPr>
          <w:rFonts w:cs="Times New Roman"/>
          <w:lang w:val="en-GB"/>
        </w:rPr>
        <w:t>strategies provide a framework for evaluating how the name of the standard was articulated and how defining SMEs</w:t>
      </w:r>
      <w:r w:rsidR="003608F0" w:rsidRPr="00E176CF">
        <w:rPr>
          <w:rFonts w:cs="Times New Roman"/>
          <w:lang w:val="en-GB"/>
        </w:rPr>
        <w:t xml:space="preserve"> </w:t>
      </w:r>
      <w:r w:rsidR="003608F0">
        <w:rPr>
          <w:rFonts w:cs="Times New Roman"/>
          <w:lang w:val="en-GB"/>
        </w:rPr>
        <w:t xml:space="preserve">involved </w:t>
      </w:r>
      <w:r w:rsidR="00933657">
        <w:rPr>
          <w:rFonts w:cs="Times New Roman"/>
          <w:lang w:val="en-GB"/>
        </w:rPr>
        <w:t>attempts to</w:t>
      </w:r>
      <w:r w:rsidR="00933657" w:rsidRPr="00E176CF">
        <w:rPr>
          <w:rFonts w:cs="Times New Roman"/>
          <w:lang w:val="en-GB"/>
        </w:rPr>
        <w:t xml:space="preserve"> </w:t>
      </w:r>
      <w:r w:rsidR="003608F0" w:rsidRPr="00E176CF">
        <w:rPr>
          <w:rFonts w:cs="Times New Roman"/>
          <w:lang w:val="en-GB"/>
        </w:rPr>
        <w:t>fix of meaning</w:t>
      </w:r>
      <w:r w:rsidR="003608F0">
        <w:rPr>
          <w:rFonts w:cs="Times New Roman"/>
          <w:lang w:val="en-GB"/>
        </w:rPr>
        <w:t>,</w:t>
      </w:r>
      <w:r w:rsidR="003608F0" w:rsidRPr="00E176CF">
        <w:rPr>
          <w:rFonts w:cs="Times New Roman"/>
          <w:lang w:val="en-GB"/>
        </w:rPr>
        <w:t xml:space="preserve"> while the production of the micro-guide </w:t>
      </w:r>
      <w:r w:rsidR="003608F0">
        <w:rPr>
          <w:rFonts w:cs="Times New Roman"/>
          <w:lang w:val="en-GB"/>
        </w:rPr>
        <w:t xml:space="preserve">particularly </w:t>
      </w:r>
      <w:r w:rsidR="003608F0" w:rsidRPr="00E176CF">
        <w:rPr>
          <w:rFonts w:cs="Times New Roman"/>
          <w:lang w:val="en-GB"/>
        </w:rPr>
        <w:t xml:space="preserve">illustrates displacement </w:t>
      </w:r>
      <w:r w:rsidR="003608F0">
        <w:rPr>
          <w:rFonts w:cs="Times New Roman"/>
          <w:lang w:val="en-GB"/>
        </w:rPr>
        <w:t>due to the contingencies in the standard</w:t>
      </w:r>
      <w:r w:rsidR="003608F0" w:rsidRPr="00E176CF">
        <w:rPr>
          <w:rFonts w:cs="Times New Roman"/>
          <w:lang w:val="en-GB"/>
        </w:rPr>
        <w:t xml:space="preserve">. </w:t>
      </w:r>
      <w:r w:rsidR="003608F0">
        <w:rPr>
          <w:rFonts w:cs="Times New Roman"/>
          <w:lang w:val="en-GB"/>
        </w:rPr>
        <w:t xml:space="preserve">Our </w:t>
      </w:r>
      <w:r w:rsidR="003608F0" w:rsidRPr="00E176CF">
        <w:rPr>
          <w:rFonts w:cs="Times New Roman"/>
          <w:lang w:val="en-GB"/>
        </w:rPr>
        <w:t xml:space="preserve">work </w:t>
      </w:r>
      <w:r w:rsidR="003608F0">
        <w:rPr>
          <w:rFonts w:cs="Times New Roman"/>
          <w:lang w:val="en-GB"/>
        </w:rPr>
        <w:t xml:space="preserve">responds to Devi </w:t>
      </w:r>
      <w:r w:rsidR="00A272D9">
        <w:rPr>
          <w:rFonts w:cs="Times New Roman"/>
          <w:lang w:val="en-GB"/>
        </w:rPr>
        <w:t>and</w:t>
      </w:r>
      <w:r w:rsidR="003608F0">
        <w:rPr>
          <w:rFonts w:cs="Times New Roman"/>
          <w:lang w:val="en-GB"/>
        </w:rPr>
        <w:t xml:space="preserve"> Samujh</w:t>
      </w:r>
      <w:r w:rsidR="003608F0" w:rsidRPr="00E176CF">
        <w:rPr>
          <w:rFonts w:cs="Times New Roman"/>
          <w:lang w:val="en-GB"/>
        </w:rPr>
        <w:t xml:space="preserve"> (2015) and Hopper </w:t>
      </w:r>
      <w:r w:rsidR="003608F0" w:rsidRPr="00E176CF">
        <w:rPr>
          <w:rFonts w:cs="Times New Roman"/>
          <w:i/>
          <w:lang w:val="en-GB"/>
        </w:rPr>
        <w:t>et al.</w:t>
      </w:r>
      <w:r w:rsidR="003608F0">
        <w:rPr>
          <w:rFonts w:cs="Times New Roman"/>
          <w:i/>
          <w:lang w:val="en-GB"/>
        </w:rPr>
        <w:t>’s</w:t>
      </w:r>
      <w:r w:rsidR="003608F0" w:rsidRPr="00E176CF">
        <w:rPr>
          <w:rFonts w:cs="Times New Roman"/>
          <w:lang w:val="en-GB"/>
        </w:rPr>
        <w:t xml:space="preserve"> (2017) call for further theory-based </w:t>
      </w:r>
      <w:r w:rsidR="003608F0">
        <w:rPr>
          <w:rFonts w:cs="Times New Roman"/>
          <w:lang w:val="en-GB"/>
        </w:rPr>
        <w:t>research on standard</w:t>
      </w:r>
      <w:r w:rsidR="00933657">
        <w:rPr>
          <w:rFonts w:cs="Times New Roman"/>
          <w:lang w:val="en-GB"/>
        </w:rPr>
        <w:t xml:space="preserve"> </w:t>
      </w:r>
      <w:r w:rsidR="003608F0">
        <w:rPr>
          <w:rFonts w:cs="Times New Roman"/>
          <w:lang w:val="en-GB"/>
        </w:rPr>
        <w:t>setting</w:t>
      </w:r>
      <w:r w:rsidR="003608F0" w:rsidRPr="00E176CF">
        <w:rPr>
          <w:rFonts w:cs="Times New Roman"/>
          <w:lang w:val="en-GB"/>
        </w:rPr>
        <w:t>.</w:t>
      </w:r>
    </w:p>
    <w:p w14:paraId="27686553" w14:textId="77777777" w:rsidR="00457D9A" w:rsidRPr="00E176CF" w:rsidRDefault="00457D9A" w:rsidP="008456E4">
      <w:pPr>
        <w:jc w:val="both"/>
        <w:rPr>
          <w:rFonts w:cs="Times New Roman"/>
          <w:lang w:val="en-GB"/>
        </w:rPr>
      </w:pPr>
    </w:p>
    <w:p w14:paraId="2BD8E361" w14:textId="55923ECB" w:rsidR="003608F0" w:rsidRDefault="00933657" w:rsidP="008456E4">
      <w:pPr>
        <w:pStyle w:val="Heading1"/>
        <w:spacing w:after="120"/>
        <w:rPr>
          <w:rFonts w:asciiTheme="minorHAnsi" w:hAnsiTheme="minorHAnsi"/>
          <w:lang w:val="en-GB"/>
        </w:rPr>
      </w:pPr>
      <w:r>
        <w:rPr>
          <w:rFonts w:asciiTheme="minorHAnsi" w:hAnsiTheme="minorHAnsi"/>
          <w:lang w:val="en-GB"/>
        </w:rPr>
        <w:t>3</w:t>
      </w:r>
      <w:r w:rsidR="008F58A7">
        <w:rPr>
          <w:rFonts w:asciiTheme="minorHAnsi" w:hAnsiTheme="minorHAnsi"/>
          <w:lang w:val="en-GB"/>
        </w:rPr>
        <w:t xml:space="preserve">. </w:t>
      </w:r>
      <w:r w:rsidR="00457D9A">
        <w:rPr>
          <w:rFonts w:asciiTheme="minorHAnsi" w:hAnsiTheme="minorHAnsi"/>
          <w:lang w:val="en-GB"/>
        </w:rPr>
        <w:t xml:space="preserve">The Politics of Overdetermination </w:t>
      </w:r>
    </w:p>
    <w:p w14:paraId="3A97CA1E" w14:textId="77777777" w:rsidR="008456E4" w:rsidRPr="008456E4" w:rsidRDefault="008456E4" w:rsidP="008456E4">
      <w:pPr>
        <w:rPr>
          <w:lang w:val="en-GB"/>
        </w:rPr>
      </w:pPr>
    </w:p>
    <w:p w14:paraId="23268F53" w14:textId="48683E12" w:rsidR="007E0CE4" w:rsidRDefault="00933657" w:rsidP="007E0CE4">
      <w:pPr>
        <w:pStyle w:val="BodyTextIndent2"/>
        <w:ind w:firstLine="0"/>
        <w:rPr>
          <w:rStyle w:val="Strong"/>
          <w:rFonts w:asciiTheme="minorHAnsi" w:hAnsiTheme="minorHAnsi"/>
          <w:b w:val="0"/>
          <w:bCs w:val="0"/>
          <w:lang w:val="en-GB"/>
        </w:rPr>
      </w:pPr>
      <w:r>
        <w:rPr>
          <w:rStyle w:val="Strong"/>
          <w:rFonts w:asciiTheme="minorHAnsi" w:hAnsiTheme="minorHAnsi"/>
          <w:b w:val="0"/>
          <w:bCs w:val="0"/>
          <w:lang w:val="en-GB"/>
        </w:rPr>
        <w:t xml:space="preserve">Different definitions of the scope </w:t>
      </w:r>
      <w:r w:rsidR="009F7A69">
        <w:rPr>
          <w:rStyle w:val="Strong"/>
          <w:rFonts w:asciiTheme="minorHAnsi" w:hAnsiTheme="minorHAnsi"/>
          <w:b w:val="0"/>
          <w:bCs w:val="0"/>
          <w:lang w:val="en-GB"/>
        </w:rPr>
        <w:t xml:space="preserve">and titles for the </w:t>
      </w:r>
      <w:r w:rsidR="004D43FF">
        <w:rPr>
          <w:rStyle w:val="Strong"/>
          <w:rFonts w:asciiTheme="minorHAnsi" w:hAnsiTheme="minorHAnsi"/>
          <w:b w:val="0"/>
          <w:bCs w:val="0"/>
          <w:lang w:val="en-GB"/>
        </w:rPr>
        <w:t>SME standard</w:t>
      </w:r>
      <w:r>
        <w:rPr>
          <w:rStyle w:val="Strong"/>
          <w:rFonts w:asciiTheme="minorHAnsi" w:hAnsiTheme="minorHAnsi"/>
          <w:b w:val="0"/>
          <w:bCs w:val="0"/>
          <w:lang w:val="en-GB"/>
        </w:rPr>
        <w:t xml:space="preserve"> </w:t>
      </w:r>
      <w:r w:rsidR="009F7A69">
        <w:rPr>
          <w:rStyle w:val="Strong"/>
          <w:rFonts w:asciiTheme="minorHAnsi" w:hAnsiTheme="minorHAnsi"/>
          <w:b w:val="0"/>
          <w:bCs w:val="0"/>
          <w:lang w:val="en-GB"/>
        </w:rPr>
        <w:t>we</w:t>
      </w:r>
      <w:r>
        <w:rPr>
          <w:rStyle w:val="Strong"/>
          <w:rFonts w:asciiTheme="minorHAnsi" w:hAnsiTheme="minorHAnsi"/>
          <w:b w:val="0"/>
          <w:bCs w:val="0"/>
          <w:lang w:val="en-GB"/>
        </w:rPr>
        <w:t>re</w:t>
      </w:r>
      <w:r w:rsidR="004D43FF">
        <w:rPr>
          <w:rStyle w:val="Strong"/>
          <w:rFonts w:asciiTheme="minorHAnsi" w:hAnsiTheme="minorHAnsi"/>
          <w:b w:val="0"/>
          <w:bCs w:val="0"/>
          <w:lang w:val="en-GB"/>
        </w:rPr>
        <w:t xml:space="preserve"> supported by various parties</w:t>
      </w:r>
      <w:r w:rsidR="00F20A9E">
        <w:rPr>
          <w:rStyle w:val="Strong"/>
          <w:rFonts w:asciiTheme="minorHAnsi" w:hAnsiTheme="minorHAnsi"/>
          <w:b w:val="0"/>
          <w:bCs w:val="0"/>
          <w:lang w:val="en-GB"/>
        </w:rPr>
        <w:t>.</w:t>
      </w:r>
      <w:r w:rsidR="004D43FF">
        <w:rPr>
          <w:rStyle w:val="Strong"/>
          <w:rFonts w:asciiTheme="minorHAnsi" w:hAnsiTheme="minorHAnsi"/>
          <w:b w:val="0"/>
          <w:bCs w:val="0"/>
          <w:lang w:val="en-GB"/>
        </w:rPr>
        <w:t xml:space="preserve"> </w:t>
      </w:r>
      <w:r w:rsidR="00F20A9E">
        <w:rPr>
          <w:rStyle w:val="Strong"/>
          <w:rFonts w:asciiTheme="minorHAnsi" w:hAnsiTheme="minorHAnsi"/>
          <w:b w:val="0"/>
          <w:bCs w:val="0"/>
          <w:lang w:val="en-GB"/>
        </w:rPr>
        <w:t>B</w:t>
      </w:r>
      <w:r>
        <w:rPr>
          <w:rStyle w:val="Strong"/>
          <w:rFonts w:asciiTheme="minorHAnsi" w:hAnsiTheme="minorHAnsi"/>
          <w:b w:val="0"/>
          <w:bCs w:val="0"/>
          <w:lang w:val="en-GB"/>
        </w:rPr>
        <w:t>oth the</w:t>
      </w:r>
      <w:r w:rsidR="004D43FF">
        <w:rPr>
          <w:rStyle w:val="Strong"/>
          <w:rFonts w:asciiTheme="minorHAnsi" w:hAnsiTheme="minorHAnsi"/>
          <w:b w:val="0"/>
          <w:bCs w:val="0"/>
          <w:lang w:val="en-GB"/>
        </w:rPr>
        <w:t xml:space="preserve"> definition and </w:t>
      </w:r>
      <w:r>
        <w:rPr>
          <w:rStyle w:val="Strong"/>
          <w:rFonts w:asciiTheme="minorHAnsi" w:hAnsiTheme="minorHAnsi"/>
          <w:b w:val="0"/>
          <w:bCs w:val="0"/>
          <w:lang w:val="en-GB"/>
        </w:rPr>
        <w:t xml:space="preserve">the </w:t>
      </w:r>
      <w:r w:rsidR="004D43FF">
        <w:rPr>
          <w:rStyle w:val="Strong"/>
          <w:rFonts w:asciiTheme="minorHAnsi" w:hAnsiTheme="minorHAnsi"/>
          <w:b w:val="0"/>
          <w:bCs w:val="0"/>
          <w:lang w:val="en-GB"/>
        </w:rPr>
        <w:t xml:space="preserve">title </w:t>
      </w:r>
      <w:r w:rsidR="00F20A9E">
        <w:rPr>
          <w:rStyle w:val="Strong"/>
          <w:rFonts w:asciiTheme="minorHAnsi" w:hAnsiTheme="minorHAnsi"/>
          <w:b w:val="0"/>
          <w:bCs w:val="0"/>
          <w:lang w:val="en-GB"/>
        </w:rPr>
        <w:t>provide opportunities to</w:t>
      </w:r>
      <w:r w:rsidR="004D43FF">
        <w:rPr>
          <w:rStyle w:val="Strong"/>
          <w:rFonts w:asciiTheme="minorHAnsi" w:hAnsiTheme="minorHAnsi"/>
          <w:b w:val="0"/>
          <w:bCs w:val="0"/>
          <w:lang w:val="en-GB"/>
        </w:rPr>
        <w:t xml:space="preserve"> merge </w:t>
      </w:r>
      <w:r w:rsidR="00F20A9E">
        <w:rPr>
          <w:rStyle w:val="Strong"/>
          <w:rFonts w:asciiTheme="minorHAnsi" w:hAnsiTheme="minorHAnsi"/>
          <w:b w:val="0"/>
          <w:bCs w:val="0"/>
          <w:lang w:val="en-GB"/>
        </w:rPr>
        <w:t xml:space="preserve">the </w:t>
      </w:r>
      <w:r w:rsidR="004D43FF">
        <w:rPr>
          <w:rStyle w:val="Strong"/>
          <w:rFonts w:asciiTheme="minorHAnsi" w:hAnsiTheme="minorHAnsi"/>
          <w:b w:val="0"/>
          <w:bCs w:val="0"/>
          <w:lang w:val="en-GB"/>
        </w:rPr>
        <w:t xml:space="preserve">diverse and disparate interests of </w:t>
      </w:r>
      <w:r w:rsidR="00C92853">
        <w:rPr>
          <w:rStyle w:val="Strong"/>
          <w:rFonts w:asciiTheme="minorHAnsi" w:hAnsiTheme="minorHAnsi"/>
          <w:b w:val="0"/>
          <w:bCs w:val="0"/>
          <w:lang w:val="en-GB"/>
        </w:rPr>
        <w:t xml:space="preserve">interested </w:t>
      </w:r>
      <w:r w:rsidR="004D43FF">
        <w:rPr>
          <w:rStyle w:val="Strong"/>
          <w:rFonts w:asciiTheme="minorHAnsi" w:hAnsiTheme="minorHAnsi"/>
          <w:b w:val="0"/>
          <w:bCs w:val="0"/>
          <w:lang w:val="en-GB"/>
        </w:rPr>
        <w:t>parties</w:t>
      </w:r>
      <w:r w:rsidR="00C92853">
        <w:rPr>
          <w:rStyle w:val="Strong"/>
          <w:rFonts w:asciiTheme="minorHAnsi" w:hAnsiTheme="minorHAnsi"/>
          <w:b w:val="0"/>
          <w:bCs w:val="0"/>
          <w:lang w:val="en-GB"/>
        </w:rPr>
        <w:t>. This is reinforced by Ram and Newberry’s (2017) account of the agenda-setting process, and how IASB members and staff had different opinions about the need for an SME standard and concerns regarding scope</w:t>
      </w:r>
      <w:r w:rsidR="00F20A9E">
        <w:rPr>
          <w:rStyle w:val="Strong"/>
          <w:rFonts w:asciiTheme="minorHAnsi" w:hAnsiTheme="minorHAnsi"/>
          <w:b w:val="0"/>
          <w:bCs w:val="0"/>
          <w:lang w:val="en-GB"/>
        </w:rPr>
        <w:t>.</w:t>
      </w:r>
      <w:r w:rsidR="004D43FF">
        <w:rPr>
          <w:rStyle w:val="Strong"/>
          <w:rFonts w:asciiTheme="minorHAnsi" w:hAnsiTheme="minorHAnsi"/>
          <w:b w:val="0"/>
          <w:bCs w:val="0"/>
          <w:lang w:val="en-GB"/>
        </w:rPr>
        <w:t xml:space="preserve"> </w:t>
      </w:r>
      <w:r w:rsidR="00C92853">
        <w:rPr>
          <w:rStyle w:val="Strong"/>
          <w:rFonts w:asciiTheme="minorHAnsi" w:hAnsiTheme="minorHAnsi"/>
          <w:b w:val="0"/>
          <w:bCs w:val="0"/>
          <w:lang w:val="en-GB"/>
        </w:rPr>
        <w:t>In drawing on Botzem (2012), t</w:t>
      </w:r>
      <w:r w:rsidR="004D43FF">
        <w:rPr>
          <w:rStyle w:val="Strong"/>
          <w:rFonts w:asciiTheme="minorHAnsi" w:hAnsiTheme="minorHAnsi"/>
          <w:b w:val="0"/>
          <w:bCs w:val="0"/>
          <w:lang w:val="en-GB"/>
        </w:rPr>
        <w:t>he IASB presents their process</w:t>
      </w:r>
      <w:r w:rsidR="00C92853">
        <w:rPr>
          <w:rStyle w:val="Strong"/>
          <w:rFonts w:asciiTheme="minorHAnsi" w:hAnsiTheme="minorHAnsi"/>
          <w:b w:val="0"/>
          <w:bCs w:val="0"/>
          <w:lang w:val="en-GB"/>
        </w:rPr>
        <w:t>es</w:t>
      </w:r>
      <w:r w:rsidR="004D43FF">
        <w:rPr>
          <w:rStyle w:val="Strong"/>
          <w:rFonts w:asciiTheme="minorHAnsi" w:hAnsiTheme="minorHAnsi"/>
          <w:b w:val="0"/>
          <w:bCs w:val="0"/>
          <w:lang w:val="en-GB"/>
        </w:rPr>
        <w:t xml:space="preserve"> and debates as technical</w:t>
      </w:r>
      <w:r w:rsidR="00C92853">
        <w:rPr>
          <w:rStyle w:val="Strong"/>
          <w:rFonts w:asciiTheme="minorHAnsi" w:hAnsiTheme="minorHAnsi"/>
          <w:b w:val="0"/>
          <w:bCs w:val="0"/>
          <w:lang w:val="en-GB"/>
        </w:rPr>
        <w:t xml:space="preserve"> in </w:t>
      </w:r>
      <w:r w:rsidR="004D43FF" w:rsidRPr="00E176CF">
        <w:rPr>
          <w:rStyle w:val="Strong"/>
          <w:rFonts w:asciiTheme="minorHAnsi" w:hAnsiTheme="minorHAnsi"/>
          <w:b w:val="0"/>
          <w:bCs w:val="0"/>
          <w:lang w:val="en-GB"/>
        </w:rPr>
        <w:t>reinforc</w:t>
      </w:r>
      <w:r w:rsidR="00C92853">
        <w:rPr>
          <w:rStyle w:val="Strong"/>
          <w:rFonts w:asciiTheme="minorHAnsi" w:hAnsiTheme="minorHAnsi"/>
          <w:b w:val="0"/>
          <w:bCs w:val="0"/>
          <w:lang w:val="en-GB"/>
        </w:rPr>
        <w:t>ing</w:t>
      </w:r>
      <w:r w:rsidR="004D43FF" w:rsidRPr="00E176CF">
        <w:rPr>
          <w:rStyle w:val="Strong"/>
          <w:rFonts w:asciiTheme="minorHAnsi" w:hAnsiTheme="minorHAnsi"/>
          <w:b w:val="0"/>
          <w:bCs w:val="0"/>
          <w:lang w:val="en-GB"/>
        </w:rPr>
        <w:t xml:space="preserve"> </w:t>
      </w:r>
      <w:r w:rsidR="004D43FF">
        <w:rPr>
          <w:rStyle w:val="Strong"/>
          <w:rFonts w:asciiTheme="minorHAnsi" w:hAnsiTheme="minorHAnsi"/>
          <w:b w:val="0"/>
          <w:bCs w:val="0"/>
          <w:lang w:val="en-GB"/>
        </w:rPr>
        <w:t>their</w:t>
      </w:r>
      <w:r w:rsidR="004D43FF" w:rsidRPr="00E176CF">
        <w:rPr>
          <w:rStyle w:val="Strong"/>
          <w:rFonts w:asciiTheme="minorHAnsi" w:hAnsiTheme="minorHAnsi"/>
          <w:b w:val="0"/>
          <w:bCs w:val="0"/>
          <w:lang w:val="en-GB"/>
        </w:rPr>
        <w:t xml:space="preserve"> technocratic expertise as the appropriate </w:t>
      </w:r>
      <w:r w:rsidR="00FD5E80">
        <w:rPr>
          <w:rStyle w:val="Strong"/>
          <w:rFonts w:asciiTheme="minorHAnsi" w:hAnsiTheme="minorHAnsi"/>
          <w:b w:val="0"/>
          <w:bCs w:val="0"/>
          <w:lang w:val="en-GB"/>
        </w:rPr>
        <w:t>“</w:t>
      </w:r>
      <w:r w:rsidR="004D43FF" w:rsidRPr="00E176CF">
        <w:rPr>
          <w:rStyle w:val="Strong"/>
          <w:rFonts w:asciiTheme="minorHAnsi" w:hAnsiTheme="minorHAnsi"/>
          <w:b w:val="0"/>
          <w:bCs w:val="0"/>
          <w:lang w:val="en-GB"/>
        </w:rPr>
        <w:t>authority</w:t>
      </w:r>
      <w:r w:rsidR="00FD5E80">
        <w:rPr>
          <w:rStyle w:val="Strong"/>
          <w:rFonts w:asciiTheme="minorHAnsi" w:hAnsiTheme="minorHAnsi"/>
          <w:b w:val="0"/>
          <w:bCs w:val="0"/>
          <w:lang w:val="en-GB"/>
        </w:rPr>
        <w:t>”</w:t>
      </w:r>
      <w:r w:rsidR="004D43FF" w:rsidRPr="00E176CF">
        <w:rPr>
          <w:rStyle w:val="Strong"/>
          <w:rFonts w:asciiTheme="minorHAnsi" w:hAnsiTheme="minorHAnsi"/>
          <w:b w:val="0"/>
          <w:bCs w:val="0"/>
          <w:lang w:val="en-GB"/>
        </w:rPr>
        <w:t xml:space="preserve"> to determine accoun</w:t>
      </w:r>
      <w:r w:rsidR="004D43FF">
        <w:rPr>
          <w:rStyle w:val="Strong"/>
          <w:rFonts w:asciiTheme="minorHAnsi" w:hAnsiTheme="minorHAnsi"/>
          <w:b w:val="0"/>
          <w:bCs w:val="0"/>
          <w:lang w:val="en-GB"/>
        </w:rPr>
        <w:t>ting for SMEs and fix</w:t>
      </w:r>
      <w:r w:rsidR="00C2557D">
        <w:rPr>
          <w:rStyle w:val="Strong"/>
          <w:rFonts w:asciiTheme="minorHAnsi" w:hAnsiTheme="minorHAnsi"/>
          <w:b w:val="0"/>
          <w:bCs w:val="0"/>
          <w:lang w:val="en-GB"/>
        </w:rPr>
        <w:t xml:space="preserve"> </w:t>
      </w:r>
      <w:r w:rsidR="004D43FF">
        <w:rPr>
          <w:rStyle w:val="Strong"/>
          <w:rFonts w:asciiTheme="minorHAnsi" w:hAnsiTheme="minorHAnsi"/>
          <w:b w:val="0"/>
          <w:bCs w:val="0"/>
          <w:lang w:val="en-GB"/>
        </w:rPr>
        <w:t>meaning.</w:t>
      </w:r>
      <w:r w:rsidR="00C2557D">
        <w:rPr>
          <w:rStyle w:val="Strong"/>
          <w:rFonts w:asciiTheme="minorHAnsi" w:hAnsiTheme="minorHAnsi"/>
          <w:b w:val="0"/>
          <w:bCs w:val="0"/>
          <w:lang w:val="en-GB"/>
        </w:rPr>
        <w:t xml:space="preserve"> Laclau and Mouffe (2001) help us to deconstruct the discursive mechanisms</w:t>
      </w:r>
      <w:r w:rsidR="00F20A9E">
        <w:rPr>
          <w:rStyle w:val="Strong"/>
          <w:rFonts w:asciiTheme="minorHAnsi" w:hAnsiTheme="minorHAnsi"/>
          <w:b w:val="0"/>
          <w:bCs w:val="0"/>
          <w:lang w:val="en-GB"/>
        </w:rPr>
        <w:t>,</w:t>
      </w:r>
      <w:r w:rsidR="00C2557D">
        <w:rPr>
          <w:rStyle w:val="Strong"/>
          <w:rFonts w:asciiTheme="minorHAnsi" w:hAnsiTheme="minorHAnsi"/>
          <w:b w:val="0"/>
          <w:bCs w:val="0"/>
          <w:lang w:val="en-GB"/>
        </w:rPr>
        <w:t xml:space="preserve"> as the politics of attempts to fix meaning is central to their theory</w:t>
      </w:r>
      <w:r w:rsidR="00E158C8">
        <w:rPr>
          <w:rStyle w:val="Strong"/>
          <w:rFonts w:asciiTheme="minorHAnsi" w:hAnsiTheme="minorHAnsi"/>
          <w:b w:val="0"/>
          <w:bCs w:val="0"/>
          <w:lang w:val="en-GB"/>
        </w:rPr>
        <w:t xml:space="preserve">, and they offer tools for its deconstruction. </w:t>
      </w:r>
      <w:r w:rsidR="00457D9A">
        <w:rPr>
          <w:rStyle w:val="Strong"/>
          <w:rFonts w:asciiTheme="minorHAnsi" w:hAnsiTheme="minorHAnsi"/>
          <w:b w:val="0"/>
          <w:bCs w:val="0"/>
          <w:lang w:val="en-GB"/>
        </w:rPr>
        <w:t>T</w:t>
      </w:r>
      <w:r w:rsidR="002C73BD">
        <w:rPr>
          <w:rStyle w:val="Strong"/>
          <w:rFonts w:asciiTheme="minorHAnsi" w:hAnsiTheme="minorHAnsi"/>
          <w:b w:val="0"/>
          <w:bCs w:val="0"/>
          <w:lang w:val="en-GB"/>
        </w:rPr>
        <w:t xml:space="preserve">o deconstruct the </w:t>
      </w:r>
      <w:r w:rsidR="00FD5E80">
        <w:rPr>
          <w:rStyle w:val="Strong"/>
          <w:rFonts w:asciiTheme="minorHAnsi" w:hAnsiTheme="minorHAnsi"/>
          <w:b w:val="0"/>
          <w:bCs w:val="0"/>
          <w:lang w:val="en-GB"/>
        </w:rPr>
        <w:t>“</w:t>
      </w:r>
      <w:r w:rsidR="00457D9A">
        <w:rPr>
          <w:rStyle w:val="Strong"/>
          <w:rFonts w:asciiTheme="minorHAnsi" w:hAnsiTheme="minorHAnsi"/>
          <w:b w:val="0"/>
          <w:bCs w:val="0"/>
          <w:lang w:val="en-GB"/>
        </w:rPr>
        <w:t>shadowy</w:t>
      </w:r>
      <w:r w:rsidR="00FD5E80">
        <w:rPr>
          <w:rStyle w:val="Strong"/>
          <w:rFonts w:asciiTheme="minorHAnsi" w:hAnsiTheme="minorHAnsi"/>
          <w:b w:val="0"/>
          <w:bCs w:val="0"/>
          <w:lang w:val="en-GB"/>
        </w:rPr>
        <w:t>”</w:t>
      </w:r>
      <w:r w:rsidR="00793F42">
        <w:rPr>
          <w:rStyle w:val="Strong"/>
          <w:rFonts w:asciiTheme="minorHAnsi" w:hAnsiTheme="minorHAnsi"/>
          <w:b w:val="0"/>
          <w:bCs w:val="0"/>
          <w:lang w:val="en-GB"/>
        </w:rPr>
        <w:t xml:space="preserve"> </w:t>
      </w:r>
      <w:r w:rsidR="004E5E1E">
        <w:rPr>
          <w:rStyle w:val="Strong"/>
          <w:rFonts w:asciiTheme="minorHAnsi" w:hAnsiTheme="minorHAnsi"/>
          <w:b w:val="0"/>
          <w:bCs w:val="0"/>
          <w:lang w:val="en-GB"/>
        </w:rPr>
        <w:t xml:space="preserve">or hidden side of </w:t>
      </w:r>
      <w:r w:rsidR="00457D9A">
        <w:rPr>
          <w:rStyle w:val="Strong"/>
          <w:rFonts w:asciiTheme="minorHAnsi" w:hAnsiTheme="minorHAnsi"/>
          <w:b w:val="0"/>
          <w:bCs w:val="0"/>
          <w:lang w:val="en-GB"/>
        </w:rPr>
        <w:t xml:space="preserve">the </w:t>
      </w:r>
      <w:r w:rsidR="002C73BD">
        <w:rPr>
          <w:rStyle w:val="Strong"/>
          <w:rFonts w:asciiTheme="minorHAnsi" w:hAnsiTheme="minorHAnsi"/>
          <w:b w:val="0"/>
          <w:bCs w:val="0"/>
          <w:lang w:val="en-GB"/>
        </w:rPr>
        <w:t xml:space="preserve">politics of </w:t>
      </w:r>
      <w:r w:rsidR="00F5108D" w:rsidRPr="00F5108D">
        <w:rPr>
          <w:rStyle w:val="Strong"/>
          <w:rFonts w:asciiTheme="minorHAnsi" w:hAnsiTheme="minorHAnsi"/>
          <w:b w:val="0"/>
          <w:bCs w:val="0"/>
          <w:i/>
          <w:lang w:val="en-GB"/>
        </w:rPr>
        <w:t>IFRS for SMEs</w:t>
      </w:r>
      <w:r w:rsidR="00457D9A">
        <w:rPr>
          <w:rStyle w:val="Strong"/>
          <w:rFonts w:asciiTheme="minorHAnsi" w:hAnsiTheme="minorHAnsi"/>
          <w:b w:val="0"/>
          <w:bCs w:val="0"/>
          <w:lang w:val="en-GB"/>
        </w:rPr>
        <w:t>,</w:t>
      </w:r>
      <w:r w:rsidR="002C73BD">
        <w:rPr>
          <w:rStyle w:val="Strong"/>
          <w:rFonts w:asciiTheme="minorHAnsi" w:hAnsiTheme="minorHAnsi"/>
          <w:b w:val="0"/>
          <w:bCs w:val="0"/>
          <w:lang w:val="en-GB"/>
        </w:rPr>
        <w:t xml:space="preserve"> we draw on</w:t>
      </w:r>
      <w:r w:rsidR="00004FA4">
        <w:rPr>
          <w:rStyle w:val="Strong"/>
          <w:rFonts w:asciiTheme="minorHAnsi" w:hAnsiTheme="minorHAnsi"/>
          <w:b w:val="0"/>
          <w:bCs w:val="0"/>
          <w:lang w:val="en-GB"/>
        </w:rPr>
        <w:t xml:space="preserve"> </w:t>
      </w:r>
      <w:r w:rsidR="00D91A79">
        <w:rPr>
          <w:rStyle w:val="Strong"/>
          <w:rFonts w:asciiTheme="minorHAnsi" w:hAnsiTheme="minorHAnsi"/>
          <w:b w:val="0"/>
          <w:bCs w:val="0"/>
          <w:lang w:val="en-GB"/>
        </w:rPr>
        <w:t>Laclau and Mouffe</w:t>
      </w:r>
      <w:r w:rsidR="00F5108D">
        <w:rPr>
          <w:rStyle w:val="Strong"/>
          <w:rFonts w:asciiTheme="minorHAnsi" w:hAnsiTheme="minorHAnsi"/>
          <w:b w:val="0"/>
          <w:bCs w:val="0"/>
          <w:lang w:val="en-GB"/>
        </w:rPr>
        <w:t xml:space="preserve"> to “</w:t>
      </w:r>
      <w:r w:rsidR="00004FA4" w:rsidRPr="00004FA4">
        <w:rPr>
          <w:rFonts w:asciiTheme="minorHAnsi" w:hAnsiTheme="minorHAnsi"/>
          <w:lang w:val="en-GB"/>
        </w:rPr>
        <w:t>investigate the way social practices systematically form the identities of subjects and objects by articulating together a series of contingent signifying elements available in a discursive field</w:t>
      </w:r>
      <w:r w:rsidR="00004FA4">
        <w:rPr>
          <w:rFonts w:asciiTheme="minorHAnsi" w:hAnsiTheme="minorHAnsi"/>
          <w:lang w:val="en-GB"/>
        </w:rPr>
        <w:t>”</w:t>
      </w:r>
      <w:r w:rsidR="00004FA4" w:rsidRPr="00004FA4">
        <w:rPr>
          <w:rFonts w:asciiTheme="minorHAnsi" w:hAnsiTheme="minorHAnsi"/>
          <w:lang w:val="en-GB"/>
        </w:rPr>
        <w:t xml:space="preserve"> (Howarth </w:t>
      </w:r>
      <w:r w:rsidR="00004FA4" w:rsidRPr="00004FA4">
        <w:rPr>
          <w:rFonts w:asciiTheme="minorHAnsi" w:hAnsiTheme="minorHAnsi"/>
          <w:i/>
          <w:lang w:val="en-GB"/>
        </w:rPr>
        <w:t>et al</w:t>
      </w:r>
      <w:r w:rsidR="0066687E">
        <w:rPr>
          <w:rFonts w:asciiTheme="minorHAnsi" w:hAnsiTheme="minorHAnsi"/>
          <w:i/>
          <w:lang w:val="en-GB"/>
        </w:rPr>
        <w:t>.</w:t>
      </w:r>
      <w:r w:rsidR="00004FA4" w:rsidRPr="00004FA4">
        <w:rPr>
          <w:rFonts w:asciiTheme="minorHAnsi" w:hAnsiTheme="minorHAnsi"/>
          <w:i/>
          <w:lang w:val="en-GB"/>
        </w:rPr>
        <w:t>,</w:t>
      </w:r>
      <w:r w:rsidR="00004FA4" w:rsidRPr="00004FA4">
        <w:rPr>
          <w:rFonts w:asciiTheme="minorHAnsi" w:hAnsiTheme="minorHAnsi"/>
          <w:lang w:val="en-GB"/>
        </w:rPr>
        <w:t xml:space="preserve"> 2000, p. 7).</w:t>
      </w:r>
      <w:r w:rsidR="00004FA4">
        <w:rPr>
          <w:rFonts w:asciiTheme="minorHAnsi" w:hAnsiTheme="minorHAnsi"/>
          <w:lang w:val="en-GB"/>
        </w:rPr>
        <w:t xml:space="preserve"> </w:t>
      </w:r>
      <w:r w:rsidR="004E5E1E">
        <w:rPr>
          <w:rStyle w:val="Strong"/>
          <w:rFonts w:asciiTheme="minorHAnsi" w:hAnsiTheme="minorHAnsi"/>
          <w:b w:val="0"/>
          <w:bCs w:val="0"/>
          <w:lang w:val="en-GB"/>
        </w:rPr>
        <w:t>F</w:t>
      </w:r>
      <w:r w:rsidR="002C73BD">
        <w:rPr>
          <w:rStyle w:val="Strong"/>
          <w:rFonts w:asciiTheme="minorHAnsi" w:hAnsiTheme="minorHAnsi"/>
          <w:b w:val="0"/>
          <w:bCs w:val="0"/>
          <w:lang w:val="en-GB"/>
        </w:rPr>
        <w:t xml:space="preserve">or </w:t>
      </w:r>
      <w:r w:rsidR="00D91A79">
        <w:rPr>
          <w:rStyle w:val="Strong"/>
          <w:rFonts w:asciiTheme="minorHAnsi" w:hAnsiTheme="minorHAnsi"/>
          <w:b w:val="0"/>
          <w:bCs w:val="0"/>
          <w:lang w:val="en-GB"/>
        </w:rPr>
        <w:t>Laclau and Mouffe</w:t>
      </w:r>
      <w:r w:rsidR="004E5E1E">
        <w:rPr>
          <w:rStyle w:val="Strong"/>
          <w:rFonts w:asciiTheme="minorHAnsi" w:hAnsiTheme="minorHAnsi"/>
          <w:b w:val="0"/>
          <w:bCs w:val="0"/>
          <w:lang w:val="en-GB"/>
        </w:rPr>
        <w:t>,</w:t>
      </w:r>
      <w:r w:rsidR="002C73BD">
        <w:rPr>
          <w:rStyle w:val="Strong"/>
          <w:rFonts w:asciiTheme="minorHAnsi" w:hAnsiTheme="minorHAnsi"/>
          <w:b w:val="0"/>
          <w:bCs w:val="0"/>
          <w:lang w:val="en-GB"/>
        </w:rPr>
        <w:t xml:space="preserve"> all discour</w:t>
      </w:r>
      <w:r w:rsidR="00D4639C">
        <w:rPr>
          <w:rStyle w:val="Strong"/>
          <w:rFonts w:asciiTheme="minorHAnsi" w:hAnsiTheme="minorHAnsi"/>
          <w:b w:val="0"/>
          <w:bCs w:val="0"/>
          <w:lang w:val="en-GB"/>
        </w:rPr>
        <w:t>se is antagonistic</w:t>
      </w:r>
      <w:r w:rsidR="00004FA4">
        <w:rPr>
          <w:rStyle w:val="Strong"/>
          <w:rFonts w:asciiTheme="minorHAnsi" w:hAnsiTheme="minorHAnsi"/>
          <w:b w:val="0"/>
          <w:bCs w:val="0"/>
          <w:lang w:val="en-GB"/>
        </w:rPr>
        <w:t>.</w:t>
      </w:r>
      <w:r w:rsidR="00D4639C">
        <w:rPr>
          <w:rStyle w:val="Strong"/>
          <w:rFonts w:asciiTheme="minorHAnsi" w:hAnsiTheme="minorHAnsi"/>
          <w:b w:val="0"/>
          <w:bCs w:val="0"/>
          <w:lang w:val="en-GB"/>
        </w:rPr>
        <w:t xml:space="preserve"> </w:t>
      </w:r>
      <w:r w:rsidR="00004FA4">
        <w:rPr>
          <w:rStyle w:val="Strong"/>
          <w:rFonts w:asciiTheme="minorHAnsi" w:hAnsiTheme="minorHAnsi"/>
          <w:b w:val="0"/>
          <w:bCs w:val="0"/>
          <w:lang w:val="en-GB"/>
        </w:rPr>
        <w:t>A</w:t>
      </w:r>
      <w:r w:rsidR="00D4639C">
        <w:rPr>
          <w:rStyle w:val="Strong"/>
          <w:rFonts w:asciiTheme="minorHAnsi" w:hAnsiTheme="minorHAnsi"/>
          <w:b w:val="0"/>
          <w:bCs w:val="0"/>
          <w:lang w:val="en-GB"/>
        </w:rPr>
        <w:t>ttempts at articulation are political</w:t>
      </w:r>
      <w:r w:rsidR="00004FA4">
        <w:rPr>
          <w:rStyle w:val="Strong"/>
          <w:rFonts w:asciiTheme="minorHAnsi" w:hAnsiTheme="minorHAnsi"/>
          <w:b w:val="0"/>
          <w:bCs w:val="0"/>
          <w:lang w:val="en-GB"/>
        </w:rPr>
        <w:t>,</w:t>
      </w:r>
      <w:r w:rsidR="00D4639C">
        <w:rPr>
          <w:rStyle w:val="Strong"/>
          <w:rFonts w:asciiTheme="minorHAnsi" w:hAnsiTheme="minorHAnsi"/>
          <w:b w:val="0"/>
          <w:bCs w:val="0"/>
          <w:lang w:val="en-GB"/>
        </w:rPr>
        <w:t xml:space="preserve"> as they </w:t>
      </w:r>
      <w:r w:rsidR="00180080">
        <w:rPr>
          <w:rStyle w:val="Strong"/>
          <w:rFonts w:asciiTheme="minorHAnsi" w:hAnsiTheme="minorHAnsi"/>
          <w:b w:val="0"/>
          <w:bCs w:val="0"/>
          <w:lang w:val="en-GB"/>
        </w:rPr>
        <w:t xml:space="preserve">try </w:t>
      </w:r>
      <w:r w:rsidR="00D4639C">
        <w:rPr>
          <w:rStyle w:val="Strong"/>
          <w:rFonts w:asciiTheme="minorHAnsi" w:hAnsiTheme="minorHAnsi"/>
          <w:b w:val="0"/>
          <w:bCs w:val="0"/>
          <w:lang w:val="en-GB"/>
        </w:rPr>
        <w:t xml:space="preserve">to </w:t>
      </w:r>
      <w:r w:rsidR="00004FA4">
        <w:rPr>
          <w:rStyle w:val="Strong"/>
          <w:rFonts w:asciiTheme="minorHAnsi" w:hAnsiTheme="minorHAnsi"/>
          <w:b w:val="0"/>
          <w:bCs w:val="0"/>
          <w:lang w:val="en-GB"/>
        </w:rPr>
        <w:t xml:space="preserve">cover over the antagonism and arrive at a </w:t>
      </w:r>
      <w:r w:rsidR="00D4639C">
        <w:rPr>
          <w:rStyle w:val="Strong"/>
          <w:rFonts w:asciiTheme="minorHAnsi" w:hAnsiTheme="minorHAnsi"/>
          <w:b w:val="0"/>
          <w:bCs w:val="0"/>
          <w:lang w:val="en-GB"/>
        </w:rPr>
        <w:t>fix</w:t>
      </w:r>
      <w:r w:rsidR="00004FA4">
        <w:rPr>
          <w:rStyle w:val="Strong"/>
          <w:rFonts w:asciiTheme="minorHAnsi" w:hAnsiTheme="minorHAnsi"/>
          <w:b w:val="0"/>
          <w:bCs w:val="0"/>
          <w:lang w:val="en-GB"/>
        </w:rPr>
        <w:t>ed</w:t>
      </w:r>
      <w:r w:rsidR="00D4639C">
        <w:rPr>
          <w:rStyle w:val="Strong"/>
          <w:rFonts w:asciiTheme="minorHAnsi" w:hAnsiTheme="minorHAnsi"/>
          <w:b w:val="0"/>
          <w:bCs w:val="0"/>
          <w:lang w:val="en-GB"/>
        </w:rPr>
        <w:t xml:space="preserve"> meaning (Laclau </w:t>
      </w:r>
      <w:r w:rsidR="00A272D9">
        <w:rPr>
          <w:rStyle w:val="Strong"/>
          <w:rFonts w:asciiTheme="minorHAnsi" w:hAnsiTheme="minorHAnsi"/>
          <w:b w:val="0"/>
          <w:bCs w:val="0"/>
          <w:lang w:val="en-GB"/>
        </w:rPr>
        <w:t>and</w:t>
      </w:r>
      <w:r w:rsidR="00D4639C">
        <w:rPr>
          <w:rStyle w:val="Strong"/>
          <w:rFonts w:asciiTheme="minorHAnsi" w:hAnsiTheme="minorHAnsi"/>
          <w:b w:val="0"/>
          <w:bCs w:val="0"/>
          <w:lang w:val="en-GB"/>
        </w:rPr>
        <w:t xml:space="preserve"> Mouffe, 2001).</w:t>
      </w:r>
      <w:r w:rsidR="00FC3F80">
        <w:rPr>
          <w:rStyle w:val="Strong"/>
          <w:rFonts w:asciiTheme="minorHAnsi" w:hAnsiTheme="minorHAnsi"/>
          <w:b w:val="0"/>
          <w:bCs w:val="0"/>
          <w:lang w:val="en-GB"/>
        </w:rPr>
        <w:t xml:space="preserve"> </w:t>
      </w:r>
      <w:r w:rsidR="00004FA4">
        <w:rPr>
          <w:rStyle w:val="Strong"/>
          <w:rFonts w:asciiTheme="minorHAnsi" w:hAnsiTheme="minorHAnsi"/>
          <w:b w:val="0"/>
          <w:bCs w:val="0"/>
          <w:lang w:val="en-GB"/>
        </w:rPr>
        <w:t>T</w:t>
      </w:r>
      <w:r w:rsidR="00793F42">
        <w:rPr>
          <w:rStyle w:val="Strong"/>
          <w:rFonts w:asciiTheme="minorHAnsi" w:hAnsiTheme="minorHAnsi"/>
          <w:b w:val="0"/>
          <w:bCs w:val="0"/>
          <w:lang w:val="en-GB"/>
        </w:rPr>
        <w:t xml:space="preserve">hese moments of fixity </w:t>
      </w:r>
      <w:r w:rsidR="00D77875">
        <w:rPr>
          <w:rStyle w:val="Strong"/>
          <w:rFonts w:asciiTheme="minorHAnsi" w:hAnsiTheme="minorHAnsi"/>
          <w:b w:val="0"/>
          <w:bCs w:val="0"/>
          <w:lang w:val="en-GB"/>
        </w:rPr>
        <w:t xml:space="preserve">are </w:t>
      </w:r>
      <w:r w:rsidR="00FD5E80">
        <w:rPr>
          <w:rStyle w:val="Strong"/>
          <w:rFonts w:asciiTheme="minorHAnsi" w:hAnsiTheme="minorHAnsi"/>
          <w:b w:val="0"/>
          <w:bCs w:val="0"/>
          <w:lang w:val="en-GB"/>
        </w:rPr>
        <w:t>“</w:t>
      </w:r>
      <w:r w:rsidR="00793F42">
        <w:rPr>
          <w:rStyle w:val="Strong"/>
          <w:rFonts w:asciiTheme="minorHAnsi" w:hAnsiTheme="minorHAnsi"/>
          <w:b w:val="0"/>
          <w:bCs w:val="0"/>
          <w:lang w:val="en-GB"/>
        </w:rPr>
        <w:t>overdeterminations</w:t>
      </w:r>
      <w:r w:rsidR="00FD5E80">
        <w:rPr>
          <w:rStyle w:val="Strong"/>
          <w:rFonts w:asciiTheme="minorHAnsi" w:hAnsiTheme="minorHAnsi"/>
          <w:b w:val="0"/>
          <w:bCs w:val="0"/>
          <w:lang w:val="en-GB"/>
        </w:rPr>
        <w:t>”</w:t>
      </w:r>
      <w:r w:rsidR="00D77875">
        <w:rPr>
          <w:rStyle w:val="Strong"/>
          <w:rFonts w:asciiTheme="minorHAnsi" w:hAnsiTheme="minorHAnsi"/>
          <w:b w:val="0"/>
          <w:bCs w:val="0"/>
          <w:lang w:val="en-GB"/>
        </w:rPr>
        <w:t xml:space="preserve"> in the sense that </w:t>
      </w:r>
      <w:r w:rsidR="007E0CE4">
        <w:rPr>
          <w:rStyle w:val="Strong"/>
          <w:rFonts w:asciiTheme="minorHAnsi" w:hAnsiTheme="minorHAnsi"/>
          <w:b w:val="0"/>
          <w:bCs w:val="0"/>
          <w:lang w:val="en-GB"/>
        </w:rPr>
        <w:t>the diversity of the</w:t>
      </w:r>
      <w:r w:rsidR="00D77875">
        <w:rPr>
          <w:rStyle w:val="Strong"/>
          <w:rFonts w:asciiTheme="minorHAnsi" w:hAnsiTheme="minorHAnsi"/>
          <w:b w:val="0"/>
          <w:bCs w:val="0"/>
          <w:lang w:val="en-GB"/>
        </w:rPr>
        <w:t xml:space="preserve"> range of signifying elements </w:t>
      </w:r>
      <w:r w:rsidR="007E0CE4">
        <w:rPr>
          <w:rStyle w:val="Strong"/>
          <w:rFonts w:asciiTheme="minorHAnsi" w:hAnsiTheme="minorHAnsi"/>
          <w:b w:val="0"/>
          <w:bCs w:val="0"/>
          <w:lang w:val="en-GB"/>
        </w:rPr>
        <w:t xml:space="preserve">makes it impossible for a fixed meaning to emerge without suppressing many of the signifying elements. This is a </w:t>
      </w:r>
      <w:r w:rsidR="00FD5E80">
        <w:rPr>
          <w:rStyle w:val="Strong"/>
          <w:rFonts w:asciiTheme="minorHAnsi" w:hAnsiTheme="minorHAnsi"/>
          <w:b w:val="0"/>
          <w:bCs w:val="0"/>
          <w:lang w:val="en-GB"/>
        </w:rPr>
        <w:t>“</w:t>
      </w:r>
      <w:r w:rsidR="007E0CE4">
        <w:rPr>
          <w:rStyle w:val="Strong"/>
          <w:rFonts w:asciiTheme="minorHAnsi" w:hAnsiTheme="minorHAnsi"/>
          <w:b w:val="0"/>
          <w:bCs w:val="0"/>
          <w:lang w:val="en-GB"/>
        </w:rPr>
        <w:t>politics of hegemony</w:t>
      </w:r>
      <w:r w:rsidR="00FD5E80">
        <w:rPr>
          <w:rStyle w:val="Strong"/>
          <w:rFonts w:asciiTheme="minorHAnsi" w:hAnsiTheme="minorHAnsi"/>
          <w:b w:val="0"/>
          <w:bCs w:val="0"/>
          <w:lang w:val="en-GB"/>
        </w:rPr>
        <w:t>”</w:t>
      </w:r>
      <w:r w:rsidR="007E0CE4">
        <w:rPr>
          <w:rStyle w:val="Strong"/>
          <w:rFonts w:asciiTheme="minorHAnsi" w:hAnsiTheme="minorHAnsi"/>
          <w:b w:val="0"/>
          <w:bCs w:val="0"/>
          <w:lang w:val="en-GB"/>
        </w:rPr>
        <w:t>, and D</w:t>
      </w:r>
      <w:r w:rsidR="00963E09">
        <w:rPr>
          <w:rStyle w:val="Strong"/>
          <w:rFonts w:asciiTheme="minorHAnsi" w:hAnsiTheme="minorHAnsi"/>
          <w:b w:val="0"/>
          <w:bCs w:val="0"/>
          <w:lang w:val="en-GB"/>
        </w:rPr>
        <w:t xml:space="preserve">iscourse </w:t>
      </w:r>
      <w:r w:rsidR="007E0CE4">
        <w:rPr>
          <w:rStyle w:val="Strong"/>
          <w:rFonts w:asciiTheme="minorHAnsi" w:hAnsiTheme="minorHAnsi"/>
          <w:b w:val="0"/>
          <w:bCs w:val="0"/>
          <w:lang w:val="en-GB"/>
        </w:rPr>
        <w:t>T</w:t>
      </w:r>
      <w:r w:rsidR="00963E09">
        <w:rPr>
          <w:rStyle w:val="Strong"/>
          <w:rFonts w:asciiTheme="minorHAnsi" w:hAnsiTheme="minorHAnsi"/>
          <w:b w:val="0"/>
          <w:bCs w:val="0"/>
          <w:lang w:val="en-GB"/>
        </w:rPr>
        <w:t>heory</w:t>
      </w:r>
      <w:r w:rsidR="007E0CE4">
        <w:rPr>
          <w:rStyle w:val="Strong"/>
          <w:rFonts w:asciiTheme="minorHAnsi" w:hAnsiTheme="minorHAnsi"/>
          <w:b w:val="0"/>
          <w:bCs w:val="0"/>
          <w:lang w:val="en-GB"/>
        </w:rPr>
        <w:t xml:space="preserve"> focuses on particular points of debate (known as nodal points). These nodal points, such as what to name a standard or how to define a concept, become </w:t>
      </w:r>
      <w:r w:rsidR="007E0CE4" w:rsidRPr="004D43FF">
        <w:rPr>
          <w:rStyle w:val="Strong"/>
          <w:rFonts w:asciiTheme="minorHAnsi" w:hAnsiTheme="minorHAnsi"/>
          <w:b w:val="0"/>
          <w:bCs w:val="0"/>
          <w:lang w:val="en-GB"/>
        </w:rPr>
        <w:t>overdetermined</w:t>
      </w:r>
      <w:r w:rsidR="007E0CE4">
        <w:rPr>
          <w:rStyle w:val="Strong"/>
          <w:rFonts w:asciiTheme="minorHAnsi" w:hAnsiTheme="minorHAnsi"/>
          <w:b w:val="0"/>
          <w:bCs w:val="0"/>
          <w:lang w:val="en-GB"/>
        </w:rPr>
        <w:t xml:space="preserve"> due to the politics associated with fixing meaning for disparate groups with different interests. </w:t>
      </w:r>
    </w:p>
    <w:p w14:paraId="19F7B34D" w14:textId="77777777" w:rsidR="00454296" w:rsidRDefault="00454296" w:rsidP="008456E4">
      <w:pPr>
        <w:pStyle w:val="BodyTextIndent2"/>
        <w:ind w:firstLine="0"/>
        <w:rPr>
          <w:rStyle w:val="Strong"/>
          <w:rFonts w:asciiTheme="minorHAnsi" w:hAnsiTheme="minorHAnsi"/>
          <w:b w:val="0"/>
          <w:bCs w:val="0"/>
          <w:lang w:val="en-GB"/>
        </w:rPr>
      </w:pPr>
    </w:p>
    <w:p w14:paraId="4EA65C6D" w14:textId="0FED7F9C" w:rsidR="0025438B" w:rsidRDefault="00540B85" w:rsidP="008456E4">
      <w:pPr>
        <w:pStyle w:val="BodyTextIndent2"/>
        <w:ind w:firstLine="0"/>
        <w:rPr>
          <w:rStyle w:val="Strong"/>
          <w:rFonts w:asciiTheme="minorHAnsi" w:hAnsiTheme="minorHAnsi"/>
          <w:b w:val="0"/>
          <w:bCs w:val="0"/>
          <w:lang w:val="en-GB"/>
        </w:rPr>
      </w:pPr>
      <w:r>
        <w:rPr>
          <w:rStyle w:val="Strong"/>
          <w:rFonts w:asciiTheme="minorHAnsi" w:hAnsiTheme="minorHAnsi"/>
          <w:b w:val="0"/>
          <w:bCs w:val="0"/>
          <w:lang w:val="en-GB"/>
        </w:rPr>
        <w:t>A</w:t>
      </w:r>
      <w:r w:rsidR="00454296">
        <w:rPr>
          <w:rStyle w:val="Strong"/>
          <w:rFonts w:asciiTheme="minorHAnsi" w:hAnsiTheme="minorHAnsi"/>
          <w:b w:val="0"/>
          <w:bCs w:val="0"/>
          <w:lang w:val="en-GB"/>
        </w:rPr>
        <w:t>spects of D</w:t>
      </w:r>
      <w:r w:rsidR="00D91A79">
        <w:rPr>
          <w:rStyle w:val="Strong"/>
          <w:rFonts w:asciiTheme="minorHAnsi" w:hAnsiTheme="minorHAnsi"/>
          <w:b w:val="0"/>
          <w:bCs w:val="0"/>
          <w:lang w:val="en-GB"/>
        </w:rPr>
        <w:t xml:space="preserve">iscourse </w:t>
      </w:r>
      <w:r w:rsidR="00454296">
        <w:rPr>
          <w:rStyle w:val="Strong"/>
          <w:rFonts w:asciiTheme="minorHAnsi" w:hAnsiTheme="minorHAnsi"/>
          <w:b w:val="0"/>
          <w:bCs w:val="0"/>
          <w:lang w:val="en-GB"/>
        </w:rPr>
        <w:t>T</w:t>
      </w:r>
      <w:r w:rsidR="00D91A79">
        <w:rPr>
          <w:rStyle w:val="Strong"/>
          <w:rFonts w:asciiTheme="minorHAnsi" w:hAnsiTheme="minorHAnsi"/>
          <w:b w:val="0"/>
          <w:bCs w:val="0"/>
          <w:lang w:val="en-GB"/>
        </w:rPr>
        <w:t>heory</w:t>
      </w:r>
      <w:r w:rsidR="00454296">
        <w:rPr>
          <w:rStyle w:val="Strong"/>
          <w:rFonts w:asciiTheme="minorHAnsi" w:hAnsiTheme="minorHAnsi"/>
          <w:b w:val="0"/>
          <w:bCs w:val="0"/>
          <w:lang w:val="en-GB"/>
        </w:rPr>
        <w:t xml:space="preserve"> have been drawn upon to deconstruct accounting discourse, particularly focusing on sustainability (</w:t>
      </w:r>
      <w:r w:rsidR="0066687E">
        <w:rPr>
          <w:rStyle w:val="Strong"/>
          <w:rFonts w:asciiTheme="minorHAnsi" w:hAnsiTheme="minorHAnsi"/>
          <w:b w:val="0"/>
          <w:bCs w:val="0"/>
          <w:lang w:val="en-GB"/>
        </w:rPr>
        <w:t xml:space="preserve">Mouck, 1995; </w:t>
      </w:r>
      <w:r w:rsidR="00454296">
        <w:rPr>
          <w:rStyle w:val="Strong"/>
          <w:rFonts w:asciiTheme="minorHAnsi" w:hAnsiTheme="minorHAnsi"/>
          <w:b w:val="0"/>
          <w:bCs w:val="0"/>
          <w:lang w:val="en-GB"/>
        </w:rPr>
        <w:t xml:space="preserve">Spence, 2007; Brown, 2009; Tregidga </w:t>
      </w:r>
      <w:r w:rsidR="00454296" w:rsidRPr="00F2320C">
        <w:rPr>
          <w:rStyle w:val="Strong"/>
          <w:rFonts w:asciiTheme="minorHAnsi" w:hAnsiTheme="minorHAnsi"/>
          <w:b w:val="0"/>
          <w:bCs w:val="0"/>
          <w:i/>
          <w:lang w:val="en-GB"/>
        </w:rPr>
        <w:t>et al.</w:t>
      </w:r>
      <w:r w:rsidR="00454296">
        <w:rPr>
          <w:rStyle w:val="Strong"/>
          <w:rFonts w:asciiTheme="minorHAnsi" w:hAnsiTheme="minorHAnsi"/>
          <w:b w:val="0"/>
          <w:bCs w:val="0"/>
          <w:lang w:val="en-GB"/>
        </w:rPr>
        <w:t xml:space="preserve">, 2014). </w:t>
      </w:r>
      <w:r w:rsidR="0025438B">
        <w:rPr>
          <w:rStyle w:val="Strong"/>
          <w:rFonts w:asciiTheme="minorHAnsi" w:hAnsiTheme="minorHAnsi"/>
          <w:b w:val="0"/>
          <w:bCs w:val="0"/>
          <w:lang w:val="en-GB"/>
        </w:rPr>
        <w:t>In particular, Spence</w:t>
      </w:r>
      <w:r w:rsidR="00F5108D">
        <w:rPr>
          <w:rStyle w:val="Strong"/>
          <w:rFonts w:asciiTheme="minorHAnsi" w:hAnsiTheme="minorHAnsi"/>
          <w:b w:val="0"/>
          <w:bCs w:val="0"/>
          <w:lang w:val="en-GB"/>
        </w:rPr>
        <w:t xml:space="preserve"> (2007, pp. 858-859)</w:t>
      </w:r>
      <w:r w:rsidR="0025438B">
        <w:rPr>
          <w:rStyle w:val="Strong"/>
          <w:rFonts w:asciiTheme="minorHAnsi" w:hAnsiTheme="minorHAnsi"/>
          <w:b w:val="0"/>
          <w:bCs w:val="0"/>
          <w:lang w:val="en-GB"/>
        </w:rPr>
        <w:t xml:space="preserve"> is concerned with hegemony and the discursive functioning of politics</w:t>
      </w:r>
      <w:r>
        <w:rPr>
          <w:rStyle w:val="Strong"/>
          <w:rFonts w:asciiTheme="minorHAnsi" w:hAnsiTheme="minorHAnsi"/>
          <w:b w:val="0"/>
          <w:bCs w:val="0"/>
          <w:lang w:val="en-GB"/>
        </w:rPr>
        <w:t>,</w:t>
      </w:r>
      <w:r w:rsidR="0025438B">
        <w:rPr>
          <w:rStyle w:val="Strong"/>
          <w:rFonts w:asciiTheme="minorHAnsi" w:hAnsiTheme="minorHAnsi"/>
          <w:b w:val="0"/>
          <w:bCs w:val="0"/>
          <w:lang w:val="en-GB"/>
        </w:rPr>
        <w:t xml:space="preserve"> which provides </w:t>
      </w:r>
      <w:r>
        <w:rPr>
          <w:rStyle w:val="Strong"/>
          <w:rFonts w:asciiTheme="minorHAnsi" w:hAnsiTheme="minorHAnsi"/>
          <w:b w:val="0"/>
          <w:bCs w:val="0"/>
          <w:lang w:val="en-GB"/>
        </w:rPr>
        <w:t xml:space="preserve">us with </w:t>
      </w:r>
      <w:r w:rsidR="0025438B">
        <w:rPr>
          <w:rStyle w:val="Strong"/>
          <w:rFonts w:asciiTheme="minorHAnsi" w:hAnsiTheme="minorHAnsi"/>
          <w:b w:val="0"/>
          <w:bCs w:val="0"/>
          <w:lang w:val="en-GB"/>
        </w:rPr>
        <w:t>a foundation to draw on:</w:t>
      </w:r>
    </w:p>
    <w:p w14:paraId="5F349810" w14:textId="77777777" w:rsidR="0025438B" w:rsidRDefault="0025438B" w:rsidP="008456E4">
      <w:pPr>
        <w:pStyle w:val="BodyTextIndent2"/>
        <w:ind w:firstLine="0"/>
        <w:rPr>
          <w:rStyle w:val="Strong"/>
          <w:rFonts w:asciiTheme="minorHAnsi" w:hAnsiTheme="minorHAnsi"/>
          <w:b w:val="0"/>
          <w:bCs w:val="0"/>
          <w:lang w:val="en-GB"/>
        </w:rPr>
      </w:pPr>
    </w:p>
    <w:p w14:paraId="7FBA8F2D" w14:textId="4178288D" w:rsidR="006718EE" w:rsidRPr="00F2320C" w:rsidRDefault="000F6759" w:rsidP="008456E4">
      <w:pPr>
        <w:ind w:left="720" w:right="720"/>
        <w:jc w:val="both"/>
        <w:rPr>
          <w:sz w:val="20"/>
          <w:szCs w:val="20"/>
          <w:lang w:val="en-GB"/>
        </w:rPr>
      </w:pPr>
      <w:r w:rsidRPr="00F2320C">
        <w:rPr>
          <w:rFonts w:eastAsia="Times New Roman" w:cs="Times New Roman"/>
          <w:sz w:val="20"/>
          <w:szCs w:val="20"/>
          <w:lang w:val="en-GB"/>
        </w:rPr>
        <w:t>The insights of Laclau and Mouffe in this context are of particular interest in making sense of the language and hegemonic discourse that permeates</w:t>
      </w:r>
      <w:r w:rsidR="00684730">
        <w:rPr>
          <w:rFonts w:eastAsia="Times New Roman" w:cs="Times New Roman"/>
          <w:sz w:val="20"/>
          <w:szCs w:val="20"/>
          <w:lang w:val="en-GB"/>
        </w:rPr>
        <w:t xml:space="preserve"> SER</w:t>
      </w:r>
      <w:r w:rsidRPr="00F2320C">
        <w:rPr>
          <w:rFonts w:eastAsia="Times New Roman" w:cs="Times New Roman"/>
          <w:sz w:val="20"/>
          <w:szCs w:val="20"/>
          <w:lang w:val="en-GB"/>
        </w:rPr>
        <w:t xml:space="preserve"> </w:t>
      </w:r>
      <w:r w:rsidR="00754C49">
        <w:rPr>
          <w:rFonts w:eastAsia="Times New Roman" w:cs="Times New Roman"/>
          <w:sz w:val="20"/>
          <w:szCs w:val="20"/>
          <w:lang w:val="en-GB"/>
        </w:rPr>
        <w:t>[social and environmental reporting]</w:t>
      </w:r>
      <w:r w:rsidR="00754C49" w:rsidRPr="00F2320C">
        <w:rPr>
          <w:rFonts w:eastAsia="Times New Roman" w:cs="Times New Roman"/>
          <w:sz w:val="20"/>
          <w:szCs w:val="20"/>
          <w:lang w:val="en-GB"/>
        </w:rPr>
        <w:t xml:space="preserve"> </w:t>
      </w:r>
      <w:r w:rsidRPr="00F2320C">
        <w:rPr>
          <w:rFonts w:eastAsia="Times New Roman" w:cs="Times New Roman"/>
          <w:sz w:val="20"/>
          <w:szCs w:val="20"/>
          <w:lang w:val="en-GB"/>
        </w:rPr>
        <w:t xml:space="preserve">and in inferring any hegemonic character from SER. Language is viewed by Laclau and Mouffe as constitutive of social reality. That is, discourse actively shapes the world around us by providing conceptual guidance for actions, policy prescriptions, institution building etc. In this sense, Laclau and Mouffe suggest that discursive elements cannot be viewed as separate from non-discursive material elements. </w:t>
      </w:r>
    </w:p>
    <w:p w14:paraId="3313AABC" w14:textId="77777777" w:rsidR="003608F0" w:rsidRDefault="003608F0" w:rsidP="008456E4">
      <w:pPr>
        <w:rPr>
          <w:rStyle w:val="Strong"/>
          <w:b w:val="0"/>
          <w:bCs w:val="0"/>
          <w:lang w:val="en-GB"/>
        </w:rPr>
      </w:pPr>
    </w:p>
    <w:p w14:paraId="1489ABAB" w14:textId="69C6C0E4" w:rsidR="002422F8" w:rsidRDefault="00F2320C" w:rsidP="008456E4">
      <w:pPr>
        <w:pStyle w:val="BodyTextIndent2"/>
        <w:ind w:firstLine="0"/>
        <w:rPr>
          <w:rStyle w:val="Strong"/>
          <w:rFonts w:asciiTheme="minorHAnsi" w:hAnsiTheme="minorHAnsi" w:cstheme="minorHAnsi"/>
          <w:b w:val="0"/>
          <w:bCs w:val="0"/>
          <w:lang w:val="en-GB"/>
        </w:rPr>
      </w:pPr>
      <w:r w:rsidRPr="00F2320C">
        <w:rPr>
          <w:rStyle w:val="Strong"/>
          <w:rFonts w:asciiTheme="minorHAnsi" w:hAnsiTheme="minorHAnsi" w:cstheme="minorHAnsi"/>
          <w:b w:val="0"/>
          <w:bCs w:val="0"/>
          <w:lang w:val="en-GB"/>
        </w:rPr>
        <w:t>Spence (2007)</w:t>
      </w:r>
      <w:r>
        <w:rPr>
          <w:rStyle w:val="Strong"/>
          <w:rFonts w:asciiTheme="minorHAnsi" w:hAnsiTheme="minorHAnsi" w:cstheme="minorHAnsi"/>
          <w:b w:val="0"/>
          <w:bCs w:val="0"/>
          <w:lang w:val="en-GB"/>
        </w:rPr>
        <w:t xml:space="preserve"> introduces the concept of overdetermination with respect to signifiers, but his </w:t>
      </w:r>
      <w:r w:rsidR="00540B85">
        <w:rPr>
          <w:rStyle w:val="Strong"/>
          <w:rFonts w:asciiTheme="minorHAnsi" w:hAnsiTheme="minorHAnsi" w:cstheme="minorHAnsi"/>
          <w:b w:val="0"/>
          <w:bCs w:val="0"/>
          <w:lang w:val="en-GB"/>
        </w:rPr>
        <w:t>interest i</w:t>
      </w:r>
      <w:r>
        <w:rPr>
          <w:rStyle w:val="Strong"/>
          <w:rFonts w:asciiTheme="minorHAnsi" w:hAnsiTheme="minorHAnsi" w:cstheme="minorHAnsi"/>
          <w:b w:val="0"/>
          <w:bCs w:val="0"/>
          <w:lang w:val="en-GB"/>
        </w:rPr>
        <w:t>s the politics of the extension of the</w:t>
      </w:r>
      <w:r w:rsidR="00C2557D">
        <w:rPr>
          <w:rStyle w:val="Strong"/>
          <w:rFonts w:asciiTheme="minorHAnsi" w:hAnsiTheme="minorHAnsi" w:cstheme="minorHAnsi"/>
          <w:b w:val="0"/>
          <w:bCs w:val="0"/>
          <w:lang w:val="en-GB"/>
        </w:rPr>
        <w:t xml:space="preserve"> hegemonic</w:t>
      </w:r>
      <w:r>
        <w:rPr>
          <w:rStyle w:val="Strong"/>
          <w:rFonts w:asciiTheme="minorHAnsi" w:hAnsiTheme="minorHAnsi" w:cstheme="minorHAnsi"/>
          <w:b w:val="0"/>
          <w:bCs w:val="0"/>
          <w:lang w:val="en-GB"/>
        </w:rPr>
        <w:t xml:space="preserve"> SER discourse and the consequent </w:t>
      </w:r>
      <w:r>
        <w:rPr>
          <w:rStyle w:val="Strong"/>
          <w:rFonts w:asciiTheme="minorHAnsi" w:hAnsiTheme="minorHAnsi" w:cstheme="minorHAnsi"/>
          <w:b w:val="0"/>
          <w:bCs w:val="0"/>
          <w:lang w:val="en-GB"/>
        </w:rPr>
        <w:lastRenderedPageBreak/>
        <w:t xml:space="preserve">impact of </w:t>
      </w:r>
      <w:r w:rsidR="00F20A9E">
        <w:rPr>
          <w:rStyle w:val="Strong"/>
          <w:rFonts w:asciiTheme="minorHAnsi" w:hAnsiTheme="minorHAnsi" w:cstheme="minorHAnsi"/>
          <w:b w:val="0"/>
          <w:bCs w:val="0"/>
          <w:lang w:val="en-GB"/>
        </w:rPr>
        <w:t>this</w:t>
      </w:r>
      <w:r>
        <w:rPr>
          <w:rStyle w:val="Strong"/>
          <w:rFonts w:asciiTheme="minorHAnsi" w:hAnsiTheme="minorHAnsi" w:cstheme="minorHAnsi"/>
          <w:b w:val="0"/>
          <w:bCs w:val="0"/>
          <w:lang w:val="en-GB"/>
        </w:rPr>
        <w:t xml:space="preserve"> discourse</w:t>
      </w:r>
      <w:r w:rsidR="00540B85">
        <w:rPr>
          <w:rStyle w:val="Strong"/>
          <w:rFonts w:asciiTheme="minorHAnsi" w:hAnsiTheme="minorHAnsi" w:cstheme="minorHAnsi"/>
          <w:b w:val="0"/>
          <w:bCs w:val="0"/>
          <w:lang w:val="en-GB"/>
        </w:rPr>
        <w:t>. L</w:t>
      </w:r>
      <w:r>
        <w:rPr>
          <w:rStyle w:val="Strong"/>
          <w:rFonts w:asciiTheme="minorHAnsi" w:hAnsiTheme="minorHAnsi" w:cstheme="minorHAnsi"/>
          <w:b w:val="0"/>
          <w:bCs w:val="0"/>
          <w:lang w:val="en-GB"/>
        </w:rPr>
        <w:t xml:space="preserve">ike Brunsson (1989), </w:t>
      </w:r>
      <w:r w:rsidR="00540B85">
        <w:rPr>
          <w:rStyle w:val="Strong"/>
          <w:rFonts w:asciiTheme="minorHAnsi" w:hAnsiTheme="minorHAnsi" w:cstheme="minorHAnsi"/>
          <w:b w:val="0"/>
          <w:bCs w:val="0"/>
          <w:lang w:val="en-GB"/>
        </w:rPr>
        <w:t xml:space="preserve">he sees this as </w:t>
      </w:r>
      <w:r>
        <w:rPr>
          <w:rStyle w:val="Strong"/>
          <w:rFonts w:asciiTheme="minorHAnsi" w:hAnsiTheme="minorHAnsi" w:cstheme="minorHAnsi"/>
          <w:b w:val="0"/>
          <w:bCs w:val="0"/>
          <w:lang w:val="en-GB"/>
        </w:rPr>
        <w:t>constitut</w:t>
      </w:r>
      <w:r w:rsidR="00540B85">
        <w:rPr>
          <w:rStyle w:val="Strong"/>
          <w:rFonts w:asciiTheme="minorHAnsi" w:hAnsiTheme="minorHAnsi" w:cstheme="minorHAnsi"/>
          <w:b w:val="0"/>
          <w:bCs w:val="0"/>
          <w:lang w:val="en-GB"/>
        </w:rPr>
        <w:t>ing</w:t>
      </w:r>
      <w:r>
        <w:rPr>
          <w:rStyle w:val="Strong"/>
          <w:rFonts w:asciiTheme="minorHAnsi" w:hAnsiTheme="minorHAnsi" w:cstheme="minorHAnsi"/>
          <w:b w:val="0"/>
          <w:bCs w:val="0"/>
          <w:lang w:val="en-GB"/>
        </w:rPr>
        <w:t xml:space="preserve"> talk with little action</w:t>
      </w:r>
      <w:r w:rsidR="00540B85">
        <w:rPr>
          <w:rStyle w:val="Strong"/>
          <w:rFonts w:asciiTheme="minorHAnsi" w:hAnsiTheme="minorHAnsi" w:cstheme="minorHAnsi"/>
          <w:b w:val="0"/>
          <w:bCs w:val="0"/>
          <w:lang w:val="en-GB"/>
        </w:rPr>
        <w:t>, thus reinforcing the status quo.</w:t>
      </w:r>
      <w:r>
        <w:rPr>
          <w:rStyle w:val="Strong"/>
          <w:rFonts w:asciiTheme="minorHAnsi" w:hAnsiTheme="minorHAnsi" w:cstheme="minorHAnsi"/>
          <w:b w:val="0"/>
          <w:bCs w:val="0"/>
          <w:lang w:val="en-GB"/>
        </w:rPr>
        <w:t xml:space="preserve"> </w:t>
      </w:r>
    </w:p>
    <w:p w14:paraId="008B6989" w14:textId="77777777" w:rsidR="002422F8" w:rsidRDefault="002422F8" w:rsidP="008456E4">
      <w:pPr>
        <w:pStyle w:val="BodyTextIndent2"/>
        <w:ind w:firstLine="0"/>
        <w:rPr>
          <w:rStyle w:val="Strong"/>
          <w:rFonts w:asciiTheme="minorHAnsi" w:hAnsiTheme="minorHAnsi" w:cstheme="minorHAnsi"/>
          <w:b w:val="0"/>
          <w:bCs w:val="0"/>
          <w:lang w:val="en-GB"/>
        </w:rPr>
      </w:pPr>
    </w:p>
    <w:p w14:paraId="7F5C58E6" w14:textId="6EAFC319" w:rsidR="003608F0" w:rsidRDefault="002422F8" w:rsidP="008456E4">
      <w:pPr>
        <w:pStyle w:val="BodyTextIndent2"/>
        <w:ind w:firstLine="0"/>
        <w:rPr>
          <w:rStyle w:val="Strong"/>
          <w:rFonts w:asciiTheme="minorHAnsi" w:hAnsiTheme="minorHAnsi"/>
          <w:b w:val="0"/>
          <w:bCs w:val="0"/>
          <w:lang w:val="en-GB"/>
        </w:rPr>
      </w:pPr>
      <w:r>
        <w:rPr>
          <w:rStyle w:val="Strong"/>
          <w:rFonts w:asciiTheme="minorHAnsi" w:hAnsiTheme="minorHAnsi"/>
          <w:b w:val="0"/>
          <w:bCs w:val="0"/>
          <w:lang w:val="en-GB"/>
        </w:rPr>
        <w:t xml:space="preserve">In exploring the </w:t>
      </w:r>
      <w:r w:rsidR="00540B85">
        <w:rPr>
          <w:rStyle w:val="Strong"/>
          <w:rFonts w:asciiTheme="minorHAnsi" w:hAnsiTheme="minorHAnsi"/>
          <w:b w:val="0"/>
          <w:bCs w:val="0"/>
          <w:lang w:val="en-GB"/>
        </w:rPr>
        <w:t xml:space="preserve">extension of </w:t>
      </w:r>
      <w:r>
        <w:rPr>
          <w:rStyle w:val="Strong"/>
          <w:rFonts w:asciiTheme="minorHAnsi" w:hAnsiTheme="minorHAnsi"/>
          <w:b w:val="0"/>
          <w:bCs w:val="0"/>
          <w:lang w:val="en-GB"/>
        </w:rPr>
        <w:t xml:space="preserve">hegemony </w:t>
      </w:r>
      <w:r w:rsidR="00540B85">
        <w:rPr>
          <w:rStyle w:val="Strong"/>
          <w:rFonts w:asciiTheme="minorHAnsi" w:hAnsiTheme="minorHAnsi"/>
          <w:b w:val="0"/>
          <w:bCs w:val="0"/>
          <w:lang w:val="en-GB"/>
        </w:rPr>
        <w:t>involved in</w:t>
      </w:r>
      <w:r>
        <w:rPr>
          <w:rStyle w:val="Strong"/>
          <w:rFonts w:asciiTheme="minorHAnsi" w:hAnsiTheme="minorHAnsi"/>
          <w:b w:val="0"/>
          <w:bCs w:val="0"/>
          <w:lang w:val="en-GB"/>
        </w:rPr>
        <w:t xml:space="preserve"> SER, </w:t>
      </w:r>
      <w:r w:rsidR="004731F7" w:rsidRPr="002422F8">
        <w:rPr>
          <w:rStyle w:val="Strong"/>
          <w:rFonts w:asciiTheme="minorHAnsi" w:hAnsiTheme="minorHAnsi"/>
          <w:b w:val="0"/>
          <w:bCs w:val="0"/>
          <w:lang w:val="en-GB"/>
        </w:rPr>
        <w:t xml:space="preserve">Spence </w:t>
      </w:r>
      <w:r w:rsidR="00454296" w:rsidRPr="002422F8">
        <w:rPr>
          <w:rStyle w:val="Strong"/>
          <w:rFonts w:asciiTheme="minorHAnsi" w:hAnsiTheme="minorHAnsi"/>
          <w:b w:val="0"/>
          <w:bCs w:val="0"/>
          <w:lang w:val="en-GB"/>
        </w:rPr>
        <w:t xml:space="preserve">(2007) </w:t>
      </w:r>
      <w:r w:rsidR="00F20A9E">
        <w:rPr>
          <w:rStyle w:val="Strong"/>
          <w:rFonts w:asciiTheme="minorHAnsi" w:hAnsiTheme="minorHAnsi"/>
          <w:b w:val="0"/>
          <w:bCs w:val="0"/>
          <w:lang w:val="en-GB"/>
        </w:rPr>
        <w:t>mentioned, but did not use to any significant extent, the notions of</w:t>
      </w:r>
      <w:r>
        <w:rPr>
          <w:rStyle w:val="Strong"/>
          <w:rFonts w:asciiTheme="minorHAnsi" w:hAnsiTheme="minorHAnsi"/>
          <w:b w:val="0"/>
          <w:bCs w:val="0"/>
          <w:lang w:val="en-GB"/>
        </w:rPr>
        <w:t xml:space="preserve"> overdetermination and nodal points</w:t>
      </w:r>
      <w:r w:rsidR="00F20A9E">
        <w:rPr>
          <w:rStyle w:val="Strong"/>
          <w:rFonts w:asciiTheme="minorHAnsi" w:hAnsiTheme="minorHAnsi"/>
          <w:b w:val="0"/>
          <w:bCs w:val="0"/>
          <w:lang w:val="en-GB"/>
        </w:rPr>
        <w:t>. We aim to bring these notions to the centre of our</w:t>
      </w:r>
      <w:r>
        <w:rPr>
          <w:rStyle w:val="Strong"/>
          <w:rFonts w:asciiTheme="minorHAnsi" w:hAnsiTheme="minorHAnsi"/>
          <w:b w:val="0"/>
          <w:bCs w:val="0"/>
          <w:lang w:val="en-GB"/>
        </w:rPr>
        <w:t xml:space="preserve"> </w:t>
      </w:r>
      <w:r w:rsidR="008779C9">
        <w:rPr>
          <w:rStyle w:val="Strong"/>
          <w:rFonts w:asciiTheme="minorHAnsi" w:hAnsiTheme="minorHAnsi"/>
          <w:b w:val="0"/>
          <w:bCs w:val="0"/>
          <w:lang w:val="en-GB"/>
        </w:rPr>
        <w:t>analysis</w:t>
      </w:r>
      <w:r w:rsidR="00F20A9E">
        <w:rPr>
          <w:rStyle w:val="Strong"/>
          <w:rFonts w:asciiTheme="minorHAnsi" w:hAnsiTheme="minorHAnsi"/>
          <w:b w:val="0"/>
          <w:bCs w:val="0"/>
          <w:lang w:val="en-GB"/>
        </w:rPr>
        <w:t>.</w:t>
      </w:r>
      <w:r w:rsidR="008779C9">
        <w:rPr>
          <w:rStyle w:val="Strong"/>
          <w:rFonts w:asciiTheme="minorHAnsi" w:hAnsiTheme="minorHAnsi"/>
          <w:b w:val="0"/>
          <w:bCs w:val="0"/>
          <w:lang w:val="en-GB"/>
        </w:rPr>
        <w:t xml:space="preserve"> </w:t>
      </w:r>
      <w:r w:rsidR="00F20A9E">
        <w:rPr>
          <w:rStyle w:val="Strong"/>
          <w:rFonts w:asciiTheme="minorHAnsi" w:hAnsiTheme="minorHAnsi"/>
          <w:b w:val="0"/>
          <w:bCs w:val="0"/>
          <w:lang w:val="en-GB"/>
        </w:rPr>
        <w:t>To</w:t>
      </w:r>
      <w:r>
        <w:rPr>
          <w:rStyle w:val="Strong"/>
          <w:rFonts w:asciiTheme="minorHAnsi" w:hAnsiTheme="minorHAnsi"/>
          <w:b w:val="0"/>
          <w:bCs w:val="0"/>
          <w:lang w:val="en-GB"/>
        </w:rPr>
        <w:t xml:space="preserve"> </w:t>
      </w:r>
      <w:r w:rsidR="00D91A79">
        <w:rPr>
          <w:rStyle w:val="Strong"/>
          <w:rFonts w:asciiTheme="minorHAnsi" w:hAnsiTheme="minorHAnsi"/>
          <w:b w:val="0"/>
          <w:bCs w:val="0"/>
          <w:lang w:val="en-GB"/>
        </w:rPr>
        <w:t>Laclau and Mouffe</w:t>
      </w:r>
      <w:r w:rsidR="003608F0" w:rsidRPr="009D2698">
        <w:rPr>
          <w:rStyle w:val="Strong"/>
          <w:rFonts w:asciiTheme="minorHAnsi" w:hAnsiTheme="minorHAnsi"/>
          <w:b w:val="0"/>
          <w:bCs w:val="0"/>
          <w:lang w:val="en-GB"/>
        </w:rPr>
        <w:t xml:space="preserve"> (2001)</w:t>
      </w:r>
      <w:r w:rsidR="00F20A9E">
        <w:rPr>
          <w:rStyle w:val="Strong"/>
          <w:rFonts w:asciiTheme="minorHAnsi" w:hAnsiTheme="minorHAnsi"/>
          <w:b w:val="0"/>
          <w:bCs w:val="0"/>
          <w:lang w:val="en-GB"/>
        </w:rPr>
        <w:t>, p</w:t>
      </w:r>
      <w:r w:rsidR="003608F0" w:rsidRPr="00BD169C">
        <w:rPr>
          <w:rStyle w:val="Strong"/>
          <w:rFonts w:asciiTheme="minorHAnsi" w:hAnsiTheme="minorHAnsi"/>
          <w:b w:val="0"/>
          <w:bCs w:val="0"/>
          <w:lang w:val="en-GB"/>
        </w:rPr>
        <w:t xml:space="preserve">olitical discourse takes place around </w:t>
      </w:r>
      <w:r w:rsidR="00480441" w:rsidRPr="00CA1A3F">
        <w:rPr>
          <w:rStyle w:val="Strong"/>
          <w:rFonts w:asciiTheme="minorHAnsi" w:hAnsiTheme="minorHAnsi"/>
          <w:b w:val="0"/>
          <w:bCs w:val="0"/>
          <w:lang w:val="en-GB"/>
        </w:rPr>
        <w:t>nodal points</w:t>
      </w:r>
      <w:r w:rsidR="003608F0" w:rsidRPr="00CA1A3F">
        <w:rPr>
          <w:rStyle w:val="Strong"/>
          <w:rFonts w:asciiTheme="minorHAnsi" w:hAnsiTheme="minorHAnsi"/>
          <w:b w:val="0"/>
          <w:bCs w:val="0"/>
          <w:lang w:val="en-GB"/>
        </w:rPr>
        <w:t xml:space="preserve">, </w:t>
      </w:r>
      <w:r w:rsidR="00480441" w:rsidRPr="000F56EF">
        <w:rPr>
          <w:rStyle w:val="Strong"/>
          <w:rFonts w:asciiTheme="minorHAnsi" w:hAnsiTheme="minorHAnsi"/>
          <w:b w:val="0"/>
          <w:bCs w:val="0"/>
          <w:lang w:val="en-GB"/>
        </w:rPr>
        <w:t xml:space="preserve">which have the </w:t>
      </w:r>
      <w:r w:rsidR="003608F0" w:rsidRPr="000F56EF">
        <w:rPr>
          <w:rStyle w:val="Strong"/>
          <w:rFonts w:asciiTheme="minorHAnsi" w:hAnsiTheme="minorHAnsi"/>
          <w:b w:val="0"/>
          <w:bCs w:val="0"/>
          <w:lang w:val="en-GB"/>
        </w:rPr>
        <w:t>capacity to ‘float’</w:t>
      </w:r>
      <w:r w:rsidR="008779C9" w:rsidRPr="000F56EF">
        <w:rPr>
          <w:rStyle w:val="Strong"/>
          <w:rFonts w:asciiTheme="minorHAnsi" w:hAnsiTheme="minorHAnsi"/>
          <w:b w:val="0"/>
          <w:bCs w:val="0"/>
          <w:lang w:val="en-GB"/>
        </w:rPr>
        <w:t xml:space="preserve">, because the multiplicity of meanings that can be associated with nodal points has the effect of inhibiting </w:t>
      </w:r>
      <w:r w:rsidR="008779C9" w:rsidRPr="00792866">
        <w:rPr>
          <w:rStyle w:val="Strong"/>
          <w:rFonts w:asciiTheme="minorHAnsi" w:hAnsiTheme="minorHAnsi"/>
          <w:b w:val="0"/>
          <w:bCs w:val="0"/>
          <w:lang w:val="en-GB"/>
        </w:rPr>
        <w:t>the identification of a particular meaning</w:t>
      </w:r>
      <w:r w:rsidR="00480441" w:rsidRPr="00792866">
        <w:rPr>
          <w:rStyle w:val="Strong"/>
          <w:rFonts w:asciiTheme="minorHAnsi" w:hAnsiTheme="minorHAnsi"/>
          <w:b w:val="0"/>
          <w:bCs w:val="0"/>
          <w:lang w:val="en-GB"/>
        </w:rPr>
        <w:t>. This ‘floating capacity’</w:t>
      </w:r>
      <w:r w:rsidR="003608F0" w:rsidRPr="00827335">
        <w:rPr>
          <w:rStyle w:val="Strong"/>
          <w:rFonts w:asciiTheme="minorHAnsi" w:hAnsiTheme="minorHAnsi"/>
          <w:b w:val="0"/>
          <w:bCs w:val="0"/>
          <w:lang w:val="en-GB"/>
        </w:rPr>
        <w:t xml:space="preserve"> is central to the possibility for hegemony</w:t>
      </w:r>
      <w:r w:rsidR="008779C9" w:rsidRPr="00E005D5">
        <w:rPr>
          <w:rStyle w:val="Strong"/>
          <w:rFonts w:asciiTheme="minorHAnsi" w:hAnsiTheme="minorHAnsi"/>
          <w:b w:val="0"/>
          <w:bCs w:val="0"/>
          <w:lang w:val="en-GB"/>
        </w:rPr>
        <w:t>, because signifiers can take on a range of meanings and hence ‘speak to’ many actors</w:t>
      </w:r>
      <w:r w:rsidR="003608F0" w:rsidRPr="009D2698">
        <w:rPr>
          <w:rStyle w:val="Strong"/>
          <w:rFonts w:asciiTheme="minorHAnsi" w:hAnsiTheme="minorHAnsi"/>
          <w:b w:val="0"/>
          <w:bCs w:val="0"/>
          <w:lang w:val="en-GB"/>
        </w:rPr>
        <w:t xml:space="preserve"> (Howarth </w:t>
      </w:r>
      <w:r w:rsidR="003608F0" w:rsidRPr="009D2698">
        <w:rPr>
          <w:rStyle w:val="Strong"/>
          <w:rFonts w:asciiTheme="minorHAnsi" w:hAnsiTheme="minorHAnsi"/>
          <w:b w:val="0"/>
          <w:bCs w:val="0"/>
          <w:i/>
          <w:lang w:val="en-GB"/>
        </w:rPr>
        <w:t>et al</w:t>
      </w:r>
      <w:r w:rsidR="0066687E">
        <w:rPr>
          <w:rStyle w:val="Strong"/>
          <w:rFonts w:asciiTheme="minorHAnsi" w:hAnsiTheme="minorHAnsi"/>
          <w:b w:val="0"/>
          <w:bCs w:val="0"/>
          <w:i/>
          <w:lang w:val="en-GB"/>
        </w:rPr>
        <w:t>.</w:t>
      </w:r>
      <w:r w:rsidR="003608F0" w:rsidRPr="009D2698">
        <w:rPr>
          <w:rStyle w:val="Strong"/>
          <w:rFonts w:asciiTheme="minorHAnsi" w:hAnsiTheme="minorHAnsi"/>
          <w:b w:val="0"/>
          <w:bCs w:val="0"/>
          <w:i/>
          <w:lang w:val="en-GB"/>
        </w:rPr>
        <w:t>,</w:t>
      </w:r>
      <w:r w:rsidR="003608F0" w:rsidRPr="009D2698">
        <w:rPr>
          <w:rStyle w:val="Strong"/>
          <w:rFonts w:asciiTheme="minorHAnsi" w:hAnsiTheme="minorHAnsi"/>
          <w:b w:val="0"/>
          <w:bCs w:val="0"/>
          <w:lang w:val="en-GB"/>
        </w:rPr>
        <w:t xml:space="preserve"> 2000, p. 9</w:t>
      </w:r>
      <w:r w:rsidR="00AD0B89">
        <w:rPr>
          <w:rStyle w:val="Strong"/>
          <w:rFonts w:asciiTheme="minorHAnsi" w:hAnsiTheme="minorHAnsi"/>
          <w:b w:val="0"/>
          <w:bCs w:val="0"/>
          <w:lang w:val="en-GB"/>
        </w:rPr>
        <w:t xml:space="preserve">; Carter </w:t>
      </w:r>
      <w:r w:rsidR="00A272D9">
        <w:rPr>
          <w:rStyle w:val="Strong"/>
          <w:rFonts w:asciiTheme="minorHAnsi" w:hAnsiTheme="minorHAnsi"/>
          <w:b w:val="0"/>
          <w:bCs w:val="0"/>
          <w:lang w:val="en-GB"/>
        </w:rPr>
        <w:t>and</w:t>
      </w:r>
      <w:r w:rsidR="00AD0B89">
        <w:rPr>
          <w:rStyle w:val="Strong"/>
          <w:rFonts w:asciiTheme="minorHAnsi" w:hAnsiTheme="minorHAnsi"/>
          <w:b w:val="0"/>
          <w:bCs w:val="0"/>
          <w:lang w:val="en-GB"/>
        </w:rPr>
        <w:t xml:space="preserve"> Warren, 2018b</w:t>
      </w:r>
      <w:r w:rsidR="003608F0" w:rsidRPr="009D2698">
        <w:rPr>
          <w:rStyle w:val="Strong"/>
          <w:rFonts w:asciiTheme="minorHAnsi" w:hAnsiTheme="minorHAnsi"/>
          <w:b w:val="0"/>
          <w:bCs w:val="0"/>
          <w:lang w:val="en-GB"/>
        </w:rPr>
        <w:t xml:space="preserve">). Thus, </w:t>
      </w:r>
      <w:r w:rsidR="003608F0">
        <w:rPr>
          <w:rStyle w:val="Strong"/>
          <w:rFonts w:asciiTheme="minorHAnsi" w:hAnsiTheme="minorHAnsi"/>
          <w:b w:val="0"/>
          <w:bCs w:val="0"/>
          <w:lang w:val="en-GB"/>
        </w:rPr>
        <w:t>overdetermination</w:t>
      </w:r>
      <w:r w:rsidR="003608F0" w:rsidRPr="00E176CF">
        <w:rPr>
          <w:rStyle w:val="Strong"/>
          <w:rFonts w:asciiTheme="minorHAnsi" w:hAnsiTheme="minorHAnsi"/>
          <w:b w:val="0"/>
          <w:bCs w:val="0"/>
          <w:lang w:val="en-GB"/>
        </w:rPr>
        <w:t xml:space="preserve"> </w:t>
      </w:r>
      <w:r w:rsidR="00AD0B89">
        <w:rPr>
          <w:rStyle w:val="Strong"/>
          <w:rFonts w:asciiTheme="minorHAnsi" w:hAnsiTheme="minorHAnsi"/>
          <w:b w:val="0"/>
          <w:bCs w:val="0"/>
          <w:lang w:val="en-GB"/>
        </w:rPr>
        <w:t xml:space="preserve">(with respect to nodal points) is </w:t>
      </w:r>
      <w:r w:rsidR="00267C0A">
        <w:rPr>
          <w:rStyle w:val="Strong"/>
          <w:rFonts w:asciiTheme="minorHAnsi" w:hAnsiTheme="minorHAnsi"/>
          <w:b w:val="0"/>
          <w:bCs w:val="0"/>
          <w:lang w:val="en-GB"/>
        </w:rPr>
        <w:t>central to</w:t>
      </w:r>
      <w:r w:rsidR="003608F0" w:rsidRPr="00E176CF">
        <w:rPr>
          <w:rStyle w:val="Strong"/>
          <w:rFonts w:asciiTheme="minorHAnsi" w:hAnsiTheme="minorHAnsi"/>
          <w:b w:val="0"/>
          <w:bCs w:val="0"/>
          <w:lang w:val="en-GB"/>
        </w:rPr>
        <w:t xml:space="preserve"> politics in the institution of ‘new’ social practices</w:t>
      </w:r>
      <w:r w:rsidR="00AD0B89">
        <w:rPr>
          <w:rStyle w:val="Strong"/>
          <w:rFonts w:asciiTheme="minorHAnsi" w:hAnsiTheme="minorHAnsi"/>
          <w:b w:val="0"/>
          <w:bCs w:val="0"/>
          <w:lang w:val="en-GB"/>
        </w:rPr>
        <w:t xml:space="preserve">. </w:t>
      </w:r>
      <w:r w:rsidR="00E158C8">
        <w:rPr>
          <w:rStyle w:val="Strong"/>
          <w:rFonts w:asciiTheme="minorHAnsi" w:hAnsiTheme="minorHAnsi" w:cstheme="minorHAnsi"/>
          <w:b w:val="0"/>
          <w:bCs w:val="0"/>
          <w:lang w:val="en-GB"/>
        </w:rPr>
        <w:t xml:space="preserve">We extend Spence’s depiction of hegemony and overdetermination by focusing on </w:t>
      </w:r>
      <w:r w:rsidR="00E158C8" w:rsidRPr="00F2320C">
        <w:rPr>
          <w:rStyle w:val="Strong"/>
          <w:rFonts w:asciiTheme="minorHAnsi" w:hAnsiTheme="minorHAnsi" w:cstheme="minorHAnsi"/>
          <w:b w:val="0"/>
          <w:bCs w:val="0"/>
          <w:lang w:val="en-GB"/>
        </w:rPr>
        <w:t xml:space="preserve">the concepts of </w:t>
      </w:r>
      <w:r w:rsidR="00E158C8">
        <w:rPr>
          <w:rStyle w:val="Strong"/>
          <w:rFonts w:asciiTheme="minorHAnsi" w:hAnsiTheme="minorHAnsi" w:cstheme="minorHAnsi"/>
          <w:b w:val="0"/>
          <w:bCs w:val="0"/>
          <w:lang w:val="en-GB"/>
        </w:rPr>
        <w:t>‘</w:t>
      </w:r>
      <w:r w:rsidR="00E158C8" w:rsidRPr="00F2320C">
        <w:rPr>
          <w:rStyle w:val="Strong"/>
          <w:rFonts w:asciiTheme="minorHAnsi" w:hAnsiTheme="minorHAnsi" w:cstheme="minorHAnsi"/>
          <w:b w:val="0"/>
          <w:bCs w:val="0"/>
          <w:lang w:val="en-GB"/>
        </w:rPr>
        <w:t>condensation</w:t>
      </w:r>
      <w:r w:rsidR="00E158C8">
        <w:rPr>
          <w:rStyle w:val="Strong"/>
          <w:rFonts w:asciiTheme="minorHAnsi" w:hAnsiTheme="minorHAnsi" w:cstheme="minorHAnsi"/>
          <w:b w:val="0"/>
          <w:bCs w:val="0"/>
          <w:lang w:val="en-GB"/>
        </w:rPr>
        <w:t>’</w:t>
      </w:r>
      <w:r w:rsidR="00E158C8" w:rsidRPr="00F2320C">
        <w:rPr>
          <w:rStyle w:val="Strong"/>
          <w:rFonts w:asciiTheme="minorHAnsi" w:hAnsiTheme="minorHAnsi" w:cstheme="minorHAnsi"/>
          <w:b w:val="0"/>
          <w:bCs w:val="0"/>
          <w:lang w:val="en-GB"/>
        </w:rPr>
        <w:t xml:space="preserve"> and </w:t>
      </w:r>
      <w:r w:rsidR="00E158C8">
        <w:rPr>
          <w:rStyle w:val="Strong"/>
          <w:rFonts w:asciiTheme="minorHAnsi" w:hAnsiTheme="minorHAnsi" w:cstheme="minorHAnsi"/>
          <w:b w:val="0"/>
          <w:bCs w:val="0"/>
          <w:lang w:val="en-GB"/>
        </w:rPr>
        <w:t>‘</w:t>
      </w:r>
      <w:r w:rsidR="00E158C8" w:rsidRPr="00F2320C">
        <w:rPr>
          <w:rStyle w:val="Strong"/>
          <w:rFonts w:asciiTheme="minorHAnsi" w:hAnsiTheme="minorHAnsi" w:cstheme="minorHAnsi"/>
          <w:b w:val="0"/>
          <w:bCs w:val="0"/>
          <w:lang w:val="en-GB"/>
        </w:rPr>
        <w:t>displacement</w:t>
      </w:r>
      <w:r w:rsidR="00E158C8">
        <w:rPr>
          <w:rStyle w:val="Strong"/>
          <w:rFonts w:asciiTheme="minorHAnsi" w:hAnsiTheme="minorHAnsi" w:cstheme="minorHAnsi"/>
          <w:b w:val="0"/>
          <w:bCs w:val="0"/>
          <w:lang w:val="en-GB"/>
        </w:rPr>
        <w:t xml:space="preserve">’, which characterise the process of overdetermination.  We do this by examining the politics of joining interests and positions together in nodal points, and the subsequent problematisation and deconstruction of these nodal points. </w:t>
      </w:r>
      <w:r w:rsidR="00754C49">
        <w:rPr>
          <w:rStyle w:val="Strong"/>
          <w:rFonts w:asciiTheme="minorHAnsi" w:hAnsiTheme="minorHAnsi"/>
          <w:b w:val="0"/>
          <w:bCs w:val="0"/>
          <w:lang w:val="en-GB"/>
        </w:rPr>
        <w:t>C</w:t>
      </w:r>
      <w:r w:rsidR="00AD0B89">
        <w:rPr>
          <w:rStyle w:val="Strong"/>
          <w:rFonts w:asciiTheme="minorHAnsi" w:hAnsiTheme="minorHAnsi"/>
          <w:b w:val="0"/>
          <w:bCs w:val="0"/>
          <w:lang w:val="en-GB"/>
        </w:rPr>
        <w:t xml:space="preserve">ondensation explores the construction of nodal points and displacement illustrates </w:t>
      </w:r>
      <w:r w:rsidR="00267C0A">
        <w:rPr>
          <w:rStyle w:val="Strong"/>
          <w:rFonts w:asciiTheme="minorHAnsi" w:hAnsiTheme="minorHAnsi"/>
          <w:b w:val="0"/>
          <w:bCs w:val="0"/>
          <w:lang w:val="en-GB"/>
        </w:rPr>
        <w:t>their subsequent disruption</w:t>
      </w:r>
      <w:r w:rsidR="00AD0B89">
        <w:rPr>
          <w:rStyle w:val="Strong"/>
          <w:rFonts w:asciiTheme="minorHAnsi" w:hAnsiTheme="minorHAnsi"/>
          <w:b w:val="0"/>
          <w:bCs w:val="0"/>
          <w:lang w:val="en-GB"/>
        </w:rPr>
        <w:t>.</w:t>
      </w:r>
      <w:r w:rsidR="008779C9">
        <w:rPr>
          <w:rStyle w:val="Strong"/>
          <w:rFonts w:asciiTheme="minorHAnsi" w:hAnsiTheme="minorHAnsi"/>
          <w:b w:val="0"/>
          <w:bCs w:val="0"/>
          <w:lang w:val="en-GB"/>
        </w:rPr>
        <w:t xml:space="preserve"> </w:t>
      </w:r>
    </w:p>
    <w:p w14:paraId="0A26AA27" w14:textId="109AB8CC" w:rsidR="00E158C8" w:rsidRDefault="00E158C8" w:rsidP="008456E4">
      <w:pPr>
        <w:pStyle w:val="BodyTextIndent2"/>
        <w:ind w:firstLine="0"/>
        <w:rPr>
          <w:rStyle w:val="Strong"/>
          <w:rFonts w:asciiTheme="minorHAnsi" w:hAnsiTheme="minorHAnsi"/>
          <w:b w:val="0"/>
          <w:bCs w:val="0"/>
          <w:lang w:val="en-GB"/>
        </w:rPr>
      </w:pPr>
    </w:p>
    <w:p w14:paraId="4B23F5B9" w14:textId="44758023" w:rsidR="008456E4" w:rsidRDefault="0027699A" w:rsidP="008456E4">
      <w:pPr>
        <w:pStyle w:val="BodyTextIndent2"/>
        <w:spacing w:after="120"/>
        <w:ind w:firstLine="0"/>
        <w:rPr>
          <w:rFonts w:asciiTheme="minorHAnsi" w:hAnsiTheme="minorHAnsi"/>
          <w:lang w:val="en-GB"/>
        </w:rPr>
      </w:pPr>
      <w:r>
        <w:rPr>
          <w:rFonts w:asciiTheme="minorHAnsi" w:hAnsiTheme="minorHAnsi"/>
          <w:lang w:val="en-GB"/>
        </w:rPr>
        <w:t>Condensation operates as a type of hegemonic familiarity by narrowing political debate around a central nodal point.</w:t>
      </w:r>
      <w:r w:rsidR="00684730">
        <w:rPr>
          <w:rFonts w:asciiTheme="minorHAnsi" w:hAnsiTheme="minorHAnsi"/>
          <w:lang w:val="en-GB"/>
        </w:rPr>
        <w:t xml:space="preserve"> </w:t>
      </w:r>
      <w:r>
        <w:rPr>
          <w:rFonts w:asciiTheme="minorHAnsi" w:hAnsiTheme="minorHAnsi"/>
          <w:lang w:val="en-GB"/>
        </w:rPr>
        <w:t xml:space="preserve">We see this as similar to the role of metaphor. </w:t>
      </w:r>
      <w:r w:rsidR="00754C49">
        <w:rPr>
          <w:rFonts w:asciiTheme="minorHAnsi" w:hAnsiTheme="minorHAnsi"/>
          <w:lang w:val="en-GB"/>
        </w:rPr>
        <w:t>F</w:t>
      </w:r>
      <w:r w:rsidR="0080648D">
        <w:rPr>
          <w:rFonts w:asciiTheme="minorHAnsi" w:hAnsiTheme="minorHAnsi"/>
          <w:lang w:val="en-GB"/>
        </w:rPr>
        <w:t>or</w:t>
      </w:r>
      <w:r w:rsidR="00E158C8">
        <w:rPr>
          <w:rFonts w:asciiTheme="minorHAnsi" w:hAnsiTheme="minorHAnsi"/>
          <w:lang w:val="en-GB"/>
        </w:rPr>
        <w:t xml:space="preserve"> Laclau and Mouffe (2001)</w:t>
      </w:r>
      <w:r w:rsidR="00F5108D">
        <w:rPr>
          <w:rFonts w:asciiTheme="minorHAnsi" w:hAnsiTheme="minorHAnsi"/>
          <w:lang w:val="en-GB"/>
        </w:rPr>
        <w:t>,</w:t>
      </w:r>
      <w:r w:rsidR="00E158C8">
        <w:rPr>
          <w:rFonts w:asciiTheme="minorHAnsi" w:hAnsiTheme="minorHAnsi"/>
          <w:lang w:val="en-GB"/>
        </w:rPr>
        <w:t xml:space="preserve"> metaphor </w:t>
      </w:r>
      <w:r w:rsidR="00E158C8" w:rsidRPr="004A43ED">
        <w:rPr>
          <w:rFonts w:asciiTheme="minorHAnsi" w:hAnsiTheme="minorHAnsi"/>
          <w:lang w:val="en-GB"/>
        </w:rPr>
        <w:t>help</w:t>
      </w:r>
      <w:r>
        <w:rPr>
          <w:rFonts w:asciiTheme="minorHAnsi" w:hAnsiTheme="minorHAnsi"/>
          <w:lang w:val="en-GB"/>
        </w:rPr>
        <w:t>s</w:t>
      </w:r>
      <w:r w:rsidR="00E158C8" w:rsidRPr="004A43ED">
        <w:rPr>
          <w:rFonts w:asciiTheme="minorHAnsi" w:hAnsiTheme="minorHAnsi"/>
          <w:lang w:val="en-GB"/>
        </w:rPr>
        <w:t xml:space="preserve"> subjects understand something that is unfamiliar to them</w:t>
      </w:r>
      <w:r w:rsidR="00E158C8">
        <w:rPr>
          <w:rFonts w:asciiTheme="minorHAnsi" w:hAnsiTheme="minorHAnsi"/>
          <w:lang w:val="en-GB"/>
        </w:rPr>
        <w:t xml:space="preserve">. This is important in connecting disparate subjects and disparate interests. </w:t>
      </w:r>
      <w:r w:rsidR="00E158C8" w:rsidRPr="004A43ED">
        <w:rPr>
          <w:rFonts w:asciiTheme="minorHAnsi" w:hAnsiTheme="minorHAnsi"/>
          <w:lang w:val="en-GB"/>
        </w:rPr>
        <w:t>Conversely</w:t>
      </w:r>
      <w:r w:rsidR="00E158C8">
        <w:rPr>
          <w:rFonts w:asciiTheme="minorHAnsi" w:hAnsiTheme="minorHAnsi"/>
          <w:lang w:val="en-GB"/>
        </w:rPr>
        <w:t xml:space="preserve">, we link displacement to the Aristotelian approach to </w:t>
      </w:r>
      <w:r w:rsidR="00E158C8" w:rsidRPr="004A43ED">
        <w:rPr>
          <w:rFonts w:asciiTheme="minorHAnsi" w:hAnsiTheme="minorHAnsi"/>
          <w:lang w:val="en-GB"/>
        </w:rPr>
        <w:t xml:space="preserve">metonym </w:t>
      </w:r>
      <w:r w:rsidR="00E158C8">
        <w:rPr>
          <w:rFonts w:asciiTheme="minorHAnsi" w:hAnsiTheme="minorHAnsi"/>
          <w:lang w:val="en-GB"/>
        </w:rPr>
        <w:t>(where a</w:t>
      </w:r>
      <w:r w:rsidR="00E158C8" w:rsidRPr="004A43ED">
        <w:rPr>
          <w:rFonts w:asciiTheme="minorHAnsi" w:hAnsiTheme="minorHAnsi"/>
          <w:lang w:val="en-GB"/>
        </w:rPr>
        <w:t xml:space="preserve"> concept has multiple attached meanings it </w:t>
      </w:r>
      <w:r w:rsidR="00E158C8">
        <w:rPr>
          <w:rFonts w:asciiTheme="minorHAnsi" w:hAnsiTheme="minorHAnsi"/>
          <w:lang w:val="en-GB"/>
        </w:rPr>
        <w:t xml:space="preserve">becomes </w:t>
      </w:r>
      <w:r w:rsidR="00E158C8" w:rsidRPr="004A43ED">
        <w:rPr>
          <w:rFonts w:asciiTheme="minorHAnsi" w:hAnsiTheme="minorHAnsi"/>
          <w:lang w:val="en-GB"/>
        </w:rPr>
        <w:t xml:space="preserve">difficult to identify </w:t>
      </w:r>
      <w:r w:rsidR="00E158C8">
        <w:rPr>
          <w:rFonts w:asciiTheme="minorHAnsi" w:hAnsiTheme="minorHAnsi"/>
          <w:lang w:val="en-GB"/>
        </w:rPr>
        <w:t>a precise meaning)</w:t>
      </w:r>
      <w:r w:rsidR="00E158C8" w:rsidRPr="004A43ED">
        <w:rPr>
          <w:rFonts w:asciiTheme="minorHAnsi" w:hAnsiTheme="minorHAnsi"/>
          <w:lang w:val="en-GB"/>
        </w:rPr>
        <w:t xml:space="preserve">. </w:t>
      </w:r>
      <w:r w:rsidR="00E158C8">
        <w:rPr>
          <w:rFonts w:asciiTheme="minorHAnsi" w:hAnsiTheme="minorHAnsi"/>
          <w:lang w:val="en-GB"/>
        </w:rPr>
        <w:t>In our case, d</w:t>
      </w:r>
      <w:r w:rsidR="00E158C8" w:rsidRPr="004A43ED">
        <w:rPr>
          <w:rFonts w:asciiTheme="minorHAnsi" w:hAnsiTheme="minorHAnsi"/>
          <w:lang w:val="en-GB"/>
        </w:rPr>
        <w:t>isplacement operates post-</w:t>
      </w:r>
      <w:r w:rsidR="00E158C8">
        <w:rPr>
          <w:rFonts w:asciiTheme="minorHAnsi" w:hAnsiTheme="minorHAnsi"/>
          <w:lang w:val="en-GB"/>
        </w:rPr>
        <w:t xml:space="preserve">definition and post-naming of the standard, </w:t>
      </w:r>
      <w:r w:rsidR="0080648D">
        <w:rPr>
          <w:rFonts w:asciiTheme="minorHAnsi" w:hAnsiTheme="minorHAnsi"/>
          <w:lang w:val="en-GB"/>
        </w:rPr>
        <w:t>as it is</w:t>
      </w:r>
      <w:r w:rsidR="00E158C8" w:rsidRPr="004A43ED">
        <w:rPr>
          <w:rFonts w:asciiTheme="minorHAnsi" w:hAnsiTheme="minorHAnsi"/>
          <w:lang w:val="en-GB"/>
        </w:rPr>
        <w:t xml:space="preserve"> difficult </w:t>
      </w:r>
      <w:r>
        <w:rPr>
          <w:rFonts w:asciiTheme="minorHAnsi" w:hAnsiTheme="minorHAnsi"/>
          <w:lang w:val="en-GB"/>
        </w:rPr>
        <w:t xml:space="preserve">for subjects </w:t>
      </w:r>
      <w:r w:rsidR="00E158C8" w:rsidRPr="004A43ED">
        <w:rPr>
          <w:rFonts w:asciiTheme="minorHAnsi" w:hAnsiTheme="minorHAnsi"/>
          <w:lang w:val="en-GB"/>
        </w:rPr>
        <w:t>to understand the precise meaning of the regulatory intervention</w:t>
      </w:r>
      <w:r w:rsidR="00E158C8">
        <w:rPr>
          <w:rFonts w:asciiTheme="minorHAnsi" w:hAnsiTheme="minorHAnsi"/>
          <w:lang w:val="en-GB"/>
        </w:rPr>
        <w:t>s.</w:t>
      </w:r>
    </w:p>
    <w:p w14:paraId="3619EFEE" w14:textId="6B82AABA" w:rsidR="00B70357" w:rsidRPr="00E176CF" w:rsidRDefault="003608F0" w:rsidP="008456E4">
      <w:pPr>
        <w:pStyle w:val="BodyTextIndent2"/>
        <w:spacing w:after="120"/>
        <w:ind w:firstLine="0"/>
        <w:rPr>
          <w:rFonts w:asciiTheme="minorHAnsi" w:hAnsiTheme="minorHAnsi"/>
          <w:lang w:val="en-GB"/>
        </w:rPr>
      </w:pPr>
      <w:r w:rsidRPr="00E176CF">
        <w:rPr>
          <w:noProof/>
          <w:lang w:val="en-GB" w:eastAsia="en-GB"/>
        </w:rPr>
        <mc:AlternateContent>
          <mc:Choice Requires="wps">
            <w:drawing>
              <wp:anchor distT="0" distB="0" distL="114300" distR="114300" simplePos="0" relativeHeight="251659264" behindDoc="0" locked="0" layoutInCell="1" allowOverlap="1" wp14:anchorId="61BB6B80" wp14:editId="6E17EA7C">
                <wp:simplePos x="0" y="0"/>
                <wp:positionH relativeFrom="column">
                  <wp:posOffset>1630680</wp:posOffset>
                </wp:positionH>
                <wp:positionV relativeFrom="paragraph">
                  <wp:posOffset>298450</wp:posOffset>
                </wp:positionV>
                <wp:extent cx="24003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1385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8.4pt,23.5pt" to="317.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" strokecolor="#4472c4 [3204]" strokeweight=".5pt">
                <v:stroke joinstyle="miter"/>
              </v:line>
            </w:pict>
          </mc:Fallback>
        </mc:AlternateContent>
      </w:r>
    </w:p>
    <w:p w14:paraId="462B13A5" w14:textId="77777777" w:rsidR="00754D00" w:rsidRDefault="00754D00" w:rsidP="00CB0B22">
      <w:pPr>
        <w:pStyle w:val="BodyTextIndent2"/>
        <w:spacing w:after="120"/>
        <w:ind w:firstLine="0"/>
        <w:rPr>
          <w:rFonts w:asciiTheme="minorHAnsi" w:hAnsiTheme="minorHAnsi"/>
          <w:lang w:val="en-GB"/>
        </w:rPr>
      </w:pPr>
    </w:p>
    <w:p w14:paraId="7D9D7B00" w14:textId="77777777" w:rsidR="003608F0" w:rsidRPr="00E176CF" w:rsidRDefault="003608F0"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0288" behindDoc="0" locked="0" layoutInCell="1" allowOverlap="1" wp14:anchorId="268B80D9" wp14:editId="50DACA97">
                <wp:simplePos x="0" y="0"/>
                <wp:positionH relativeFrom="column">
                  <wp:posOffset>1630680</wp:posOffset>
                </wp:positionH>
                <wp:positionV relativeFrom="paragraph">
                  <wp:posOffset>243840</wp:posOffset>
                </wp:positionV>
                <wp:extent cx="24003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0DB11"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FIGURE 1 </w:t>
      </w:r>
    </w:p>
    <w:p w14:paraId="1D84BBF1" w14:textId="77777777" w:rsidR="003608F0" w:rsidRPr="00E176CF" w:rsidRDefault="003608F0" w:rsidP="008456E4">
      <w:pPr>
        <w:pStyle w:val="BodyTextIndent2"/>
        <w:spacing w:after="120"/>
        <w:ind w:firstLine="0"/>
        <w:rPr>
          <w:rFonts w:asciiTheme="minorHAnsi" w:hAnsiTheme="minorHAnsi"/>
          <w:lang w:val="en-GB"/>
        </w:rPr>
      </w:pPr>
    </w:p>
    <w:p w14:paraId="082AD9A8" w14:textId="39B88BC1" w:rsidR="003608F0" w:rsidRDefault="003608F0" w:rsidP="008456E4">
      <w:pPr>
        <w:pStyle w:val="BodyTextIndent2"/>
        <w:ind w:firstLine="0"/>
        <w:rPr>
          <w:rFonts w:asciiTheme="minorHAnsi" w:hAnsiTheme="minorHAnsi" w:cstheme="minorHAnsi"/>
          <w:lang w:val="en-GB"/>
        </w:rPr>
      </w:pPr>
      <w:r w:rsidRPr="00E176CF">
        <w:rPr>
          <w:rFonts w:asciiTheme="minorHAnsi" w:hAnsiTheme="minorHAnsi"/>
          <w:lang w:val="en-GB"/>
        </w:rPr>
        <w:t xml:space="preserve">Figure 1 </w:t>
      </w:r>
      <w:r w:rsidR="00754D00">
        <w:rPr>
          <w:rFonts w:asciiTheme="minorHAnsi" w:hAnsiTheme="minorHAnsi"/>
          <w:lang w:val="en-GB"/>
        </w:rPr>
        <w:t>illustrates</w:t>
      </w:r>
      <w:r>
        <w:rPr>
          <w:rFonts w:asciiTheme="minorHAnsi" w:hAnsiTheme="minorHAnsi"/>
          <w:lang w:val="en-GB"/>
        </w:rPr>
        <w:t xml:space="preserve"> </w:t>
      </w:r>
      <w:r w:rsidRPr="00E176CF">
        <w:rPr>
          <w:rFonts w:asciiTheme="minorHAnsi" w:hAnsiTheme="minorHAnsi"/>
          <w:lang w:val="en-GB"/>
        </w:rPr>
        <w:t>the relevance of condensation, displacement and overdetermination to regulation</w:t>
      </w:r>
      <w:r>
        <w:rPr>
          <w:rFonts w:asciiTheme="minorHAnsi" w:hAnsiTheme="minorHAnsi"/>
          <w:lang w:val="en-GB"/>
        </w:rPr>
        <w:t>,</w:t>
      </w:r>
      <w:r w:rsidR="00C66D4B">
        <w:rPr>
          <w:rFonts w:asciiTheme="minorHAnsi" w:hAnsiTheme="minorHAnsi"/>
          <w:lang w:val="en-GB"/>
        </w:rPr>
        <w:t xml:space="preserve"> </w:t>
      </w:r>
      <w:r>
        <w:rPr>
          <w:rFonts w:asciiTheme="minorHAnsi" w:hAnsiTheme="minorHAnsi"/>
          <w:lang w:val="en-GB"/>
        </w:rPr>
        <w:t>as</w:t>
      </w:r>
      <w:r w:rsidRPr="00E176CF">
        <w:rPr>
          <w:rFonts w:asciiTheme="minorHAnsi" w:hAnsiTheme="minorHAnsi"/>
          <w:lang w:val="en-GB"/>
        </w:rPr>
        <w:t xml:space="preserve"> any decision in regulation</w:t>
      </w:r>
      <w:r>
        <w:rPr>
          <w:rFonts w:asciiTheme="minorHAnsi" w:hAnsiTheme="minorHAnsi"/>
          <w:lang w:val="en-GB"/>
        </w:rPr>
        <w:t xml:space="preserve"> involves </w:t>
      </w:r>
      <w:r w:rsidRPr="00E176CF">
        <w:rPr>
          <w:rFonts w:asciiTheme="minorHAnsi" w:hAnsiTheme="minorHAnsi"/>
          <w:lang w:val="en-GB"/>
        </w:rPr>
        <w:t xml:space="preserve">a range of </w:t>
      </w:r>
      <w:r>
        <w:rPr>
          <w:rFonts w:asciiTheme="minorHAnsi" w:hAnsiTheme="minorHAnsi"/>
          <w:lang w:val="en-GB"/>
        </w:rPr>
        <w:t>potentialities</w:t>
      </w:r>
      <w:r w:rsidRPr="00E176CF">
        <w:rPr>
          <w:rFonts w:asciiTheme="minorHAnsi" w:hAnsiTheme="minorHAnsi"/>
          <w:lang w:val="en-GB"/>
        </w:rPr>
        <w:t xml:space="preserve">. </w:t>
      </w:r>
      <w:r>
        <w:rPr>
          <w:rFonts w:asciiTheme="minorHAnsi" w:hAnsiTheme="minorHAnsi"/>
          <w:lang w:val="en-GB"/>
        </w:rPr>
        <w:t>In the case of</w:t>
      </w:r>
      <w:r w:rsidRPr="00E176CF">
        <w:rPr>
          <w:rFonts w:asciiTheme="minorHAnsi" w:hAnsiTheme="minorHAnsi"/>
          <w:lang w:val="en-GB"/>
        </w:rPr>
        <w:t xml:space="preserve"> SME</w:t>
      </w:r>
      <w:r>
        <w:rPr>
          <w:rFonts w:asciiTheme="minorHAnsi" w:hAnsiTheme="minorHAnsi"/>
          <w:lang w:val="en-GB"/>
        </w:rPr>
        <w:t>s,</w:t>
      </w:r>
      <w:r w:rsidRPr="00E176CF">
        <w:rPr>
          <w:rFonts w:asciiTheme="minorHAnsi" w:hAnsiTheme="minorHAnsi"/>
          <w:lang w:val="en-GB"/>
        </w:rPr>
        <w:t xml:space="preserve"> </w:t>
      </w:r>
      <w:r>
        <w:rPr>
          <w:rFonts w:asciiTheme="minorHAnsi" w:hAnsiTheme="minorHAnsi"/>
          <w:lang w:val="en-GB"/>
        </w:rPr>
        <w:t>for example,</w:t>
      </w:r>
      <w:r w:rsidRPr="00E176CF">
        <w:rPr>
          <w:rFonts w:asciiTheme="minorHAnsi" w:hAnsiTheme="minorHAnsi"/>
          <w:lang w:val="en-GB"/>
        </w:rPr>
        <w:t xml:space="preserve"> size, employees, users, capital needs, taxation status, profit, asset</w:t>
      </w:r>
      <w:r w:rsidR="00754C49">
        <w:rPr>
          <w:rFonts w:asciiTheme="minorHAnsi" w:hAnsiTheme="minorHAnsi"/>
          <w:lang w:val="en-GB"/>
        </w:rPr>
        <w:t xml:space="preserve"> </w:t>
      </w:r>
      <w:r w:rsidRPr="00E176CF">
        <w:rPr>
          <w:rFonts w:asciiTheme="minorHAnsi" w:hAnsiTheme="minorHAnsi"/>
          <w:lang w:val="en-GB"/>
        </w:rPr>
        <w:t>base, cap</w:t>
      </w:r>
      <w:r>
        <w:rPr>
          <w:rFonts w:asciiTheme="minorHAnsi" w:hAnsiTheme="minorHAnsi"/>
          <w:lang w:val="en-GB"/>
        </w:rPr>
        <w:t>i</w:t>
      </w:r>
      <w:r w:rsidRPr="00E176CF">
        <w:rPr>
          <w:rFonts w:asciiTheme="minorHAnsi" w:hAnsiTheme="minorHAnsi"/>
          <w:lang w:val="en-GB"/>
        </w:rPr>
        <w:t>t</w:t>
      </w:r>
      <w:r>
        <w:rPr>
          <w:rFonts w:asciiTheme="minorHAnsi" w:hAnsiTheme="minorHAnsi"/>
          <w:lang w:val="en-GB"/>
        </w:rPr>
        <w:t>a</w:t>
      </w:r>
      <w:r w:rsidRPr="00E176CF">
        <w:rPr>
          <w:rFonts w:asciiTheme="minorHAnsi" w:hAnsiTheme="minorHAnsi"/>
          <w:lang w:val="en-GB"/>
        </w:rPr>
        <w:t>lisation</w:t>
      </w:r>
      <w:r>
        <w:rPr>
          <w:rFonts w:asciiTheme="minorHAnsi" w:hAnsiTheme="minorHAnsi"/>
          <w:lang w:val="en-GB"/>
        </w:rPr>
        <w:t>,</w:t>
      </w:r>
      <w:r w:rsidRPr="00E176CF">
        <w:rPr>
          <w:rFonts w:asciiTheme="minorHAnsi" w:hAnsiTheme="minorHAnsi"/>
          <w:lang w:val="en-GB"/>
        </w:rPr>
        <w:t xml:space="preserve"> or any </w:t>
      </w:r>
      <w:r>
        <w:rPr>
          <w:rFonts w:asciiTheme="minorHAnsi" w:hAnsiTheme="minorHAnsi"/>
          <w:lang w:val="en-GB"/>
        </w:rPr>
        <w:t>arbitrary construct, could define SMEs</w:t>
      </w:r>
      <w:r w:rsidRPr="00E176CF">
        <w:rPr>
          <w:rFonts w:asciiTheme="minorHAnsi" w:hAnsiTheme="minorHAnsi"/>
          <w:lang w:val="en-GB"/>
        </w:rPr>
        <w:t xml:space="preserve">. In </w:t>
      </w:r>
      <w:r>
        <w:rPr>
          <w:rFonts w:asciiTheme="minorHAnsi" w:hAnsiTheme="minorHAnsi"/>
          <w:lang w:val="en-GB"/>
        </w:rPr>
        <w:t>decision making, a</w:t>
      </w:r>
      <w:r w:rsidRPr="00E176CF">
        <w:rPr>
          <w:rFonts w:asciiTheme="minorHAnsi" w:hAnsiTheme="minorHAnsi"/>
          <w:lang w:val="en-GB"/>
        </w:rPr>
        <w:t xml:space="preserve"> regulatory body condenses </w:t>
      </w:r>
      <w:r>
        <w:rPr>
          <w:rFonts w:asciiTheme="minorHAnsi" w:hAnsiTheme="minorHAnsi"/>
          <w:lang w:val="en-GB"/>
        </w:rPr>
        <w:t>available</w:t>
      </w:r>
      <w:r w:rsidRPr="00E176CF">
        <w:rPr>
          <w:rFonts w:asciiTheme="minorHAnsi" w:hAnsiTheme="minorHAnsi"/>
          <w:lang w:val="en-GB"/>
        </w:rPr>
        <w:t xml:space="preserve"> options into a </w:t>
      </w:r>
      <w:r w:rsidR="00FD5E80">
        <w:rPr>
          <w:rFonts w:asciiTheme="minorHAnsi" w:hAnsiTheme="minorHAnsi"/>
          <w:lang w:val="en-GB"/>
        </w:rPr>
        <w:t>“</w:t>
      </w:r>
      <w:r w:rsidRPr="00E176CF">
        <w:rPr>
          <w:rFonts w:asciiTheme="minorHAnsi" w:hAnsiTheme="minorHAnsi"/>
          <w:lang w:val="en-GB"/>
        </w:rPr>
        <w:t>solution</w:t>
      </w:r>
      <w:r w:rsidR="00FD5E80">
        <w:rPr>
          <w:rFonts w:asciiTheme="minorHAnsi" w:hAnsiTheme="minorHAnsi"/>
          <w:lang w:val="en-GB"/>
        </w:rPr>
        <w:t>”</w:t>
      </w:r>
      <w:r>
        <w:rPr>
          <w:rFonts w:asciiTheme="minorHAnsi" w:hAnsiTheme="minorHAnsi"/>
          <w:lang w:val="en-GB"/>
        </w:rPr>
        <w:t>. In D</w:t>
      </w:r>
      <w:r w:rsidR="00D91A79">
        <w:rPr>
          <w:rFonts w:asciiTheme="minorHAnsi" w:hAnsiTheme="minorHAnsi"/>
          <w:lang w:val="en-GB"/>
        </w:rPr>
        <w:t xml:space="preserve">iscourse </w:t>
      </w:r>
      <w:r>
        <w:rPr>
          <w:rFonts w:asciiTheme="minorHAnsi" w:hAnsiTheme="minorHAnsi"/>
          <w:lang w:val="en-GB"/>
        </w:rPr>
        <w:t>T</w:t>
      </w:r>
      <w:r w:rsidR="00D91A79">
        <w:rPr>
          <w:rFonts w:asciiTheme="minorHAnsi" w:hAnsiTheme="minorHAnsi"/>
          <w:lang w:val="en-GB"/>
        </w:rPr>
        <w:t>heory</w:t>
      </w:r>
      <w:r w:rsidRPr="00E176CF">
        <w:rPr>
          <w:rFonts w:asciiTheme="minorHAnsi" w:hAnsiTheme="minorHAnsi"/>
          <w:lang w:val="en-GB"/>
        </w:rPr>
        <w:t xml:space="preserve">, this </w:t>
      </w:r>
      <w:r w:rsidR="00754C49">
        <w:rPr>
          <w:rFonts w:asciiTheme="minorHAnsi" w:hAnsiTheme="minorHAnsi"/>
          <w:lang w:val="en-GB"/>
        </w:rPr>
        <w:t xml:space="preserve">solution – a </w:t>
      </w:r>
      <w:r w:rsidRPr="00E176CF">
        <w:rPr>
          <w:rFonts w:asciiTheme="minorHAnsi" w:hAnsiTheme="minorHAnsi"/>
          <w:lang w:val="en-GB"/>
        </w:rPr>
        <w:t xml:space="preserve">nodal point </w:t>
      </w:r>
      <w:r w:rsidR="00754C49">
        <w:rPr>
          <w:rFonts w:asciiTheme="minorHAnsi" w:hAnsiTheme="minorHAnsi"/>
          <w:lang w:val="en-GB"/>
        </w:rPr>
        <w:t xml:space="preserve">– </w:t>
      </w:r>
      <w:r w:rsidRPr="00E176CF">
        <w:rPr>
          <w:rFonts w:asciiTheme="minorHAnsi" w:hAnsiTheme="minorHAnsi"/>
          <w:lang w:val="en-GB"/>
        </w:rPr>
        <w:t xml:space="preserve">is an overdetermination </w:t>
      </w:r>
      <w:r>
        <w:rPr>
          <w:rFonts w:asciiTheme="minorHAnsi" w:hAnsiTheme="minorHAnsi"/>
          <w:lang w:val="en-GB"/>
        </w:rPr>
        <w:t>because</w:t>
      </w:r>
      <w:r w:rsidRPr="00E176CF">
        <w:rPr>
          <w:rFonts w:asciiTheme="minorHAnsi" w:hAnsiTheme="minorHAnsi"/>
          <w:lang w:val="en-GB"/>
        </w:rPr>
        <w:t xml:space="preserve"> </w:t>
      </w:r>
      <w:r w:rsidR="00C66D4B">
        <w:rPr>
          <w:rFonts w:asciiTheme="minorHAnsi" w:hAnsiTheme="minorHAnsi"/>
          <w:lang w:val="en-GB"/>
        </w:rPr>
        <w:t>it attempts to articulate a wide range of options (some of which may be inconsistent with others) into a single fixed meaning</w:t>
      </w:r>
      <w:r w:rsidRPr="00E176CF">
        <w:rPr>
          <w:rFonts w:asciiTheme="minorHAnsi" w:hAnsiTheme="minorHAnsi"/>
          <w:lang w:val="en-GB"/>
        </w:rPr>
        <w:t xml:space="preserve">. </w:t>
      </w:r>
      <w:r>
        <w:rPr>
          <w:rFonts w:asciiTheme="minorHAnsi" w:hAnsiTheme="minorHAnsi"/>
          <w:lang w:val="en-GB"/>
        </w:rPr>
        <w:t>This arbitrariness</w:t>
      </w:r>
      <w:r w:rsidRPr="00E176CF">
        <w:rPr>
          <w:rFonts w:asciiTheme="minorHAnsi" w:hAnsiTheme="minorHAnsi"/>
          <w:lang w:val="en-GB"/>
        </w:rPr>
        <w:t xml:space="preserve"> become</w:t>
      </w:r>
      <w:r>
        <w:rPr>
          <w:rFonts w:asciiTheme="minorHAnsi" w:hAnsiTheme="minorHAnsi"/>
          <w:lang w:val="en-GB"/>
        </w:rPr>
        <w:t xml:space="preserve">s problematic: for example, </w:t>
      </w:r>
      <w:r w:rsidRPr="00E176CF">
        <w:rPr>
          <w:rFonts w:asciiTheme="minorHAnsi" w:hAnsiTheme="minorHAnsi"/>
          <w:lang w:val="en-GB"/>
        </w:rPr>
        <w:t>a focus on asset</w:t>
      </w:r>
      <w:r>
        <w:rPr>
          <w:rFonts w:asciiTheme="minorHAnsi" w:hAnsiTheme="minorHAnsi"/>
          <w:lang w:val="en-GB"/>
        </w:rPr>
        <w:t xml:space="preserve"> </w:t>
      </w:r>
      <w:r w:rsidRPr="00E176CF">
        <w:rPr>
          <w:rFonts w:asciiTheme="minorHAnsi" w:hAnsiTheme="minorHAnsi"/>
          <w:lang w:val="en-GB"/>
        </w:rPr>
        <w:t xml:space="preserve">base may have different impacts </w:t>
      </w:r>
      <w:r w:rsidR="00C66D4B">
        <w:rPr>
          <w:rFonts w:asciiTheme="minorHAnsi" w:hAnsiTheme="minorHAnsi"/>
          <w:lang w:val="en-GB"/>
        </w:rPr>
        <w:t>i</w:t>
      </w:r>
      <w:r w:rsidRPr="00E176CF">
        <w:rPr>
          <w:rFonts w:asciiTheme="minorHAnsi" w:hAnsiTheme="minorHAnsi"/>
          <w:lang w:val="en-GB"/>
        </w:rPr>
        <w:t>n different economies (a small</w:t>
      </w:r>
      <w:r>
        <w:rPr>
          <w:rFonts w:asciiTheme="minorHAnsi" w:hAnsiTheme="minorHAnsi"/>
          <w:lang w:val="en-GB"/>
        </w:rPr>
        <w:t xml:space="preserve"> UK entity </w:t>
      </w:r>
      <w:r w:rsidRPr="00E176CF">
        <w:rPr>
          <w:rFonts w:asciiTheme="minorHAnsi" w:hAnsiTheme="minorHAnsi"/>
          <w:lang w:val="en-GB"/>
        </w:rPr>
        <w:t>may be a large entity comparatively in another country</w:t>
      </w:r>
      <w:r w:rsidR="00754C49">
        <w:rPr>
          <w:rFonts w:asciiTheme="minorHAnsi" w:hAnsiTheme="minorHAnsi"/>
          <w:lang w:val="en-GB"/>
        </w:rPr>
        <w:t>:</w:t>
      </w:r>
      <w:r w:rsidRPr="00E176CF">
        <w:rPr>
          <w:rFonts w:asciiTheme="minorHAnsi" w:hAnsiTheme="minorHAnsi"/>
          <w:lang w:val="en-GB"/>
        </w:rPr>
        <w:t xml:space="preserve"> see Perera </w:t>
      </w:r>
      <w:r w:rsidR="00A272D9">
        <w:rPr>
          <w:rFonts w:asciiTheme="minorHAnsi" w:hAnsiTheme="minorHAnsi"/>
          <w:lang w:val="en-GB"/>
        </w:rPr>
        <w:t>and</w:t>
      </w:r>
      <w:r w:rsidRPr="00E176CF">
        <w:rPr>
          <w:rFonts w:asciiTheme="minorHAnsi" w:hAnsiTheme="minorHAnsi"/>
          <w:lang w:val="en-GB"/>
        </w:rPr>
        <w:t xml:space="preserve"> Chand, 2015). Thus, this arbitr</w:t>
      </w:r>
      <w:r>
        <w:rPr>
          <w:rFonts w:asciiTheme="minorHAnsi" w:hAnsiTheme="minorHAnsi"/>
          <w:lang w:val="en-GB"/>
        </w:rPr>
        <w:t>ariness begins to displace the nodal point</w:t>
      </w:r>
      <w:r w:rsidR="00C66D4B">
        <w:rPr>
          <w:rFonts w:asciiTheme="minorHAnsi" w:hAnsiTheme="minorHAnsi"/>
          <w:lang w:val="en-GB"/>
        </w:rPr>
        <w:t>:</w:t>
      </w:r>
      <w:r>
        <w:rPr>
          <w:rFonts w:asciiTheme="minorHAnsi" w:hAnsiTheme="minorHAnsi"/>
          <w:lang w:val="en-GB"/>
        </w:rPr>
        <w:t xml:space="preserve"> </w:t>
      </w:r>
    </w:p>
    <w:p w14:paraId="6EECB1FC" w14:textId="77777777" w:rsidR="003608F0" w:rsidRPr="00AD01B0" w:rsidRDefault="003608F0" w:rsidP="008456E4">
      <w:pPr>
        <w:pStyle w:val="BodyTextIndent2"/>
        <w:ind w:firstLine="0"/>
        <w:rPr>
          <w:rFonts w:asciiTheme="minorHAnsi" w:hAnsiTheme="minorHAnsi" w:cstheme="minorHAnsi"/>
          <w:lang w:val="en-GB"/>
        </w:rPr>
      </w:pPr>
    </w:p>
    <w:p w14:paraId="0974F3FB" w14:textId="2CB122BE" w:rsidR="003608F0" w:rsidRDefault="003608F0" w:rsidP="008456E4">
      <w:pPr>
        <w:pStyle w:val="BodyTextIndent2"/>
        <w:ind w:left="709" w:right="1082" w:firstLine="0"/>
        <w:rPr>
          <w:rFonts w:asciiTheme="minorHAnsi" w:hAnsiTheme="minorHAnsi" w:cstheme="minorHAnsi"/>
          <w:color w:val="000000"/>
          <w:sz w:val="20"/>
          <w:szCs w:val="20"/>
          <w:lang w:val="en-GB"/>
        </w:rPr>
      </w:pPr>
      <w:r w:rsidRPr="00AD01B0">
        <w:rPr>
          <w:rFonts w:asciiTheme="minorHAnsi" w:hAnsiTheme="minorHAnsi" w:cstheme="minorHAnsi"/>
          <w:color w:val="000000"/>
          <w:sz w:val="20"/>
          <w:szCs w:val="20"/>
          <w:lang w:val="en-GB"/>
        </w:rPr>
        <w:t>...</w:t>
      </w:r>
      <w:r>
        <w:rPr>
          <w:rFonts w:cstheme="minorHAnsi"/>
          <w:color w:val="000000"/>
          <w:sz w:val="20"/>
          <w:szCs w:val="20"/>
          <w:lang w:val="en-GB"/>
        </w:rPr>
        <w:t xml:space="preserve"> </w:t>
      </w:r>
      <w:r w:rsidRPr="00AD01B0">
        <w:rPr>
          <w:rFonts w:asciiTheme="minorHAnsi" w:hAnsiTheme="minorHAnsi" w:cstheme="minorHAnsi"/>
          <w:color w:val="000000"/>
          <w:sz w:val="20"/>
          <w:szCs w:val="20"/>
          <w:lang w:val="en-GB"/>
        </w:rPr>
        <w:t>through an affirmation of the incomplete, open and politically negotiable character of every identity. This was the logic of overdetermination</w:t>
      </w:r>
      <w:r>
        <w:rPr>
          <w:rFonts w:cstheme="minorHAnsi"/>
          <w:color w:val="000000"/>
          <w:sz w:val="20"/>
          <w:szCs w:val="20"/>
          <w:lang w:val="en-GB"/>
        </w:rPr>
        <w:t xml:space="preserve"> </w:t>
      </w:r>
      <w:r w:rsidRPr="00AD01B0">
        <w:rPr>
          <w:rFonts w:asciiTheme="minorHAnsi" w:hAnsiTheme="minorHAnsi" w:cstheme="minorHAnsi"/>
          <w:color w:val="000000"/>
          <w:sz w:val="20"/>
          <w:szCs w:val="20"/>
          <w:lang w:val="en-GB"/>
        </w:rPr>
        <w:t xml:space="preserve">... the presence of some objects in </w:t>
      </w:r>
      <w:r w:rsidRPr="00AD01B0">
        <w:rPr>
          <w:rFonts w:asciiTheme="minorHAnsi" w:hAnsiTheme="minorHAnsi" w:cstheme="minorHAnsi"/>
          <w:color w:val="000000"/>
          <w:sz w:val="20"/>
          <w:szCs w:val="20"/>
          <w:lang w:val="en-GB"/>
        </w:rPr>
        <w:lastRenderedPageBreak/>
        <w:t>the others prevents any of their identities from bei</w:t>
      </w:r>
      <w:r>
        <w:rPr>
          <w:rFonts w:asciiTheme="minorHAnsi" w:hAnsiTheme="minorHAnsi" w:cstheme="minorHAnsi"/>
          <w:color w:val="000000"/>
          <w:sz w:val="20"/>
          <w:szCs w:val="20"/>
          <w:lang w:val="en-GB"/>
        </w:rPr>
        <w:t>ng fixed</w:t>
      </w:r>
      <w:r w:rsidR="00754C49">
        <w:rPr>
          <w:rFonts w:asciiTheme="minorHAnsi" w:hAnsiTheme="minorHAnsi" w:cstheme="minorHAnsi"/>
          <w:color w:val="000000"/>
          <w:sz w:val="20"/>
          <w:szCs w:val="20"/>
          <w:lang w:val="en-GB"/>
        </w:rPr>
        <w:t>.</w:t>
      </w:r>
      <w:r w:rsidR="0080648D">
        <w:rPr>
          <w:rFonts w:asciiTheme="minorHAnsi" w:hAnsiTheme="minorHAnsi" w:cstheme="minorHAnsi"/>
          <w:color w:val="000000"/>
          <w:sz w:val="20"/>
          <w:szCs w:val="20"/>
          <w:lang w:val="en-GB"/>
        </w:rPr>
        <w:t xml:space="preserve"> </w:t>
      </w:r>
      <w:r>
        <w:rPr>
          <w:rFonts w:asciiTheme="minorHAnsi" w:hAnsiTheme="minorHAnsi" w:cstheme="minorHAnsi"/>
          <w:color w:val="000000"/>
          <w:sz w:val="20"/>
          <w:szCs w:val="20"/>
          <w:lang w:val="en-GB"/>
        </w:rPr>
        <w:t>(</w:t>
      </w:r>
      <w:r w:rsidR="00D91A79">
        <w:rPr>
          <w:rFonts w:asciiTheme="minorHAnsi" w:hAnsiTheme="minorHAnsi" w:cstheme="minorHAnsi"/>
          <w:color w:val="000000"/>
          <w:sz w:val="20"/>
          <w:szCs w:val="20"/>
          <w:lang w:val="en-GB"/>
        </w:rPr>
        <w:t>Laclau and Mouffe</w:t>
      </w:r>
      <w:r>
        <w:rPr>
          <w:rFonts w:asciiTheme="minorHAnsi" w:hAnsiTheme="minorHAnsi" w:cstheme="minorHAnsi"/>
          <w:color w:val="000000"/>
          <w:sz w:val="20"/>
          <w:szCs w:val="20"/>
          <w:lang w:val="en-GB"/>
        </w:rPr>
        <w:t xml:space="preserve">, 2001, pp. </w:t>
      </w:r>
      <w:r w:rsidRPr="00AD01B0">
        <w:rPr>
          <w:rFonts w:asciiTheme="minorHAnsi" w:hAnsiTheme="minorHAnsi" w:cstheme="minorHAnsi"/>
          <w:color w:val="000000"/>
          <w:sz w:val="20"/>
          <w:szCs w:val="20"/>
          <w:lang w:val="en-GB"/>
        </w:rPr>
        <w:t>90-91)</w:t>
      </w:r>
    </w:p>
    <w:p w14:paraId="66C09928" w14:textId="77777777" w:rsidR="008456E4" w:rsidRDefault="008456E4" w:rsidP="008456E4">
      <w:pPr>
        <w:pStyle w:val="BodyTextIndent2"/>
        <w:ind w:right="1082" w:firstLine="0"/>
        <w:rPr>
          <w:rFonts w:asciiTheme="minorHAnsi" w:hAnsiTheme="minorHAnsi" w:cstheme="minorHAnsi"/>
          <w:color w:val="000000"/>
          <w:sz w:val="20"/>
          <w:szCs w:val="20"/>
          <w:lang w:val="en-GB"/>
        </w:rPr>
      </w:pPr>
    </w:p>
    <w:p w14:paraId="7CAD7DF4" w14:textId="3C075BFA" w:rsidR="003608F0" w:rsidRDefault="0080648D" w:rsidP="008456E4">
      <w:pPr>
        <w:pStyle w:val="BodyTextIndent2"/>
        <w:ind w:firstLine="0"/>
        <w:rPr>
          <w:rFonts w:asciiTheme="minorHAnsi" w:hAnsiTheme="minorHAnsi"/>
          <w:iCs/>
          <w:lang w:val="en-GB"/>
        </w:rPr>
      </w:pPr>
      <w:r>
        <w:rPr>
          <w:rStyle w:val="Strong"/>
          <w:rFonts w:asciiTheme="minorHAnsi" w:hAnsiTheme="minorHAnsi"/>
          <w:b w:val="0"/>
          <w:bCs w:val="0"/>
          <w:lang w:val="en-GB"/>
        </w:rPr>
        <w:t xml:space="preserve">Condensation and displacement help us to deconstruct this concept further. </w:t>
      </w:r>
      <w:r w:rsidR="00C66D4B">
        <w:rPr>
          <w:rStyle w:val="Strong"/>
          <w:rFonts w:asciiTheme="minorHAnsi" w:hAnsiTheme="minorHAnsi"/>
          <w:b w:val="0"/>
          <w:bCs w:val="0"/>
          <w:lang w:val="en-GB"/>
        </w:rPr>
        <w:t>Condensation, displacement and overdetermination</w:t>
      </w:r>
      <w:r w:rsidR="00C66D4B" w:rsidRPr="00E176CF">
        <w:rPr>
          <w:rStyle w:val="Strong"/>
          <w:rFonts w:asciiTheme="minorHAnsi" w:hAnsiTheme="minorHAnsi"/>
          <w:b w:val="0"/>
          <w:bCs w:val="0"/>
          <w:lang w:val="en-GB"/>
        </w:rPr>
        <w:t xml:space="preserve"> derive from </w:t>
      </w:r>
      <w:r w:rsidR="00C66D4B">
        <w:rPr>
          <w:rStyle w:val="Strong"/>
          <w:rFonts w:asciiTheme="minorHAnsi" w:hAnsiTheme="minorHAnsi"/>
          <w:b w:val="0"/>
          <w:bCs w:val="0"/>
          <w:lang w:val="en-GB"/>
        </w:rPr>
        <w:t>the psychoanalysis of Freud</w:t>
      </w:r>
      <w:r w:rsidR="00731B92">
        <w:rPr>
          <w:rStyle w:val="Strong"/>
          <w:rFonts w:asciiTheme="minorHAnsi" w:hAnsiTheme="minorHAnsi"/>
          <w:b w:val="0"/>
          <w:bCs w:val="0"/>
          <w:lang w:val="en-GB"/>
        </w:rPr>
        <w:t xml:space="preserve"> (1900)</w:t>
      </w:r>
      <w:r w:rsidR="00C66D4B">
        <w:rPr>
          <w:rStyle w:val="Strong"/>
          <w:rFonts w:asciiTheme="minorHAnsi" w:hAnsiTheme="minorHAnsi"/>
          <w:b w:val="0"/>
          <w:bCs w:val="0"/>
          <w:lang w:val="en-GB"/>
        </w:rPr>
        <w:t xml:space="preserve"> and Lacan</w:t>
      </w:r>
      <w:r w:rsidR="00731B92">
        <w:rPr>
          <w:rStyle w:val="Strong"/>
          <w:rFonts w:asciiTheme="minorHAnsi" w:hAnsiTheme="minorHAnsi"/>
          <w:b w:val="0"/>
          <w:bCs w:val="0"/>
          <w:lang w:val="en-GB"/>
        </w:rPr>
        <w:t xml:space="preserve"> (1988)</w:t>
      </w:r>
      <w:r w:rsidR="00C66D4B">
        <w:rPr>
          <w:rStyle w:val="Strong"/>
          <w:rFonts w:asciiTheme="minorHAnsi" w:hAnsiTheme="minorHAnsi"/>
          <w:b w:val="0"/>
          <w:bCs w:val="0"/>
          <w:lang w:val="en-GB"/>
        </w:rPr>
        <w:t xml:space="preserve"> (Laclau </w:t>
      </w:r>
      <w:r w:rsidR="00A272D9">
        <w:rPr>
          <w:rStyle w:val="Strong"/>
          <w:rFonts w:asciiTheme="minorHAnsi" w:hAnsiTheme="minorHAnsi"/>
          <w:b w:val="0"/>
          <w:bCs w:val="0"/>
          <w:lang w:val="en-GB"/>
        </w:rPr>
        <w:t>and</w:t>
      </w:r>
      <w:r w:rsidR="00C66D4B">
        <w:rPr>
          <w:rStyle w:val="Strong"/>
          <w:rFonts w:asciiTheme="minorHAnsi" w:hAnsiTheme="minorHAnsi"/>
          <w:b w:val="0"/>
          <w:bCs w:val="0"/>
          <w:lang w:val="en-GB"/>
        </w:rPr>
        <w:t xml:space="preserve"> Mouffe, 2001, p. 137). </w:t>
      </w:r>
      <w:r w:rsidR="003608F0">
        <w:rPr>
          <w:rFonts w:asciiTheme="minorHAnsi" w:hAnsiTheme="minorHAnsi"/>
          <w:lang w:val="en-GB"/>
        </w:rPr>
        <w:t>Freud depicts condensation and displacement</w:t>
      </w:r>
      <w:r w:rsidR="003608F0" w:rsidRPr="00E176CF">
        <w:rPr>
          <w:rFonts w:asciiTheme="minorHAnsi" w:hAnsiTheme="minorHAnsi"/>
          <w:lang w:val="en-GB"/>
        </w:rPr>
        <w:t xml:space="preserve"> </w:t>
      </w:r>
      <w:r w:rsidR="003608F0">
        <w:rPr>
          <w:rFonts w:asciiTheme="minorHAnsi" w:hAnsiTheme="minorHAnsi"/>
          <w:lang w:val="en-GB"/>
        </w:rPr>
        <w:t xml:space="preserve">in </w:t>
      </w:r>
      <w:r w:rsidR="003608F0" w:rsidRPr="00E176CF">
        <w:rPr>
          <w:rFonts w:asciiTheme="minorHAnsi" w:hAnsiTheme="minorHAnsi"/>
          <w:lang w:val="en-GB"/>
        </w:rPr>
        <w:t>the unconscious escapism evident in d</w:t>
      </w:r>
      <w:r w:rsidR="003608F0">
        <w:rPr>
          <w:rFonts w:asciiTheme="minorHAnsi" w:hAnsiTheme="minorHAnsi"/>
          <w:lang w:val="en-GB"/>
        </w:rPr>
        <w:t>reams, jokes</w:t>
      </w:r>
      <w:r w:rsidR="003608F0" w:rsidRPr="00E176CF">
        <w:rPr>
          <w:rFonts w:asciiTheme="minorHAnsi" w:hAnsiTheme="minorHAnsi"/>
          <w:lang w:val="en-GB"/>
        </w:rPr>
        <w:t xml:space="preserve"> and errors. </w:t>
      </w:r>
      <w:r w:rsidR="003608F0">
        <w:rPr>
          <w:rFonts w:asciiTheme="minorHAnsi" w:hAnsiTheme="minorHAnsi"/>
          <w:lang w:val="en-GB"/>
        </w:rPr>
        <w:t>In analysing dreams, c</w:t>
      </w:r>
      <w:r w:rsidR="003608F0" w:rsidRPr="00E176CF">
        <w:rPr>
          <w:rFonts w:asciiTheme="minorHAnsi" w:hAnsiTheme="minorHAnsi"/>
          <w:lang w:val="en-GB"/>
        </w:rPr>
        <w:t xml:space="preserve">ondensation refers to creation at the </w:t>
      </w:r>
      <w:r w:rsidR="003608F0">
        <w:rPr>
          <w:rFonts w:asciiTheme="minorHAnsi" w:hAnsiTheme="minorHAnsi"/>
          <w:lang w:val="en-GB"/>
        </w:rPr>
        <w:t xml:space="preserve">manifest level, and is similar to </w:t>
      </w:r>
      <w:r w:rsidR="003608F0" w:rsidRPr="00E176CF">
        <w:rPr>
          <w:rFonts w:asciiTheme="minorHAnsi" w:hAnsiTheme="minorHAnsi"/>
          <w:lang w:val="en-GB"/>
        </w:rPr>
        <w:t>metaphor</w:t>
      </w:r>
      <w:r w:rsidR="003608F0">
        <w:rPr>
          <w:rFonts w:asciiTheme="minorHAnsi" w:hAnsiTheme="minorHAnsi"/>
          <w:lang w:val="en-GB"/>
        </w:rPr>
        <w:t>. I</w:t>
      </w:r>
      <w:r w:rsidR="003608F0" w:rsidRPr="00E176CF">
        <w:rPr>
          <w:rFonts w:asciiTheme="minorHAnsi" w:hAnsiTheme="minorHAnsi"/>
          <w:lang w:val="en-GB"/>
        </w:rPr>
        <w:t xml:space="preserve">t relates to convergence, synthesis, construction and fixation that leads to signification of elements at the latent level (dream thoughts) (Lapping, 2011). </w:t>
      </w:r>
      <w:r w:rsidR="003608F0">
        <w:rPr>
          <w:rFonts w:asciiTheme="minorHAnsi" w:hAnsiTheme="minorHAnsi"/>
          <w:lang w:val="en-GB"/>
        </w:rPr>
        <w:t>T</w:t>
      </w:r>
      <w:r w:rsidR="003608F0" w:rsidRPr="00E176CF">
        <w:rPr>
          <w:rFonts w:asciiTheme="minorHAnsi" w:hAnsiTheme="minorHAnsi"/>
          <w:lang w:val="en-GB"/>
        </w:rPr>
        <w:t xml:space="preserve">he </w:t>
      </w:r>
      <w:r w:rsidR="003608F0" w:rsidRPr="00E176CF">
        <w:rPr>
          <w:rFonts w:asciiTheme="minorHAnsi" w:hAnsiTheme="minorHAnsi"/>
          <w:i/>
          <w:lang w:val="en-GB"/>
        </w:rPr>
        <w:t>Dream of the Botanical Monograph</w:t>
      </w:r>
      <w:r w:rsidR="003608F0">
        <w:rPr>
          <w:rFonts w:asciiTheme="minorHAnsi" w:hAnsiTheme="minorHAnsi"/>
          <w:i/>
          <w:lang w:val="en-GB"/>
        </w:rPr>
        <w:t xml:space="preserve"> </w:t>
      </w:r>
      <w:r w:rsidR="003608F0" w:rsidRPr="00FF2467">
        <w:rPr>
          <w:rFonts w:asciiTheme="minorHAnsi" w:hAnsiTheme="minorHAnsi"/>
          <w:lang w:val="en-GB"/>
        </w:rPr>
        <w:t>is central for Freud</w:t>
      </w:r>
      <w:r w:rsidR="003608F0">
        <w:rPr>
          <w:rFonts w:asciiTheme="minorHAnsi" w:hAnsiTheme="minorHAnsi"/>
          <w:lang w:val="en-GB"/>
        </w:rPr>
        <w:t>’</w:t>
      </w:r>
      <w:r w:rsidR="003608F0" w:rsidRPr="00FF2467">
        <w:rPr>
          <w:rFonts w:asciiTheme="minorHAnsi" w:hAnsiTheme="minorHAnsi"/>
          <w:lang w:val="en-GB"/>
        </w:rPr>
        <w:t xml:space="preserve">s (1900, </w:t>
      </w:r>
      <w:r w:rsidR="00754C49">
        <w:rPr>
          <w:rFonts w:asciiTheme="minorHAnsi" w:hAnsiTheme="minorHAnsi"/>
          <w:lang w:val="en-GB"/>
        </w:rPr>
        <w:t xml:space="preserve">p. </w:t>
      </w:r>
      <w:r w:rsidR="003608F0" w:rsidRPr="00FF2467">
        <w:rPr>
          <w:rFonts w:asciiTheme="minorHAnsi" w:hAnsiTheme="minorHAnsi"/>
          <w:lang w:val="en-GB"/>
        </w:rPr>
        <w:t>386)</w:t>
      </w:r>
      <w:r w:rsidR="003608F0">
        <w:rPr>
          <w:rFonts w:asciiTheme="minorHAnsi" w:hAnsiTheme="minorHAnsi"/>
          <w:i/>
          <w:lang w:val="en-GB"/>
        </w:rPr>
        <w:t xml:space="preserve"> </w:t>
      </w:r>
      <w:r w:rsidR="003608F0" w:rsidRPr="00FF2467">
        <w:rPr>
          <w:rFonts w:asciiTheme="minorHAnsi" w:hAnsiTheme="minorHAnsi"/>
          <w:lang w:val="en-GB"/>
        </w:rPr>
        <w:t>construction of these concepts</w:t>
      </w:r>
      <w:r w:rsidR="003608F0" w:rsidRPr="00E176CF">
        <w:rPr>
          <w:rFonts w:asciiTheme="minorHAnsi" w:hAnsiTheme="minorHAnsi"/>
          <w:lang w:val="en-GB"/>
        </w:rPr>
        <w:t xml:space="preserve">. </w:t>
      </w:r>
      <w:r w:rsidR="003608F0">
        <w:rPr>
          <w:rFonts w:asciiTheme="minorHAnsi" w:hAnsiTheme="minorHAnsi"/>
          <w:lang w:val="en-GB"/>
        </w:rPr>
        <w:t xml:space="preserve">Freud describes </w:t>
      </w:r>
      <w:r w:rsidR="003608F0" w:rsidRPr="00E176CF">
        <w:rPr>
          <w:rFonts w:asciiTheme="minorHAnsi" w:hAnsiTheme="minorHAnsi"/>
          <w:lang w:val="en-GB"/>
        </w:rPr>
        <w:t xml:space="preserve">the dream </w:t>
      </w:r>
      <w:r w:rsidR="003608F0">
        <w:rPr>
          <w:rFonts w:asciiTheme="minorHAnsi" w:hAnsiTheme="minorHAnsi"/>
          <w:lang w:val="en-GB"/>
        </w:rPr>
        <w:t>as:</w:t>
      </w:r>
      <w:r w:rsidR="003608F0" w:rsidRPr="00E176CF">
        <w:rPr>
          <w:rFonts w:asciiTheme="minorHAnsi" w:hAnsiTheme="minorHAnsi"/>
          <w:lang w:val="en-GB"/>
        </w:rPr>
        <w:t xml:space="preserve"> </w:t>
      </w:r>
    </w:p>
    <w:p w14:paraId="26C5F20D" w14:textId="77777777" w:rsidR="003608F0" w:rsidRPr="00E176CF" w:rsidRDefault="003608F0" w:rsidP="008456E4">
      <w:pPr>
        <w:pStyle w:val="BodyTextIndent2"/>
        <w:ind w:firstLine="0"/>
        <w:rPr>
          <w:rFonts w:asciiTheme="minorHAnsi" w:hAnsiTheme="minorHAnsi"/>
          <w:lang w:val="en-GB"/>
        </w:rPr>
      </w:pPr>
    </w:p>
    <w:p w14:paraId="12E3B2AB" w14:textId="30D42321" w:rsidR="003608F0" w:rsidRDefault="003608F0" w:rsidP="008456E4">
      <w:pPr>
        <w:pStyle w:val="BodyTextIndent2"/>
        <w:ind w:left="720" w:right="1082" w:firstLine="0"/>
        <w:rPr>
          <w:rFonts w:asciiTheme="minorHAnsi" w:hAnsiTheme="minorHAnsi"/>
          <w:iCs/>
          <w:sz w:val="20"/>
          <w:lang w:val="en-GB"/>
        </w:rPr>
      </w:pPr>
      <w:r w:rsidRPr="00E176CF">
        <w:rPr>
          <w:rFonts w:asciiTheme="minorHAnsi" w:hAnsiTheme="minorHAnsi"/>
          <w:iCs/>
          <w:sz w:val="20"/>
          <w:lang w:val="en-GB"/>
        </w:rPr>
        <w:t xml:space="preserve">Thus ‘botanical’ was a regular nodal point in the dream … the elements ‘botanical’ and ‘monograph’ found their way into the content of the dream because they possessed copious contacts with the majority of the dream-thoughts, because, that is to say it, they constituted ‘nodal points’ upon which a great number of the dream-thoughts converged, and because they had several meanings in connection with the interpretation of the dream.  The explanation of this fundamental fact can also be put in another way: each of the elements of the dream’s content turns out to have been ‘overdetermined’ - to have been represented in the dream-thoughts many times over </w:t>
      </w:r>
      <w:r w:rsidRPr="00E176CF">
        <w:rPr>
          <w:rFonts w:asciiTheme="minorHAnsi" w:hAnsiTheme="minorHAnsi"/>
          <w:bCs/>
          <w:iCs/>
          <w:sz w:val="20"/>
          <w:lang w:val="en-GB"/>
        </w:rPr>
        <w:t xml:space="preserve">(Freud, 1900, </w:t>
      </w:r>
      <w:r>
        <w:rPr>
          <w:rFonts w:asciiTheme="minorHAnsi" w:hAnsiTheme="minorHAnsi"/>
          <w:bCs/>
          <w:iCs/>
          <w:sz w:val="20"/>
          <w:lang w:val="en-GB"/>
        </w:rPr>
        <w:t xml:space="preserve">pp. </w:t>
      </w:r>
      <w:r w:rsidRPr="00E176CF">
        <w:rPr>
          <w:rFonts w:asciiTheme="minorHAnsi" w:hAnsiTheme="minorHAnsi"/>
          <w:bCs/>
          <w:iCs/>
          <w:sz w:val="20"/>
          <w:lang w:val="en-GB"/>
        </w:rPr>
        <w:t>388-389)</w:t>
      </w:r>
      <w:r w:rsidR="00A8135E">
        <w:rPr>
          <w:rFonts w:asciiTheme="minorHAnsi" w:hAnsiTheme="minorHAnsi"/>
          <w:bCs/>
          <w:iCs/>
          <w:sz w:val="20"/>
          <w:lang w:val="en-GB"/>
        </w:rPr>
        <w:t>.</w:t>
      </w:r>
    </w:p>
    <w:p w14:paraId="444A0AB6" w14:textId="77777777" w:rsidR="003608F0" w:rsidRPr="00E176CF" w:rsidRDefault="003608F0" w:rsidP="008456E4">
      <w:pPr>
        <w:pStyle w:val="BodyTextIndent2"/>
        <w:ind w:left="720" w:right="1082" w:firstLine="0"/>
        <w:rPr>
          <w:rFonts w:asciiTheme="minorHAnsi" w:hAnsiTheme="minorHAnsi"/>
          <w:lang w:val="en-GB"/>
        </w:rPr>
      </w:pPr>
    </w:p>
    <w:p w14:paraId="6789B19F" w14:textId="4A166E9A" w:rsidR="003608F0" w:rsidRDefault="007030C8" w:rsidP="008456E4">
      <w:pPr>
        <w:pStyle w:val="BodyTextIndent2"/>
        <w:ind w:firstLine="0"/>
        <w:rPr>
          <w:rFonts w:asciiTheme="minorHAnsi" w:hAnsiTheme="minorHAnsi"/>
          <w:lang w:val="en-GB"/>
        </w:rPr>
      </w:pPr>
      <w:r>
        <w:rPr>
          <w:rFonts w:asciiTheme="minorHAnsi" w:hAnsiTheme="minorHAnsi"/>
          <w:lang w:val="en-GB"/>
        </w:rPr>
        <w:t xml:space="preserve">In </w:t>
      </w:r>
      <w:r w:rsidR="00754D00">
        <w:rPr>
          <w:rFonts w:asciiTheme="minorHAnsi" w:hAnsiTheme="minorHAnsi"/>
          <w:lang w:val="en-GB"/>
        </w:rPr>
        <w:t xml:space="preserve">overdetermination, </w:t>
      </w:r>
      <w:r>
        <w:rPr>
          <w:rFonts w:asciiTheme="minorHAnsi" w:hAnsiTheme="minorHAnsi"/>
          <w:lang w:val="en-GB"/>
        </w:rPr>
        <w:t>condensation is the convergence of</w:t>
      </w:r>
      <w:r w:rsidR="00754D00">
        <w:rPr>
          <w:rFonts w:asciiTheme="minorHAnsi" w:hAnsiTheme="minorHAnsi"/>
          <w:lang w:val="en-GB"/>
        </w:rPr>
        <w:t xml:space="preserve"> competing</w:t>
      </w:r>
      <w:r>
        <w:rPr>
          <w:rFonts w:asciiTheme="minorHAnsi" w:hAnsiTheme="minorHAnsi"/>
          <w:lang w:val="en-GB"/>
        </w:rPr>
        <w:t xml:space="preserve"> signifiers into nodal points (Spence, 2007). </w:t>
      </w:r>
      <w:r w:rsidR="00754D00">
        <w:rPr>
          <w:rFonts w:asciiTheme="minorHAnsi" w:hAnsiTheme="minorHAnsi"/>
          <w:lang w:val="en-GB"/>
        </w:rPr>
        <w:t xml:space="preserve">In our case, significant internal debate concerning the </w:t>
      </w:r>
      <w:r w:rsidR="00FD5E80">
        <w:rPr>
          <w:rFonts w:asciiTheme="minorHAnsi" w:hAnsiTheme="minorHAnsi"/>
          <w:lang w:val="en-GB"/>
        </w:rPr>
        <w:t>“</w:t>
      </w:r>
      <w:r w:rsidR="00754D00">
        <w:rPr>
          <w:rFonts w:asciiTheme="minorHAnsi" w:hAnsiTheme="minorHAnsi"/>
          <w:lang w:val="en-GB"/>
        </w:rPr>
        <w:t>right</w:t>
      </w:r>
      <w:r w:rsidR="00FD5E80">
        <w:rPr>
          <w:rFonts w:asciiTheme="minorHAnsi" w:hAnsiTheme="minorHAnsi"/>
          <w:lang w:val="en-GB"/>
        </w:rPr>
        <w:t>”</w:t>
      </w:r>
      <w:r w:rsidR="00754D00">
        <w:rPr>
          <w:rFonts w:asciiTheme="minorHAnsi" w:hAnsiTheme="minorHAnsi"/>
          <w:lang w:val="en-GB"/>
        </w:rPr>
        <w:t xml:space="preserve"> definition and the </w:t>
      </w:r>
      <w:r w:rsidR="00FD5E80">
        <w:rPr>
          <w:rFonts w:asciiTheme="minorHAnsi" w:hAnsiTheme="minorHAnsi"/>
          <w:lang w:val="en-GB"/>
        </w:rPr>
        <w:t>“</w:t>
      </w:r>
      <w:r w:rsidR="00754D00">
        <w:rPr>
          <w:rFonts w:asciiTheme="minorHAnsi" w:hAnsiTheme="minorHAnsi"/>
          <w:lang w:val="en-GB"/>
        </w:rPr>
        <w:t>proper</w:t>
      </w:r>
      <w:r w:rsidR="00FD5E80">
        <w:rPr>
          <w:rFonts w:asciiTheme="minorHAnsi" w:hAnsiTheme="minorHAnsi"/>
          <w:lang w:val="en-GB"/>
        </w:rPr>
        <w:t>”</w:t>
      </w:r>
      <w:r w:rsidR="00754D00">
        <w:rPr>
          <w:rFonts w:asciiTheme="minorHAnsi" w:hAnsiTheme="minorHAnsi"/>
          <w:lang w:val="en-GB"/>
        </w:rPr>
        <w:t xml:space="preserve"> title of the standard converge into the nodal points of non-publicly accountable entities and </w:t>
      </w:r>
      <w:r w:rsidR="00754D00" w:rsidRPr="00754D00">
        <w:rPr>
          <w:rFonts w:asciiTheme="minorHAnsi" w:hAnsiTheme="minorHAnsi"/>
          <w:i/>
          <w:lang w:val="en-GB"/>
        </w:rPr>
        <w:t>IFRS for SMEs</w:t>
      </w:r>
      <w:r w:rsidR="00754D00">
        <w:rPr>
          <w:rFonts w:asciiTheme="minorHAnsi" w:hAnsiTheme="minorHAnsi"/>
          <w:lang w:val="en-GB"/>
        </w:rPr>
        <w:t xml:space="preserve">. </w:t>
      </w:r>
      <w:r w:rsidR="005A6AC9">
        <w:rPr>
          <w:rFonts w:asciiTheme="minorHAnsi" w:hAnsiTheme="minorHAnsi"/>
          <w:lang w:val="en-GB"/>
        </w:rPr>
        <w:t>T</w:t>
      </w:r>
      <w:r w:rsidR="00157427">
        <w:rPr>
          <w:rFonts w:asciiTheme="minorHAnsi" w:hAnsiTheme="minorHAnsi"/>
          <w:lang w:val="en-GB"/>
        </w:rPr>
        <w:t>his converged condensation</w:t>
      </w:r>
      <w:r w:rsidR="003608F0">
        <w:rPr>
          <w:rFonts w:asciiTheme="minorHAnsi" w:hAnsiTheme="minorHAnsi"/>
          <w:lang w:val="en-GB"/>
        </w:rPr>
        <w:t xml:space="preserve"> </w:t>
      </w:r>
      <w:r w:rsidR="00157427">
        <w:rPr>
          <w:rFonts w:asciiTheme="minorHAnsi" w:hAnsiTheme="minorHAnsi"/>
          <w:lang w:val="en-GB"/>
        </w:rPr>
        <w:t>is</w:t>
      </w:r>
      <w:r w:rsidR="003608F0">
        <w:rPr>
          <w:rFonts w:asciiTheme="minorHAnsi" w:hAnsiTheme="minorHAnsi"/>
          <w:lang w:val="en-GB"/>
        </w:rPr>
        <w:t xml:space="preserve"> central to articulation, illustrating how </w:t>
      </w:r>
      <w:r w:rsidR="00157427">
        <w:rPr>
          <w:rFonts w:asciiTheme="minorHAnsi" w:hAnsiTheme="minorHAnsi"/>
          <w:lang w:val="en-GB"/>
        </w:rPr>
        <w:t>meaning emerges</w:t>
      </w:r>
      <w:r w:rsidR="003608F0">
        <w:rPr>
          <w:rFonts w:asciiTheme="minorHAnsi" w:hAnsiTheme="minorHAnsi"/>
          <w:lang w:val="en-GB"/>
        </w:rPr>
        <w:t xml:space="preserve"> in an undecidable politics:</w:t>
      </w:r>
    </w:p>
    <w:p w14:paraId="287001DF" w14:textId="77777777" w:rsidR="003608F0" w:rsidRDefault="003608F0" w:rsidP="008456E4">
      <w:pPr>
        <w:pStyle w:val="BodyTextIndent2"/>
        <w:ind w:firstLine="0"/>
        <w:rPr>
          <w:rFonts w:asciiTheme="minorHAnsi" w:hAnsiTheme="minorHAnsi"/>
          <w:lang w:val="en-GB"/>
        </w:rPr>
      </w:pPr>
    </w:p>
    <w:p w14:paraId="6C048B12" w14:textId="70A87DF1" w:rsidR="003608F0" w:rsidRDefault="003608F0" w:rsidP="008456E4">
      <w:pPr>
        <w:pStyle w:val="BodyTextIndent2"/>
        <w:spacing w:after="120"/>
        <w:ind w:left="709" w:right="1082" w:firstLine="0"/>
        <w:rPr>
          <w:rStyle w:val="Strong"/>
          <w:rFonts w:asciiTheme="minorHAnsi" w:hAnsiTheme="minorHAnsi"/>
          <w:b w:val="0"/>
          <w:bCs w:val="0"/>
          <w:sz w:val="20"/>
          <w:szCs w:val="20"/>
          <w:lang w:val="en-GB"/>
        </w:rPr>
      </w:pPr>
      <w:r w:rsidRPr="00E176CF">
        <w:rPr>
          <w:rStyle w:val="Strong"/>
          <w:rFonts w:asciiTheme="minorHAnsi" w:hAnsiTheme="minorHAnsi"/>
          <w:b w:val="0"/>
          <w:bCs w:val="0"/>
          <w:sz w:val="20"/>
          <w:szCs w:val="20"/>
          <w:lang w:val="en-GB"/>
        </w:rPr>
        <w:t>The practice of articulation, therefore, consists in the construction of nodal points which partially fix meaning; and the partial character of this fixation proceeds from the openness of the social …</w:t>
      </w:r>
      <w:r w:rsidR="00754C49" w:rsidRPr="00754C49">
        <w:rPr>
          <w:rFonts w:asciiTheme="minorHAnsi" w:hAnsiTheme="minorHAnsi"/>
          <w:lang w:val="en-GB"/>
        </w:rPr>
        <w:t xml:space="preserve"> </w:t>
      </w:r>
      <w:r w:rsidR="005A6AC9" w:rsidRPr="0027699A">
        <w:rPr>
          <w:rFonts w:asciiTheme="minorHAnsi" w:hAnsiTheme="minorHAnsi"/>
          <w:sz w:val="20"/>
          <w:szCs w:val="20"/>
          <w:lang w:val="en-GB"/>
        </w:rPr>
        <w:t>(</w:t>
      </w:r>
      <w:r w:rsidR="00754C49" w:rsidRPr="0027699A">
        <w:rPr>
          <w:rFonts w:asciiTheme="minorHAnsi" w:hAnsiTheme="minorHAnsi"/>
          <w:sz w:val="20"/>
          <w:szCs w:val="20"/>
          <w:lang w:val="en-GB"/>
        </w:rPr>
        <w:t>Laclau and Mouffe 2001, p. 113)</w:t>
      </w:r>
    </w:p>
    <w:p w14:paraId="05582130" w14:textId="77777777" w:rsidR="003608F0" w:rsidRDefault="003608F0" w:rsidP="008456E4">
      <w:pPr>
        <w:pStyle w:val="BodyTextIndent2"/>
        <w:spacing w:after="120"/>
        <w:ind w:right="1082" w:firstLine="0"/>
        <w:rPr>
          <w:rStyle w:val="Strong"/>
          <w:rFonts w:asciiTheme="minorHAnsi" w:hAnsiTheme="minorHAnsi"/>
          <w:b w:val="0"/>
          <w:bCs w:val="0"/>
          <w:sz w:val="20"/>
          <w:szCs w:val="20"/>
          <w:lang w:val="en-GB"/>
        </w:rPr>
      </w:pPr>
    </w:p>
    <w:p w14:paraId="20FDD46E" w14:textId="028E24C1" w:rsidR="00157427" w:rsidRPr="00157427" w:rsidRDefault="00157427" w:rsidP="008456E4">
      <w:pPr>
        <w:pStyle w:val="BodyTextIndent2"/>
        <w:spacing w:after="120"/>
        <w:ind w:firstLine="0"/>
        <w:rPr>
          <w:rFonts w:asciiTheme="minorHAnsi" w:hAnsiTheme="minorHAnsi"/>
          <w:bCs/>
          <w:lang w:val="en-GB"/>
        </w:rPr>
      </w:pPr>
      <w:r>
        <w:rPr>
          <w:rFonts w:asciiTheme="minorHAnsi" w:hAnsiTheme="minorHAnsi"/>
          <w:lang w:val="en-GB"/>
        </w:rPr>
        <w:t xml:space="preserve">Central to </w:t>
      </w:r>
      <w:r w:rsidR="00DC3635">
        <w:rPr>
          <w:rFonts w:asciiTheme="minorHAnsi" w:hAnsiTheme="minorHAnsi"/>
          <w:lang w:val="en-GB"/>
        </w:rPr>
        <w:t xml:space="preserve">Laclau </w:t>
      </w:r>
      <w:r w:rsidR="00D91A79">
        <w:rPr>
          <w:rFonts w:asciiTheme="minorHAnsi" w:hAnsiTheme="minorHAnsi"/>
          <w:lang w:val="en-GB"/>
        </w:rPr>
        <w:t>and Mouffe</w:t>
      </w:r>
      <w:r>
        <w:rPr>
          <w:rFonts w:asciiTheme="minorHAnsi" w:hAnsiTheme="minorHAnsi"/>
          <w:lang w:val="en-GB"/>
        </w:rPr>
        <w:t>’s (2001) politics, this convergence is only a</w:t>
      </w:r>
      <w:r w:rsidR="003608F0" w:rsidRPr="00E176CF">
        <w:rPr>
          <w:rFonts w:asciiTheme="minorHAnsi" w:hAnsiTheme="minorHAnsi"/>
          <w:bCs/>
          <w:lang w:val="en-GB"/>
        </w:rPr>
        <w:t xml:space="preserve"> </w:t>
      </w:r>
      <w:r w:rsidR="003608F0">
        <w:rPr>
          <w:rFonts w:asciiTheme="minorHAnsi" w:hAnsiTheme="minorHAnsi"/>
          <w:bCs/>
          <w:lang w:val="en-GB"/>
        </w:rPr>
        <w:t xml:space="preserve">temporary </w:t>
      </w:r>
      <w:r w:rsidR="003608F0" w:rsidRPr="00E176CF">
        <w:rPr>
          <w:rFonts w:asciiTheme="minorHAnsi" w:hAnsiTheme="minorHAnsi"/>
          <w:bCs/>
          <w:lang w:val="en-GB"/>
        </w:rPr>
        <w:t xml:space="preserve">fusing together of competing </w:t>
      </w:r>
      <w:r w:rsidR="004A7689">
        <w:rPr>
          <w:rFonts w:asciiTheme="minorHAnsi" w:hAnsiTheme="minorHAnsi"/>
          <w:bCs/>
          <w:lang w:val="en-GB"/>
        </w:rPr>
        <w:t xml:space="preserve">signifiers </w:t>
      </w:r>
      <w:r w:rsidR="003608F0">
        <w:rPr>
          <w:rFonts w:asciiTheme="minorHAnsi" w:hAnsiTheme="minorHAnsi"/>
          <w:bCs/>
          <w:lang w:val="en-GB"/>
        </w:rPr>
        <w:t>(Torfing, 2005</w:t>
      </w:r>
      <w:r w:rsidR="004A7689">
        <w:rPr>
          <w:rFonts w:asciiTheme="minorHAnsi" w:hAnsiTheme="minorHAnsi"/>
          <w:bCs/>
          <w:lang w:val="en-GB"/>
        </w:rPr>
        <w:t>; Spence, 2007</w:t>
      </w:r>
      <w:r>
        <w:rPr>
          <w:rFonts w:asciiTheme="minorHAnsi" w:hAnsiTheme="minorHAnsi"/>
          <w:bCs/>
          <w:lang w:val="en-GB"/>
        </w:rPr>
        <w:t>),</w:t>
      </w:r>
      <w:r w:rsidR="004A7689" w:rsidRPr="00157427">
        <w:rPr>
          <w:rFonts w:asciiTheme="minorHAnsi" w:hAnsiTheme="minorHAnsi"/>
          <w:bCs/>
          <w:lang w:val="en-GB"/>
        </w:rPr>
        <w:t xml:space="preserve"> </w:t>
      </w:r>
      <w:r>
        <w:rPr>
          <w:rFonts w:asciiTheme="minorHAnsi" w:hAnsiTheme="minorHAnsi"/>
          <w:bCs/>
          <w:lang w:val="en-GB"/>
        </w:rPr>
        <w:t>as</w:t>
      </w:r>
      <w:r w:rsidR="004A7689" w:rsidRPr="00157427">
        <w:rPr>
          <w:rFonts w:asciiTheme="minorHAnsi" w:hAnsiTheme="minorHAnsi"/>
          <w:bCs/>
          <w:lang w:val="en-GB"/>
        </w:rPr>
        <w:t xml:space="preserve"> displacement is the unravelling of this fusion</w:t>
      </w:r>
      <w:r>
        <w:rPr>
          <w:rFonts w:asciiTheme="minorHAnsi" w:hAnsiTheme="minorHAnsi"/>
          <w:bCs/>
          <w:lang w:val="en-GB"/>
        </w:rPr>
        <w:t xml:space="preserve">. </w:t>
      </w:r>
      <w:r w:rsidRPr="00E176CF">
        <w:rPr>
          <w:rFonts w:asciiTheme="minorHAnsi" w:hAnsiTheme="minorHAnsi"/>
          <w:lang w:val="en-GB"/>
        </w:rPr>
        <w:t>Freud</w:t>
      </w:r>
      <w:r>
        <w:rPr>
          <w:rFonts w:asciiTheme="minorHAnsi" w:hAnsiTheme="minorHAnsi"/>
          <w:lang w:val="en-GB"/>
        </w:rPr>
        <w:t xml:space="preserve"> (1900, p. 416)</w:t>
      </w:r>
      <w:r w:rsidRPr="00E176CF">
        <w:rPr>
          <w:rFonts w:asciiTheme="minorHAnsi" w:hAnsiTheme="minorHAnsi"/>
          <w:lang w:val="en-GB"/>
        </w:rPr>
        <w:t xml:space="preserve"> </w:t>
      </w:r>
      <w:r>
        <w:rPr>
          <w:rFonts w:asciiTheme="minorHAnsi" w:hAnsiTheme="minorHAnsi"/>
          <w:lang w:val="en-GB"/>
        </w:rPr>
        <w:t>explains</w:t>
      </w:r>
      <w:r w:rsidR="003F476E">
        <w:rPr>
          <w:rFonts w:asciiTheme="minorHAnsi" w:hAnsiTheme="minorHAnsi"/>
          <w:lang w:val="en-GB"/>
        </w:rPr>
        <w:t xml:space="preserve"> that these competing signifiers</w:t>
      </w:r>
      <w:r>
        <w:rPr>
          <w:rFonts w:asciiTheme="minorHAnsi" w:hAnsiTheme="minorHAnsi"/>
          <w:lang w:val="en-GB"/>
        </w:rPr>
        <w:t>:</w:t>
      </w:r>
    </w:p>
    <w:p w14:paraId="44CB36F5" w14:textId="77777777" w:rsidR="00157427" w:rsidRPr="00E176CF" w:rsidRDefault="00157427" w:rsidP="008456E4">
      <w:pPr>
        <w:pStyle w:val="BodyTextIndent2"/>
        <w:ind w:firstLine="0"/>
        <w:rPr>
          <w:rFonts w:asciiTheme="minorHAnsi" w:hAnsiTheme="minorHAnsi"/>
          <w:lang w:val="en-GB"/>
        </w:rPr>
      </w:pPr>
    </w:p>
    <w:p w14:paraId="43083B48" w14:textId="3D9F8C9F" w:rsidR="00157427" w:rsidRDefault="00157427" w:rsidP="008456E4">
      <w:pPr>
        <w:pStyle w:val="BodyText"/>
        <w:spacing w:after="120"/>
        <w:ind w:left="720" w:right="1124"/>
        <w:rPr>
          <w:rFonts w:asciiTheme="minorHAnsi" w:hAnsiTheme="minorHAnsi"/>
          <w:i w:val="0"/>
          <w:iCs w:val="0"/>
          <w:sz w:val="20"/>
          <w:lang w:val="en-GB"/>
        </w:rPr>
      </w:pPr>
      <w:r>
        <w:rPr>
          <w:rFonts w:asciiTheme="minorHAnsi" w:hAnsiTheme="minorHAnsi"/>
          <w:i w:val="0"/>
          <w:iCs w:val="0"/>
          <w:sz w:val="20"/>
          <w:lang w:val="en-GB"/>
        </w:rPr>
        <w:t>…</w:t>
      </w:r>
      <w:r w:rsidRPr="00E176CF">
        <w:rPr>
          <w:rFonts w:asciiTheme="minorHAnsi" w:hAnsiTheme="minorHAnsi"/>
          <w:i w:val="0"/>
          <w:iCs w:val="0"/>
          <w:sz w:val="20"/>
          <w:lang w:val="en-GB"/>
        </w:rPr>
        <w:t xml:space="preserve"> constitute a connection, often a forced and far-fixed one, between the dream-content </w:t>
      </w:r>
      <w:r>
        <w:rPr>
          <w:rFonts w:asciiTheme="minorHAnsi" w:hAnsiTheme="minorHAnsi"/>
          <w:i w:val="0"/>
          <w:iCs w:val="0"/>
          <w:sz w:val="20"/>
          <w:lang w:val="en-GB"/>
        </w:rPr>
        <w:t>and</w:t>
      </w:r>
      <w:r w:rsidRPr="00E176CF">
        <w:rPr>
          <w:rFonts w:asciiTheme="minorHAnsi" w:hAnsiTheme="minorHAnsi"/>
          <w:i w:val="0"/>
          <w:iCs w:val="0"/>
          <w:sz w:val="20"/>
          <w:lang w:val="en-GB"/>
        </w:rPr>
        <w:t xml:space="preserve"> the dream-thoughts; and if these elements were weeded out of the analysis the result would often be that the component parts of the dream-content would be left not only without overdetermination but without any sa</w:t>
      </w:r>
      <w:r>
        <w:rPr>
          <w:rFonts w:asciiTheme="minorHAnsi" w:hAnsiTheme="minorHAnsi"/>
          <w:i w:val="0"/>
          <w:iCs w:val="0"/>
          <w:sz w:val="20"/>
          <w:lang w:val="en-GB"/>
        </w:rPr>
        <w:t xml:space="preserve">tisfactory determination at all.  </w:t>
      </w:r>
    </w:p>
    <w:p w14:paraId="595DA44F" w14:textId="77777777" w:rsidR="00F12821" w:rsidRPr="00157427" w:rsidRDefault="00F12821" w:rsidP="008456E4">
      <w:pPr>
        <w:pStyle w:val="BodyText"/>
        <w:spacing w:after="120"/>
        <w:ind w:left="720" w:right="1124"/>
        <w:rPr>
          <w:rFonts w:asciiTheme="minorHAnsi" w:hAnsiTheme="minorHAnsi"/>
          <w:i w:val="0"/>
          <w:iCs w:val="0"/>
          <w:sz w:val="20"/>
          <w:lang w:val="en-GB"/>
        </w:rPr>
      </w:pPr>
    </w:p>
    <w:p w14:paraId="1224BEE9" w14:textId="1C274D41" w:rsidR="00C92853" w:rsidRDefault="00D91A79" w:rsidP="00C92853">
      <w:pPr>
        <w:pStyle w:val="BodyTextIndent2"/>
        <w:ind w:firstLine="0"/>
        <w:rPr>
          <w:rFonts w:asciiTheme="minorHAnsi" w:hAnsiTheme="minorHAnsi" w:cstheme="minorHAnsi"/>
          <w:lang w:val="en-GB"/>
        </w:rPr>
      </w:pPr>
      <w:r>
        <w:rPr>
          <w:rStyle w:val="Strong"/>
          <w:rFonts w:asciiTheme="minorHAnsi" w:hAnsiTheme="minorHAnsi"/>
          <w:b w:val="0"/>
          <w:bCs w:val="0"/>
          <w:lang w:val="en-GB"/>
        </w:rPr>
        <w:t>Laclau and Mouffe</w:t>
      </w:r>
      <w:r w:rsidR="00157427">
        <w:rPr>
          <w:rStyle w:val="Strong"/>
          <w:rFonts w:asciiTheme="minorHAnsi" w:hAnsiTheme="minorHAnsi"/>
          <w:b w:val="0"/>
          <w:bCs w:val="0"/>
          <w:lang w:val="en-GB"/>
        </w:rPr>
        <w:t xml:space="preserve"> (2001)</w:t>
      </w:r>
      <w:r w:rsidR="00157427" w:rsidRPr="002233DB">
        <w:rPr>
          <w:rFonts w:asciiTheme="minorHAnsi" w:hAnsiTheme="minorHAnsi" w:cstheme="minorHAnsi"/>
          <w:lang w:val="en-GB"/>
        </w:rPr>
        <w:t xml:space="preserve"> argue that displacement</w:t>
      </w:r>
      <w:r w:rsidR="00157427">
        <w:rPr>
          <w:rFonts w:asciiTheme="minorHAnsi" w:hAnsiTheme="minorHAnsi" w:cstheme="minorHAnsi"/>
          <w:lang w:val="en-GB"/>
        </w:rPr>
        <w:t xml:space="preserve"> operates to unravel nodal points. Subjects striving to identify the precise meaning of a political intervention focus on what it means rather than w</w:t>
      </w:r>
      <w:r w:rsidR="003F476E">
        <w:rPr>
          <w:rFonts w:asciiTheme="minorHAnsi" w:hAnsiTheme="minorHAnsi" w:cstheme="minorHAnsi"/>
          <w:lang w:val="en-GB"/>
        </w:rPr>
        <w:t>h</w:t>
      </w:r>
      <w:r w:rsidR="00157427">
        <w:rPr>
          <w:rFonts w:asciiTheme="minorHAnsi" w:hAnsiTheme="minorHAnsi" w:cstheme="minorHAnsi"/>
          <w:lang w:val="en-GB"/>
        </w:rPr>
        <w:t xml:space="preserve">ether the </w:t>
      </w:r>
      <w:r w:rsidR="007232C8">
        <w:rPr>
          <w:rFonts w:asciiTheme="minorHAnsi" w:hAnsiTheme="minorHAnsi" w:cstheme="minorHAnsi"/>
          <w:lang w:val="en-GB"/>
        </w:rPr>
        <w:t>overarching</w:t>
      </w:r>
      <w:r w:rsidR="00157427">
        <w:rPr>
          <w:rFonts w:asciiTheme="minorHAnsi" w:hAnsiTheme="minorHAnsi" w:cstheme="minorHAnsi"/>
          <w:lang w:val="en-GB"/>
        </w:rPr>
        <w:t xml:space="preserve"> regulatory problem </w:t>
      </w:r>
      <w:r w:rsidR="00C4540A">
        <w:rPr>
          <w:rFonts w:asciiTheme="minorHAnsi" w:hAnsiTheme="minorHAnsi" w:cstheme="minorHAnsi"/>
          <w:lang w:val="en-GB"/>
        </w:rPr>
        <w:t xml:space="preserve">is </w:t>
      </w:r>
      <w:r w:rsidR="00157427">
        <w:rPr>
          <w:rFonts w:asciiTheme="minorHAnsi" w:hAnsiTheme="minorHAnsi" w:cstheme="minorHAnsi"/>
          <w:lang w:val="en-GB"/>
        </w:rPr>
        <w:t>resolved.</w:t>
      </w:r>
      <w:r w:rsidR="007232C8">
        <w:rPr>
          <w:rFonts w:asciiTheme="minorHAnsi" w:hAnsiTheme="minorHAnsi" w:cstheme="minorHAnsi"/>
          <w:lang w:val="en-GB"/>
        </w:rPr>
        <w:t xml:space="preserve"> Therefore, displacement has the effect of taking the subjects away from the princip</w:t>
      </w:r>
      <w:r w:rsidR="003F476E">
        <w:rPr>
          <w:rFonts w:asciiTheme="minorHAnsi" w:hAnsiTheme="minorHAnsi" w:cstheme="minorHAnsi"/>
          <w:lang w:val="en-GB"/>
        </w:rPr>
        <w:t>a</w:t>
      </w:r>
      <w:r w:rsidR="007232C8">
        <w:rPr>
          <w:rFonts w:asciiTheme="minorHAnsi" w:hAnsiTheme="minorHAnsi" w:cstheme="minorHAnsi"/>
          <w:lang w:val="en-GB"/>
        </w:rPr>
        <w:t xml:space="preserve">l problem. </w:t>
      </w:r>
      <w:r w:rsidR="00157427" w:rsidRPr="00AD01B0">
        <w:rPr>
          <w:rFonts w:asciiTheme="minorHAnsi" w:hAnsiTheme="minorHAnsi" w:cstheme="minorHAnsi"/>
          <w:lang w:val="en-GB"/>
        </w:rPr>
        <w:t xml:space="preserve">Condensation, displacement </w:t>
      </w:r>
      <w:r w:rsidR="00157427">
        <w:rPr>
          <w:rFonts w:asciiTheme="minorHAnsi" w:hAnsiTheme="minorHAnsi" w:cstheme="minorHAnsi"/>
          <w:lang w:val="en-GB"/>
        </w:rPr>
        <w:t xml:space="preserve">and </w:t>
      </w:r>
      <w:r w:rsidR="00157427" w:rsidRPr="00AD01B0">
        <w:rPr>
          <w:rFonts w:asciiTheme="minorHAnsi" w:hAnsiTheme="minorHAnsi" w:cstheme="minorHAnsi"/>
          <w:lang w:val="en-GB"/>
        </w:rPr>
        <w:t xml:space="preserve">overdetermination highlight the way that the institution of new social practices </w:t>
      </w:r>
      <w:r w:rsidR="00157427">
        <w:rPr>
          <w:rFonts w:asciiTheme="minorHAnsi" w:hAnsiTheme="minorHAnsi" w:cstheme="minorHAnsi"/>
          <w:lang w:val="en-GB"/>
        </w:rPr>
        <w:t>excludes</w:t>
      </w:r>
      <w:r w:rsidR="00157427" w:rsidRPr="00AD01B0">
        <w:rPr>
          <w:rFonts w:asciiTheme="minorHAnsi" w:hAnsiTheme="minorHAnsi" w:cstheme="minorHAnsi"/>
          <w:lang w:val="en-GB"/>
        </w:rPr>
        <w:t xml:space="preserve"> alternatives and constitute</w:t>
      </w:r>
      <w:r w:rsidR="00157427">
        <w:rPr>
          <w:rFonts w:asciiTheme="minorHAnsi" w:hAnsiTheme="minorHAnsi" w:cstheme="minorHAnsi"/>
          <w:lang w:val="en-GB"/>
        </w:rPr>
        <w:t>s</w:t>
      </w:r>
      <w:r w:rsidR="00157427" w:rsidRPr="00AD01B0">
        <w:rPr>
          <w:rFonts w:asciiTheme="minorHAnsi" w:hAnsiTheme="minorHAnsi" w:cstheme="minorHAnsi"/>
          <w:lang w:val="en-GB"/>
        </w:rPr>
        <w:t xml:space="preserve"> the social as a symbolic order. Displacement occurs because of the limits</w:t>
      </w:r>
      <w:r w:rsidR="00157427">
        <w:rPr>
          <w:rFonts w:asciiTheme="minorHAnsi" w:hAnsiTheme="minorHAnsi" w:cstheme="minorHAnsi"/>
          <w:lang w:val="en-GB"/>
        </w:rPr>
        <w:t xml:space="preserve"> of signification</w:t>
      </w:r>
      <w:r w:rsidR="00157427" w:rsidRPr="00AD01B0">
        <w:rPr>
          <w:rFonts w:asciiTheme="minorHAnsi" w:hAnsiTheme="minorHAnsi" w:cstheme="minorHAnsi"/>
          <w:lang w:val="en-GB"/>
        </w:rPr>
        <w:t xml:space="preserve">, as there </w:t>
      </w:r>
      <w:r w:rsidR="00157427">
        <w:rPr>
          <w:rFonts w:asciiTheme="minorHAnsi" w:hAnsiTheme="minorHAnsi" w:cstheme="minorHAnsi"/>
          <w:lang w:val="en-GB"/>
        </w:rPr>
        <w:t xml:space="preserve">are always antagonisms, contingencies </w:t>
      </w:r>
      <w:r w:rsidR="00157427">
        <w:rPr>
          <w:rFonts w:asciiTheme="minorHAnsi" w:hAnsiTheme="minorHAnsi" w:cstheme="minorHAnsi"/>
          <w:lang w:val="en-GB"/>
        </w:rPr>
        <w:lastRenderedPageBreak/>
        <w:t xml:space="preserve">and </w:t>
      </w:r>
      <w:r w:rsidR="00157427" w:rsidRPr="00AD01B0">
        <w:rPr>
          <w:rFonts w:asciiTheme="minorHAnsi" w:hAnsiTheme="minorHAnsi" w:cstheme="minorHAnsi"/>
          <w:lang w:val="en-GB"/>
        </w:rPr>
        <w:t>a lack</w:t>
      </w:r>
      <w:r w:rsidR="00157427">
        <w:rPr>
          <w:rFonts w:asciiTheme="minorHAnsi" w:hAnsiTheme="minorHAnsi" w:cstheme="minorHAnsi"/>
          <w:lang w:val="en-GB"/>
        </w:rPr>
        <w:t xml:space="preserve"> in discursive structures</w:t>
      </w:r>
      <w:r w:rsidR="00157427" w:rsidRPr="00AD01B0">
        <w:rPr>
          <w:rFonts w:asciiTheme="minorHAnsi" w:hAnsiTheme="minorHAnsi" w:cstheme="minorHAnsi"/>
          <w:lang w:val="en-GB"/>
        </w:rPr>
        <w:t xml:space="preserve"> (</w:t>
      </w:r>
      <w:r w:rsidR="0066687E" w:rsidRPr="00AD01B0">
        <w:rPr>
          <w:rFonts w:asciiTheme="minorHAnsi" w:hAnsiTheme="minorHAnsi" w:cstheme="minorHAnsi"/>
          <w:lang w:val="en-GB"/>
        </w:rPr>
        <w:t>Laclau</w:t>
      </w:r>
      <w:r w:rsidR="0066687E">
        <w:rPr>
          <w:rFonts w:asciiTheme="minorHAnsi" w:hAnsiTheme="minorHAnsi" w:cstheme="minorHAnsi"/>
          <w:lang w:val="en-GB"/>
        </w:rPr>
        <w:t xml:space="preserve">, 1996; </w:t>
      </w:r>
      <w:r>
        <w:rPr>
          <w:rStyle w:val="Strong"/>
          <w:rFonts w:asciiTheme="minorHAnsi" w:hAnsiTheme="minorHAnsi"/>
          <w:b w:val="0"/>
          <w:bCs w:val="0"/>
          <w:lang w:val="en-GB"/>
        </w:rPr>
        <w:t>Laclau and Mouffe</w:t>
      </w:r>
      <w:r w:rsidR="00157427" w:rsidRPr="00AD01B0">
        <w:rPr>
          <w:rFonts w:asciiTheme="minorHAnsi" w:hAnsiTheme="minorHAnsi" w:cstheme="minorHAnsi"/>
          <w:lang w:val="en-GB"/>
        </w:rPr>
        <w:t>, 2001</w:t>
      </w:r>
      <w:r w:rsidR="007232C8">
        <w:rPr>
          <w:rFonts w:asciiTheme="minorHAnsi" w:hAnsiTheme="minorHAnsi" w:cstheme="minorHAnsi"/>
          <w:lang w:val="en-GB"/>
        </w:rPr>
        <w:t xml:space="preserve">). </w:t>
      </w:r>
      <w:bookmarkStart w:id="0" w:name="_Toc209608624"/>
      <w:bookmarkStart w:id="1" w:name="_Toc209608455"/>
      <w:bookmarkStart w:id="2" w:name="_Toc198469395"/>
      <w:bookmarkEnd w:id="0"/>
      <w:bookmarkEnd w:id="1"/>
      <w:bookmarkEnd w:id="2"/>
      <w:r w:rsidR="003608F0" w:rsidRPr="002233DB">
        <w:rPr>
          <w:rFonts w:asciiTheme="minorHAnsi" w:hAnsiTheme="minorHAnsi" w:cstheme="minorHAnsi"/>
          <w:lang w:val="en-GB"/>
        </w:rPr>
        <w:t xml:space="preserve">In our study, </w:t>
      </w:r>
      <w:r w:rsidR="003F476E">
        <w:rPr>
          <w:rFonts w:asciiTheme="minorHAnsi" w:hAnsiTheme="minorHAnsi" w:cstheme="minorHAnsi"/>
          <w:lang w:val="en-GB"/>
        </w:rPr>
        <w:t xml:space="preserve">the unravelling constituted by </w:t>
      </w:r>
      <w:r w:rsidR="003608F0" w:rsidRPr="002233DB">
        <w:rPr>
          <w:rFonts w:asciiTheme="minorHAnsi" w:hAnsiTheme="minorHAnsi" w:cstheme="minorHAnsi"/>
          <w:lang w:val="en-GB"/>
        </w:rPr>
        <w:t xml:space="preserve">displacement </w:t>
      </w:r>
      <w:r w:rsidR="003F476E">
        <w:rPr>
          <w:rFonts w:asciiTheme="minorHAnsi" w:hAnsiTheme="minorHAnsi" w:cstheme="minorHAnsi"/>
          <w:lang w:val="en-GB"/>
        </w:rPr>
        <w:t>illuminates the IASB’s failure to maintain its image of technocratic neutrality. This is illustrated by</w:t>
      </w:r>
      <w:r w:rsidR="007232C8">
        <w:rPr>
          <w:rFonts w:asciiTheme="minorHAnsi" w:hAnsiTheme="minorHAnsi" w:cstheme="minorHAnsi"/>
          <w:lang w:val="en-GB"/>
        </w:rPr>
        <w:t xml:space="preserve"> the subsequent publication of the micro-guide</w:t>
      </w:r>
      <w:r w:rsidR="003F476E">
        <w:rPr>
          <w:rFonts w:asciiTheme="minorHAnsi" w:hAnsiTheme="minorHAnsi" w:cstheme="minorHAnsi"/>
          <w:lang w:val="en-GB"/>
        </w:rPr>
        <w:t>, which</w:t>
      </w:r>
      <w:r w:rsidR="007232C8">
        <w:rPr>
          <w:rFonts w:asciiTheme="minorHAnsi" w:hAnsiTheme="minorHAnsi" w:cstheme="minorHAnsi"/>
          <w:lang w:val="en-GB"/>
        </w:rPr>
        <w:t xml:space="preserve"> operates to challenge the primary meaning of both the definition and </w:t>
      </w:r>
      <w:r w:rsidR="003F476E">
        <w:rPr>
          <w:rFonts w:asciiTheme="minorHAnsi" w:hAnsiTheme="minorHAnsi" w:cstheme="minorHAnsi"/>
          <w:lang w:val="en-GB"/>
        </w:rPr>
        <w:t xml:space="preserve">the </w:t>
      </w:r>
      <w:r w:rsidR="007232C8">
        <w:rPr>
          <w:rFonts w:asciiTheme="minorHAnsi" w:hAnsiTheme="minorHAnsi" w:cstheme="minorHAnsi"/>
          <w:lang w:val="en-GB"/>
        </w:rPr>
        <w:t>title of the standard.</w:t>
      </w:r>
      <w:r w:rsidR="003608F0">
        <w:rPr>
          <w:rFonts w:asciiTheme="minorHAnsi" w:hAnsiTheme="minorHAnsi" w:cstheme="minorHAnsi"/>
          <w:lang w:val="en-GB"/>
        </w:rPr>
        <w:t xml:space="preserve"> </w:t>
      </w:r>
    </w:p>
    <w:p w14:paraId="34866DE0" w14:textId="77777777" w:rsidR="00C92853" w:rsidRDefault="00C92853" w:rsidP="00C92853">
      <w:pPr>
        <w:pStyle w:val="BodyTextIndent2"/>
        <w:ind w:firstLine="0"/>
        <w:rPr>
          <w:rFonts w:asciiTheme="minorHAnsi" w:hAnsiTheme="minorHAnsi" w:cstheme="minorHAnsi"/>
          <w:lang w:val="en-GB"/>
        </w:rPr>
      </w:pPr>
    </w:p>
    <w:p w14:paraId="6972E77A" w14:textId="02304DC9" w:rsidR="003608F0" w:rsidRPr="00C92853" w:rsidRDefault="003608F0" w:rsidP="00C92853">
      <w:pPr>
        <w:pStyle w:val="BodyTextIndent2"/>
        <w:spacing w:after="120"/>
        <w:ind w:firstLine="0"/>
        <w:rPr>
          <w:rFonts w:asciiTheme="minorHAnsi" w:hAnsiTheme="minorHAnsi" w:cstheme="minorHAnsi"/>
          <w:lang w:val="en-GB"/>
        </w:rPr>
      </w:pPr>
      <w:r w:rsidRPr="00C92853">
        <w:rPr>
          <w:rFonts w:asciiTheme="minorHAnsi" w:hAnsiTheme="minorHAnsi" w:cstheme="minorHAnsi"/>
          <w:lang w:val="en-GB"/>
        </w:rPr>
        <w:t xml:space="preserve">We </w:t>
      </w:r>
      <w:r w:rsidR="00F20A9E" w:rsidRPr="00C92853">
        <w:rPr>
          <w:rFonts w:asciiTheme="minorHAnsi" w:hAnsiTheme="minorHAnsi" w:cstheme="minorHAnsi"/>
          <w:lang w:val="en-GB"/>
        </w:rPr>
        <w:t xml:space="preserve">suggest </w:t>
      </w:r>
      <w:r w:rsidRPr="00C92853">
        <w:rPr>
          <w:rFonts w:asciiTheme="minorHAnsi" w:hAnsiTheme="minorHAnsi" w:cstheme="minorHAnsi"/>
          <w:lang w:val="en-GB"/>
        </w:rPr>
        <w:t xml:space="preserve">that </w:t>
      </w:r>
      <w:r w:rsidR="004673B9" w:rsidRPr="00C92853">
        <w:rPr>
          <w:rFonts w:asciiTheme="minorHAnsi" w:hAnsiTheme="minorHAnsi" w:cstheme="minorHAnsi"/>
          <w:lang w:val="en-GB"/>
        </w:rPr>
        <w:t xml:space="preserve">the </w:t>
      </w:r>
      <w:r w:rsidRPr="00C92853">
        <w:rPr>
          <w:rFonts w:asciiTheme="minorHAnsi" w:hAnsiTheme="minorHAnsi" w:cstheme="minorHAnsi"/>
          <w:lang w:val="en-GB"/>
        </w:rPr>
        <w:t>theoretical framework</w:t>
      </w:r>
      <w:r w:rsidR="007232C8" w:rsidRPr="00C92853">
        <w:rPr>
          <w:rFonts w:asciiTheme="minorHAnsi" w:hAnsiTheme="minorHAnsi" w:cstheme="minorHAnsi"/>
          <w:lang w:val="en-GB"/>
        </w:rPr>
        <w:t xml:space="preserve"> </w:t>
      </w:r>
      <w:r w:rsidR="004673B9" w:rsidRPr="00C92853">
        <w:rPr>
          <w:rFonts w:asciiTheme="minorHAnsi" w:hAnsiTheme="minorHAnsi" w:cstheme="minorHAnsi"/>
          <w:lang w:val="en-GB"/>
        </w:rPr>
        <w:t xml:space="preserve">suggested by Figure 1 </w:t>
      </w:r>
      <w:r w:rsidR="007232C8" w:rsidRPr="00C92853">
        <w:rPr>
          <w:rFonts w:asciiTheme="minorHAnsi" w:hAnsiTheme="minorHAnsi" w:cstheme="minorHAnsi"/>
          <w:lang w:val="en-GB"/>
        </w:rPr>
        <w:t>provides a rich framework for</w:t>
      </w:r>
      <w:r w:rsidRPr="00C92853">
        <w:rPr>
          <w:rFonts w:asciiTheme="minorHAnsi" w:hAnsiTheme="minorHAnsi" w:cstheme="minorHAnsi"/>
          <w:lang w:val="en-GB"/>
        </w:rPr>
        <w:t xml:space="preserve"> </w:t>
      </w:r>
      <w:r w:rsidR="007232C8" w:rsidRPr="00C92853">
        <w:rPr>
          <w:rFonts w:asciiTheme="minorHAnsi" w:hAnsiTheme="minorHAnsi" w:cstheme="minorHAnsi"/>
          <w:lang w:val="en-GB"/>
        </w:rPr>
        <w:t>drawing out key aspects</w:t>
      </w:r>
      <w:r w:rsidRPr="00C92853">
        <w:rPr>
          <w:rFonts w:asciiTheme="minorHAnsi" w:hAnsiTheme="minorHAnsi" w:cstheme="minorHAnsi"/>
          <w:lang w:val="en-GB"/>
        </w:rPr>
        <w:t xml:space="preserve"> </w:t>
      </w:r>
      <w:r w:rsidR="007232C8" w:rsidRPr="00C92853">
        <w:rPr>
          <w:rFonts w:asciiTheme="minorHAnsi" w:hAnsiTheme="minorHAnsi" w:cstheme="minorHAnsi"/>
          <w:lang w:val="en-GB"/>
        </w:rPr>
        <w:t xml:space="preserve">of </w:t>
      </w:r>
      <w:r w:rsidRPr="00C92853">
        <w:rPr>
          <w:rFonts w:asciiTheme="minorHAnsi" w:hAnsiTheme="minorHAnsi" w:cstheme="minorHAnsi"/>
          <w:lang w:val="en-GB"/>
        </w:rPr>
        <w:t>the embedded politics of technocracy</w:t>
      </w:r>
      <w:r w:rsidR="007232C8" w:rsidRPr="00C92853">
        <w:rPr>
          <w:rFonts w:asciiTheme="minorHAnsi" w:hAnsiTheme="minorHAnsi" w:cstheme="minorHAnsi"/>
          <w:lang w:val="en-GB"/>
        </w:rPr>
        <w:t xml:space="preserve">, such as in the development of </w:t>
      </w:r>
      <w:r w:rsidR="007232C8" w:rsidRPr="00C92853">
        <w:rPr>
          <w:rFonts w:asciiTheme="minorHAnsi" w:hAnsiTheme="minorHAnsi" w:cstheme="minorHAnsi"/>
          <w:i/>
          <w:lang w:val="en-GB"/>
        </w:rPr>
        <w:t>IFRS for SMEs</w:t>
      </w:r>
      <w:r w:rsidRPr="00C92853">
        <w:rPr>
          <w:rFonts w:asciiTheme="minorHAnsi" w:hAnsiTheme="minorHAnsi" w:cstheme="minorHAnsi"/>
          <w:lang w:val="en-GB"/>
        </w:rPr>
        <w:t xml:space="preserve">. In order to evaluate further the articulation of </w:t>
      </w:r>
      <w:r w:rsidRPr="00C92853">
        <w:rPr>
          <w:rFonts w:asciiTheme="minorHAnsi" w:hAnsiTheme="minorHAnsi" w:cstheme="minorHAnsi"/>
          <w:i/>
          <w:lang w:val="en-GB"/>
        </w:rPr>
        <w:t>IFRS for SMEs</w:t>
      </w:r>
      <w:r w:rsidRPr="00C92853">
        <w:rPr>
          <w:rFonts w:asciiTheme="minorHAnsi" w:hAnsiTheme="minorHAnsi" w:cstheme="minorHAnsi"/>
          <w:lang w:val="en-GB"/>
        </w:rPr>
        <w:t xml:space="preserve">’ discourses, we now outline the methodological approach adopted in this research. </w:t>
      </w:r>
    </w:p>
    <w:p w14:paraId="78271C4B" w14:textId="77777777" w:rsidR="003608F0" w:rsidRPr="00E176CF" w:rsidRDefault="003608F0" w:rsidP="008456E4">
      <w:pPr>
        <w:spacing w:after="120"/>
        <w:jc w:val="both"/>
        <w:rPr>
          <w:lang w:val="en-GB"/>
        </w:rPr>
      </w:pPr>
    </w:p>
    <w:p w14:paraId="0F755572" w14:textId="1C5C05BE" w:rsidR="003608F0" w:rsidRPr="00BA3C22" w:rsidRDefault="00F20A9E" w:rsidP="008456E4">
      <w:pPr>
        <w:pStyle w:val="Heading1"/>
        <w:spacing w:before="0" w:after="120"/>
        <w:rPr>
          <w:rFonts w:asciiTheme="minorHAnsi" w:hAnsiTheme="minorHAnsi"/>
          <w:lang w:val="en-GB"/>
        </w:rPr>
      </w:pPr>
      <w:r>
        <w:rPr>
          <w:rFonts w:asciiTheme="minorHAnsi" w:hAnsiTheme="minorHAnsi"/>
          <w:lang w:val="en-GB"/>
        </w:rPr>
        <w:t>4</w:t>
      </w:r>
      <w:r w:rsidR="008F58A7">
        <w:rPr>
          <w:rFonts w:asciiTheme="minorHAnsi" w:hAnsiTheme="minorHAnsi"/>
          <w:lang w:val="en-GB"/>
        </w:rPr>
        <w:t xml:space="preserve">. </w:t>
      </w:r>
      <w:r w:rsidR="003608F0">
        <w:rPr>
          <w:rFonts w:asciiTheme="minorHAnsi" w:hAnsiTheme="minorHAnsi"/>
          <w:lang w:val="en-GB"/>
        </w:rPr>
        <w:t>Notes on M</w:t>
      </w:r>
      <w:r w:rsidR="003608F0" w:rsidRPr="00E176CF">
        <w:rPr>
          <w:rFonts w:asciiTheme="minorHAnsi" w:hAnsiTheme="minorHAnsi"/>
          <w:lang w:val="en-GB"/>
        </w:rPr>
        <w:t>ethod</w:t>
      </w:r>
      <w:r w:rsidR="003608F0">
        <w:rPr>
          <w:rFonts w:asciiTheme="minorHAnsi" w:hAnsiTheme="minorHAnsi"/>
          <w:lang w:val="en-GB"/>
        </w:rPr>
        <w:t>ology</w:t>
      </w:r>
    </w:p>
    <w:p w14:paraId="43014073" w14:textId="1824741C" w:rsidR="003608F0" w:rsidRDefault="007232C8" w:rsidP="0048531E">
      <w:pPr>
        <w:pStyle w:val="CommentText"/>
        <w:jc w:val="both"/>
        <w:rPr>
          <w:rFonts w:cs="Times New Roman"/>
          <w:lang w:val="en-GB"/>
        </w:rPr>
      </w:pPr>
      <w:r>
        <w:rPr>
          <w:rFonts w:cs="Times New Roman"/>
          <w:lang w:val="en-GB"/>
        </w:rPr>
        <w:t>T</w:t>
      </w:r>
      <w:r w:rsidR="007F1F2F">
        <w:rPr>
          <w:rFonts w:cs="Times New Roman"/>
          <w:lang w:val="en-GB"/>
        </w:rPr>
        <w:t xml:space="preserve">o </w:t>
      </w:r>
      <w:r w:rsidR="003608F0">
        <w:rPr>
          <w:rFonts w:cs="Times New Roman"/>
          <w:lang w:val="en-GB"/>
        </w:rPr>
        <w:t xml:space="preserve">study </w:t>
      </w:r>
      <w:r w:rsidR="007F1F2F">
        <w:rPr>
          <w:rFonts w:cs="Times New Roman"/>
          <w:lang w:val="en-GB"/>
        </w:rPr>
        <w:t xml:space="preserve">the </w:t>
      </w:r>
      <w:r>
        <w:rPr>
          <w:rFonts w:cs="Times New Roman"/>
          <w:lang w:val="en-GB"/>
        </w:rPr>
        <w:t xml:space="preserve">political </w:t>
      </w:r>
      <w:r w:rsidR="00C92853">
        <w:rPr>
          <w:rFonts w:cs="Times New Roman"/>
          <w:lang w:val="en-GB"/>
        </w:rPr>
        <w:t xml:space="preserve">practices </w:t>
      </w:r>
      <w:r>
        <w:rPr>
          <w:rFonts w:cs="Times New Roman"/>
          <w:lang w:val="en-GB"/>
        </w:rPr>
        <w:t xml:space="preserve">in defining and titling </w:t>
      </w:r>
      <w:r w:rsidR="007F1F2F" w:rsidRPr="007232C8">
        <w:rPr>
          <w:rFonts w:cs="Times New Roman"/>
          <w:i/>
          <w:lang w:val="en-GB"/>
        </w:rPr>
        <w:t>IFRS for SMEs</w:t>
      </w:r>
      <w:r>
        <w:rPr>
          <w:rFonts w:cs="Times New Roman"/>
          <w:i/>
          <w:lang w:val="en-GB"/>
        </w:rPr>
        <w:t>,</w:t>
      </w:r>
      <w:r w:rsidR="007F1F2F">
        <w:rPr>
          <w:rFonts w:cs="Times New Roman"/>
          <w:lang w:val="en-GB"/>
        </w:rPr>
        <w:t xml:space="preserve"> </w:t>
      </w:r>
      <w:r>
        <w:rPr>
          <w:rFonts w:cs="Times New Roman"/>
          <w:lang w:val="en-GB"/>
        </w:rPr>
        <w:t>we examine</w:t>
      </w:r>
      <w:r w:rsidR="007F1F2F">
        <w:rPr>
          <w:rFonts w:cs="Times New Roman"/>
          <w:lang w:val="en-GB"/>
        </w:rPr>
        <w:t xml:space="preserve"> the </w:t>
      </w:r>
      <w:r>
        <w:rPr>
          <w:rFonts w:cs="Times New Roman"/>
          <w:lang w:val="en-GB"/>
        </w:rPr>
        <w:t>internal discourses of the IASB leading up to and evident in decision making</w:t>
      </w:r>
      <w:r w:rsidR="007F1F2F">
        <w:rPr>
          <w:rFonts w:cs="Times New Roman"/>
          <w:lang w:val="en-GB"/>
        </w:rPr>
        <w:t xml:space="preserve"> and </w:t>
      </w:r>
      <w:r>
        <w:rPr>
          <w:rFonts w:cs="Times New Roman"/>
          <w:lang w:val="en-GB"/>
        </w:rPr>
        <w:t>draw</w:t>
      </w:r>
      <w:r w:rsidR="007F1F2F">
        <w:rPr>
          <w:rFonts w:cs="Times New Roman"/>
          <w:lang w:val="en-GB"/>
        </w:rPr>
        <w:t xml:space="preserve"> out </w:t>
      </w:r>
      <w:r>
        <w:rPr>
          <w:rFonts w:cs="Times New Roman"/>
          <w:lang w:val="en-GB"/>
        </w:rPr>
        <w:t>a narrative</w:t>
      </w:r>
      <w:r w:rsidR="007F1F2F">
        <w:rPr>
          <w:rFonts w:cs="Times New Roman"/>
          <w:lang w:val="en-GB"/>
        </w:rPr>
        <w:t xml:space="preserve"> analysis through </w:t>
      </w:r>
      <w:r w:rsidR="003608F0" w:rsidRPr="007232C8">
        <w:rPr>
          <w:rFonts w:cs="Times New Roman"/>
          <w:lang w:val="en-GB"/>
        </w:rPr>
        <w:t>condensation, displacement and overdetermination</w:t>
      </w:r>
      <w:r>
        <w:rPr>
          <w:rFonts w:cs="Times New Roman"/>
          <w:lang w:val="en-GB"/>
        </w:rPr>
        <w:t xml:space="preserve"> </w:t>
      </w:r>
      <w:r w:rsidR="007F1F2F" w:rsidRPr="007232C8">
        <w:rPr>
          <w:rFonts w:cs="Times New Roman"/>
          <w:lang w:val="en-GB"/>
        </w:rPr>
        <w:t>(</w:t>
      </w:r>
      <w:r w:rsidR="0070640A" w:rsidRPr="00E176CF">
        <w:rPr>
          <w:rFonts w:cs="Times New Roman"/>
          <w:lang w:val="en-GB"/>
        </w:rPr>
        <w:t>Czarniawska, 2000</w:t>
      </w:r>
      <w:r w:rsidR="0070640A">
        <w:rPr>
          <w:rFonts w:cs="Times New Roman"/>
          <w:lang w:val="en-GB"/>
        </w:rPr>
        <w:t xml:space="preserve">; </w:t>
      </w:r>
      <w:r w:rsidR="007F1F2F" w:rsidRPr="007232C8">
        <w:rPr>
          <w:rFonts w:cs="Times New Roman"/>
          <w:lang w:val="en-GB"/>
        </w:rPr>
        <w:t>Glynos and Howarth 2007).</w:t>
      </w:r>
      <w:r w:rsidR="00C908D5">
        <w:rPr>
          <w:rFonts w:cs="Times New Roman"/>
          <w:lang w:val="en-GB"/>
        </w:rPr>
        <w:t xml:space="preserve"> </w:t>
      </w:r>
      <w:r w:rsidR="003608F0">
        <w:rPr>
          <w:rFonts w:cs="Times New Roman"/>
          <w:lang w:val="en-GB"/>
        </w:rPr>
        <w:t xml:space="preserve">Within </w:t>
      </w:r>
      <w:r w:rsidR="0070640A">
        <w:rPr>
          <w:rFonts w:cs="Times New Roman"/>
          <w:lang w:val="en-GB"/>
        </w:rPr>
        <w:t>a</w:t>
      </w:r>
      <w:r w:rsidR="003608F0">
        <w:rPr>
          <w:rFonts w:cs="Times New Roman"/>
          <w:lang w:val="en-GB"/>
        </w:rPr>
        <w:t xml:space="preserve"> case context</w:t>
      </w:r>
      <w:r w:rsidR="0070640A">
        <w:rPr>
          <w:rFonts w:cs="Times New Roman"/>
          <w:lang w:val="en-GB"/>
        </w:rPr>
        <w:t xml:space="preserve"> (Merriam, 1998; </w:t>
      </w:r>
      <w:r w:rsidR="0070640A" w:rsidRPr="00E176CF">
        <w:rPr>
          <w:rFonts w:cs="Times New Roman"/>
          <w:lang w:val="en-GB"/>
        </w:rPr>
        <w:t>Czarniawska, 2000</w:t>
      </w:r>
      <w:r w:rsidR="0070640A">
        <w:rPr>
          <w:rFonts w:cs="Times New Roman"/>
          <w:lang w:val="en-GB"/>
        </w:rPr>
        <w:t>)</w:t>
      </w:r>
      <w:r w:rsidR="003608F0">
        <w:rPr>
          <w:rFonts w:cs="Times New Roman"/>
          <w:lang w:val="en-GB"/>
        </w:rPr>
        <w:t>, we focus on the embedded politics evident in the overdetermination of defining SMEs (condensation), the overdetermination of choosing the standard’s title (condensation), and the overdetermination comprised by the subsequent publication of the micro-guide (displacement)</w:t>
      </w:r>
      <w:r w:rsidR="0070640A">
        <w:rPr>
          <w:rFonts w:cs="Times New Roman"/>
          <w:lang w:val="en-GB"/>
        </w:rPr>
        <w:t xml:space="preserve"> (see </w:t>
      </w:r>
      <w:r w:rsidR="005A6AC9">
        <w:rPr>
          <w:rFonts w:cs="Times New Roman"/>
          <w:lang w:val="en-GB"/>
        </w:rPr>
        <w:t>T</w:t>
      </w:r>
      <w:r w:rsidR="0070640A">
        <w:rPr>
          <w:rFonts w:cs="Times New Roman"/>
          <w:lang w:val="en-GB"/>
        </w:rPr>
        <w:t xml:space="preserve">able 1 for a timeline of </w:t>
      </w:r>
      <w:r w:rsidR="0070640A" w:rsidRPr="0070640A">
        <w:rPr>
          <w:rFonts w:cs="Times New Roman"/>
          <w:i/>
          <w:lang w:val="en-GB"/>
        </w:rPr>
        <w:t>IFRS for SMEs</w:t>
      </w:r>
      <w:r w:rsidR="0070640A">
        <w:rPr>
          <w:rFonts w:cs="Times New Roman"/>
          <w:lang w:val="en-GB"/>
        </w:rPr>
        <w:t>)</w:t>
      </w:r>
      <w:r w:rsidR="003608F0">
        <w:rPr>
          <w:rFonts w:cs="Times New Roman"/>
          <w:lang w:val="en-GB"/>
        </w:rPr>
        <w:t>. In D</w:t>
      </w:r>
      <w:r w:rsidR="00D91A79">
        <w:rPr>
          <w:rFonts w:cs="Times New Roman"/>
          <w:lang w:val="en-GB"/>
        </w:rPr>
        <w:t xml:space="preserve">iscourse </w:t>
      </w:r>
      <w:r w:rsidR="003608F0">
        <w:rPr>
          <w:rFonts w:cs="Times New Roman"/>
          <w:lang w:val="en-GB"/>
        </w:rPr>
        <w:t>T</w:t>
      </w:r>
      <w:r w:rsidR="00D91A79">
        <w:rPr>
          <w:rFonts w:cs="Times New Roman"/>
          <w:lang w:val="en-GB"/>
        </w:rPr>
        <w:t>heory</w:t>
      </w:r>
      <w:r w:rsidR="003608F0">
        <w:rPr>
          <w:rFonts w:cs="Times New Roman"/>
          <w:lang w:val="en-GB"/>
        </w:rPr>
        <w:t xml:space="preserve"> terms, each </w:t>
      </w:r>
      <w:r w:rsidR="00FD5E80">
        <w:rPr>
          <w:rFonts w:cs="Times New Roman"/>
          <w:lang w:val="en-GB"/>
        </w:rPr>
        <w:t>“</w:t>
      </w:r>
      <w:r w:rsidR="0070640A">
        <w:rPr>
          <w:rFonts w:cs="Times New Roman"/>
          <w:lang w:val="en-GB"/>
        </w:rPr>
        <w:t>overdetermination</w:t>
      </w:r>
      <w:r w:rsidR="00FD5E80">
        <w:rPr>
          <w:rFonts w:cs="Times New Roman"/>
          <w:lang w:val="en-GB"/>
        </w:rPr>
        <w:t>”</w:t>
      </w:r>
      <w:r w:rsidR="0070640A">
        <w:rPr>
          <w:rFonts w:cs="Times New Roman"/>
          <w:lang w:val="en-GB"/>
        </w:rPr>
        <w:t xml:space="preserve"> involves</w:t>
      </w:r>
      <w:r w:rsidR="003608F0">
        <w:rPr>
          <w:rFonts w:cs="Times New Roman"/>
          <w:lang w:val="en-GB"/>
        </w:rPr>
        <w:t xml:space="preserve"> nodal point analysis</w:t>
      </w:r>
      <w:r w:rsidR="0070640A">
        <w:rPr>
          <w:rFonts w:cs="Times New Roman"/>
          <w:lang w:val="en-GB"/>
        </w:rPr>
        <w:t xml:space="preserve"> and is inherently interconnected</w:t>
      </w:r>
      <w:r w:rsidR="007F1F2F">
        <w:rPr>
          <w:rFonts w:cs="Times New Roman"/>
          <w:lang w:val="en-GB"/>
        </w:rPr>
        <w:t xml:space="preserve">. We employ the following research methods to </w:t>
      </w:r>
      <w:r w:rsidR="0070640A">
        <w:rPr>
          <w:rFonts w:cs="Times New Roman"/>
          <w:lang w:val="en-GB"/>
        </w:rPr>
        <w:t>understand</w:t>
      </w:r>
      <w:r w:rsidR="007F1F2F">
        <w:rPr>
          <w:rFonts w:cs="Times New Roman"/>
          <w:lang w:val="en-GB"/>
        </w:rPr>
        <w:t xml:space="preserve"> the case. </w:t>
      </w:r>
    </w:p>
    <w:p w14:paraId="7A7AB1D4" w14:textId="77777777" w:rsidR="0048531E" w:rsidRPr="006550FB" w:rsidRDefault="0048531E" w:rsidP="0048531E">
      <w:pPr>
        <w:pStyle w:val="CommentText"/>
        <w:jc w:val="both"/>
        <w:rPr>
          <w:rFonts w:cs="Times New Roman"/>
          <w:lang w:val="en-GB"/>
        </w:rPr>
      </w:pPr>
    </w:p>
    <w:p w14:paraId="64F271BA" w14:textId="77777777" w:rsidR="003608F0" w:rsidRDefault="003608F0" w:rsidP="0048531E">
      <w:pPr>
        <w:rPr>
          <w:rFonts w:cs="Times New Roman"/>
          <w:lang w:val="en-GB"/>
        </w:rPr>
      </w:pPr>
      <w:r>
        <w:rPr>
          <w:rFonts w:cs="Times New Roman"/>
          <w:lang w:val="en-GB"/>
        </w:rPr>
        <w:t xml:space="preserve">To collect the necessary information, we draw on documents </w:t>
      </w:r>
      <w:r w:rsidRPr="00E176CF">
        <w:rPr>
          <w:rFonts w:cs="Times New Roman"/>
          <w:lang w:val="en-GB"/>
        </w:rPr>
        <w:t xml:space="preserve">concerning </w:t>
      </w:r>
      <w:r w:rsidRPr="00E176CF">
        <w:rPr>
          <w:rFonts w:cs="Times New Roman"/>
          <w:i/>
          <w:lang w:val="en-GB"/>
        </w:rPr>
        <w:t>IFRS for SMEs</w:t>
      </w:r>
      <w:r w:rsidRPr="00E176CF">
        <w:rPr>
          <w:rFonts w:cs="Times New Roman"/>
          <w:lang w:val="en-GB"/>
        </w:rPr>
        <w:t xml:space="preserve"> </w:t>
      </w:r>
      <w:r>
        <w:rPr>
          <w:rFonts w:cs="Times New Roman"/>
          <w:lang w:val="en-GB"/>
        </w:rPr>
        <w:t xml:space="preserve">and interviews with key parties within and related to the IASB. These were collected as part of a broader study of the development of </w:t>
      </w:r>
      <w:r w:rsidRPr="0004241E">
        <w:rPr>
          <w:rFonts w:cs="Times New Roman"/>
          <w:i/>
          <w:lang w:val="en-GB"/>
        </w:rPr>
        <w:t>IFRS for SMEs</w:t>
      </w:r>
      <w:r>
        <w:rPr>
          <w:rFonts w:cs="Times New Roman"/>
          <w:lang w:val="en-GB"/>
        </w:rPr>
        <w:t>. May (1997, pp. 157-158) suggests that documents are an important information source:</w:t>
      </w:r>
    </w:p>
    <w:p w14:paraId="4401D6E5" w14:textId="77777777" w:rsidR="0070640A" w:rsidRPr="0070640A" w:rsidRDefault="0070640A" w:rsidP="008456E4">
      <w:pPr>
        <w:pStyle w:val="CommentText"/>
        <w:spacing w:after="120"/>
        <w:jc w:val="both"/>
      </w:pPr>
    </w:p>
    <w:p w14:paraId="159DDF5E" w14:textId="6F17696C" w:rsidR="003608F0" w:rsidRDefault="003608F0" w:rsidP="008456E4">
      <w:pPr>
        <w:pStyle w:val="BodyText2"/>
        <w:spacing w:line="240" w:lineRule="auto"/>
        <w:ind w:left="851" w:right="1082"/>
        <w:rPr>
          <w:sz w:val="20"/>
        </w:rPr>
      </w:pPr>
      <w:r>
        <w:rPr>
          <w:sz w:val="20"/>
        </w:rPr>
        <w:t>Documents, as the sedimentations of social practices, have the potential to inform and structure the decisions which people make on a daily and longer-term basis; they also constitute particular readings of social events.</w:t>
      </w:r>
    </w:p>
    <w:p w14:paraId="70343C75" w14:textId="77777777" w:rsidR="00C92853" w:rsidRDefault="00C92853" w:rsidP="00C92853">
      <w:pPr>
        <w:pStyle w:val="BodyText2"/>
        <w:spacing w:after="0" w:line="240" w:lineRule="auto"/>
        <w:ind w:left="851" w:right="1082"/>
        <w:rPr>
          <w:sz w:val="20"/>
        </w:rPr>
      </w:pPr>
    </w:p>
    <w:p w14:paraId="57581042" w14:textId="77D63F7B" w:rsidR="003608F0" w:rsidRDefault="003608F0" w:rsidP="008456E4">
      <w:pPr>
        <w:spacing w:after="120"/>
        <w:jc w:val="both"/>
        <w:rPr>
          <w:lang w:val="en-GB"/>
        </w:rPr>
      </w:pPr>
      <w:r>
        <w:rPr>
          <w:rFonts w:cs="Times New Roman"/>
          <w:lang w:val="en-GB"/>
        </w:rPr>
        <w:t xml:space="preserve">Our </w:t>
      </w:r>
      <w:r w:rsidR="00B4218B">
        <w:rPr>
          <w:rFonts w:cs="Times New Roman"/>
          <w:lang w:val="en-GB"/>
        </w:rPr>
        <w:t xml:space="preserve">full </w:t>
      </w:r>
      <w:r>
        <w:rPr>
          <w:rFonts w:cs="Times New Roman"/>
          <w:lang w:val="en-GB"/>
        </w:rPr>
        <w:t xml:space="preserve">archive includes </w:t>
      </w:r>
      <w:r w:rsidRPr="00E176CF">
        <w:rPr>
          <w:rFonts w:cs="Times New Roman"/>
          <w:lang w:val="en-GB"/>
        </w:rPr>
        <w:t>due process documents from the IASB and evidence from interconnected bodies, including the WB, the IMF, the European Union [EU]</w:t>
      </w:r>
      <w:r>
        <w:rPr>
          <w:rFonts w:cs="Times New Roman"/>
          <w:lang w:val="en-GB"/>
        </w:rPr>
        <w:t>,</w:t>
      </w:r>
      <w:r w:rsidRPr="00E176CF">
        <w:rPr>
          <w:rFonts w:cs="Times New Roman"/>
          <w:lang w:val="en-GB"/>
        </w:rPr>
        <w:t xml:space="preserve"> the United Nations Conference on Trade and Development [UNCTAD]</w:t>
      </w:r>
      <w:r w:rsidR="005A6AC9">
        <w:rPr>
          <w:rFonts w:cs="Times New Roman"/>
          <w:lang w:val="en-GB"/>
        </w:rPr>
        <w:t>,</w:t>
      </w:r>
      <w:r>
        <w:rPr>
          <w:rFonts w:cs="Times New Roman"/>
          <w:lang w:val="en-GB"/>
        </w:rPr>
        <w:t xml:space="preserve"> and observer notes from meetings of the IASB: International Standard-setting Reports [IStaR]</w:t>
      </w:r>
      <w:r w:rsidRPr="00E176CF">
        <w:rPr>
          <w:rFonts w:cs="Times New Roman"/>
          <w:lang w:val="en-GB"/>
        </w:rPr>
        <w:t xml:space="preserve">. These documents </w:t>
      </w:r>
      <w:r>
        <w:rPr>
          <w:rFonts w:cs="Times New Roman"/>
          <w:lang w:val="en-GB"/>
        </w:rPr>
        <w:t>provide insigh</w:t>
      </w:r>
      <w:r w:rsidR="00B4218B">
        <w:rPr>
          <w:rFonts w:cs="Times New Roman"/>
          <w:lang w:val="en-GB"/>
        </w:rPr>
        <w:t>t</w:t>
      </w:r>
      <w:r>
        <w:rPr>
          <w:rFonts w:cs="Times New Roman"/>
          <w:lang w:val="en-GB"/>
        </w:rPr>
        <w:t xml:space="preserve"> into the embedded politics of </w:t>
      </w:r>
      <w:r w:rsidRPr="00A10516">
        <w:rPr>
          <w:rFonts w:cs="Times New Roman"/>
          <w:i/>
          <w:lang w:val="en-GB"/>
        </w:rPr>
        <w:t>IFRS for SMEs</w:t>
      </w:r>
      <w:r w:rsidR="00B4218B">
        <w:rPr>
          <w:rFonts w:cs="Times New Roman"/>
          <w:lang w:val="en-GB"/>
        </w:rPr>
        <w:t xml:space="preserve"> and </w:t>
      </w:r>
      <w:r w:rsidR="00C92853">
        <w:rPr>
          <w:rFonts w:cs="Times New Roman"/>
          <w:lang w:val="en-GB"/>
        </w:rPr>
        <w:t xml:space="preserve">contextualise </w:t>
      </w:r>
      <w:r w:rsidR="00B4218B">
        <w:rPr>
          <w:rFonts w:cs="Times New Roman"/>
          <w:lang w:val="en-GB"/>
        </w:rPr>
        <w:t xml:space="preserve">the project to enable a greater understanding of the embedded politics. The specific documents </w:t>
      </w:r>
      <w:r w:rsidR="007E64CC">
        <w:rPr>
          <w:rFonts w:cs="Times New Roman"/>
          <w:lang w:val="en-GB"/>
        </w:rPr>
        <w:t xml:space="preserve">from the archive </w:t>
      </w:r>
      <w:r w:rsidR="00B4218B">
        <w:rPr>
          <w:rFonts w:cs="Times New Roman"/>
          <w:lang w:val="en-GB"/>
        </w:rPr>
        <w:t>that we refer</w:t>
      </w:r>
      <w:r w:rsidR="00C53C7E">
        <w:rPr>
          <w:rFonts w:cs="Times New Roman"/>
          <w:lang w:val="en-GB"/>
        </w:rPr>
        <w:t xml:space="preserve"> to</w:t>
      </w:r>
      <w:r w:rsidR="00B4218B">
        <w:rPr>
          <w:rFonts w:cs="Times New Roman"/>
          <w:lang w:val="en-GB"/>
        </w:rPr>
        <w:t xml:space="preserve"> within this paper are listed in the bibliography. </w:t>
      </w:r>
      <w:r>
        <w:rPr>
          <w:lang w:val="en-GB"/>
        </w:rPr>
        <w:t xml:space="preserve">The SME agenda at the international standard-setting level predates the construction of the IASB in 2001. Chronologically, </w:t>
      </w:r>
      <w:r w:rsidR="005A6AC9">
        <w:rPr>
          <w:lang w:val="en-GB"/>
        </w:rPr>
        <w:t>T</w:t>
      </w:r>
      <w:r>
        <w:rPr>
          <w:lang w:val="en-GB"/>
        </w:rPr>
        <w:t>able 1</w:t>
      </w:r>
      <w:r w:rsidRPr="00E176CF">
        <w:rPr>
          <w:lang w:val="en-GB"/>
        </w:rPr>
        <w:t xml:space="preserve"> </w:t>
      </w:r>
      <w:r>
        <w:rPr>
          <w:lang w:val="en-GB"/>
        </w:rPr>
        <w:t>highlights central stages and milestones within the history of the SME project.</w:t>
      </w:r>
      <w:r>
        <w:rPr>
          <w:rStyle w:val="FootnoteReference"/>
          <w:lang w:val="en-GB"/>
        </w:rPr>
        <w:footnoteReference w:id="1"/>
      </w:r>
    </w:p>
    <w:p w14:paraId="714E3FC0" w14:textId="77777777" w:rsidR="006210A1" w:rsidRDefault="006210A1" w:rsidP="008456E4">
      <w:pPr>
        <w:spacing w:after="120"/>
        <w:jc w:val="both"/>
        <w:rPr>
          <w:lang w:val="en-GB"/>
        </w:rPr>
      </w:pPr>
    </w:p>
    <w:p w14:paraId="68749E99" w14:textId="77777777" w:rsidR="003608F0" w:rsidRPr="00E176CF" w:rsidRDefault="003608F0" w:rsidP="008456E4">
      <w:pPr>
        <w:pStyle w:val="BodyTextIndent2"/>
        <w:spacing w:after="120"/>
        <w:ind w:firstLine="0"/>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72576" behindDoc="0" locked="0" layoutInCell="1" allowOverlap="1" wp14:anchorId="749AE0D0" wp14:editId="74AF8338">
                <wp:simplePos x="0" y="0"/>
                <wp:positionH relativeFrom="column">
                  <wp:posOffset>1645920</wp:posOffset>
                </wp:positionH>
                <wp:positionV relativeFrom="paragraph">
                  <wp:posOffset>206375</wp:posOffset>
                </wp:positionV>
                <wp:extent cx="24003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A822B"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9.6pt,16.25pt" to="318.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" strokecolor="#4472c4 [3204]" strokeweight=".5pt">
                <v:stroke joinstyle="miter"/>
              </v:line>
            </w:pict>
          </mc:Fallback>
        </mc:AlternateContent>
      </w:r>
    </w:p>
    <w:p w14:paraId="5CF53FA1" w14:textId="77777777" w:rsidR="003608F0" w:rsidRDefault="003608F0"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71552" behindDoc="0" locked="0" layoutInCell="1" allowOverlap="1" wp14:anchorId="0C49FEB2" wp14:editId="0DBCB62E">
                <wp:simplePos x="0" y="0"/>
                <wp:positionH relativeFrom="column">
                  <wp:posOffset>1630680</wp:posOffset>
                </wp:positionH>
                <wp:positionV relativeFrom="paragraph">
                  <wp:posOffset>243840</wp:posOffset>
                </wp:positionV>
                <wp:extent cx="24003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67E28"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TABLE 1 </w:t>
      </w:r>
    </w:p>
    <w:p w14:paraId="4796DA7B" w14:textId="77777777" w:rsidR="00141DB0" w:rsidRDefault="00141DB0" w:rsidP="008456E4">
      <w:pPr>
        <w:pStyle w:val="BodyTextIndent2"/>
        <w:spacing w:after="120"/>
        <w:ind w:firstLine="0"/>
        <w:jc w:val="center"/>
        <w:rPr>
          <w:rFonts w:asciiTheme="minorHAnsi" w:hAnsiTheme="minorHAnsi"/>
          <w:lang w:val="en-GB"/>
        </w:rPr>
      </w:pPr>
    </w:p>
    <w:p w14:paraId="0148761B" w14:textId="3693D3F7" w:rsidR="003608F0" w:rsidRPr="00141DB0" w:rsidRDefault="006B6C11" w:rsidP="008456E4">
      <w:pPr>
        <w:pStyle w:val="BodyTextIndent2"/>
        <w:spacing w:after="120"/>
        <w:ind w:firstLine="0"/>
        <w:rPr>
          <w:rFonts w:asciiTheme="minorHAnsi" w:hAnsiTheme="minorHAnsi" w:cstheme="minorHAnsi"/>
          <w:lang w:val="en-GB"/>
        </w:rPr>
      </w:pPr>
      <w:r w:rsidRPr="00141DB0">
        <w:rPr>
          <w:rFonts w:asciiTheme="minorHAnsi" w:hAnsiTheme="minorHAnsi" w:cstheme="minorHAnsi"/>
          <w:lang w:val="en-GB"/>
        </w:rPr>
        <w:t xml:space="preserve">Table 1 highlights key </w:t>
      </w:r>
      <w:r w:rsidR="0070640A" w:rsidRPr="00141DB0">
        <w:rPr>
          <w:rFonts w:asciiTheme="minorHAnsi" w:hAnsiTheme="minorHAnsi" w:cstheme="minorHAnsi"/>
          <w:lang w:val="en-GB"/>
        </w:rPr>
        <w:t>moments</w:t>
      </w:r>
      <w:r w:rsidRPr="00141DB0">
        <w:rPr>
          <w:rFonts w:asciiTheme="minorHAnsi" w:hAnsiTheme="minorHAnsi" w:cstheme="minorHAnsi"/>
          <w:lang w:val="en-GB"/>
        </w:rPr>
        <w:t xml:space="preserve"> in the development of </w:t>
      </w:r>
      <w:r w:rsidRPr="00141DB0">
        <w:rPr>
          <w:rFonts w:asciiTheme="minorHAnsi" w:hAnsiTheme="minorHAnsi" w:cstheme="minorHAnsi"/>
          <w:i/>
          <w:lang w:val="en-GB"/>
        </w:rPr>
        <w:t>IFRS for SMEs</w:t>
      </w:r>
      <w:r w:rsidRPr="00141DB0">
        <w:rPr>
          <w:rFonts w:asciiTheme="minorHAnsi" w:hAnsiTheme="minorHAnsi" w:cstheme="minorHAnsi"/>
          <w:lang w:val="en-GB"/>
        </w:rPr>
        <w:t>, including discussion</w:t>
      </w:r>
      <w:r w:rsidR="0070640A" w:rsidRPr="00141DB0">
        <w:rPr>
          <w:rFonts w:asciiTheme="minorHAnsi" w:hAnsiTheme="minorHAnsi" w:cstheme="minorHAnsi"/>
          <w:lang w:val="en-GB"/>
        </w:rPr>
        <w:t>s</w:t>
      </w:r>
      <w:r w:rsidRPr="00141DB0">
        <w:rPr>
          <w:rFonts w:asciiTheme="minorHAnsi" w:hAnsiTheme="minorHAnsi" w:cstheme="minorHAnsi"/>
          <w:lang w:val="en-GB"/>
        </w:rPr>
        <w:t xml:space="preserve"> of differential reporting by the IASC</w:t>
      </w:r>
      <w:r w:rsidR="00B26CC1" w:rsidRPr="00141DB0">
        <w:rPr>
          <w:rFonts w:asciiTheme="minorHAnsi" w:hAnsiTheme="minorHAnsi" w:cstheme="minorHAnsi"/>
          <w:lang w:val="en-GB"/>
        </w:rPr>
        <w:t xml:space="preserve"> and other</w:t>
      </w:r>
      <w:r w:rsidR="0070640A" w:rsidRPr="00141DB0">
        <w:rPr>
          <w:rFonts w:asciiTheme="minorHAnsi" w:hAnsiTheme="minorHAnsi" w:cstheme="minorHAnsi"/>
          <w:lang w:val="en-GB"/>
        </w:rPr>
        <w:t>s</w:t>
      </w:r>
      <w:r w:rsidR="00B26CC1" w:rsidRPr="00141DB0">
        <w:rPr>
          <w:rFonts w:asciiTheme="minorHAnsi" w:hAnsiTheme="minorHAnsi" w:cstheme="minorHAnsi"/>
          <w:lang w:val="en-GB"/>
        </w:rPr>
        <w:t xml:space="preserve">, the </w:t>
      </w:r>
      <w:r w:rsidR="0070640A" w:rsidRPr="00141DB0">
        <w:rPr>
          <w:rFonts w:asciiTheme="minorHAnsi" w:hAnsiTheme="minorHAnsi" w:cstheme="minorHAnsi"/>
          <w:lang w:val="en-GB"/>
        </w:rPr>
        <w:t>development of an</w:t>
      </w:r>
      <w:r w:rsidR="00B26CC1" w:rsidRPr="00141DB0">
        <w:rPr>
          <w:rFonts w:asciiTheme="minorHAnsi" w:hAnsiTheme="minorHAnsi" w:cstheme="minorHAnsi"/>
          <w:lang w:val="en-GB"/>
        </w:rPr>
        <w:t xml:space="preserve"> agenda</w:t>
      </w:r>
      <w:r w:rsidR="0070640A" w:rsidRPr="00141DB0">
        <w:rPr>
          <w:rFonts w:asciiTheme="minorHAnsi" w:hAnsiTheme="minorHAnsi" w:cstheme="minorHAnsi"/>
          <w:lang w:val="en-GB"/>
        </w:rPr>
        <w:t xml:space="preserve"> for the SME project</w:t>
      </w:r>
      <w:r w:rsidR="00B26CC1" w:rsidRPr="00141DB0">
        <w:rPr>
          <w:rFonts w:asciiTheme="minorHAnsi" w:hAnsiTheme="minorHAnsi" w:cstheme="minorHAnsi"/>
          <w:lang w:val="en-GB"/>
        </w:rPr>
        <w:t xml:space="preserve"> in 2002, the issuing of the discussion paper in 2004, the publication of the exposure draft in 2007, the nam</w:t>
      </w:r>
      <w:r w:rsidR="0070640A" w:rsidRPr="00141DB0">
        <w:rPr>
          <w:rFonts w:asciiTheme="minorHAnsi" w:hAnsiTheme="minorHAnsi" w:cstheme="minorHAnsi"/>
          <w:lang w:val="en-GB"/>
        </w:rPr>
        <w:t>ing</w:t>
      </w:r>
      <w:r w:rsidR="00B26CC1" w:rsidRPr="00141DB0">
        <w:rPr>
          <w:rFonts w:asciiTheme="minorHAnsi" w:hAnsiTheme="minorHAnsi" w:cstheme="minorHAnsi"/>
          <w:lang w:val="en-GB"/>
        </w:rPr>
        <w:t xml:space="preserve"> decision and the publication of the standard in 2009, and</w:t>
      </w:r>
      <w:r w:rsidRPr="00141DB0">
        <w:rPr>
          <w:rFonts w:asciiTheme="minorHAnsi" w:hAnsiTheme="minorHAnsi" w:cstheme="minorHAnsi"/>
          <w:lang w:val="en-GB"/>
        </w:rPr>
        <w:t xml:space="preserve"> the post-development review process</w:t>
      </w:r>
      <w:r w:rsidR="0070640A" w:rsidRPr="00141DB0">
        <w:rPr>
          <w:rFonts w:asciiTheme="minorHAnsi" w:hAnsiTheme="minorHAnsi" w:cstheme="minorHAnsi"/>
          <w:lang w:val="en-GB"/>
        </w:rPr>
        <w:t>.</w:t>
      </w:r>
      <w:r w:rsidRPr="00141DB0">
        <w:rPr>
          <w:rFonts w:asciiTheme="minorHAnsi" w:hAnsiTheme="minorHAnsi" w:cstheme="minorHAnsi"/>
          <w:lang w:val="en-GB"/>
        </w:rPr>
        <w:t xml:space="preserve"> </w:t>
      </w:r>
      <w:r w:rsidR="0070640A" w:rsidRPr="00141DB0">
        <w:rPr>
          <w:rFonts w:asciiTheme="minorHAnsi" w:hAnsiTheme="minorHAnsi" w:cstheme="minorHAnsi"/>
          <w:lang w:val="en-GB"/>
        </w:rPr>
        <w:t>This analysis illustrates contestations concerning</w:t>
      </w:r>
      <w:r w:rsidRPr="00141DB0">
        <w:rPr>
          <w:rFonts w:asciiTheme="minorHAnsi" w:hAnsiTheme="minorHAnsi" w:cstheme="minorHAnsi"/>
          <w:lang w:val="en-GB"/>
        </w:rPr>
        <w:t xml:space="preserve"> different titles, different definitions of SMEs and </w:t>
      </w:r>
      <w:r w:rsidR="0070640A" w:rsidRPr="00141DB0">
        <w:rPr>
          <w:rFonts w:asciiTheme="minorHAnsi" w:hAnsiTheme="minorHAnsi" w:cstheme="minorHAnsi"/>
          <w:lang w:val="en-GB"/>
        </w:rPr>
        <w:t>competing</w:t>
      </w:r>
      <w:r w:rsidRPr="00141DB0">
        <w:rPr>
          <w:rFonts w:asciiTheme="minorHAnsi" w:hAnsiTheme="minorHAnsi" w:cstheme="minorHAnsi"/>
          <w:lang w:val="en-GB"/>
        </w:rPr>
        <w:t xml:space="preserve"> understandings expressed internally and externally</w:t>
      </w:r>
      <w:r w:rsidR="0070640A" w:rsidRPr="00141DB0">
        <w:rPr>
          <w:rFonts w:asciiTheme="minorHAnsi" w:hAnsiTheme="minorHAnsi" w:cstheme="minorHAnsi"/>
          <w:lang w:val="en-GB"/>
        </w:rPr>
        <w:t xml:space="preserve"> about the SME project</w:t>
      </w:r>
      <w:r w:rsidR="00B26CC1" w:rsidRPr="00141DB0">
        <w:rPr>
          <w:rFonts w:asciiTheme="minorHAnsi" w:hAnsiTheme="minorHAnsi" w:cstheme="minorHAnsi"/>
          <w:lang w:val="en-GB"/>
        </w:rPr>
        <w:t xml:space="preserve">. </w:t>
      </w:r>
      <w:r w:rsidR="0070640A" w:rsidRPr="00141DB0">
        <w:rPr>
          <w:rFonts w:asciiTheme="minorHAnsi" w:hAnsiTheme="minorHAnsi" w:cstheme="minorHAnsi"/>
          <w:lang w:val="en-GB"/>
        </w:rPr>
        <w:t>While we recognise that there were external debates on the SME project, w</w:t>
      </w:r>
      <w:r w:rsidR="00B26CC1" w:rsidRPr="00141DB0">
        <w:rPr>
          <w:rFonts w:asciiTheme="minorHAnsi" w:hAnsiTheme="minorHAnsi" w:cstheme="minorHAnsi"/>
          <w:lang w:val="en-GB"/>
        </w:rPr>
        <w:t>e focus on the IASB’s</w:t>
      </w:r>
      <w:r w:rsidR="0070640A" w:rsidRPr="00141DB0">
        <w:rPr>
          <w:rFonts w:asciiTheme="minorHAnsi" w:hAnsiTheme="minorHAnsi" w:cstheme="minorHAnsi"/>
          <w:lang w:val="en-GB"/>
        </w:rPr>
        <w:t xml:space="preserve"> internal</w:t>
      </w:r>
      <w:r w:rsidR="00B26CC1" w:rsidRPr="00141DB0">
        <w:rPr>
          <w:rFonts w:asciiTheme="minorHAnsi" w:hAnsiTheme="minorHAnsi" w:cstheme="minorHAnsi"/>
          <w:lang w:val="en-GB"/>
        </w:rPr>
        <w:t xml:space="preserve"> discourse</w:t>
      </w:r>
      <w:r w:rsidR="00141DB0">
        <w:rPr>
          <w:rFonts w:asciiTheme="minorHAnsi" w:hAnsiTheme="minorHAnsi" w:cstheme="minorHAnsi"/>
          <w:lang w:val="en-GB"/>
        </w:rPr>
        <w:t xml:space="preserve"> as evident t</w:t>
      </w:r>
      <w:r w:rsidR="00141DB0" w:rsidRPr="00141DB0">
        <w:rPr>
          <w:rFonts w:asciiTheme="minorHAnsi" w:hAnsiTheme="minorHAnsi" w:cstheme="minorHAnsi"/>
          <w:lang w:val="en-GB"/>
        </w:rPr>
        <w:t xml:space="preserve">hrough examining a </w:t>
      </w:r>
      <w:r w:rsidR="003608F0" w:rsidRPr="00141DB0">
        <w:rPr>
          <w:rFonts w:asciiTheme="minorHAnsi" w:hAnsiTheme="minorHAnsi" w:cstheme="minorHAnsi"/>
          <w:lang w:val="en-GB"/>
        </w:rPr>
        <w:t>publicly available</w:t>
      </w:r>
      <w:r w:rsidR="00141DB0">
        <w:rPr>
          <w:rFonts w:asciiTheme="minorHAnsi" w:hAnsiTheme="minorHAnsi" w:cstheme="minorHAnsi"/>
          <w:lang w:val="en-GB"/>
        </w:rPr>
        <w:t xml:space="preserve"> document archive</w:t>
      </w:r>
      <w:r w:rsidR="003608F0" w:rsidRPr="00141DB0">
        <w:rPr>
          <w:rFonts w:asciiTheme="minorHAnsi" w:hAnsiTheme="minorHAnsi" w:cstheme="minorHAnsi"/>
          <w:lang w:val="en-GB"/>
        </w:rPr>
        <w:t xml:space="preserve"> </w:t>
      </w:r>
      <w:r w:rsidR="00141DB0">
        <w:rPr>
          <w:rFonts w:asciiTheme="minorHAnsi" w:hAnsiTheme="minorHAnsi" w:cstheme="minorHAnsi"/>
          <w:lang w:val="en-GB"/>
        </w:rPr>
        <w:t>a</w:t>
      </w:r>
      <w:r w:rsidR="00141DB0" w:rsidRPr="00141DB0">
        <w:rPr>
          <w:rFonts w:asciiTheme="minorHAnsi" w:hAnsiTheme="minorHAnsi" w:cstheme="minorHAnsi"/>
          <w:lang w:val="en-GB"/>
        </w:rPr>
        <w:t xml:space="preserve">nd </w:t>
      </w:r>
      <w:r w:rsidR="00141DB0">
        <w:rPr>
          <w:rFonts w:asciiTheme="minorHAnsi" w:hAnsiTheme="minorHAnsi" w:cstheme="minorHAnsi"/>
          <w:lang w:val="en-GB"/>
        </w:rPr>
        <w:t>t</w:t>
      </w:r>
      <w:r w:rsidR="003608F0" w:rsidRPr="00141DB0">
        <w:rPr>
          <w:rFonts w:asciiTheme="minorHAnsi" w:hAnsiTheme="minorHAnsi" w:cstheme="minorHAnsi"/>
          <w:lang w:val="en-GB"/>
        </w:rPr>
        <w:t>wenty-seven interviews</w:t>
      </w:r>
      <w:r w:rsidR="00141DB0">
        <w:rPr>
          <w:rFonts w:asciiTheme="minorHAnsi" w:hAnsiTheme="minorHAnsi" w:cstheme="minorHAnsi"/>
          <w:lang w:val="en-GB"/>
        </w:rPr>
        <w:t>. These</w:t>
      </w:r>
      <w:r w:rsidR="003608F0" w:rsidRPr="00141DB0">
        <w:rPr>
          <w:rFonts w:asciiTheme="minorHAnsi" w:hAnsiTheme="minorHAnsi" w:cstheme="minorHAnsi"/>
          <w:lang w:val="en-GB"/>
        </w:rPr>
        <w:t xml:space="preserve"> </w:t>
      </w:r>
      <w:r w:rsidR="00141DB0">
        <w:rPr>
          <w:rFonts w:asciiTheme="minorHAnsi" w:hAnsiTheme="minorHAnsi" w:cstheme="minorHAnsi"/>
          <w:lang w:val="en-GB"/>
        </w:rPr>
        <w:t xml:space="preserve">focused interviews </w:t>
      </w:r>
      <w:r w:rsidR="003608F0" w:rsidRPr="00141DB0">
        <w:rPr>
          <w:rFonts w:asciiTheme="minorHAnsi" w:hAnsiTheme="minorHAnsi" w:cstheme="minorHAnsi"/>
          <w:lang w:val="en-GB"/>
        </w:rPr>
        <w:t xml:space="preserve">were conducted in 2016 with key actors involved in the development of </w:t>
      </w:r>
      <w:r w:rsidR="003608F0" w:rsidRPr="00141DB0">
        <w:rPr>
          <w:rFonts w:asciiTheme="minorHAnsi" w:hAnsiTheme="minorHAnsi" w:cstheme="minorHAnsi"/>
          <w:i/>
          <w:lang w:val="en-GB"/>
        </w:rPr>
        <w:t>IFRS for SMEs</w:t>
      </w:r>
      <w:r w:rsidR="003608F0" w:rsidRPr="00141DB0">
        <w:rPr>
          <w:rFonts w:asciiTheme="minorHAnsi" w:hAnsiTheme="minorHAnsi" w:cstheme="minorHAnsi"/>
          <w:lang w:val="en-GB"/>
        </w:rPr>
        <w:t>.</w:t>
      </w:r>
      <w:r w:rsidR="003608F0" w:rsidRPr="00141DB0">
        <w:rPr>
          <w:rStyle w:val="FootnoteReference"/>
          <w:rFonts w:asciiTheme="minorHAnsi" w:hAnsiTheme="minorHAnsi" w:cstheme="minorHAnsi"/>
          <w:lang w:val="en-GB"/>
        </w:rPr>
        <w:footnoteReference w:id="2"/>
      </w:r>
      <w:r w:rsidR="003608F0" w:rsidRPr="00141DB0">
        <w:rPr>
          <w:rFonts w:asciiTheme="minorHAnsi" w:hAnsiTheme="minorHAnsi" w:cstheme="minorHAnsi"/>
          <w:lang w:val="en-GB"/>
        </w:rPr>
        <w:t xml:space="preserve"> </w:t>
      </w:r>
      <w:r w:rsidR="00C908D5">
        <w:rPr>
          <w:rFonts w:asciiTheme="minorHAnsi" w:hAnsiTheme="minorHAnsi" w:cstheme="minorHAnsi"/>
          <w:lang w:val="en-GB"/>
        </w:rPr>
        <w:t>W</w:t>
      </w:r>
      <w:r w:rsidR="00141DB0">
        <w:rPr>
          <w:rFonts w:asciiTheme="minorHAnsi" w:hAnsiTheme="minorHAnsi" w:cstheme="minorHAnsi"/>
          <w:lang w:val="en-GB"/>
        </w:rPr>
        <w:t>e employed f</w:t>
      </w:r>
      <w:r w:rsidR="003608F0" w:rsidRPr="00141DB0">
        <w:rPr>
          <w:rFonts w:asciiTheme="minorHAnsi" w:hAnsiTheme="minorHAnsi" w:cstheme="minorHAnsi"/>
          <w:lang w:val="en-GB"/>
        </w:rPr>
        <w:t xml:space="preserve">ocused interviews </w:t>
      </w:r>
      <w:r w:rsidR="00141DB0">
        <w:rPr>
          <w:rFonts w:asciiTheme="minorHAnsi" w:hAnsiTheme="minorHAnsi" w:cstheme="minorHAnsi"/>
          <w:lang w:val="en-GB"/>
        </w:rPr>
        <w:t xml:space="preserve">because they </w:t>
      </w:r>
      <w:r w:rsidR="003608F0" w:rsidRPr="00141DB0">
        <w:rPr>
          <w:rFonts w:asciiTheme="minorHAnsi" w:hAnsiTheme="minorHAnsi" w:cstheme="minorHAnsi"/>
          <w:lang w:val="en-GB"/>
        </w:rPr>
        <w:t>encourage</w:t>
      </w:r>
      <w:r w:rsidR="00141DB0">
        <w:rPr>
          <w:rFonts w:asciiTheme="minorHAnsi" w:hAnsiTheme="minorHAnsi" w:cstheme="minorHAnsi"/>
          <w:lang w:val="en-GB"/>
        </w:rPr>
        <w:t xml:space="preserve"> greater</w:t>
      </w:r>
      <w:r w:rsidR="003608F0" w:rsidRPr="00141DB0">
        <w:rPr>
          <w:rFonts w:asciiTheme="minorHAnsi" w:hAnsiTheme="minorHAnsi" w:cstheme="minorHAnsi"/>
          <w:lang w:val="en-GB"/>
        </w:rPr>
        <w:t xml:space="preserve"> depth by allowing </w:t>
      </w:r>
      <w:r w:rsidR="00C908D5">
        <w:rPr>
          <w:rFonts w:asciiTheme="minorHAnsi" w:hAnsiTheme="minorHAnsi" w:cstheme="minorHAnsi"/>
          <w:lang w:val="en-GB"/>
        </w:rPr>
        <w:t>“</w:t>
      </w:r>
      <w:r w:rsidR="003608F0" w:rsidRPr="00141DB0">
        <w:rPr>
          <w:rFonts w:asciiTheme="minorHAnsi" w:hAnsiTheme="minorHAnsi" w:cstheme="minorHAnsi"/>
        </w:rPr>
        <w:t>interviewees to talk about the subject in terms of their own frames of reference</w:t>
      </w:r>
      <w:r w:rsidR="00C908D5">
        <w:rPr>
          <w:rFonts w:asciiTheme="minorHAnsi" w:hAnsiTheme="minorHAnsi" w:cstheme="minorHAnsi"/>
        </w:rPr>
        <w:t>”</w:t>
      </w:r>
      <w:r w:rsidR="003608F0" w:rsidRPr="00141DB0">
        <w:rPr>
          <w:rFonts w:asciiTheme="minorHAnsi" w:hAnsiTheme="minorHAnsi" w:cstheme="minorHAnsi"/>
        </w:rPr>
        <w:t xml:space="preserve"> (May, 1997, p. 113)</w:t>
      </w:r>
      <w:r w:rsidR="00141DB0">
        <w:rPr>
          <w:rFonts w:asciiTheme="minorHAnsi" w:hAnsiTheme="minorHAnsi" w:cstheme="minorHAnsi"/>
        </w:rPr>
        <w:t xml:space="preserve">. The focused interview technique centres on a particular question, in our case: “Why did the IASB develop </w:t>
      </w:r>
      <w:r w:rsidR="00141DB0" w:rsidRPr="00141DB0">
        <w:rPr>
          <w:rFonts w:asciiTheme="minorHAnsi" w:hAnsiTheme="minorHAnsi" w:cstheme="minorHAnsi"/>
          <w:i/>
        </w:rPr>
        <w:t>IFRS for SMEs</w:t>
      </w:r>
      <w:r w:rsidR="00141DB0">
        <w:rPr>
          <w:rFonts w:asciiTheme="minorHAnsi" w:hAnsiTheme="minorHAnsi" w:cstheme="minorHAnsi"/>
          <w:i/>
        </w:rPr>
        <w:t>?</w:t>
      </w:r>
      <w:r w:rsidR="00141DB0">
        <w:rPr>
          <w:rFonts w:asciiTheme="minorHAnsi" w:hAnsiTheme="minorHAnsi" w:cstheme="minorHAnsi"/>
        </w:rPr>
        <w:t>”. This encourages the</w:t>
      </w:r>
      <w:r w:rsidR="00B82DB8" w:rsidRPr="00141DB0">
        <w:rPr>
          <w:rFonts w:asciiTheme="minorHAnsi" w:hAnsiTheme="minorHAnsi" w:cstheme="minorHAnsi"/>
        </w:rPr>
        <w:t xml:space="preserve"> </w:t>
      </w:r>
      <w:r w:rsidR="00AB4083" w:rsidRPr="00141DB0">
        <w:rPr>
          <w:rFonts w:asciiTheme="minorHAnsi" w:hAnsiTheme="minorHAnsi" w:cstheme="minorHAnsi"/>
        </w:rPr>
        <w:t>exploration</w:t>
      </w:r>
      <w:r w:rsidR="00141DB0">
        <w:rPr>
          <w:rFonts w:asciiTheme="minorHAnsi" w:hAnsiTheme="minorHAnsi" w:cstheme="minorHAnsi"/>
        </w:rPr>
        <w:t xml:space="preserve"> of emergent themes</w:t>
      </w:r>
      <w:r w:rsidR="00AB4083" w:rsidRPr="00141DB0">
        <w:rPr>
          <w:rFonts w:asciiTheme="minorHAnsi" w:hAnsiTheme="minorHAnsi" w:cstheme="minorHAnsi"/>
        </w:rPr>
        <w:t xml:space="preserve"> </w:t>
      </w:r>
      <w:r w:rsidR="00141DB0">
        <w:rPr>
          <w:rFonts w:asciiTheme="minorHAnsi" w:hAnsiTheme="minorHAnsi" w:cstheme="minorHAnsi"/>
        </w:rPr>
        <w:t xml:space="preserve">particular to each interviewee (Howarth </w:t>
      </w:r>
      <w:r w:rsidR="00A272D9">
        <w:rPr>
          <w:rFonts w:asciiTheme="minorHAnsi" w:hAnsiTheme="minorHAnsi" w:cstheme="minorHAnsi"/>
        </w:rPr>
        <w:t>and</w:t>
      </w:r>
      <w:r w:rsidR="00141DB0">
        <w:rPr>
          <w:rFonts w:asciiTheme="minorHAnsi" w:hAnsiTheme="minorHAnsi" w:cstheme="minorHAnsi"/>
        </w:rPr>
        <w:t xml:space="preserve"> Torfing, </w:t>
      </w:r>
      <w:r w:rsidR="008456E4">
        <w:rPr>
          <w:rFonts w:asciiTheme="minorHAnsi" w:hAnsiTheme="minorHAnsi" w:cstheme="minorHAnsi"/>
        </w:rPr>
        <w:t>2005</w:t>
      </w:r>
      <w:r w:rsidR="00141DB0">
        <w:rPr>
          <w:rFonts w:asciiTheme="minorHAnsi" w:hAnsiTheme="minorHAnsi" w:cstheme="minorHAnsi"/>
        </w:rPr>
        <w:t>).</w:t>
      </w:r>
      <w:r w:rsidR="003608F0" w:rsidRPr="00141DB0">
        <w:rPr>
          <w:rFonts w:asciiTheme="minorHAnsi" w:hAnsiTheme="minorHAnsi" w:cstheme="minorHAnsi"/>
        </w:rPr>
        <w:t xml:space="preserve"> Table 2 discloses the relationship of the interviewees to the IASB</w:t>
      </w:r>
      <w:r w:rsidR="00B4218B">
        <w:rPr>
          <w:rFonts w:asciiTheme="minorHAnsi" w:hAnsiTheme="minorHAnsi" w:cstheme="minorHAnsi"/>
        </w:rPr>
        <w:t>, listed in the order that these interviews were conducted:</w:t>
      </w:r>
    </w:p>
    <w:p w14:paraId="53E79FFB" w14:textId="77777777" w:rsidR="003608F0" w:rsidRPr="00E176CF" w:rsidRDefault="003608F0" w:rsidP="008456E4">
      <w:pPr>
        <w:pStyle w:val="BodyTextIndent2"/>
        <w:spacing w:after="120"/>
        <w:ind w:firstLine="0"/>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1312" behindDoc="0" locked="0" layoutInCell="1" allowOverlap="1" wp14:anchorId="1BA5A914" wp14:editId="3D5417BE">
                <wp:simplePos x="0" y="0"/>
                <wp:positionH relativeFrom="column">
                  <wp:posOffset>1630680</wp:posOffset>
                </wp:positionH>
                <wp:positionV relativeFrom="paragraph">
                  <wp:posOffset>273050</wp:posOffset>
                </wp:positionV>
                <wp:extent cx="24003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96A949"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8.4pt,21.5pt" to="317.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ITtwEAAMMDAAAOAAAAZHJzL2Uyb0RvYy54bWysU8GOEzEMvSPxD1HudKYFsWj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" strokecolor="#4472c4 [3204]" strokeweight=".5pt">
                <v:stroke joinstyle="miter"/>
              </v:line>
            </w:pict>
          </mc:Fallback>
        </mc:AlternateContent>
      </w:r>
    </w:p>
    <w:p w14:paraId="77F14689" w14:textId="77777777" w:rsidR="003608F0" w:rsidRPr="00E176CF" w:rsidRDefault="003608F0"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2336" behindDoc="0" locked="0" layoutInCell="1" allowOverlap="1" wp14:anchorId="5E1FA5B2" wp14:editId="7F24770D">
                <wp:simplePos x="0" y="0"/>
                <wp:positionH relativeFrom="column">
                  <wp:posOffset>1630680</wp:posOffset>
                </wp:positionH>
                <wp:positionV relativeFrom="paragraph">
                  <wp:posOffset>243840</wp:posOffset>
                </wp:positionV>
                <wp:extent cx="24003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4AE7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RVtwEAAMMDAAAOAAAAZHJzL2Uyb0RvYy54bWysU8GOEzEMvSPxD1HudKYFIXb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TABLE 2 </w:t>
      </w:r>
    </w:p>
    <w:p w14:paraId="7E2BDFB7" w14:textId="77777777" w:rsidR="003608F0" w:rsidRDefault="003608F0" w:rsidP="008456E4">
      <w:pPr>
        <w:pStyle w:val="CommentText"/>
        <w:spacing w:after="120"/>
        <w:jc w:val="both"/>
        <w:rPr>
          <w:rFonts w:cs="Times New Roman"/>
          <w:lang w:val="en-GB"/>
        </w:rPr>
      </w:pPr>
    </w:p>
    <w:p w14:paraId="1BEAF6C1" w14:textId="19FB7466" w:rsidR="00C908D5" w:rsidRDefault="00B4218B" w:rsidP="0048531E">
      <w:pPr>
        <w:pStyle w:val="CommentText"/>
        <w:jc w:val="both"/>
        <w:rPr>
          <w:rFonts w:cs="Times New Roman"/>
          <w:lang w:val="en-GB"/>
        </w:rPr>
      </w:pPr>
      <w:r>
        <w:rPr>
          <w:rFonts w:cs="Times New Roman"/>
          <w:lang w:val="en-GB"/>
        </w:rPr>
        <w:t>All interview</w:t>
      </w:r>
      <w:r w:rsidR="00C92853">
        <w:rPr>
          <w:rFonts w:cs="Times New Roman"/>
          <w:lang w:val="en-GB"/>
        </w:rPr>
        <w:t>ees</w:t>
      </w:r>
      <w:r w:rsidR="00C53C7E">
        <w:rPr>
          <w:rFonts w:cs="Times New Roman"/>
          <w:lang w:val="en-GB"/>
        </w:rPr>
        <w:t>, who were promised anonymity,</w:t>
      </w:r>
      <w:r>
        <w:rPr>
          <w:rFonts w:cs="Times New Roman"/>
          <w:lang w:val="en-GB"/>
        </w:rPr>
        <w:t xml:space="preserve"> </w:t>
      </w:r>
      <w:r w:rsidR="00C53C7E">
        <w:rPr>
          <w:rFonts w:cs="Times New Roman"/>
          <w:lang w:val="en-GB"/>
        </w:rPr>
        <w:t xml:space="preserve">were </w:t>
      </w:r>
      <w:r>
        <w:rPr>
          <w:rFonts w:cs="Times New Roman"/>
          <w:lang w:val="en-GB"/>
        </w:rPr>
        <w:t>involve</w:t>
      </w:r>
      <w:r w:rsidR="00C53C7E">
        <w:rPr>
          <w:rFonts w:cs="Times New Roman"/>
          <w:lang w:val="en-GB"/>
        </w:rPr>
        <w:t>d</w:t>
      </w:r>
      <w:r>
        <w:rPr>
          <w:rFonts w:cs="Times New Roman"/>
          <w:lang w:val="en-GB"/>
        </w:rPr>
        <w:t xml:space="preserve"> in the development of </w:t>
      </w:r>
      <w:r w:rsidRPr="00515EF4">
        <w:rPr>
          <w:rFonts w:cs="Times New Roman"/>
          <w:i/>
          <w:lang w:val="en-GB"/>
        </w:rPr>
        <w:t>IFRS for SMEs</w:t>
      </w:r>
      <w:r w:rsidR="00C53C7E">
        <w:rPr>
          <w:rFonts w:cs="Times New Roman"/>
          <w:lang w:val="en-GB"/>
        </w:rPr>
        <w:t>, in various capacities:</w:t>
      </w:r>
      <w:r>
        <w:rPr>
          <w:rFonts w:cs="Times New Roman"/>
          <w:lang w:val="en-GB"/>
        </w:rPr>
        <w:t xml:space="preserve"> direct</w:t>
      </w:r>
      <w:r w:rsidR="00C53C7E">
        <w:rPr>
          <w:rFonts w:cs="Times New Roman"/>
          <w:lang w:val="en-GB"/>
        </w:rPr>
        <w:t>ly as board or staff members of</w:t>
      </w:r>
      <w:r>
        <w:rPr>
          <w:rFonts w:cs="Times New Roman"/>
          <w:lang w:val="en-GB"/>
        </w:rPr>
        <w:t xml:space="preserve"> the IASB, </w:t>
      </w:r>
      <w:r w:rsidR="00C53C7E">
        <w:rPr>
          <w:rFonts w:cs="Times New Roman"/>
          <w:lang w:val="en-GB"/>
        </w:rPr>
        <w:t>providing advice or feedback,</w:t>
      </w:r>
      <w:r>
        <w:rPr>
          <w:rFonts w:cs="Times New Roman"/>
          <w:lang w:val="en-GB"/>
        </w:rPr>
        <w:t xml:space="preserve"> or observing and research</w:t>
      </w:r>
      <w:r w:rsidR="00C53C7E">
        <w:rPr>
          <w:rFonts w:cs="Times New Roman"/>
          <w:lang w:val="en-GB"/>
        </w:rPr>
        <w:t>ing into</w:t>
      </w:r>
      <w:r>
        <w:rPr>
          <w:rFonts w:cs="Times New Roman"/>
          <w:lang w:val="en-GB"/>
        </w:rPr>
        <w:t xml:space="preserve"> the</w:t>
      </w:r>
      <w:r w:rsidR="00C92853">
        <w:rPr>
          <w:rFonts w:cs="Times New Roman"/>
          <w:lang w:val="en-GB"/>
        </w:rPr>
        <w:t xml:space="preserve"> IASB</w:t>
      </w:r>
      <w:r>
        <w:rPr>
          <w:rFonts w:cs="Times New Roman"/>
          <w:lang w:val="en-GB"/>
        </w:rPr>
        <w:t xml:space="preserve">. </w:t>
      </w:r>
      <w:r w:rsidR="003608F0" w:rsidRPr="00C64E58">
        <w:rPr>
          <w:rFonts w:cs="Times New Roman"/>
          <w:lang w:val="en-GB"/>
        </w:rPr>
        <w:t>The interviews</w:t>
      </w:r>
      <w:r w:rsidR="003608F0">
        <w:rPr>
          <w:rFonts w:cs="Times New Roman"/>
          <w:lang w:val="en-GB"/>
        </w:rPr>
        <w:t xml:space="preserve"> </w:t>
      </w:r>
      <w:r w:rsidR="003608F0" w:rsidRPr="00C64E58">
        <w:rPr>
          <w:rFonts w:cs="Times New Roman"/>
          <w:lang w:val="en-GB"/>
        </w:rPr>
        <w:t>lasted between 20 and 120 minutes</w:t>
      </w:r>
      <w:r w:rsidR="003608F0">
        <w:rPr>
          <w:rFonts w:cs="Times New Roman"/>
          <w:lang w:val="en-GB"/>
        </w:rPr>
        <w:t xml:space="preserve"> and were digitally</w:t>
      </w:r>
      <w:r w:rsidR="00C908D5">
        <w:rPr>
          <w:rFonts w:cs="Times New Roman"/>
          <w:lang w:val="en-GB"/>
        </w:rPr>
        <w:t xml:space="preserve"> </w:t>
      </w:r>
      <w:r w:rsidR="003608F0">
        <w:rPr>
          <w:rFonts w:cs="Times New Roman"/>
          <w:lang w:val="en-GB"/>
        </w:rPr>
        <w:t>recorded and</w:t>
      </w:r>
      <w:r w:rsidR="00C908D5">
        <w:rPr>
          <w:rFonts w:cs="Times New Roman"/>
          <w:lang w:val="en-GB"/>
        </w:rPr>
        <w:t xml:space="preserve"> subsequently</w:t>
      </w:r>
      <w:r w:rsidR="003608F0">
        <w:rPr>
          <w:rFonts w:cs="Times New Roman"/>
          <w:lang w:val="en-GB"/>
        </w:rPr>
        <w:t xml:space="preserve"> transcribed. The reading of documents prior to conducting the </w:t>
      </w:r>
      <w:r w:rsidR="003608F0" w:rsidRPr="00C64E58">
        <w:rPr>
          <w:rFonts w:cs="Times New Roman"/>
          <w:lang w:val="en-GB"/>
        </w:rPr>
        <w:t>interviews</w:t>
      </w:r>
      <w:r w:rsidR="003608F0">
        <w:rPr>
          <w:rFonts w:cs="Times New Roman"/>
          <w:lang w:val="en-GB"/>
        </w:rPr>
        <w:t xml:space="preserve"> gave us insight </w:t>
      </w:r>
      <w:r w:rsidR="00C908D5">
        <w:rPr>
          <w:rFonts w:cs="Times New Roman"/>
          <w:lang w:val="en-GB"/>
        </w:rPr>
        <w:t>into</w:t>
      </w:r>
      <w:r w:rsidR="003608F0">
        <w:rPr>
          <w:rFonts w:cs="Times New Roman"/>
          <w:lang w:val="en-GB"/>
        </w:rPr>
        <w:t xml:space="preserve"> </w:t>
      </w:r>
      <w:r w:rsidR="003608F0" w:rsidRPr="00C64E58">
        <w:rPr>
          <w:rFonts w:cs="Times New Roman"/>
          <w:lang w:val="en-GB"/>
        </w:rPr>
        <w:t>key signifiers, tensions and conflicts</w:t>
      </w:r>
      <w:r w:rsidR="003608F0">
        <w:rPr>
          <w:rFonts w:cs="Times New Roman"/>
          <w:lang w:val="en-GB"/>
        </w:rPr>
        <w:t xml:space="preserve">. The interviews helped us to interpret the discursive </w:t>
      </w:r>
      <w:r w:rsidR="00C908D5">
        <w:rPr>
          <w:rFonts w:cs="Times New Roman"/>
          <w:lang w:val="en-GB"/>
        </w:rPr>
        <w:t>“</w:t>
      </w:r>
      <w:r w:rsidR="003608F0" w:rsidRPr="00135699">
        <w:rPr>
          <w:rFonts w:cs="Times New Roman"/>
          <w:lang w:val="en-GB"/>
        </w:rPr>
        <w:t>sedimentations of social practices</w:t>
      </w:r>
      <w:r w:rsidR="00C908D5">
        <w:rPr>
          <w:rFonts w:cs="Times New Roman"/>
          <w:lang w:val="en-GB"/>
        </w:rPr>
        <w:t>”</w:t>
      </w:r>
      <w:r w:rsidR="003608F0">
        <w:rPr>
          <w:rFonts w:cs="Times New Roman"/>
          <w:lang w:val="en-GB"/>
        </w:rPr>
        <w:t xml:space="preserve"> (May, 1997, p. 157)</w:t>
      </w:r>
      <w:r w:rsidR="003608F0" w:rsidRPr="00C64E58">
        <w:rPr>
          <w:rFonts w:cs="Times New Roman"/>
          <w:lang w:val="en-GB"/>
        </w:rPr>
        <w:t>.</w:t>
      </w:r>
      <w:r w:rsidR="003608F0">
        <w:rPr>
          <w:rFonts w:cs="Times New Roman"/>
          <w:lang w:val="en-GB"/>
        </w:rPr>
        <w:t xml:space="preserve"> We </w:t>
      </w:r>
      <w:r w:rsidR="003608F0" w:rsidRPr="00E176CF">
        <w:rPr>
          <w:rFonts w:cs="Times New Roman"/>
          <w:lang w:val="en-GB"/>
        </w:rPr>
        <w:t>read and re-read</w:t>
      </w:r>
      <w:r w:rsidR="003608F0">
        <w:rPr>
          <w:rFonts w:cs="Times New Roman"/>
          <w:lang w:val="en-GB"/>
        </w:rPr>
        <w:t xml:space="preserve"> the </w:t>
      </w:r>
      <w:r w:rsidR="00C908D5">
        <w:rPr>
          <w:rFonts w:cs="Times New Roman"/>
          <w:lang w:val="en-GB"/>
        </w:rPr>
        <w:t>documents and interview transcripts</w:t>
      </w:r>
      <w:r w:rsidR="003608F0">
        <w:rPr>
          <w:rFonts w:cs="Times New Roman"/>
          <w:lang w:val="en-GB"/>
        </w:rPr>
        <w:t xml:space="preserve"> to</w:t>
      </w:r>
      <w:r w:rsidR="003608F0" w:rsidRPr="00E176CF">
        <w:rPr>
          <w:rFonts w:cs="Times New Roman"/>
          <w:lang w:val="en-GB"/>
        </w:rPr>
        <w:t xml:space="preserve"> </w:t>
      </w:r>
      <w:r w:rsidR="003608F0">
        <w:rPr>
          <w:rFonts w:cs="Times New Roman"/>
          <w:lang w:val="en-GB"/>
        </w:rPr>
        <w:t xml:space="preserve">identify </w:t>
      </w:r>
      <w:r w:rsidR="003608F0" w:rsidRPr="00E176CF">
        <w:rPr>
          <w:rFonts w:cs="Times New Roman"/>
          <w:lang w:val="en-GB"/>
        </w:rPr>
        <w:t>key themes</w:t>
      </w:r>
      <w:r w:rsidR="003608F0">
        <w:rPr>
          <w:rFonts w:cs="Times New Roman"/>
          <w:lang w:val="en-GB"/>
        </w:rPr>
        <w:t xml:space="preserve"> and issues concerning </w:t>
      </w:r>
      <w:r w:rsidR="003608F0" w:rsidRPr="00E176CF">
        <w:rPr>
          <w:rFonts w:cs="Times New Roman"/>
          <w:lang w:val="en-GB"/>
        </w:rPr>
        <w:t xml:space="preserve">defining SMEs, </w:t>
      </w:r>
      <w:r w:rsidR="003608F0">
        <w:rPr>
          <w:rFonts w:cs="Times New Roman"/>
          <w:lang w:val="en-GB"/>
        </w:rPr>
        <w:t xml:space="preserve">titling the </w:t>
      </w:r>
      <w:r w:rsidR="003608F0" w:rsidRPr="00E176CF">
        <w:rPr>
          <w:rFonts w:cs="Times New Roman"/>
          <w:lang w:val="en-GB"/>
        </w:rPr>
        <w:t xml:space="preserve">standard and </w:t>
      </w:r>
      <w:r w:rsidR="003608F0">
        <w:rPr>
          <w:rFonts w:cs="Times New Roman"/>
          <w:lang w:val="en-GB"/>
        </w:rPr>
        <w:t xml:space="preserve">publishing </w:t>
      </w:r>
      <w:r w:rsidR="003608F0" w:rsidRPr="00E176CF">
        <w:rPr>
          <w:rFonts w:cs="Times New Roman"/>
          <w:lang w:val="en-GB"/>
        </w:rPr>
        <w:t>the micro-guide.</w:t>
      </w:r>
    </w:p>
    <w:p w14:paraId="731935F7" w14:textId="77777777" w:rsidR="0048531E" w:rsidRDefault="0048531E" w:rsidP="0048531E">
      <w:pPr>
        <w:pStyle w:val="CommentText"/>
        <w:jc w:val="both"/>
        <w:rPr>
          <w:rFonts w:cs="Times New Roman"/>
          <w:lang w:val="en-GB"/>
        </w:rPr>
      </w:pPr>
    </w:p>
    <w:p w14:paraId="670F4DC9" w14:textId="5D83D4AA" w:rsidR="00F545AC" w:rsidRDefault="00F545AC" w:rsidP="00F545AC">
      <w:pPr>
        <w:pStyle w:val="CommentText"/>
        <w:spacing w:after="120"/>
        <w:jc w:val="both"/>
        <w:rPr>
          <w:rFonts w:cs="Times New Roman"/>
          <w:lang w:val="en-GB"/>
        </w:rPr>
      </w:pPr>
      <w:r>
        <w:rPr>
          <w:rFonts w:cs="Times New Roman"/>
          <w:lang w:val="en-GB"/>
        </w:rPr>
        <w:t xml:space="preserve">The </w:t>
      </w:r>
      <w:r w:rsidRPr="00C64E58">
        <w:rPr>
          <w:rFonts w:cs="Times New Roman"/>
          <w:lang w:val="en-GB"/>
        </w:rPr>
        <w:t xml:space="preserve">paper </w:t>
      </w:r>
      <w:r>
        <w:rPr>
          <w:rFonts w:cs="Times New Roman"/>
          <w:lang w:val="en-GB"/>
        </w:rPr>
        <w:t xml:space="preserve">examines the IASB’s construction of the internal organisational discourse of </w:t>
      </w:r>
      <w:r w:rsidRPr="00135699">
        <w:rPr>
          <w:rFonts w:cs="Times New Roman"/>
          <w:i/>
          <w:lang w:val="en-GB"/>
        </w:rPr>
        <w:t>IFRS for SMEs</w:t>
      </w:r>
      <w:r>
        <w:rPr>
          <w:rFonts w:cs="Times New Roman"/>
          <w:lang w:val="en-GB"/>
        </w:rPr>
        <w:t xml:space="preserve"> through a narrative analysis concerning the </w:t>
      </w:r>
      <w:r w:rsidR="00C53C7E">
        <w:rPr>
          <w:rFonts w:cs="Times New Roman"/>
          <w:lang w:val="en-GB"/>
        </w:rPr>
        <w:t xml:space="preserve">defining the scope of the standard, </w:t>
      </w:r>
      <w:r>
        <w:rPr>
          <w:rFonts w:cs="Times New Roman"/>
          <w:lang w:val="en-GB"/>
        </w:rPr>
        <w:t>naming the standard, and the subsequent production of the micro-guide (</w:t>
      </w:r>
      <w:r w:rsidRPr="00E176CF">
        <w:rPr>
          <w:rFonts w:cs="Times New Roman"/>
          <w:lang w:val="en-GB"/>
        </w:rPr>
        <w:t>Czarniawska, 2000</w:t>
      </w:r>
      <w:r w:rsidR="00A8135E">
        <w:rPr>
          <w:rFonts w:cs="Times New Roman"/>
          <w:lang w:val="en-GB"/>
        </w:rPr>
        <w:t xml:space="preserve">; </w:t>
      </w:r>
      <w:r>
        <w:rPr>
          <w:rFonts w:cs="Times New Roman"/>
          <w:lang w:val="en-GB"/>
        </w:rPr>
        <w:t xml:space="preserve">Frezatti </w:t>
      </w:r>
      <w:r w:rsidRPr="00A25684">
        <w:rPr>
          <w:rFonts w:cs="Times New Roman"/>
          <w:i/>
          <w:lang w:val="en-GB"/>
        </w:rPr>
        <w:t>et al</w:t>
      </w:r>
      <w:r w:rsidR="00C53C7E" w:rsidRPr="00A25684">
        <w:rPr>
          <w:rFonts w:cs="Times New Roman"/>
          <w:i/>
          <w:lang w:val="en-GB"/>
        </w:rPr>
        <w:t>.</w:t>
      </w:r>
      <w:r w:rsidRPr="0066687E">
        <w:rPr>
          <w:rFonts w:cs="Times New Roman"/>
          <w:i/>
          <w:lang w:val="en-GB"/>
        </w:rPr>
        <w:t>,</w:t>
      </w:r>
      <w:r>
        <w:rPr>
          <w:rFonts w:cs="Times New Roman"/>
          <w:i/>
          <w:lang w:val="en-GB"/>
        </w:rPr>
        <w:t xml:space="preserve"> </w:t>
      </w:r>
      <w:r w:rsidR="00A8135E">
        <w:rPr>
          <w:rFonts w:cs="Times New Roman"/>
          <w:lang w:val="en-GB"/>
        </w:rPr>
        <w:t>2014</w:t>
      </w:r>
      <w:r>
        <w:rPr>
          <w:rFonts w:cs="Times New Roman"/>
          <w:lang w:val="en-GB"/>
        </w:rPr>
        <w:t>).</w:t>
      </w:r>
      <w:r w:rsidRPr="00E176CF">
        <w:rPr>
          <w:rFonts w:cs="Times New Roman"/>
          <w:lang w:val="en-GB"/>
        </w:rPr>
        <w:t xml:space="preserve"> </w:t>
      </w:r>
      <w:r>
        <w:rPr>
          <w:rFonts w:cs="Times New Roman"/>
          <w:lang w:val="en-GB"/>
        </w:rPr>
        <w:t xml:space="preserve">We draw on Czarniawska’s (2000, p. 19) understanding of narrative work </w:t>
      </w:r>
      <w:r>
        <w:rPr>
          <w:rFonts w:cs="Times New Roman"/>
          <w:lang w:val="en-GB"/>
        </w:rPr>
        <w:lastRenderedPageBreak/>
        <w:t>to guard</w:t>
      </w:r>
      <w:r w:rsidRPr="00E176CF">
        <w:rPr>
          <w:rFonts w:cs="Times New Roman"/>
          <w:lang w:val="en-GB"/>
        </w:rPr>
        <w:t xml:space="preserve"> against linguistic reductionism and </w:t>
      </w:r>
      <w:r>
        <w:rPr>
          <w:rFonts w:cs="Times New Roman"/>
          <w:lang w:val="en-GB"/>
        </w:rPr>
        <w:t xml:space="preserve">to identify the </w:t>
      </w:r>
      <w:r w:rsidRPr="00E176CF">
        <w:rPr>
          <w:rFonts w:cs="Times New Roman"/>
          <w:lang w:val="en-GB"/>
        </w:rPr>
        <w:t>level of abstraction</w:t>
      </w:r>
      <w:r>
        <w:rPr>
          <w:rFonts w:cs="Times New Roman"/>
          <w:lang w:val="en-GB"/>
        </w:rPr>
        <w:t xml:space="preserve"> (</w:t>
      </w:r>
      <w:r w:rsidRPr="00E176CF">
        <w:rPr>
          <w:rFonts w:cs="Times New Roman"/>
          <w:lang w:val="en-GB"/>
        </w:rPr>
        <w:t xml:space="preserve">Griggs </w:t>
      </w:r>
      <w:r>
        <w:rPr>
          <w:rFonts w:cs="Times New Roman"/>
          <w:lang w:val="en-GB"/>
        </w:rPr>
        <w:t>and Howarth, 2006; Glynos and Howarth, 2007):</w:t>
      </w:r>
    </w:p>
    <w:p w14:paraId="0744F644" w14:textId="77777777" w:rsidR="00F545AC" w:rsidRDefault="00F545AC" w:rsidP="00F545AC">
      <w:pPr>
        <w:pStyle w:val="CommentText"/>
        <w:ind w:left="709" w:right="1083"/>
        <w:jc w:val="both"/>
        <w:rPr>
          <w:rFonts w:cs="Times New Roman"/>
          <w:sz w:val="20"/>
          <w:lang w:val="en-GB"/>
        </w:rPr>
      </w:pPr>
      <w:r w:rsidRPr="006B521E">
        <w:rPr>
          <w:rFonts w:cs="Times New Roman"/>
          <w:sz w:val="20"/>
          <w:lang w:val="en-GB"/>
        </w:rPr>
        <w:t>…  “The voices of the field” do not speak for themselves; it is the author who makes them communicate on his or her conditions … It is never a question of “authenticity”; it is always a question of creating an impression of authenticity, of recontextualisation that is interesting (“no</w:t>
      </w:r>
      <w:r>
        <w:rPr>
          <w:rFonts w:cs="Times New Roman"/>
          <w:sz w:val="20"/>
          <w:lang w:val="en-GB"/>
        </w:rPr>
        <w:t xml:space="preserve">vel”), credible and respectful. </w:t>
      </w:r>
    </w:p>
    <w:p w14:paraId="7BA84745" w14:textId="77777777" w:rsidR="00F545AC" w:rsidRPr="006B521E" w:rsidRDefault="00F545AC" w:rsidP="00F545AC">
      <w:pPr>
        <w:pStyle w:val="CommentText"/>
        <w:ind w:left="709" w:right="1083"/>
        <w:jc w:val="both"/>
        <w:rPr>
          <w:rFonts w:cs="Times New Roman"/>
          <w:sz w:val="20"/>
          <w:lang w:val="en-GB"/>
        </w:rPr>
      </w:pPr>
    </w:p>
    <w:p w14:paraId="485F8408" w14:textId="593398D5" w:rsidR="00F545AC" w:rsidRDefault="00F545AC" w:rsidP="00F545AC">
      <w:pPr>
        <w:pStyle w:val="CommentText"/>
        <w:spacing w:after="120"/>
        <w:jc w:val="both"/>
        <w:rPr>
          <w:rFonts w:cs="Times New Roman"/>
          <w:lang w:val="en-GB"/>
        </w:rPr>
      </w:pPr>
      <w:r>
        <w:rPr>
          <w:rFonts w:cs="Times New Roman"/>
          <w:lang w:val="en-GB"/>
        </w:rPr>
        <w:t xml:space="preserve">Frezatti </w:t>
      </w:r>
      <w:r>
        <w:rPr>
          <w:rFonts w:cs="Times New Roman"/>
          <w:i/>
          <w:lang w:val="en-GB"/>
        </w:rPr>
        <w:t>et al</w:t>
      </w:r>
      <w:r>
        <w:rPr>
          <w:rFonts w:cs="Times New Roman"/>
          <w:lang w:val="en-GB"/>
        </w:rPr>
        <w:t>.</w:t>
      </w:r>
      <w:r>
        <w:rPr>
          <w:rFonts w:cs="Times New Roman"/>
          <w:i/>
          <w:lang w:val="en-GB"/>
        </w:rPr>
        <w:t xml:space="preserve"> </w:t>
      </w:r>
      <w:r>
        <w:rPr>
          <w:rFonts w:cs="Times New Roman"/>
          <w:lang w:val="en-GB"/>
        </w:rPr>
        <w:t>(2014, p. 439) emphasise that the “</w:t>
      </w:r>
      <w:r w:rsidRPr="001B4C43">
        <w:rPr>
          <w:rFonts w:cs="Times New Roman"/>
          <w:lang w:val="en-GB"/>
        </w:rPr>
        <w:t xml:space="preserve">analytical task is a </w:t>
      </w:r>
      <w:r>
        <w:rPr>
          <w:rFonts w:cs="Times New Roman"/>
          <w:lang w:val="en-GB"/>
        </w:rPr>
        <w:t>‘</w:t>
      </w:r>
      <w:r w:rsidRPr="001B4C43">
        <w:rPr>
          <w:rFonts w:cs="Times New Roman"/>
          <w:lang w:val="en-GB"/>
        </w:rPr>
        <w:t>read</w:t>
      </w:r>
      <w:r>
        <w:rPr>
          <w:rFonts w:cs="Times New Roman"/>
          <w:lang w:val="en-GB"/>
        </w:rPr>
        <w:t xml:space="preserve">ing’ of the empirical material … </w:t>
      </w:r>
      <w:r w:rsidRPr="001B4C43">
        <w:rPr>
          <w:rFonts w:cs="Times New Roman"/>
          <w:lang w:val="en-GB"/>
        </w:rPr>
        <w:t>and includes deconstruction, interpretation, and reconstruction</w:t>
      </w:r>
      <w:r>
        <w:rPr>
          <w:rFonts w:cs="Times New Roman"/>
          <w:lang w:val="en-GB"/>
        </w:rPr>
        <w:t xml:space="preserve">”. Our task involved the identification of floating signifiers and nodal points concerning the contingent issues in the development of </w:t>
      </w:r>
      <w:r>
        <w:rPr>
          <w:rFonts w:cs="Times New Roman"/>
          <w:i/>
          <w:lang w:val="en-GB"/>
        </w:rPr>
        <w:t>IFRS for SMEs</w:t>
      </w:r>
      <w:r>
        <w:rPr>
          <w:rFonts w:cs="Times New Roman"/>
          <w:lang w:val="en-GB"/>
        </w:rPr>
        <w:t xml:space="preserve"> (for example, potential options for defining SMEs or potential names for the standard) </w:t>
      </w:r>
      <w:r w:rsidRPr="00E176CF">
        <w:rPr>
          <w:rFonts w:cs="Times New Roman"/>
          <w:lang w:val="en-GB"/>
        </w:rPr>
        <w:t xml:space="preserve">(Glynos </w:t>
      </w:r>
      <w:r w:rsidRPr="00E176CF">
        <w:rPr>
          <w:rFonts w:cs="Times New Roman"/>
          <w:i/>
          <w:lang w:val="en-GB"/>
        </w:rPr>
        <w:t>et al.</w:t>
      </w:r>
      <w:r>
        <w:rPr>
          <w:rFonts w:cs="Times New Roman"/>
          <w:lang w:val="en-GB"/>
        </w:rPr>
        <w:t>,</w:t>
      </w:r>
      <w:r w:rsidRPr="00E176CF">
        <w:rPr>
          <w:rFonts w:cs="Times New Roman"/>
          <w:i/>
          <w:lang w:val="en-GB"/>
        </w:rPr>
        <w:t xml:space="preserve"> </w:t>
      </w:r>
      <w:r w:rsidRPr="00E176CF">
        <w:rPr>
          <w:rFonts w:cs="Times New Roman"/>
          <w:lang w:val="en-GB"/>
        </w:rPr>
        <w:t>2015)</w:t>
      </w:r>
      <w:r>
        <w:rPr>
          <w:rFonts w:cs="Times New Roman"/>
          <w:lang w:val="en-GB"/>
        </w:rPr>
        <w:t xml:space="preserve">. </w:t>
      </w:r>
      <w:r w:rsidR="00515732">
        <w:rPr>
          <w:rFonts w:cs="Times New Roman"/>
          <w:lang w:val="en-GB"/>
        </w:rPr>
        <w:t>From</w:t>
      </w:r>
      <w:r>
        <w:rPr>
          <w:rFonts w:cs="Times New Roman"/>
          <w:lang w:val="en-GB"/>
        </w:rPr>
        <w:t xml:space="preserve"> a rhetorical </w:t>
      </w:r>
      <w:r w:rsidR="00515732">
        <w:rPr>
          <w:rFonts w:cs="Times New Roman"/>
          <w:lang w:val="en-GB"/>
        </w:rPr>
        <w:t>viewpoint</w:t>
      </w:r>
      <w:r>
        <w:rPr>
          <w:rFonts w:cs="Times New Roman"/>
          <w:lang w:val="en-GB"/>
        </w:rPr>
        <w:t xml:space="preserve">, </w:t>
      </w:r>
      <w:r w:rsidR="00A25684">
        <w:rPr>
          <w:rFonts w:cs="Times New Roman"/>
          <w:lang w:val="en-GB"/>
        </w:rPr>
        <w:t>“</w:t>
      </w:r>
      <w:r>
        <w:rPr>
          <w:rFonts w:cs="Times New Roman"/>
          <w:lang w:val="en-GB"/>
        </w:rPr>
        <w:t>any [discourse] is full of potential readings</w:t>
      </w:r>
      <w:r w:rsidR="00A25684">
        <w:rPr>
          <w:rFonts w:cs="Times New Roman"/>
          <w:lang w:val="en-GB"/>
        </w:rPr>
        <w:t>”</w:t>
      </w:r>
      <w:r>
        <w:rPr>
          <w:rFonts w:cs="Times New Roman"/>
          <w:lang w:val="en-GB"/>
        </w:rPr>
        <w:t xml:space="preserve"> </w:t>
      </w:r>
      <w:r w:rsidRPr="00E176CF">
        <w:rPr>
          <w:rFonts w:cs="Times New Roman"/>
          <w:lang w:val="en-GB"/>
        </w:rPr>
        <w:t xml:space="preserve">(Frezatti </w:t>
      </w:r>
      <w:r w:rsidRPr="00E176CF">
        <w:rPr>
          <w:rFonts w:cs="Times New Roman"/>
          <w:i/>
          <w:lang w:val="en-GB"/>
        </w:rPr>
        <w:t>et al.</w:t>
      </w:r>
      <w:r>
        <w:rPr>
          <w:rFonts w:cs="Times New Roman"/>
          <w:i/>
          <w:lang w:val="en-GB"/>
        </w:rPr>
        <w:t>,</w:t>
      </w:r>
      <w:r w:rsidRPr="00E176CF">
        <w:rPr>
          <w:rFonts w:cs="Times New Roman"/>
          <w:i/>
          <w:lang w:val="en-GB"/>
        </w:rPr>
        <w:t xml:space="preserve"> </w:t>
      </w:r>
      <w:r w:rsidRPr="00E176CF">
        <w:rPr>
          <w:rFonts w:cs="Times New Roman"/>
          <w:lang w:val="en-GB"/>
        </w:rPr>
        <w:t>2014</w:t>
      </w:r>
      <w:r>
        <w:rPr>
          <w:rFonts w:cs="Times New Roman"/>
          <w:lang w:val="en-GB"/>
        </w:rPr>
        <w:t>, p. 439</w:t>
      </w:r>
      <w:r w:rsidRPr="00E176CF">
        <w:rPr>
          <w:rFonts w:cs="Times New Roman"/>
          <w:lang w:val="en-GB"/>
        </w:rPr>
        <w:t>)</w:t>
      </w:r>
      <w:r w:rsidR="00515732">
        <w:rPr>
          <w:rFonts w:cs="Times New Roman"/>
          <w:lang w:val="en-GB"/>
        </w:rPr>
        <w:t xml:space="preserve">, and this is our reading of the internal discourses of </w:t>
      </w:r>
      <w:r w:rsidR="00515732" w:rsidRPr="00DA4FDA">
        <w:rPr>
          <w:rFonts w:cs="Times New Roman"/>
          <w:i/>
          <w:lang w:val="en-GB"/>
        </w:rPr>
        <w:t>IFRS for SMEs</w:t>
      </w:r>
      <w:r>
        <w:rPr>
          <w:rFonts w:cs="Times New Roman"/>
          <w:lang w:val="en-GB"/>
        </w:rPr>
        <w:t xml:space="preserve">. Each moment – defining; titling; the micro-guide – is an overdetermination that invites analysis of how these discourses and nodal points emerged. In Discourse Theory, rhetoric is constitutive of </w:t>
      </w:r>
      <w:r w:rsidRPr="00E176CF">
        <w:rPr>
          <w:rFonts w:cs="Times New Roman"/>
          <w:lang w:val="en-GB"/>
        </w:rPr>
        <w:t>social reality and explains social phenomena</w:t>
      </w:r>
      <w:r>
        <w:rPr>
          <w:rFonts w:cs="Times New Roman"/>
          <w:lang w:val="en-GB"/>
        </w:rPr>
        <w:t xml:space="preserve"> (</w:t>
      </w:r>
      <w:r w:rsidRPr="00C92853">
        <w:rPr>
          <w:rStyle w:val="Strong"/>
          <w:b w:val="0"/>
          <w:lang w:val="en-GB"/>
        </w:rPr>
        <w:t>Laclau and Mouffe</w:t>
      </w:r>
      <w:r w:rsidRPr="00F01BC9">
        <w:rPr>
          <w:rFonts w:cs="Times New Roman"/>
          <w:lang w:val="en-GB"/>
        </w:rPr>
        <w:t>, 2001, p. 129</w:t>
      </w:r>
      <w:r>
        <w:rPr>
          <w:rFonts w:cs="Times New Roman"/>
          <w:lang w:val="en-GB"/>
        </w:rPr>
        <w:t>)</w:t>
      </w:r>
      <w:r w:rsidR="00515732">
        <w:rPr>
          <w:rFonts w:cs="Times New Roman"/>
          <w:lang w:val="en-GB"/>
        </w:rPr>
        <w:t xml:space="preserve">. </w:t>
      </w:r>
      <w:r>
        <w:rPr>
          <w:rFonts w:cs="Times New Roman"/>
          <w:lang w:val="en-GB"/>
        </w:rPr>
        <w:t xml:space="preserve">The </w:t>
      </w:r>
      <w:r w:rsidR="00C0071A">
        <w:rPr>
          <w:rFonts w:cs="Times New Roman"/>
          <w:lang w:val="en-GB"/>
        </w:rPr>
        <w:t>rhetorical focus of</w:t>
      </w:r>
      <w:r>
        <w:rPr>
          <w:rFonts w:cs="Times New Roman"/>
          <w:lang w:val="en-GB"/>
        </w:rPr>
        <w:t xml:space="preserve"> our study is the emergence of the nodal points of definition, the title and the micro-guide, while the specifics of the discourse condensed around those nodal points illuminate the embedded politics of the IASB’s technocracy. </w:t>
      </w:r>
    </w:p>
    <w:p w14:paraId="04562200" w14:textId="77777777" w:rsidR="00141DB0" w:rsidRPr="00E176CF" w:rsidRDefault="00141DB0" w:rsidP="008456E4">
      <w:pPr>
        <w:pStyle w:val="CommentText"/>
        <w:spacing w:after="120"/>
        <w:jc w:val="both"/>
        <w:rPr>
          <w:rFonts w:cs="Times New Roman"/>
          <w:b/>
          <w:u w:val="single"/>
          <w:lang w:val="en-GB"/>
        </w:rPr>
      </w:pPr>
    </w:p>
    <w:p w14:paraId="77631FD5" w14:textId="268F9E92" w:rsidR="003608F0" w:rsidRDefault="00C908D5" w:rsidP="008456E4">
      <w:pPr>
        <w:pStyle w:val="Heading1"/>
        <w:spacing w:before="0" w:after="120"/>
        <w:rPr>
          <w:rFonts w:asciiTheme="minorHAnsi" w:hAnsiTheme="minorHAnsi"/>
          <w:lang w:val="en-GB"/>
        </w:rPr>
      </w:pPr>
      <w:r>
        <w:rPr>
          <w:rFonts w:asciiTheme="minorHAnsi" w:hAnsiTheme="minorHAnsi"/>
          <w:lang w:val="en-GB"/>
        </w:rPr>
        <w:t>5</w:t>
      </w:r>
      <w:r w:rsidR="008F58A7">
        <w:rPr>
          <w:rFonts w:asciiTheme="minorHAnsi" w:hAnsiTheme="minorHAnsi"/>
          <w:lang w:val="en-GB"/>
        </w:rPr>
        <w:t xml:space="preserve">. </w:t>
      </w:r>
      <w:r w:rsidR="003608F0">
        <w:rPr>
          <w:rFonts w:asciiTheme="minorHAnsi" w:hAnsiTheme="minorHAnsi"/>
          <w:lang w:val="en-GB"/>
        </w:rPr>
        <w:t>Empirical Analysis and Discussion</w:t>
      </w:r>
      <w:r w:rsidR="003608F0" w:rsidRPr="00E176CF">
        <w:rPr>
          <w:rFonts w:asciiTheme="minorHAnsi" w:hAnsiTheme="minorHAnsi"/>
          <w:lang w:val="en-GB"/>
        </w:rPr>
        <w:t xml:space="preserve"> </w:t>
      </w:r>
    </w:p>
    <w:p w14:paraId="30C9134F" w14:textId="6EC30FCB" w:rsidR="003608F0" w:rsidRPr="00443CAF" w:rsidRDefault="00C908D5" w:rsidP="00443CAF">
      <w:pPr>
        <w:pStyle w:val="Heading2"/>
        <w:rPr>
          <w:b/>
          <w:lang w:val="en-GB"/>
        </w:rPr>
      </w:pPr>
      <w:r>
        <w:rPr>
          <w:b/>
          <w:lang w:val="en-GB"/>
        </w:rPr>
        <w:t>5</w:t>
      </w:r>
      <w:r w:rsidR="00DD583F" w:rsidRPr="00443CAF">
        <w:rPr>
          <w:b/>
          <w:lang w:val="en-GB"/>
        </w:rPr>
        <w:t xml:space="preserve">.1 </w:t>
      </w:r>
      <w:r w:rsidR="00561605" w:rsidRPr="00443CAF">
        <w:rPr>
          <w:b/>
          <w:lang w:val="en-GB"/>
        </w:rPr>
        <w:t>Contextualising the Empirical Analysis</w:t>
      </w:r>
      <w:r w:rsidR="00DD583F" w:rsidRPr="00443CAF">
        <w:rPr>
          <w:b/>
          <w:lang w:val="en-GB"/>
        </w:rPr>
        <w:t xml:space="preserve"> </w:t>
      </w:r>
    </w:p>
    <w:p w14:paraId="2CF68AF4" w14:textId="77777777" w:rsidR="00DD583F" w:rsidRDefault="00DD583F" w:rsidP="008456E4">
      <w:pPr>
        <w:rPr>
          <w:lang w:val="en-GB"/>
        </w:rPr>
      </w:pPr>
    </w:p>
    <w:p w14:paraId="093D7089" w14:textId="5CCE0B5A" w:rsidR="00DC212D" w:rsidRDefault="00DD583F" w:rsidP="00561605">
      <w:pPr>
        <w:jc w:val="both"/>
        <w:rPr>
          <w:lang w:val="en-GB"/>
        </w:rPr>
      </w:pPr>
      <w:r>
        <w:rPr>
          <w:lang w:val="en-GB"/>
        </w:rPr>
        <w:t>In these empirical subsections</w:t>
      </w:r>
      <w:r w:rsidR="00561605">
        <w:rPr>
          <w:lang w:val="en-GB"/>
        </w:rPr>
        <w:t>,</w:t>
      </w:r>
      <w:r>
        <w:rPr>
          <w:lang w:val="en-GB"/>
        </w:rPr>
        <w:t xml:space="preserve"> we deconstruct various </w:t>
      </w:r>
      <w:r w:rsidR="00561605">
        <w:rPr>
          <w:lang w:val="en-GB"/>
        </w:rPr>
        <w:t xml:space="preserve">perversities </w:t>
      </w:r>
      <w:r>
        <w:rPr>
          <w:lang w:val="en-GB"/>
        </w:rPr>
        <w:t xml:space="preserve">in the development of </w:t>
      </w:r>
      <w:r w:rsidRPr="00561605">
        <w:rPr>
          <w:i/>
          <w:lang w:val="en-GB"/>
        </w:rPr>
        <w:t>IFRS for SMEs</w:t>
      </w:r>
      <w:r w:rsidR="00561605">
        <w:rPr>
          <w:lang w:val="en-GB"/>
        </w:rPr>
        <w:t xml:space="preserve">. Principally, the tension centres on the </w:t>
      </w:r>
      <w:r>
        <w:rPr>
          <w:lang w:val="en-GB"/>
        </w:rPr>
        <w:t>IASB</w:t>
      </w:r>
      <w:r w:rsidR="00561605">
        <w:rPr>
          <w:lang w:val="en-GB"/>
        </w:rPr>
        <w:t>’s choice to define the application of the standard to non-publicly accounta</w:t>
      </w:r>
      <w:r w:rsidR="005A6AC9">
        <w:rPr>
          <w:lang w:val="en-GB"/>
        </w:rPr>
        <w:t>ble</w:t>
      </w:r>
      <w:r w:rsidR="00561605">
        <w:rPr>
          <w:lang w:val="en-GB"/>
        </w:rPr>
        <w:t xml:space="preserve"> entities (in effect, </w:t>
      </w:r>
      <w:r>
        <w:rPr>
          <w:lang w:val="en-GB"/>
        </w:rPr>
        <w:t>unlisted entit</w:t>
      </w:r>
      <w:r w:rsidR="005A6AC9">
        <w:rPr>
          <w:lang w:val="en-GB"/>
        </w:rPr>
        <w:t>ies</w:t>
      </w:r>
      <w:r w:rsidR="00561605">
        <w:rPr>
          <w:lang w:val="en-GB"/>
        </w:rPr>
        <w:t xml:space="preserve">), but then chooses a </w:t>
      </w:r>
      <w:r>
        <w:rPr>
          <w:lang w:val="en-GB"/>
        </w:rPr>
        <w:t xml:space="preserve">title for the standard </w:t>
      </w:r>
      <w:r w:rsidR="00561605">
        <w:rPr>
          <w:lang w:val="en-GB"/>
        </w:rPr>
        <w:t xml:space="preserve">which </w:t>
      </w:r>
      <w:r>
        <w:rPr>
          <w:lang w:val="en-GB"/>
        </w:rPr>
        <w:t>includ</w:t>
      </w:r>
      <w:r w:rsidR="00561605">
        <w:rPr>
          <w:lang w:val="en-GB"/>
        </w:rPr>
        <w:t>es</w:t>
      </w:r>
      <w:r>
        <w:rPr>
          <w:lang w:val="en-GB"/>
        </w:rPr>
        <w:t xml:space="preserve"> the term </w:t>
      </w:r>
      <w:r w:rsidR="0088131F">
        <w:rPr>
          <w:lang w:val="en-GB"/>
        </w:rPr>
        <w:t>“</w:t>
      </w:r>
      <w:r>
        <w:rPr>
          <w:lang w:val="en-GB"/>
        </w:rPr>
        <w:t>SMEs</w:t>
      </w:r>
      <w:r w:rsidR="0088131F">
        <w:rPr>
          <w:lang w:val="en-GB"/>
        </w:rPr>
        <w:t>”</w:t>
      </w:r>
      <w:r w:rsidR="00561605">
        <w:rPr>
          <w:lang w:val="en-GB"/>
        </w:rPr>
        <w:t xml:space="preserve">. Thus, while the IASB wanted to avoid quantitative characteristics concerning </w:t>
      </w:r>
      <w:r>
        <w:rPr>
          <w:lang w:val="en-GB"/>
        </w:rPr>
        <w:t xml:space="preserve">size </w:t>
      </w:r>
      <w:r w:rsidR="00561605">
        <w:rPr>
          <w:lang w:val="en-GB"/>
        </w:rPr>
        <w:t xml:space="preserve">or scale in their </w:t>
      </w:r>
      <w:r>
        <w:rPr>
          <w:lang w:val="en-GB"/>
        </w:rPr>
        <w:t>definition</w:t>
      </w:r>
      <w:r w:rsidR="00561605">
        <w:rPr>
          <w:lang w:val="en-GB"/>
        </w:rPr>
        <w:t xml:space="preserve">, they reintroduce elements of this in how they title the standard. Subsequent to the definition of the standard, the IASB produce a </w:t>
      </w:r>
      <w:r>
        <w:rPr>
          <w:lang w:val="en-GB"/>
        </w:rPr>
        <w:t>guide for micro-entities</w:t>
      </w:r>
      <w:r w:rsidR="00561605">
        <w:rPr>
          <w:lang w:val="en-GB"/>
        </w:rPr>
        <w:t>, which</w:t>
      </w:r>
      <w:r>
        <w:rPr>
          <w:lang w:val="en-GB"/>
        </w:rPr>
        <w:t xml:space="preserve"> suggests that </w:t>
      </w:r>
      <w:r w:rsidRPr="00561605">
        <w:rPr>
          <w:i/>
          <w:lang w:val="en-GB"/>
        </w:rPr>
        <w:t>IFRS for SMEs</w:t>
      </w:r>
      <w:r>
        <w:rPr>
          <w:lang w:val="en-GB"/>
        </w:rPr>
        <w:t xml:space="preserve"> </w:t>
      </w:r>
      <w:r w:rsidR="00DC212D">
        <w:rPr>
          <w:lang w:val="en-GB"/>
        </w:rPr>
        <w:t>could be</w:t>
      </w:r>
      <w:r>
        <w:rPr>
          <w:lang w:val="en-GB"/>
        </w:rPr>
        <w:t xml:space="preserve"> relevant for those entities </w:t>
      </w:r>
      <w:r w:rsidR="0088131F">
        <w:rPr>
          <w:lang w:val="en-GB"/>
        </w:rPr>
        <w:t>“</w:t>
      </w:r>
      <w:r>
        <w:rPr>
          <w:lang w:val="en-GB"/>
        </w:rPr>
        <w:t>smaller than small</w:t>
      </w:r>
      <w:r w:rsidR="0088131F">
        <w:rPr>
          <w:lang w:val="en-GB"/>
        </w:rPr>
        <w:t>”</w:t>
      </w:r>
      <w:r w:rsidR="00F911F5">
        <w:rPr>
          <w:lang w:val="en-GB"/>
        </w:rPr>
        <w:t xml:space="preserve">. However, the guide </w:t>
      </w:r>
      <w:r w:rsidR="00DC212D">
        <w:rPr>
          <w:lang w:val="en-GB"/>
        </w:rPr>
        <w:t>is interconnected with the full standard</w:t>
      </w:r>
      <w:r>
        <w:rPr>
          <w:lang w:val="en-GB"/>
        </w:rPr>
        <w:t>.</w:t>
      </w:r>
      <w:r w:rsidR="00DC212D">
        <w:rPr>
          <w:lang w:val="en-GB"/>
        </w:rPr>
        <w:t xml:space="preserve"> </w:t>
      </w:r>
      <w:r w:rsidR="00F911F5">
        <w:rPr>
          <w:lang w:val="en-GB"/>
        </w:rPr>
        <w:t xml:space="preserve">Our empirical analysis </w:t>
      </w:r>
      <w:r w:rsidR="00DC212D">
        <w:rPr>
          <w:lang w:val="en-GB"/>
        </w:rPr>
        <w:t>explore</w:t>
      </w:r>
      <w:r w:rsidR="00F911F5">
        <w:rPr>
          <w:lang w:val="en-GB"/>
        </w:rPr>
        <w:t>s</w:t>
      </w:r>
      <w:r w:rsidR="00DC212D">
        <w:rPr>
          <w:lang w:val="en-GB"/>
        </w:rPr>
        <w:t xml:space="preserve"> the </w:t>
      </w:r>
      <w:r w:rsidR="00F911F5">
        <w:rPr>
          <w:lang w:val="en-GB"/>
        </w:rPr>
        <w:t xml:space="preserve">debate and dispute (the </w:t>
      </w:r>
      <w:r w:rsidR="00DC212D">
        <w:rPr>
          <w:lang w:val="en-GB"/>
        </w:rPr>
        <w:t>politics</w:t>
      </w:r>
      <w:r w:rsidR="00F911F5">
        <w:rPr>
          <w:lang w:val="en-GB"/>
        </w:rPr>
        <w:t>)</w:t>
      </w:r>
      <w:r w:rsidR="00DC212D">
        <w:rPr>
          <w:lang w:val="en-GB"/>
        </w:rPr>
        <w:t xml:space="preserve"> </w:t>
      </w:r>
      <w:r w:rsidR="00F911F5">
        <w:rPr>
          <w:lang w:val="en-GB"/>
        </w:rPr>
        <w:t xml:space="preserve">concerning </w:t>
      </w:r>
      <w:r w:rsidR="00DC212D">
        <w:rPr>
          <w:lang w:val="en-GB"/>
        </w:rPr>
        <w:t>these movements and inconsistencies</w:t>
      </w:r>
      <w:r w:rsidR="008920B2">
        <w:rPr>
          <w:lang w:val="en-GB"/>
        </w:rPr>
        <w:t xml:space="preserve"> within a framework of technocratic governance</w:t>
      </w:r>
      <w:r w:rsidR="00DC212D">
        <w:rPr>
          <w:lang w:val="en-GB"/>
        </w:rPr>
        <w:t xml:space="preserve">. </w:t>
      </w:r>
      <w:r w:rsidR="008920B2">
        <w:rPr>
          <w:lang w:val="en-GB"/>
        </w:rPr>
        <w:t xml:space="preserve">Other work on </w:t>
      </w:r>
      <w:r w:rsidR="008920B2" w:rsidRPr="00C92853">
        <w:rPr>
          <w:i/>
          <w:lang w:val="en-GB"/>
        </w:rPr>
        <w:t>IFRS for SMEs</w:t>
      </w:r>
      <w:r w:rsidR="008920B2">
        <w:rPr>
          <w:lang w:val="en-GB"/>
        </w:rPr>
        <w:t xml:space="preserve"> examine</w:t>
      </w:r>
      <w:r w:rsidR="00F911F5">
        <w:rPr>
          <w:lang w:val="en-GB"/>
        </w:rPr>
        <w:t xml:space="preserve">s </w:t>
      </w:r>
      <w:r w:rsidR="008920B2">
        <w:rPr>
          <w:lang w:val="en-GB"/>
        </w:rPr>
        <w:t xml:space="preserve">the perceived lack </w:t>
      </w:r>
      <w:r w:rsidR="00F911F5">
        <w:rPr>
          <w:lang w:val="en-GB"/>
        </w:rPr>
        <w:t xml:space="preserve">of </w:t>
      </w:r>
      <w:r w:rsidR="008920B2">
        <w:rPr>
          <w:lang w:val="en-GB"/>
        </w:rPr>
        <w:t xml:space="preserve">input from emerging economies and a critical examination of the IASB’s due process approach (Ram </w:t>
      </w:r>
      <w:r w:rsidR="00A272D9">
        <w:rPr>
          <w:lang w:val="en-GB"/>
        </w:rPr>
        <w:t>and</w:t>
      </w:r>
      <w:r w:rsidR="008920B2">
        <w:rPr>
          <w:lang w:val="en-GB"/>
        </w:rPr>
        <w:t xml:space="preserve"> Newberry, 2013; Devi </w:t>
      </w:r>
      <w:r w:rsidR="00A272D9">
        <w:rPr>
          <w:lang w:val="en-GB"/>
        </w:rPr>
        <w:t>and</w:t>
      </w:r>
      <w:r w:rsidR="008920B2">
        <w:rPr>
          <w:lang w:val="en-GB"/>
        </w:rPr>
        <w:t xml:space="preserve"> Samujh, 2015). </w:t>
      </w:r>
      <w:r w:rsidR="00F911F5">
        <w:rPr>
          <w:lang w:val="en-GB"/>
        </w:rPr>
        <w:t xml:space="preserve">We add to this work by </w:t>
      </w:r>
      <w:r w:rsidR="008920B2">
        <w:rPr>
          <w:lang w:val="en-GB"/>
        </w:rPr>
        <w:t>focus</w:t>
      </w:r>
      <w:r w:rsidR="00F911F5">
        <w:rPr>
          <w:lang w:val="en-GB"/>
        </w:rPr>
        <w:t>ing</w:t>
      </w:r>
      <w:r w:rsidR="008920B2">
        <w:rPr>
          <w:lang w:val="en-GB"/>
        </w:rPr>
        <w:t xml:space="preserve"> explicitly on how the standard came to be</w:t>
      </w:r>
      <w:r w:rsidR="00E43ED7">
        <w:rPr>
          <w:lang w:val="en-GB"/>
        </w:rPr>
        <w:t>, examining</w:t>
      </w:r>
      <w:r w:rsidR="008D3E7A">
        <w:rPr>
          <w:lang w:val="en-GB"/>
        </w:rPr>
        <w:t xml:space="preserve"> </w:t>
      </w:r>
      <w:r w:rsidR="00F911F5">
        <w:rPr>
          <w:lang w:val="en-GB"/>
        </w:rPr>
        <w:t xml:space="preserve">central moments internal to the production of the standard including </w:t>
      </w:r>
      <w:r w:rsidR="008D3E7A">
        <w:rPr>
          <w:lang w:val="en-GB"/>
        </w:rPr>
        <w:t>definin</w:t>
      </w:r>
      <w:r w:rsidR="00F911F5">
        <w:rPr>
          <w:lang w:val="en-GB"/>
        </w:rPr>
        <w:t>g the scope of the standard</w:t>
      </w:r>
      <w:r w:rsidR="008D3E7A">
        <w:rPr>
          <w:lang w:val="en-GB"/>
        </w:rPr>
        <w:t xml:space="preserve">, </w:t>
      </w:r>
      <w:r w:rsidR="00F911F5">
        <w:rPr>
          <w:lang w:val="en-GB"/>
        </w:rPr>
        <w:t xml:space="preserve">giving the standard a </w:t>
      </w:r>
      <w:r w:rsidR="008D3E7A">
        <w:rPr>
          <w:lang w:val="en-GB"/>
        </w:rPr>
        <w:t xml:space="preserve">title and </w:t>
      </w:r>
      <w:r w:rsidR="00F911F5">
        <w:rPr>
          <w:lang w:val="en-GB"/>
        </w:rPr>
        <w:t xml:space="preserve">producing a </w:t>
      </w:r>
      <w:r w:rsidR="008D3E7A">
        <w:rPr>
          <w:lang w:val="en-GB"/>
        </w:rPr>
        <w:t>micro-guide. Whilst we examine the</w:t>
      </w:r>
      <w:r w:rsidR="00F911F5">
        <w:rPr>
          <w:lang w:val="en-GB"/>
        </w:rPr>
        <w:t>se movements</w:t>
      </w:r>
      <w:r w:rsidR="008D3E7A">
        <w:rPr>
          <w:lang w:val="en-GB"/>
        </w:rPr>
        <w:t xml:space="preserve"> separately</w:t>
      </w:r>
      <w:r w:rsidR="00F911F5">
        <w:rPr>
          <w:lang w:val="en-GB"/>
        </w:rPr>
        <w:t xml:space="preserve">, we recognise that </w:t>
      </w:r>
      <w:r w:rsidR="008D3E7A">
        <w:rPr>
          <w:lang w:val="en-GB"/>
        </w:rPr>
        <w:t xml:space="preserve">they are interconnected movements </w:t>
      </w:r>
      <w:r w:rsidR="00F911F5">
        <w:rPr>
          <w:lang w:val="en-GB"/>
        </w:rPr>
        <w:t>that influence and inform each</w:t>
      </w:r>
      <w:r w:rsidR="008D3E7A">
        <w:rPr>
          <w:lang w:val="en-GB"/>
        </w:rPr>
        <w:t xml:space="preserve"> another</w:t>
      </w:r>
      <w:r w:rsidR="00F911F5">
        <w:rPr>
          <w:lang w:val="en-GB"/>
        </w:rPr>
        <w:t xml:space="preserve"> (</w:t>
      </w:r>
      <w:r w:rsidR="00F911F5">
        <w:rPr>
          <w:rFonts w:cs="Times New Roman"/>
          <w:lang w:val="en-GB"/>
        </w:rPr>
        <w:t>Czarniawska, 2000)</w:t>
      </w:r>
      <w:r w:rsidR="008D3E7A">
        <w:rPr>
          <w:lang w:val="en-GB"/>
        </w:rPr>
        <w:t>.</w:t>
      </w:r>
      <w:r w:rsidR="00E43ED7">
        <w:rPr>
          <w:lang w:val="en-GB"/>
        </w:rPr>
        <w:t xml:space="preserve"> </w:t>
      </w:r>
    </w:p>
    <w:p w14:paraId="1512EC99" w14:textId="77777777" w:rsidR="00E43ED7" w:rsidRDefault="00E43ED7" w:rsidP="00561605">
      <w:pPr>
        <w:jc w:val="both"/>
        <w:rPr>
          <w:lang w:val="en-GB"/>
        </w:rPr>
      </w:pPr>
    </w:p>
    <w:p w14:paraId="120B5F3C" w14:textId="3B7580A7" w:rsidR="00402981" w:rsidRDefault="005A6AC9" w:rsidP="00561605">
      <w:pPr>
        <w:jc w:val="both"/>
        <w:rPr>
          <w:lang w:val="en-GB"/>
        </w:rPr>
      </w:pPr>
      <w:r>
        <w:rPr>
          <w:lang w:val="en-GB"/>
        </w:rPr>
        <w:t>T</w:t>
      </w:r>
      <w:r w:rsidR="00200D64">
        <w:rPr>
          <w:lang w:val="en-GB"/>
        </w:rPr>
        <w:t xml:space="preserve">able 1 </w:t>
      </w:r>
      <w:r w:rsidR="00EB0197">
        <w:rPr>
          <w:lang w:val="en-GB"/>
        </w:rPr>
        <w:t>provides</w:t>
      </w:r>
      <w:r w:rsidR="00200D64">
        <w:rPr>
          <w:lang w:val="en-GB"/>
        </w:rPr>
        <w:t xml:space="preserve"> further detail on the chronology of the development of </w:t>
      </w:r>
      <w:r w:rsidR="00200D64" w:rsidRPr="00561605">
        <w:rPr>
          <w:i/>
          <w:lang w:val="en-GB"/>
        </w:rPr>
        <w:t>IFRS for SMEs</w:t>
      </w:r>
      <w:r w:rsidR="00200D64">
        <w:rPr>
          <w:lang w:val="en-GB"/>
        </w:rPr>
        <w:t>.</w:t>
      </w:r>
      <w:r w:rsidR="00402981">
        <w:rPr>
          <w:lang w:val="en-GB"/>
        </w:rPr>
        <w:t xml:space="preserve"> Throughout the development</w:t>
      </w:r>
      <w:r w:rsidR="00EB0197">
        <w:rPr>
          <w:lang w:val="en-GB"/>
        </w:rPr>
        <w:t xml:space="preserve"> process,</w:t>
      </w:r>
      <w:r w:rsidR="00402981">
        <w:rPr>
          <w:lang w:val="en-GB"/>
        </w:rPr>
        <w:t xml:space="preserve"> different definitions, titles and discourse were drawn on. There were many different views both internal and external to the IASB throughout the </w:t>
      </w:r>
      <w:r w:rsidR="00402981">
        <w:rPr>
          <w:lang w:val="en-GB"/>
        </w:rPr>
        <w:lastRenderedPageBreak/>
        <w:t xml:space="preserve">development of the standard regarding the definition, the title and the micro-guide, so we explore these views throughout the empirics. </w:t>
      </w:r>
      <w:r w:rsidR="006637BD">
        <w:rPr>
          <w:lang w:val="en-GB"/>
        </w:rPr>
        <w:t>We are aware that other bodies and contingencies were involved in this development, but we are interested in the IASB’s development and decisions for the standard, not the examination of other bodies. However, when decisions are made because of external aspects we have discussed this.</w:t>
      </w:r>
      <w:r w:rsidR="0048531E">
        <w:rPr>
          <w:lang w:val="en-GB"/>
        </w:rPr>
        <w:t xml:space="preserve"> </w:t>
      </w:r>
      <w:r w:rsidR="00402981">
        <w:rPr>
          <w:lang w:val="en-GB"/>
        </w:rPr>
        <w:t>We focus first on the politics of defining SMEs, second on the politics of n</w:t>
      </w:r>
      <w:r w:rsidR="00402981" w:rsidRPr="00402981">
        <w:rPr>
          <w:lang w:val="en-GB"/>
        </w:rPr>
        <w:t>aming the standard</w:t>
      </w:r>
      <w:r w:rsidR="00402981">
        <w:rPr>
          <w:lang w:val="en-GB"/>
        </w:rPr>
        <w:t xml:space="preserve"> and third on </w:t>
      </w:r>
      <w:r w:rsidR="00402981" w:rsidRPr="00402981">
        <w:rPr>
          <w:lang w:val="en-GB"/>
        </w:rPr>
        <w:t>the</w:t>
      </w:r>
      <w:r w:rsidR="00402981">
        <w:rPr>
          <w:lang w:val="en-GB"/>
        </w:rPr>
        <w:t xml:space="preserve"> guidance for micro-entities, all of which are interconnected and operate an implicit form of politics. </w:t>
      </w:r>
    </w:p>
    <w:p w14:paraId="5951365F" w14:textId="77777777" w:rsidR="00DD583F" w:rsidRPr="00CC6387" w:rsidRDefault="00DD583F" w:rsidP="008456E4">
      <w:pPr>
        <w:rPr>
          <w:lang w:val="en-GB"/>
        </w:rPr>
      </w:pPr>
    </w:p>
    <w:p w14:paraId="1B9FAF7C" w14:textId="339A5C27" w:rsidR="003608F0" w:rsidRDefault="00410582" w:rsidP="0048531E">
      <w:pPr>
        <w:pStyle w:val="Heading2"/>
        <w:rPr>
          <w:rFonts w:cs="Times New Roman"/>
          <w:b/>
          <w:lang w:val="en-GB"/>
        </w:rPr>
      </w:pPr>
      <w:r>
        <w:rPr>
          <w:b/>
          <w:lang w:val="en-GB"/>
        </w:rPr>
        <w:t>5</w:t>
      </w:r>
      <w:r w:rsidR="008F58A7" w:rsidRPr="0048531E">
        <w:rPr>
          <w:b/>
          <w:lang w:val="en-GB"/>
        </w:rPr>
        <w:t>.</w:t>
      </w:r>
      <w:r w:rsidR="00443CAF" w:rsidRPr="0048531E">
        <w:rPr>
          <w:b/>
          <w:lang w:val="en-GB"/>
        </w:rPr>
        <w:t>2</w:t>
      </w:r>
      <w:r w:rsidR="003608F0" w:rsidRPr="0048531E">
        <w:rPr>
          <w:b/>
          <w:lang w:val="en-GB"/>
        </w:rPr>
        <w:tab/>
      </w:r>
      <w:r w:rsidR="00206327">
        <w:rPr>
          <w:b/>
          <w:lang w:val="en-GB"/>
        </w:rPr>
        <w:t xml:space="preserve">Condensation: </w:t>
      </w:r>
      <w:r w:rsidR="003608F0" w:rsidRPr="0048531E">
        <w:rPr>
          <w:b/>
          <w:lang w:val="en-GB"/>
        </w:rPr>
        <w:t>Defining SMEs</w:t>
      </w:r>
      <w:r w:rsidR="003608F0" w:rsidRPr="0048531E">
        <w:rPr>
          <w:rFonts w:cs="Times New Roman"/>
          <w:b/>
          <w:lang w:val="en-GB"/>
        </w:rPr>
        <w:t xml:space="preserve"> </w:t>
      </w:r>
      <w:r w:rsidR="00A51666">
        <w:rPr>
          <w:rFonts w:cs="Times New Roman"/>
          <w:b/>
          <w:lang w:val="en-GB"/>
        </w:rPr>
        <w:t>(development)</w:t>
      </w:r>
    </w:p>
    <w:p w14:paraId="25D2C910" w14:textId="77777777" w:rsidR="00410582" w:rsidRPr="00854F2E" w:rsidRDefault="00410582" w:rsidP="0048531E">
      <w:pPr>
        <w:rPr>
          <w:lang w:val="en-GB"/>
        </w:rPr>
      </w:pPr>
    </w:p>
    <w:p w14:paraId="581BDAC6" w14:textId="6F6FC110" w:rsidR="003608F0" w:rsidRDefault="00410582" w:rsidP="008456E4">
      <w:pPr>
        <w:spacing w:after="120"/>
        <w:jc w:val="both"/>
        <w:rPr>
          <w:rFonts w:cs="Times New Roman"/>
          <w:lang w:val="en-GB"/>
        </w:rPr>
      </w:pPr>
      <w:r>
        <w:rPr>
          <w:rFonts w:cs="Times New Roman"/>
          <w:lang w:val="en-GB"/>
        </w:rPr>
        <w:t>Bodies external to the IASB have formulated a</w:t>
      </w:r>
      <w:r w:rsidR="003608F0">
        <w:rPr>
          <w:rFonts w:cs="Times New Roman"/>
          <w:lang w:val="en-GB"/>
        </w:rPr>
        <w:t xml:space="preserve"> myriad of definitions of SMEs</w:t>
      </w:r>
      <w:r w:rsidR="00402981">
        <w:rPr>
          <w:rFonts w:cs="Times New Roman"/>
          <w:lang w:val="en-GB"/>
        </w:rPr>
        <w:t>, each of which ha</w:t>
      </w:r>
      <w:r>
        <w:rPr>
          <w:rFonts w:cs="Times New Roman"/>
          <w:lang w:val="en-GB"/>
        </w:rPr>
        <w:t>s</w:t>
      </w:r>
      <w:r w:rsidR="00402981">
        <w:rPr>
          <w:rFonts w:cs="Times New Roman"/>
          <w:lang w:val="en-GB"/>
        </w:rPr>
        <w:t xml:space="preserve"> been debated at length and in different setting</w:t>
      </w:r>
      <w:r w:rsidR="005F437D">
        <w:rPr>
          <w:rFonts w:cs="Times New Roman"/>
          <w:lang w:val="en-GB"/>
        </w:rPr>
        <w:t>s</w:t>
      </w:r>
      <w:r w:rsidR="0048531E">
        <w:rPr>
          <w:rFonts w:cs="Times New Roman"/>
          <w:lang w:val="en-GB"/>
        </w:rPr>
        <w:t>.</w:t>
      </w:r>
      <w:r>
        <w:rPr>
          <w:rFonts w:cs="Times New Roman"/>
          <w:lang w:val="en-GB"/>
        </w:rPr>
        <w:t xml:space="preserve"> To exemplify this, </w:t>
      </w:r>
      <w:r w:rsidR="003608F0">
        <w:rPr>
          <w:rFonts w:cs="Times New Roman"/>
          <w:lang w:val="en-GB"/>
        </w:rPr>
        <w:t>Table 3 depicts SME definitions from the ASEAN region, key trading partners and relevant IFIs.</w:t>
      </w:r>
    </w:p>
    <w:p w14:paraId="3FA4B6A5" w14:textId="77777777" w:rsidR="003608F0" w:rsidRPr="00E176CF" w:rsidRDefault="003608F0" w:rsidP="008456E4">
      <w:pPr>
        <w:pStyle w:val="BodyTextIndent2"/>
        <w:spacing w:after="120"/>
        <w:ind w:firstLine="0"/>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4384" behindDoc="0" locked="0" layoutInCell="1" allowOverlap="1" wp14:anchorId="34F82250" wp14:editId="2E4922D1">
                <wp:simplePos x="0" y="0"/>
                <wp:positionH relativeFrom="column">
                  <wp:posOffset>1645920</wp:posOffset>
                </wp:positionH>
                <wp:positionV relativeFrom="paragraph">
                  <wp:posOffset>206375</wp:posOffset>
                </wp:positionV>
                <wp:extent cx="24003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91BC8"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9.6pt,16.25pt" to="318.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" strokecolor="#4472c4 [3204]" strokeweight=".5pt">
                <v:stroke joinstyle="miter"/>
              </v:line>
            </w:pict>
          </mc:Fallback>
        </mc:AlternateContent>
      </w:r>
      <w:r w:rsidRPr="00C64E58">
        <w:rPr>
          <w:lang w:val="en-GB"/>
        </w:rPr>
        <w:tab/>
      </w:r>
    </w:p>
    <w:p w14:paraId="2CFFB42E" w14:textId="6FECB034" w:rsidR="003608F0" w:rsidRPr="00F57E04" w:rsidRDefault="003608F0"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3360" behindDoc="0" locked="0" layoutInCell="1" allowOverlap="1" wp14:anchorId="46C977E7" wp14:editId="3A09B9CD">
                <wp:simplePos x="0" y="0"/>
                <wp:positionH relativeFrom="column">
                  <wp:posOffset>1630680</wp:posOffset>
                </wp:positionH>
                <wp:positionV relativeFrom="paragraph">
                  <wp:posOffset>243840</wp:posOffset>
                </wp:positionV>
                <wp:extent cx="24003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3E1BDC" id="Straight Connector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TABLE 3 </w:t>
      </w:r>
    </w:p>
    <w:p w14:paraId="68B01330" w14:textId="77777777" w:rsidR="003608F0" w:rsidRDefault="003608F0" w:rsidP="008456E4">
      <w:pPr>
        <w:spacing w:after="120"/>
        <w:jc w:val="both"/>
        <w:rPr>
          <w:rFonts w:cs="Times New Roman"/>
          <w:lang w:val="en-GB"/>
        </w:rPr>
      </w:pPr>
    </w:p>
    <w:p w14:paraId="45DD0768" w14:textId="2BCD9057" w:rsidR="003608F0" w:rsidRDefault="003608F0" w:rsidP="008456E4">
      <w:pPr>
        <w:jc w:val="both"/>
        <w:rPr>
          <w:rFonts w:cs="Times New Roman"/>
          <w:lang w:val="en-GB"/>
        </w:rPr>
      </w:pPr>
      <w:r>
        <w:rPr>
          <w:rFonts w:cs="Times New Roman"/>
          <w:lang w:val="en-GB"/>
        </w:rPr>
        <w:t>This demonstrates that regulating SMEs is complex and arbitrary. Our interviewees reflected this complexity</w:t>
      </w:r>
      <w:r w:rsidR="00410582">
        <w:rPr>
          <w:rFonts w:cs="Times New Roman"/>
          <w:lang w:val="en-GB"/>
        </w:rPr>
        <w:t>,</w:t>
      </w:r>
      <w:r>
        <w:rPr>
          <w:rFonts w:cs="Times New Roman"/>
          <w:lang w:val="en-GB"/>
        </w:rPr>
        <w:t xml:space="preserve"> referring to a range of quantitative definitional features including</w:t>
      </w:r>
      <w:r w:rsidRPr="00E176CF">
        <w:rPr>
          <w:rFonts w:cs="Times New Roman"/>
          <w:lang w:val="en-GB"/>
        </w:rPr>
        <w:t xml:space="preserve"> </w:t>
      </w:r>
      <w:r w:rsidR="0088131F">
        <w:rPr>
          <w:rFonts w:cs="Times New Roman"/>
          <w:lang w:val="en-GB"/>
        </w:rPr>
        <w:t>“</w:t>
      </w:r>
      <w:r w:rsidRPr="00E176CF">
        <w:rPr>
          <w:rFonts w:cs="Times New Roman"/>
          <w:lang w:val="en-GB"/>
        </w:rPr>
        <w:t>national legi</w:t>
      </w:r>
      <w:r>
        <w:rPr>
          <w:rFonts w:cs="Times New Roman"/>
          <w:lang w:val="en-GB"/>
        </w:rPr>
        <w:t>slation</w:t>
      </w:r>
      <w:r w:rsidR="0088131F">
        <w:rPr>
          <w:rFonts w:cs="Times New Roman"/>
          <w:lang w:val="en-GB"/>
        </w:rPr>
        <w:t>”</w:t>
      </w:r>
      <w:r>
        <w:rPr>
          <w:rFonts w:cs="Times New Roman"/>
          <w:lang w:val="en-GB"/>
        </w:rPr>
        <w:t xml:space="preserve"> (Interviewee 1), </w:t>
      </w:r>
      <w:r w:rsidR="0088131F">
        <w:rPr>
          <w:rFonts w:cs="Times New Roman"/>
          <w:lang w:val="en-GB"/>
        </w:rPr>
        <w:t>“</w:t>
      </w:r>
      <w:r>
        <w:rPr>
          <w:rFonts w:cs="Times New Roman"/>
          <w:lang w:val="en-GB"/>
        </w:rPr>
        <w:t>size</w:t>
      </w:r>
      <w:r w:rsidR="0088131F">
        <w:rPr>
          <w:rFonts w:cs="Times New Roman"/>
          <w:lang w:val="en-GB"/>
        </w:rPr>
        <w:t>”</w:t>
      </w:r>
      <w:r>
        <w:rPr>
          <w:rFonts w:cs="Times New Roman"/>
          <w:lang w:val="en-GB"/>
        </w:rPr>
        <w:t xml:space="preserve"> </w:t>
      </w:r>
      <w:r w:rsidRPr="00E176CF">
        <w:rPr>
          <w:rFonts w:cs="Times New Roman"/>
          <w:lang w:val="en-GB"/>
        </w:rPr>
        <w:t xml:space="preserve">(Interviewee 10), </w:t>
      </w:r>
      <w:r w:rsidR="0088131F">
        <w:rPr>
          <w:rFonts w:cs="Times New Roman"/>
          <w:lang w:val="en-GB"/>
        </w:rPr>
        <w:t>“</w:t>
      </w:r>
      <w:r w:rsidRPr="00E176CF">
        <w:rPr>
          <w:rFonts w:cs="Times New Roman"/>
          <w:lang w:val="en-GB"/>
        </w:rPr>
        <w:t>own purpose</w:t>
      </w:r>
      <w:r>
        <w:rPr>
          <w:rFonts w:cs="Times New Roman"/>
          <w:lang w:val="en-GB"/>
        </w:rPr>
        <w:t xml:space="preserve"> [definitions]</w:t>
      </w:r>
      <w:r w:rsidR="0088131F">
        <w:rPr>
          <w:rFonts w:cs="Times New Roman"/>
          <w:lang w:val="en-GB"/>
        </w:rPr>
        <w:t>”</w:t>
      </w:r>
      <w:r w:rsidRPr="00E176CF">
        <w:rPr>
          <w:rFonts w:cs="Times New Roman"/>
          <w:lang w:val="en-GB"/>
        </w:rPr>
        <w:t xml:space="preserve"> (Interviewee 11), </w:t>
      </w:r>
      <w:r w:rsidR="0088131F">
        <w:rPr>
          <w:rFonts w:cs="Times New Roman"/>
          <w:lang w:val="en-GB"/>
        </w:rPr>
        <w:t>“</w:t>
      </w:r>
      <w:r w:rsidRPr="00E176CF">
        <w:rPr>
          <w:rFonts w:cs="Times New Roman"/>
          <w:lang w:val="en-GB"/>
        </w:rPr>
        <w:t>threshold, revenue, number of employees</w:t>
      </w:r>
      <w:r>
        <w:rPr>
          <w:rFonts w:cs="Times New Roman"/>
          <w:lang w:val="en-GB"/>
        </w:rPr>
        <w:t xml:space="preserve"> </w:t>
      </w:r>
      <w:r w:rsidRPr="00E176CF">
        <w:rPr>
          <w:rFonts w:cs="Times New Roman"/>
          <w:lang w:val="en-GB"/>
        </w:rPr>
        <w:t>… private entities</w:t>
      </w:r>
      <w:r w:rsidR="0088131F">
        <w:rPr>
          <w:rFonts w:cs="Times New Roman"/>
          <w:lang w:val="en-GB"/>
        </w:rPr>
        <w:t>”</w:t>
      </w:r>
      <w:r w:rsidRPr="00E176CF">
        <w:rPr>
          <w:rFonts w:cs="Times New Roman"/>
          <w:lang w:val="en-GB"/>
        </w:rPr>
        <w:t xml:space="preserve"> (Interviewee 16), </w:t>
      </w:r>
      <w:r w:rsidR="0088131F">
        <w:rPr>
          <w:rFonts w:cs="Times New Roman"/>
          <w:lang w:val="en-GB"/>
        </w:rPr>
        <w:t>“</w:t>
      </w:r>
      <w:r w:rsidRPr="00E176CF">
        <w:rPr>
          <w:rFonts w:cs="Times New Roman"/>
          <w:lang w:val="en-GB"/>
        </w:rPr>
        <w:t>European legislation</w:t>
      </w:r>
      <w:r w:rsidR="0088131F">
        <w:rPr>
          <w:rFonts w:cs="Times New Roman"/>
          <w:lang w:val="en-GB"/>
        </w:rPr>
        <w:t>”</w:t>
      </w:r>
      <w:r>
        <w:rPr>
          <w:rFonts w:cs="Times New Roman"/>
          <w:lang w:val="en-GB"/>
        </w:rPr>
        <w:t xml:space="preserve"> </w:t>
      </w:r>
      <w:r w:rsidRPr="00E176CF">
        <w:rPr>
          <w:rFonts w:cs="Times New Roman"/>
          <w:lang w:val="en-GB"/>
        </w:rPr>
        <w:t xml:space="preserve">(Interviewee 2) </w:t>
      </w:r>
      <w:r>
        <w:rPr>
          <w:rFonts w:cs="Times New Roman"/>
          <w:lang w:val="en-GB"/>
        </w:rPr>
        <w:t xml:space="preserve">and </w:t>
      </w:r>
      <w:r w:rsidR="0088131F">
        <w:rPr>
          <w:rFonts w:cs="Times New Roman"/>
          <w:lang w:val="en-GB"/>
        </w:rPr>
        <w:t>“</w:t>
      </w:r>
      <w:r w:rsidRPr="00E176CF">
        <w:rPr>
          <w:rFonts w:cs="Times New Roman"/>
          <w:lang w:val="en-GB"/>
        </w:rPr>
        <w:t>employees</w:t>
      </w:r>
      <w:r w:rsidR="0088131F">
        <w:rPr>
          <w:rFonts w:cs="Times New Roman"/>
          <w:lang w:val="en-GB"/>
        </w:rPr>
        <w:t>”</w:t>
      </w:r>
      <w:r w:rsidRPr="00E176CF">
        <w:rPr>
          <w:rFonts w:cs="Times New Roman"/>
          <w:lang w:val="en-GB"/>
        </w:rPr>
        <w:t xml:space="preserve"> (Interviewee 4). </w:t>
      </w:r>
      <w:r>
        <w:rPr>
          <w:rFonts w:cs="Times New Roman"/>
          <w:lang w:val="en-GB"/>
        </w:rPr>
        <w:t xml:space="preserve">Each competing definition of SMEs is antagonistic, but the IASB, as technocratic expert, set itself the task of articulating an appropriate regulatory framework for SME accounting. The </w:t>
      </w:r>
      <w:r>
        <w:rPr>
          <w:rFonts w:cs="Times New Roman"/>
          <w:i/>
          <w:lang w:val="en-GB"/>
        </w:rPr>
        <w:t xml:space="preserve">IFRS for </w:t>
      </w:r>
      <w:r w:rsidRPr="00324D36">
        <w:rPr>
          <w:rFonts w:cs="Times New Roman"/>
          <w:i/>
          <w:lang w:val="en-GB"/>
        </w:rPr>
        <w:t>SMEs</w:t>
      </w:r>
      <w:r>
        <w:rPr>
          <w:rFonts w:cs="Times New Roman"/>
          <w:lang w:val="en-GB"/>
        </w:rPr>
        <w:t xml:space="preserve"> project was complex and </w:t>
      </w:r>
      <w:r w:rsidR="00410582">
        <w:rPr>
          <w:rFonts w:cs="Times New Roman"/>
          <w:lang w:val="en-GB"/>
        </w:rPr>
        <w:t xml:space="preserve">the IStaR observer notes show that </w:t>
      </w:r>
      <w:r>
        <w:rPr>
          <w:rFonts w:cs="Times New Roman"/>
          <w:lang w:val="en-GB"/>
        </w:rPr>
        <w:t>32 IASB meetings from the 45 across the period</w:t>
      </w:r>
      <w:r w:rsidR="00410582">
        <w:rPr>
          <w:rFonts w:cs="Times New Roman"/>
          <w:lang w:val="en-GB"/>
        </w:rPr>
        <w:t xml:space="preserve"> 2003-2009</w:t>
      </w:r>
      <w:r>
        <w:rPr>
          <w:rFonts w:cs="Times New Roman"/>
          <w:lang w:val="en-GB"/>
        </w:rPr>
        <w:t xml:space="preserve"> discussed </w:t>
      </w:r>
      <w:r w:rsidRPr="00456158">
        <w:rPr>
          <w:rFonts w:cs="Times New Roman"/>
          <w:i/>
          <w:lang w:val="en-GB"/>
        </w:rPr>
        <w:t>IFRS for SMEs</w:t>
      </w:r>
      <w:r>
        <w:rPr>
          <w:rFonts w:cs="Times New Roman"/>
          <w:lang w:val="en-GB"/>
        </w:rPr>
        <w:t>.</w:t>
      </w:r>
      <w:r w:rsidRPr="00E176CF">
        <w:rPr>
          <w:rFonts w:cs="Times New Roman"/>
          <w:lang w:val="en-GB"/>
        </w:rPr>
        <w:t xml:space="preserve"> </w:t>
      </w:r>
      <w:r>
        <w:rPr>
          <w:rFonts w:cs="Times New Roman"/>
          <w:lang w:val="en-GB"/>
        </w:rPr>
        <w:t xml:space="preserve">This is </w:t>
      </w:r>
      <w:r w:rsidR="00410582">
        <w:rPr>
          <w:rFonts w:cs="Times New Roman"/>
          <w:lang w:val="en-GB"/>
        </w:rPr>
        <w:t xml:space="preserve">highlighted </w:t>
      </w:r>
      <w:r>
        <w:rPr>
          <w:rFonts w:cs="Times New Roman"/>
          <w:lang w:val="en-GB"/>
        </w:rPr>
        <w:t>by Interviewee 3</w:t>
      </w:r>
      <w:r w:rsidR="00C0071A">
        <w:rPr>
          <w:rFonts w:cs="Times New Roman"/>
          <w:lang w:val="en-GB"/>
        </w:rPr>
        <w:t>,</w:t>
      </w:r>
      <w:r w:rsidR="00AF71D0">
        <w:rPr>
          <w:rFonts w:cs="Times New Roman"/>
          <w:lang w:val="en-GB"/>
        </w:rPr>
        <w:t xml:space="preserve"> who gave feedback </w:t>
      </w:r>
      <w:r w:rsidR="00C92853">
        <w:rPr>
          <w:rFonts w:cs="Times New Roman"/>
          <w:lang w:val="en-GB"/>
        </w:rPr>
        <w:t xml:space="preserve">to the IASB </w:t>
      </w:r>
      <w:r w:rsidR="00AF71D0">
        <w:rPr>
          <w:rFonts w:cs="Times New Roman"/>
          <w:lang w:val="en-GB"/>
        </w:rPr>
        <w:t xml:space="preserve">on </w:t>
      </w:r>
      <w:r w:rsidR="00AF71D0" w:rsidRPr="00C92853">
        <w:rPr>
          <w:rFonts w:cs="Times New Roman"/>
          <w:i/>
          <w:lang w:val="en-GB"/>
        </w:rPr>
        <w:t>IFRS for SMEs</w:t>
      </w:r>
      <w:r w:rsidR="00AF71D0">
        <w:rPr>
          <w:rFonts w:cs="Times New Roman"/>
          <w:lang w:val="en-GB"/>
        </w:rPr>
        <w:t xml:space="preserve"> and was involved in the due process:</w:t>
      </w:r>
    </w:p>
    <w:p w14:paraId="4B71FAFF" w14:textId="77777777" w:rsidR="003608F0" w:rsidRDefault="003608F0" w:rsidP="008456E4">
      <w:pPr>
        <w:jc w:val="both"/>
        <w:rPr>
          <w:rFonts w:cs="Times New Roman"/>
          <w:lang w:val="en-GB"/>
        </w:rPr>
      </w:pPr>
    </w:p>
    <w:p w14:paraId="6EB6D6C9" w14:textId="77777777" w:rsidR="003608F0" w:rsidRDefault="003608F0" w:rsidP="0048531E">
      <w:pPr>
        <w:ind w:left="720" w:right="720"/>
        <w:jc w:val="both"/>
        <w:rPr>
          <w:rFonts w:cs="Times New Roman"/>
          <w:sz w:val="20"/>
          <w:szCs w:val="20"/>
          <w:lang w:val="en-GB"/>
        </w:rPr>
      </w:pPr>
      <w:r w:rsidRPr="00E176CF">
        <w:rPr>
          <w:rFonts w:cs="Times New Roman"/>
          <w:sz w:val="20"/>
          <w:szCs w:val="20"/>
          <w:lang w:val="en-GB"/>
        </w:rPr>
        <w:t xml:space="preserve">… the standard setters for years weren’t even really sure what they were talking about, </w:t>
      </w:r>
      <w:r w:rsidRPr="006C3F63">
        <w:rPr>
          <w:rFonts w:cs="Times New Roman"/>
          <w:b/>
          <w:sz w:val="20"/>
          <w:szCs w:val="20"/>
          <w:lang w:val="en-GB"/>
        </w:rPr>
        <w:t>are they talking about companies with 50 employees or with 500.</w:t>
      </w:r>
      <w:r w:rsidRPr="00E176CF">
        <w:rPr>
          <w:rFonts w:cs="Times New Roman"/>
          <w:sz w:val="20"/>
          <w:szCs w:val="20"/>
          <w:lang w:val="en-GB"/>
        </w:rPr>
        <w:t xml:space="preserve"> And I think that they got the right answer</w:t>
      </w:r>
      <w:r w:rsidRPr="006C3F63">
        <w:rPr>
          <w:rFonts w:cs="Times New Roman"/>
          <w:b/>
          <w:sz w:val="20"/>
          <w:szCs w:val="20"/>
          <w:lang w:val="en-GB"/>
        </w:rPr>
        <w:t>, the right answer is nothing really to do with size</w:t>
      </w:r>
      <w:r>
        <w:rPr>
          <w:rFonts w:cs="Times New Roman"/>
          <w:sz w:val="20"/>
          <w:szCs w:val="20"/>
          <w:lang w:val="en-GB"/>
        </w:rPr>
        <w:t xml:space="preserve"> </w:t>
      </w:r>
      <w:r w:rsidRPr="00E176CF">
        <w:rPr>
          <w:rFonts w:cs="Times New Roman"/>
          <w:sz w:val="20"/>
          <w:szCs w:val="20"/>
          <w:lang w:val="en-GB"/>
        </w:rPr>
        <w:t xml:space="preserve">… The only sensible distinction is between listed and not listed and that is where they eventually arrived, though of course </w:t>
      </w:r>
      <w:r w:rsidRPr="006C3F63">
        <w:rPr>
          <w:rFonts w:cs="Times New Roman"/>
          <w:b/>
          <w:sz w:val="20"/>
          <w:szCs w:val="20"/>
          <w:lang w:val="en-GB"/>
        </w:rPr>
        <w:t>the title never quite got there, so it stayed as SMEs which is unfortunately misleading</w:t>
      </w:r>
      <w:r w:rsidRPr="00E176CF">
        <w:rPr>
          <w:rFonts w:cs="Times New Roman"/>
          <w:sz w:val="20"/>
          <w:szCs w:val="20"/>
          <w:lang w:val="en-GB"/>
        </w:rPr>
        <w:t>.</w:t>
      </w:r>
    </w:p>
    <w:p w14:paraId="775AC82A" w14:textId="77777777" w:rsidR="003608F0" w:rsidRPr="00E176CF" w:rsidRDefault="003608F0" w:rsidP="0048531E">
      <w:pPr>
        <w:ind w:left="720" w:right="720"/>
        <w:jc w:val="both"/>
        <w:rPr>
          <w:rFonts w:cs="Times New Roman"/>
          <w:sz w:val="20"/>
          <w:szCs w:val="20"/>
          <w:lang w:val="en-GB"/>
        </w:rPr>
      </w:pPr>
    </w:p>
    <w:p w14:paraId="70BDE9DE" w14:textId="61C83B47" w:rsidR="003608F0" w:rsidRDefault="003608F0" w:rsidP="00811677">
      <w:pPr>
        <w:jc w:val="both"/>
        <w:rPr>
          <w:rFonts w:cs="Times New Roman"/>
          <w:lang w:val="en-GB"/>
        </w:rPr>
      </w:pPr>
      <w:r>
        <w:rPr>
          <w:rFonts w:cs="Times New Roman"/>
          <w:lang w:val="en-GB"/>
        </w:rPr>
        <w:t>Interviewee 3 de</w:t>
      </w:r>
      <w:r w:rsidR="00C92853">
        <w:rPr>
          <w:rFonts w:cs="Times New Roman"/>
          <w:lang w:val="en-GB"/>
        </w:rPr>
        <w:t xml:space="preserve">picts </w:t>
      </w:r>
      <w:r>
        <w:rPr>
          <w:rFonts w:cs="Times New Roman"/>
          <w:lang w:val="en-GB"/>
        </w:rPr>
        <w:t xml:space="preserve">a definitional debate centred on size (the 50-employee rule) and function (non-public accountability). </w:t>
      </w:r>
      <w:r w:rsidRPr="00E176CF">
        <w:rPr>
          <w:rFonts w:cs="Times New Roman"/>
          <w:lang w:val="en-GB"/>
        </w:rPr>
        <w:t xml:space="preserve">Interviewee 3 </w:t>
      </w:r>
      <w:r>
        <w:rPr>
          <w:rFonts w:cs="Times New Roman"/>
          <w:lang w:val="en-GB"/>
        </w:rPr>
        <w:t xml:space="preserve">suggests the IASB was correct in focusing on </w:t>
      </w:r>
      <w:r w:rsidR="0048531E">
        <w:rPr>
          <w:rFonts w:cs="Times New Roman"/>
          <w:lang w:val="en-GB"/>
        </w:rPr>
        <w:t>non-public accountability</w:t>
      </w:r>
      <w:r>
        <w:rPr>
          <w:rFonts w:cs="Times New Roman"/>
          <w:lang w:val="en-GB"/>
        </w:rPr>
        <w:t>, which reinforces the IASB as technocratic expert</w:t>
      </w:r>
      <w:r w:rsidR="00410582">
        <w:rPr>
          <w:rFonts w:cs="Times New Roman"/>
          <w:lang w:val="en-GB"/>
        </w:rPr>
        <w:t>. However,</w:t>
      </w:r>
      <w:r>
        <w:rPr>
          <w:rFonts w:cs="Times New Roman"/>
          <w:lang w:val="en-GB"/>
        </w:rPr>
        <w:t xml:space="preserve"> the IASB caused confusi</w:t>
      </w:r>
      <w:r w:rsidR="00410582">
        <w:rPr>
          <w:rFonts w:cs="Times New Roman"/>
          <w:lang w:val="en-GB"/>
        </w:rPr>
        <w:t>on</w:t>
      </w:r>
      <w:r>
        <w:rPr>
          <w:rFonts w:cs="Times New Roman"/>
          <w:lang w:val="en-GB"/>
        </w:rPr>
        <w:t xml:space="preserve"> by titling the standard </w:t>
      </w:r>
      <w:r>
        <w:rPr>
          <w:rFonts w:cs="Times New Roman"/>
          <w:i/>
          <w:lang w:val="en-GB"/>
        </w:rPr>
        <w:t>IFRS for SMEs</w:t>
      </w:r>
      <w:r w:rsidR="00410582">
        <w:rPr>
          <w:rFonts w:cs="Times New Roman"/>
          <w:lang w:val="en-GB"/>
        </w:rPr>
        <w:t>, implying a size-based</w:t>
      </w:r>
      <w:r w:rsidR="00D755C9">
        <w:rPr>
          <w:rFonts w:cs="Times New Roman"/>
          <w:lang w:val="en-GB"/>
        </w:rPr>
        <w:t>,</w:t>
      </w:r>
      <w:r w:rsidR="00410582">
        <w:rPr>
          <w:rFonts w:cs="Times New Roman"/>
          <w:lang w:val="en-GB"/>
        </w:rPr>
        <w:t xml:space="preserve"> rather than functional definition</w:t>
      </w:r>
      <w:r>
        <w:rPr>
          <w:rFonts w:cs="Times New Roman"/>
          <w:i/>
          <w:lang w:val="en-GB"/>
        </w:rPr>
        <w:t xml:space="preserve">. </w:t>
      </w:r>
      <w:r w:rsidR="00D4639C" w:rsidRPr="000539EA">
        <w:rPr>
          <w:rFonts w:cs="Times New Roman"/>
          <w:lang w:val="en-GB"/>
        </w:rPr>
        <w:t>Whil</w:t>
      </w:r>
      <w:r w:rsidR="000539EA">
        <w:rPr>
          <w:rFonts w:cs="Times New Roman"/>
          <w:lang w:val="en-GB"/>
        </w:rPr>
        <w:t>e</w:t>
      </w:r>
      <w:r w:rsidR="00D4639C" w:rsidRPr="000539EA">
        <w:rPr>
          <w:rFonts w:cs="Times New Roman"/>
          <w:lang w:val="en-GB"/>
        </w:rPr>
        <w:t xml:space="preserve"> there are many ways of defining SMEs</w:t>
      </w:r>
      <w:r w:rsidR="00410582">
        <w:rPr>
          <w:rFonts w:cs="Times New Roman"/>
          <w:lang w:val="en-GB"/>
        </w:rPr>
        <w:t xml:space="preserve"> (see Table 3)</w:t>
      </w:r>
      <w:r w:rsidR="00D4639C" w:rsidRPr="000539EA">
        <w:rPr>
          <w:rFonts w:cs="Times New Roman"/>
          <w:lang w:val="en-GB"/>
        </w:rPr>
        <w:t>, the IASB</w:t>
      </w:r>
      <w:r w:rsidR="000539EA">
        <w:rPr>
          <w:rFonts w:cs="Times New Roman"/>
          <w:lang w:val="en-GB"/>
        </w:rPr>
        <w:t xml:space="preserve"> condense</w:t>
      </w:r>
      <w:r w:rsidR="00410582">
        <w:rPr>
          <w:rFonts w:cs="Times New Roman"/>
          <w:lang w:val="en-GB"/>
        </w:rPr>
        <w:t>d</w:t>
      </w:r>
      <w:r w:rsidR="000539EA">
        <w:rPr>
          <w:rFonts w:cs="Times New Roman"/>
          <w:lang w:val="en-GB"/>
        </w:rPr>
        <w:t xml:space="preserve"> these debates</w:t>
      </w:r>
      <w:r w:rsidR="00410582">
        <w:rPr>
          <w:rFonts w:cs="Times New Roman"/>
          <w:lang w:val="en-GB"/>
        </w:rPr>
        <w:t xml:space="preserve"> over definition</w:t>
      </w:r>
      <w:r w:rsidR="000539EA">
        <w:rPr>
          <w:rFonts w:cs="Times New Roman"/>
          <w:lang w:val="en-GB"/>
        </w:rPr>
        <w:t xml:space="preserve"> by</w:t>
      </w:r>
      <w:r w:rsidR="00D4639C" w:rsidRPr="000539EA">
        <w:rPr>
          <w:rFonts w:cs="Times New Roman"/>
          <w:lang w:val="en-GB"/>
        </w:rPr>
        <w:t xml:space="preserve"> focus</w:t>
      </w:r>
      <w:r w:rsidR="000539EA">
        <w:rPr>
          <w:rFonts w:cs="Times New Roman"/>
          <w:lang w:val="en-GB"/>
        </w:rPr>
        <w:t>ing</w:t>
      </w:r>
      <w:r w:rsidR="00D4639C" w:rsidRPr="000539EA">
        <w:rPr>
          <w:rFonts w:cs="Times New Roman"/>
          <w:lang w:val="en-GB"/>
        </w:rPr>
        <w:t xml:space="preserve"> on </w:t>
      </w:r>
      <w:r w:rsidR="00EB0197">
        <w:rPr>
          <w:rFonts w:cs="Times New Roman"/>
          <w:lang w:val="en-GB"/>
        </w:rPr>
        <w:t xml:space="preserve">number of </w:t>
      </w:r>
      <w:r w:rsidR="00D4639C" w:rsidRPr="000539EA">
        <w:rPr>
          <w:rFonts w:cs="Times New Roman"/>
          <w:lang w:val="en-GB"/>
        </w:rPr>
        <w:t>employee</w:t>
      </w:r>
      <w:r w:rsidR="00EB0197">
        <w:rPr>
          <w:rFonts w:cs="Times New Roman"/>
          <w:lang w:val="en-GB"/>
        </w:rPr>
        <w:t>s</w:t>
      </w:r>
      <w:r w:rsidR="00D4639C" w:rsidRPr="000539EA">
        <w:rPr>
          <w:rFonts w:cs="Times New Roman"/>
          <w:lang w:val="en-GB"/>
        </w:rPr>
        <w:t xml:space="preserve"> and public accountability</w:t>
      </w:r>
      <w:r w:rsidR="000539EA">
        <w:rPr>
          <w:rFonts w:cs="Times New Roman"/>
          <w:lang w:val="en-GB"/>
        </w:rPr>
        <w:t xml:space="preserve">. This condensation becomes the focus of our </w:t>
      </w:r>
      <w:r w:rsidR="00D4639C" w:rsidRPr="000539EA">
        <w:rPr>
          <w:rFonts w:cs="Times New Roman"/>
          <w:lang w:val="en-GB"/>
        </w:rPr>
        <w:t xml:space="preserve">paper. This is not to say that </w:t>
      </w:r>
      <w:r w:rsidR="00B05C90" w:rsidRPr="000539EA">
        <w:rPr>
          <w:rFonts w:cs="Times New Roman"/>
          <w:lang w:val="en-GB"/>
        </w:rPr>
        <w:t xml:space="preserve">other ways of defining SMEs are not </w:t>
      </w:r>
      <w:r w:rsidR="000539EA">
        <w:rPr>
          <w:rFonts w:cs="Times New Roman"/>
          <w:lang w:val="en-GB"/>
        </w:rPr>
        <w:t xml:space="preserve">important in </w:t>
      </w:r>
      <w:r w:rsidR="00B05C90" w:rsidRPr="000539EA">
        <w:rPr>
          <w:rFonts w:cs="Times New Roman"/>
          <w:lang w:val="en-GB"/>
        </w:rPr>
        <w:t xml:space="preserve">understanding </w:t>
      </w:r>
      <w:r w:rsidR="000539EA">
        <w:rPr>
          <w:rFonts w:cs="Times New Roman"/>
          <w:lang w:val="en-GB"/>
        </w:rPr>
        <w:t xml:space="preserve">the issues relevant to SMEs and </w:t>
      </w:r>
      <w:r w:rsidR="00B05C90" w:rsidRPr="000539EA">
        <w:rPr>
          <w:rFonts w:cs="Times New Roman"/>
          <w:lang w:val="en-GB"/>
        </w:rPr>
        <w:t xml:space="preserve">their diversity. </w:t>
      </w:r>
      <w:r w:rsidR="000539EA">
        <w:rPr>
          <w:rFonts w:cs="Times New Roman"/>
          <w:lang w:val="en-GB"/>
        </w:rPr>
        <w:t>Consequently</w:t>
      </w:r>
      <w:r w:rsidR="00B05C90" w:rsidRPr="000539EA">
        <w:rPr>
          <w:rFonts w:cs="Times New Roman"/>
          <w:lang w:val="en-GB"/>
        </w:rPr>
        <w:t xml:space="preserve">, </w:t>
      </w:r>
      <w:r w:rsidR="000539EA">
        <w:rPr>
          <w:rFonts w:cs="Times New Roman"/>
          <w:lang w:val="en-GB"/>
        </w:rPr>
        <w:t>s</w:t>
      </w:r>
      <w:r w:rsidRPr="00B05C90">
        <w:rPr>
          <w:rFonts w:cs="Times New Roman"/>
          <w:lang w:val="en-GB"/>
        </w:rPr>
        <w:t>ize</w:t>
      </w:r>
      <w:r>
        <w:rPr>
          <w:rFonts w:cs="Times New Roman"/>
          <w:lang w:val="en-GB"/>
        </w:rPr>
        <w:t xml:space="preserve"> versus function was central to the </w:t>
      </w:r>
      <w:r w:rsidR="00D4639C">
        <w:rPr>
          <w:rFonts w:cs="Times New Roman"/>
          <w:lang w:val="en-GB"/>
        </w:rPr>
        <w:t xml:space="preserve">IASB’s </w:t>
      </w:r>
      <w:r>
        <w:rPr>
          <w:rFonts w:cs="Times New Roman"/>
          <w:lang w:val="en-GB"/>
        </w:rPr>
        <w:t xml:space="preserve">SME definitional discussion with the initial focus on size being redescribed </w:t>
      </w:r>
      <w:r w:rsidR="00410582">
        <w:rPr>
          <w:rFonts w:cs="Times New Roman"/>
          <w:lang w:val="en-GB"/>
        </w:rPr>
        <w:t xml:space="preserve">later </w:t>
      </w:r>
      <w:r>
        <w:rPr>
          <w:rFonts w:cs="Times New Roman"/>
          <w:lang w:val="en-GB"/>
        </w:rPr>
        <w:t xml:space="preserve">as </w:t>
      </w:r>
      <w:r w:rsidR="0088131F">
        <w:rPr>
          <w:rFonts w:cs="Times New Roman"/>
          <w:lang w:val="en-GB"/>
        </w:rPr>
        <w:t>“</w:t>
      </w:r>
      <w:r w:rsidRPr="00E176CF">
        <w:rPr>
          <w:rFonts w:cs="Times New Roman"/>
          <w:lang w:val="en-GB"/>
        </w:rPr>
        <w:t>a political mistake</w:t>
      </w:r>
      <w:r w:rsidR="0088131F">
        <w:rPr>
          <w:rFonts w:cs="Times New Roman"/>
          <w:lang w:val="en-GB"/>
        </w:rPr>
        <w:t>”</w:t>
      </w:r>
      <w:r>
        <w:rPr>
          <w:rFonts w:cs="Times New Roman"/>
          <w:lang w:val="en-GB"/>
        </w:rPr>
        <w:t xml:space="preserve"> (Interviewee 11</w:t>
      </w:r>
      <w:r w:rsidR="00AF71D0">
        <w:rPr>
          <w:rFonts w:cs="Times New Roman"/>
          <w:lang w:val="en-GB"/>
        </w:rPr>
        <w:t>, staff member of the IASB</w:t>
      </w:r>
      <w:r>
        <w:rPr>
          <w:rFonts w:cs="Times New Roman"/>
          <w:lang w:val="en-GB"/>
        </w:rPr>
        <w:t>)</w:t>
      </w:r>
      <w:r w:rsidRPr="00E176CF">
        <w:rPr>
          <w:rFonts w:cs="Times New Roman"/>
          <w:lang w:val="en-GB"/>
        </w:rPr>
        <w:t xml:space="preserve">. </w:t>
      </w:r>
    </w:p>
    <w:p w14:paraId="30FF4F5B" w14:textId="77777777" w:rsidR="00D755C9" w:rsidRDefault="00D755C9" w:rsidP="00811677">
      <w:pPr>
        <w:jc w:val="both"/>
        <w:rPr>
          <w:rFonts w:cs="Times New Roman"/>
          <w:b/>
          <w:i/>
          <w:lang w:val="en-GB"/>
        </w:rPr>
      </w:pPr>
    </w:p>
    <w:p w14:paraId="52ECA1B3" w14:textId="77777777" w:rsidR="006210A1" w:rsidRDefault="006210A1" w:rsidP="00811677">
      <w:pPr>
        <w:jc w:val="both"/>
        <w:rPr>
          <w:rFonts w:cs="Times New Roman"/>
          <w:b/>
          <w:i/>
          <w:lang w:val="en-GB"/>
        </w:rPr>
      </w:pPr>
    </w:p>
    <w:p w14:paraId="28681DFC" w14:textId="77777777" w:rsidR="00255CD2" w:rsidRDefault="00255CD2" w:rsidP="00811677">
      <w:pPr>
        <w:jc w:val="both"/>
        <w:rPr>
          <w:rFonts w:cs="Times New Roman"/>
          <w:b/>
          <w:i/>
          <w:lang w:val="en-GB"/>
        </w:rPr>
      </w:pPr>
    </w:p>
    <w:p w14:paraId="678EC076" w14:textId="2B7AFDD2" w:rsidR="003608F0" w:rsidRPr="00985C4E" w:rsidRDefault="00171F7F" w:rsidP="00811677">
      <w:pPr>
        <w:jc w:val="both"/>
        <w:rPr>
          <w:rFonts w:cs="Times New Roman"/>
          <w:lang w:val="en-GB"/>
        </w:rPr>
      </w:pPr>
      <w:r>
        <w:rPr>
          <w:rFonts w:cs="Times New Roman"/>
          <w:b/>
          <w:i/>
          <w:lang w:val="en-GB"/>
        </w:rPr>
        <w:t>Defining</w:t>
      </w:r>
      <w:r w:rsidR="000539EA">
        <w:rPr>
          <w:rFonts w:cs="Times New Roman"/>
          <w:b/>
          <w:i/>
          <w:lang w:val="en-GB"/>
        </w:rPr>
        <w:t xml:space="preserve"> the Scope of Application</w:t>
      </w:r>
      <w:r>
        <w:rPr>
          <w:rFonts w:cs="Times New Roman"/>
          <w:b/>
          <w:i/>
          <w:lang w:val="en-GB"/>
        </w:rPr>
        <w:t xml:space="preserve">: Size vs. Function </w:t>
      </w:r>
    </w:p>
    <w:p w14:paraId="1FA567E3" w14:textId="77777777" w:rsidR="00811677" w:rsidRDefault="00811677" w:rsidP="008456E4">
      <w:pPr>
        <w:jc w:val="both"/>
        <w:rPr>
          <w:rFonts w:cs="Times New Roman"/>
          <w:i/>
          <w:lang w:val="en-GB"/>
        </w:rPr>
      </w:pPr>
    </w:p>
    <w:p w14:paraId="6A7A5CB6" w14:textId="30C8AD9A" w:rsidR="003608F0" w:rsidRDefault="003608F0" w:rsidP="008456E4">
      <w:pPr>
        <w:jc w:val="both"/>
        <w:rPr>
          <w:rFonts w:cs="Times New Roman"/>
          <w:lang w:val="en-GB"/>
        </w:rPr>
      </w:pPr>
      <w:r w:rsidRPr="009313E9">
        <w:rPr>
          <w:rFonts w:cs="Times New Roman"/>
          <w:i/>
          <w:lang w:val="en-GB"/>
        </w:rPr>
        <w:t>IFRS for SMEs</w:t>
      </w:r>
      <w:r>
        <w:rPr>
          <w:rFonts w:cs="Times New Roman"/>
          <w:i/>
          <w:lang w:val="en-GB"/>
        </w:rPr>
        <w:t xml:space="preserve"> </w:t>
      </w:r>
      <w:r>
        <w:rPr>
          <w:rFonts w:cs="Times New Roman"/>
          <w:lang w:val="en-GB"/>
        </w:rPr>
        <w:t>(published 9 July 2009) defines SMEs as ‘entities that …</w:t>
      </w:r>
      <w:r w:rsidRPr="009313E9">
        <w:rPr>
          <w:rFonts w:cs="Times New Roman"/>
          <w:lang w:val="en-GB"/>
        </w:rPr>
        <w:t xml:space="preserve"> do not have public accountability</w:t>
      </w:r>
      <w:r>
        <w:rPr>
          <w:rFonts w:cs="Times New Roman"/>
          <w:lang w:val="en-GB"/>
        </w:rPr>
        <w:t>’. We focus on how this definition came to be. Although the Exposure Draft [ED] (published 15 February 2007), refers to entities with no public accountability this was overshadowed by a statement that the “</w:t>
      </w:r>
      <w:r w:rsidRPr="00985C4E">
        <w:rPr>
          <w:rFonts w:cs="Times New Roman"/>
          <w:lang w:val="en-GB"/>
        </w:rPr>
        <w:t xml:space="preserve">Board intends the </w:t>
      </w:r>
      <w:r w:rsidRPr="0088131F">
        <w:rPr>
          <w:rFonts w:cs="Times New Roman"/>
          <w:i/>
          <w:lang w:val="en-GB"/>
        </w:rPr>
        <w:t>IFRS for SMEs</w:t>
      </w:r>
      <w:r w:rsidRPr="00985C4E">
        <w:rPr>
          <w:rFonts w:cs="Times New Roman"/>
          <w:lang w:val="en-GB"/>
        </w:rPr>
        <w:t xml:space="preserve"> to be a stand-alone document for a typical SME with about 50 employees</w:t>
      </w:r>
      <w:r>
        <w:rPr>
          <w:rFonts w:cs="Times New Roman"/>
          <w:lang w:val="en-GB"/>
        </w:rPr>
        <w:t>” (IAS Plus, 2007)</w:t>
      </w:r>
      <w:r w:rsidRPr="00985C4E">
        <w:rPr>
          <w:rFonts w:cs="Times New Roman"/>
          <w:lang w:val="en-GB"/>
        </w:rPr>
        <w:t>.</w:t>
      </w:r>
      <w:r>
        <w:rPr>
          <w:rFonts w:cs="Times New Roman"/>
          <w:lang w:val="en-GB"/>
        </w:rPr>
        <w:t xml:space="preserve"> </w:t>
      </w:r>
      <w:r w:rsidR="000539EA">
        <w:rPr>
          <w:rFonts w:cs="Times New Roman"/>
          <w:lang w:val="en-GB"/>
        </w:rPr>
        <w:t xml:space="preserve">The </w:t>
      </w:r>
      <w:r w:rsidR="0088131F">
        <w:rPr>
          <w:rFonts w:cs="Times New Roman"/>
          <w:lang w:val="en-GB"/>
        </w:rPr>
        <w:t>“</w:t>
      </w:r>
      <w:r w:rsidR="000539EA">
        <w:rPr>
          <w:rFonts w:cs="Times New Roman"/>
          <w:lang w:val="en-GB"/>
        </w:rPr>
        <w:t>size vs</w:t>
      </w:r>
      <w:r w:rsidR="0088131F">
        <w:rPr>
          <w:rFonts w:cs="Times New Roman"/>
          <w:lang w:val="en-GB"/>
        </w:rPr>
        <w:t>.</w:t>
      </w:r>
      <w:r w:rsidR="000539EA">
        <w:rPr>
          <w:rFonts w:cs="Times New Roman"/>
          <w:lang w:val="en-GB"/>
        </w:rPr>
        <w:t xml:space="preserve"> function</w:t>
      </w:r>
      <w:r w:rsidR="0088131F">
        <w:rPr>
          <w:rFonts w:cs="Times New Roman"/>
          <w:lang w:val="en-GB"/>
        </w:rPr>
        <w:t>”</w:t>
      </w:r>
      <w:r w:rsidR="000539EA">
        <w:rPr>
          <w:rFonts w:cs="Times New Roman"/>
          <w:lang w:val="en-GB"/>
        </w:rPr>
        <w:t xml:space="preserve"> debate was a significant issue commented on by almost all our interviewees. There was significant criticism </w:t>
      </w:r>
      <w:r w:rsidR="009B0196">
        <w:rPr>
          <w:rFonts w:cs="Times New Roman"/>
          <w:lang w:val="en-GB"/>
        </w:rPr>
        <w:t xml:space="preserve">of the </w:t>
      </w:r>
      <w:r w:rsidR="0088131F">
        <w:rPr>
          <w:rFonts w:cs="Times New Roman"/>
          <w:lang w:val="en-GB"/>
        </w:rPr>
        <w:t>“</w:t>
      </w:r>
      <w:r w:rsidR="009B0196">
        <w:rPr>
          <w:rFonts w:cs="Times New Roman"/>
          <w:lang w:val="en-GB"/>
        </w:rPr>
        <w:t>50</w:t>
      </w:r>
      <w:r w:rsidR="00466E4E">
        <w:rPr>
          <w:rFonts w:cs="Times New Roman"/>
          <w:lang w:val="en-GB"/>
        </w:rPr>
        <w:t xml:space="preserve"> </w:t>
      </w:r>
      <w:r w:rsidR="009B0196">
        <w:rPr>
          <w:rFonts w:cs="Times New Roman"/>
          <w:lang w:val="en-GB"/>
        </w:rPr>
        <w:t>employee</w:t>
      </w:r>
      <w:r w:rsidR="0088131F">
        <w:rPr>
          <w:rFonts w:cs="Times New Roman"/>
          <w:lang w:val="en-GB"/>
        </w:rPr>
        <w:t>”</w:t>
      </w:r>
      <w:r w:rsidR="009B0196">
        <w:rPr>
          <w:rFonts w:cs="Times New Roman"/>
          <w:lang w:val="en-GB"/>
        </w:rPr>
        <w:t xml:space="preserve"> discussion in comment letters on the Exposure Draft. In recognition, </w:t>
      </w:r>
      <w:r>
        <w:rPr>
          <w:rFonts w:cs="Times New Roman"/>
          <w:lang w:val="en-GB"/>
        </w:rPr>
        <w:t>Interviewee 11</w:t>
      </w:r>
      <w:r w:rsidR="000539EA">
        <w:rPr>
          <w:rFonts w:cs="Times New Roman"/>
          <w:lang w:val="en-GB"/>
        </w:rPr>
        <w:t>,</w:t>
      </w:r>
      <w:r>
        <w:rPr>
          <w:rFonts w:cs="Times New Roman"/>
          <w:lang w:val="en-GB"/>
        </w:rPr>
        <w:t xml:space="preserve"> </w:t>
      </w:r>
      <w:r w:rsidR="002C715B">
        <w:rPr>
          <w:rFonts w:cs="Times New Roman"/>
          <w:lang w:val="en-GB"/>
        </w:rPr>
        <w:t xml:space="preserve">directly involved in developing the </w:t>
      </w:r>
      <w:r w:rsidR="000539EA">
        <w:rPr>
          <w:rFonts w:cs="Times New Roman"/>
          <w:lang w:val="en-GB"/>
        </w:rPr>
        <w:t>E</w:t>
      </w:r>
      <w:r w:rsidR="00B52503">
        <w:rPr>
          <w:rFonts w:cs="Times New Roman"/>
          <w:lang w:val="en-GB"/>
        </w:rPr>
        <w:t xml:space="preserve">xposure </w:t>
      </w:r>
      <w:r w:rsidR="000539EA">
        <w:rPr>
          <w:rFonts w:cs="Times New Roman"/>
          <w:lang w:val="en-GB"/>
        </w:rPr>
        <w:t>D</w:t>
      </w:r>
      <w:r w:rsidR="00B52503">
        <w:rPr>
          <w:rFonts w:cs="Times New Roman"/>
          <w:lang w:val="en-GB"/>
        </w:rPr>
        <w:t xml:space="preserve">raft of the </w:t>
      </w:r>
      <w:r w:rsidR="002C715B">
        <w:rPr>
          <w:rFonts w:cs="Times New Roman"/>
          <w:lang w:val="en-GB"/>
        </w:rPr>
        <w:t>standard</w:t>
      </w:r>
      <w:r w:rsidR="00C92853">
        <w:rPr>
          <w:rFonts w:cs="Times New Roman"/>
          <w:lang w:val="en-GB"/>
        </w:rPr>
        <w:t xml:space="preserve">, </w:t>
      </w:r>
      <w:r w:rsidR="000539EA">
        <w:rPr>
          <w:rFonts w:cs="Times New Roman"/>
          <w:lang w:val="en-GB"/>
        </w:rPr>
        <w:t xml:space="preserve">was </w:t>
      </w:r>
      <w:r w:rsidR="002C715B">
        <w:rPr>
          <w:rFonts w:cs="Times New Roman"/>
          <w:lang w:val="en-GB"/>
        </w:rPr>
        <w:t>a strong advocate for the project</w:t>
      </w:r>
      <w:r w:rsidR="00C92853">
        <w:rPr>
          <w:rFonts w:cs="Times New Roman"/>
          <w:lang w:val="en-GB"/>
        </w:rPr>
        <w:t xml:space="preserve">. Interviewee 11 </w:t>
      </w:r>
      <w:r>
        <w:rPr>
          <w:rFonts w:cs="Times New Roman"/>
          <w:lang w:val="en-GB"/>
        </w:rPr>
        <w:t>argue</w:t>
      </w:r>
      <w:r w:rsidR="000539EA">
        <w:rPr>
          <w:rFonts w:cs="Times New Roman"/>
          <w:lang w:val="en-GB"/>
        </w:rPr>
        <w:t>d</w:t>
      </w:r>
      <w:r>
        <w:rPr>
          <w:rFonts w:cs="Times New Roman"/>
          <w:lang w:val="en-GB"/>
        </w:rPr>
        <w:t xml:space="preserve"> that th</w:t>
      </w:r>
      <w:r w:rsidR="00C92853">
        <w:rPr>
          <w:rFonts w:cs="Times New Roman"/>
          <w:lang w:val="en-GB"/>
        </w:rPr>
        <w:t>e</w:t>
      </w:r>
      <w:r>
        <w:rPr>
          <w:rFonts w:cs="Times New Roman"/>
          <w:lang w:val="en-GB"/>
        </w:rPr>
        <w:t xml:space="preserve"> reference to size criteria was a </w:t>
      </w:r>
      <w:r w:rsidR="0088131F">
        <w:rPr>
          <w:rFonts w:cs="Times New Roman"/>
          <w:lang w:val="en-GB"/>
        </w:rPr>
        <w:t>“</w:t>
      </w:r>
      <w:r>
        <w:rPr>
          <w:rFonts w:cs="Times New Roman"/>
          <w:lang w:val="en-GB"/>
        </w:rPr>
        <w:t>political mistake</w:t>
      </w:r>
      <w:r w:rsidR="0088131F">
        <w:rPr>
          <w:rFonts w:cs="Times New Roman"/>
          <w:lang w:val="en-GB"/>
        </w:rPr>
        <w:t>”</w:t>
      </w:r>
      <w:r w:rsidRPr="00E176CF">
        <w:rPr>
          <w:rFonts w:cs="Times New Roman"/>
          <w:lang w:val="en-GB"/>
        </w:rPr>
        <w:t xml:space="preserve">: </w:t>
      </w:r>
    </w:p>
    <w:p w14:paraId="734396E5" w14:textId="77777777" w:rsidR="003608F0" w:rsidRPr="00E176CF" w:rsidRDefault="003608F0" w:rsidP="008456E4">
      <w:pPr>
        <w:jc w:val="both"/>
        <w:rPr>
          <w:rFonts w:cs="Times New Roman"/>
          <w:lang w:val="en-GB"/>
        </w:rPr>
      </w:pPr>
    </w:p>
    <w:p w14:paraId="0300B4CC" w14:textId="50B667DB" w:rsidR="003608F0" w:rsidRDefault="003608F0" w:rsidP="008456E4">
      <w:pPr>
        <w:pStyle w:val="ListParagraph"/>
        <w:spacing w:after="120"/>
        <w:ind w:right="720"/>
        <w:jc w:val="both"/>
        <w:rPr>
          <w:rFonts w:eastAsia="Times New Roman" w:cs="Times New Roman"/>
          <w:sz w:val="20"/>
          <w:szCs w:val="20"/>
          <w:lang w:val="en-GB"/>
        </w:rPr>
      </w:pPr>
      <w:r w:rsidRPr="00E176CF">
        <w:rPr>
          <w:rFonts w:cs="Times New Roman"/>
          <w:sz w:val="20"/>
          <w:szCs w:val="20"/>
          <w:lang w:val="en-GB"/>
        </w:rPr>
        <w:t>…</w:t>
      </w:r>
      <w:r>
        <w:rPr>
          <w:rFonts w:cs="Times New Roman"/>
          <w:sz w:val="20"/>
          <w:szCs w:val="20"/>
          <w:lang w:val="en-GB"/>
        </w:rPr>
        <w:t xml:space="preserve"> </w:t>
      </w:r>
      <w:r w:rsidRPr="00E176CF">
        <w:rPr>
          <w:rFonts w:eastAsia="Times New Roman" w:cs="Times New Roman"/>
          <w:sz w:val="20"/>
          <w:szCs w:val="20"/>
          <w:lang w:val="en-GB"/>
        </w:rPr>
        <w:t>in the exposure draft, we made, what I would look back and say wa</w:t>
      </w:r>
      <w:r>
        <w:rPr>
          <w:rFonts w:eastAsia="Times New Roman" w:cs="Times New Roman"/>
          <w:sz w:val="20"/>
          <w:szCs w:val="20"/>
          <w:lang w:val="en-GB"/>
        </w:rPr>
        <w:t xml:space="preserve">s a political mistake of saying… </w:t>
      </w:r>
      <w:r w:rsidRPr="00E176CF">
        <w:rPr>
          <w:rFonts w:eastAsia="Times New Roman" w:cs="Times New Roman"/>
          <w:sz w:val="20"/>
          <w:szCs w:val="20"/>
          <w:lang w:val="en-GB"/>
        </w:rPr>
        <w:t>that this standard is intended for companies with fewer t</w:t>
      </w:r>
      <w:r>
        <w:rPr>
          <w:rFonts w:eastAsia="Times New Roman" w:cs="Times New Roman"/>
          <w:sz w:val="20"/>
          <w:szCs w:val="20"/>
          <w:lang w:val="en-GB"/>
        </w:rPr>
        <w:t>han approximately 50 employees. W</w:t>
      </w:r>
      <w:r w:rsidRPr="00E176CF">
        <w:rPr>
          <w:rFonts w:eastAsia="Times New Roman" w:cs="Times New Roman"/>
          <w:sz w:val="20"/>
          <w:szCs w:val="20"/>
          <w:lang w:val="en-GB"/>
        </w:rPr>
        <w:t>e said that in the basis for conclusions, but we didn’t actually put that in the definition of SMEs</w:t>
      </w:r>
      <w:r>
        <w:rPr>
          <w:rFonts w:eastAsia="Times New Roman" w:cs="Times New Roman"/>
          <w:sz w:val="20"/>
          <w:szCs w:val="20"/>
          <w:lang w:val="en-GB"/>
        </w:rPr>
        <w:t>. W</w:t>
      </w:r>
      <w:r w:rsidRPr="00E176CF">
        <w:rPr>
          <w:rFonts w:eastAsia="Times New Roman" w:cs="Times New Roman"/>
          <w:sz w:val="20"/>
          <w:szCs w:val="20"/>
          <w:lang w:val="en-GB"/>
        </w:rPr>
        <w:t xml:space="preserve">ell many people wrote back and said </w:t>
      </w:r>
      <w:r>
        <w:rPr>
          <w:rFonts w:eastAsia="Times New Roman" w:cs="Times New Roman"/>
          <w:sz w:val="20"/>
          <w:szCs w:val="20"/>
          <w:lang w:val="en-GB"/>
        </w:rPr>
        <w:t>“</w:t>
      </w:r>
      <w:r w:rsidRPr="00E176CF">
        <w:rPr>
          <w:rFonts w:eastAsia="Times New Roman" w:cs="Times New Roman"/>
          <w:sz w:val="20"/>
          <w:szCs w:val="20"/>
          <w:lang w:val="en-GB"/>
        </w:rPr>
        <w:t>well is that your definition, if its 51 then they</w:t>
      </w:r>
      <w:r>
        <w:rPr>
          <w:rFonts w:eastAsia="Times New Roman" w:cs="Times New Roman"/>
          <w:sz w:val="20"/>
          <w:szCs w:val="20"/>
          <w:lang w:val="en-GB"/>
        </w:rPr>
        <w:t>’ve</w:t>
      </w:r>
      <w:r w:rsidRPr="00E176CF">
        <w:rPr>
          <w:rFonts w:eastAsia="Times New Roman" w:cs="Times New Roman"/>
          <w:sz w:val="20"/>
          <w:szCs w:val="20"/>
          <w:lang w:val="en-GB"/>
        </w:rPr>
        <w:t xml:space="preserve"> got to use full IFRS</w:t>
      </w:r>
      <w:r>
        <w:rPr>
          <w:rFonts w:eastAsia="Times New Roman" w:cs="Times New Roman"/>
          <w:sz w:val="20"/>
          <w:szCs w:val="20"/>
          <w:lang w:val="en-GB"/>
        </w:rPr>
        <w:t>”. A</w:t>
      </w:r>
      <w:r w:rsidRPr="00E176CF">
        <w:rPr>
          <w:rFonts w:eastAsia="Times New Roman" w:cs="Times New Roman"/>
          <w:sz w:val="20"/>
          <w:szCs w:val="20"/>
          <w:lang w:val="en-GB"/>
        </w:rPr>
        <w:t>nd in the end, we said we can’t sit in London and say a company with 51 employees has to use full IFRS, but 49 can use SME</w:t>
      </w:r>
      <w:r>
        <w:rPr>
          <w:rFonts w:eastAsia="Times New Roman" w:cs="Times New Roman"/>
          <w:sz w:val="20"/>
          <w:szCs w:val="20"/>
          <w:lang w:val="en-GB"/>
        </w:rPr>
        <w:t>. W</w:t>
      </w:r>
      <w:r w:rsidRPr="00E176CF">
        <w:rPr>
          <w:rFonts w:eastAsia="Times New Roman" w:cs="Times New Roman"/>
          <w:sz w:val="20"/>
          <w:szCs w:val="20"/>
          <w:lang w:val="en-GB"/>
        </w:rPr>
        <w:t>e felt we’re better off advising the world, think about public accountability, you decide what</w:t>
      </w:r>
      <w:r>
        <w:rPr>
          <w:rFonts w:eastAsia="Times New Roman" w:cs="Times New Roman"/>
          <w:sz w:val="20"/>
          <w:szCs w:val="20"/>
          <w:lang w:val="en-GB"/>
        </w:rPr>
        <w:t>’</w:t>
      </w:r>
      <w:r w:rsidRPr="00E176CF">
        <w:rPr>
          <w:rFonts w:eastAsia="Times New Roman" w:cs="Times New Roman"/>
          <w:sz w:val="20"/>
          <w:szCs w:val="20"/>
          <w:lang w:val="en-GB"/>
        </w:rPr>
        <w:t>s publicly accountable, but our two minimum criteria are, if it</w:t>
      </w:r>
      <w:r>
        <w:rPr>
          <w:rFonts w:eastAsia="Times New Roman" w:cs="Times New Roman"/>
          <w:sz w:val="20"/>
          <w:szCs w:val="20"/>
          <w:lang w:val="en-GB"/>
        </w:rPr>
        <w:t>’</w:t>
      </w:r>
      <w:r w:rsidRPr="00E176CF">
        <w:rPr>
          <w:rFonts w:eastAsia="Times New Roman" w:cs="Times New Roman"/>
          <w:sz w:val="20"/>
          <w:szCs w:val="20"/>
          <w:lang w:val="en-GB"/>
        </w:rPr>
        <w:t>s listed it publicly accountable or if it’s a bank or insurance company that takes money from depositors or insure by insurance you’re really depositing money</w:t>
      </w:r>
      <w:r>
        <w:rPr>
          <w:rFonts w:eastAsia="Times New Roman" w:cs="Times New Roman"/>
          <w:sz w:val="20"/>
          <w:szCs w:val="20"/>
          <w:lang w:val="en-GB"/>
        </w:rPr>
        <w:t xml:space="preserve"> </w:t>
      </w:r>
      <w:r w:rsidRPr="00E176CF">
        <w:rPr>
          <w:rFonts w:eastAsia="Times New Roman" w:cs="Times New Roman"/>
          <w:sz w:val="20"/>
          <w:szCs w:val="20"/>
          <w:lang w:val="en-GB"/>
        </w:rPr>
        <w:t>… so to me we did say 50</w:t>
      </w:r>
      <w:r>
        <w:rPr>
          <w:rFonts w:eastAsia="Times New Roman" w:cs="Times New Roman"/>
          <w:sz w:val="20"/>
          <w:szCs w:val="20"/>
          <w:lang w:val="en-GB"/>
        </w:rPr>
        <w:t>.</w:t>
      </w:r>
      <w:r w:rsidRPr="00E176CF">
        <w:rPr>
          <w:rFonts w:eastAsia="Times New Roman" w:cs="Times New Roman"/>
          <w:sz w:val="20"/>
          <w:szCs w:val="20"/>
          <w:lang w:val="en-GB"/>
        </w:rPr>
        <w:t xml:space="preserve"> </w:t>
      </w:r>
      <w:r>
        <w:rPr>
          <w:rFonts w:eastAsia="Times New Roman" w:cs="Times New Roman"/>
          <w:sz w:val="20"/>
          <w:szCs w:val="20"/>
          <w:lang w:val="en-GB"/>
        </w:rPr>
        <w:t>W</w:t>
      </w:r>
      <w:r w:rsidRPr="00E176CF">
        <w:rPr>
          <w:rFonts w:eastAsia="Times New Roman" w:cs="Times New Roman"/>
          <w:sz w:val="20"/>
          <w:szCs w:val="20"/>
          <w:lang w:val="en-GB"/>
        </w:rPr>
        <w:t>e pulled that out of the final standard, because it was hard to</w:t>
      </w:r>
      <w:r>
        <w:rPr>
          <w:rFonts w:eastAsia="Times New Roman" w:cs="Times New Roman"/>
          <w:sz w:val="20"/>
          <w:szCs w:val="20"/>
          <w:lang w:val="en-GB"/>
        </w:rPr>
        <w:t xml:space="preserve"> …</w:t>
      </w:r>
      <w:r w:rsidRPr="00E176CF">
        <w:rPr>
          <w:rFonts w:eastAsia="Times New Roman" w:cs="Times New Roman"/>
          <w:sz w:val="20"/>
          <w:szCs w:val="20"/>
          <w:lang w:val="en-GB"/>
        </w:rPr>
        <w:t xml:space="preserve"> we had no basis to defend it. </w:t>
      </w:r>
    </w:p>
    <w:p w14:paraId="4D24B546" w14:textId="77777777" w:rsidR="003608F0" w:rsidRPr="00E176CF" w:rsidRDefault="003608F0" w:rsidP="008456E4">
      <w:pPr>
        <w:pStyle w:val="ListParagraph"/>
        <w:spacing w:after="120"/>
        <w:ind w:right="720"/>
        <w:jc w:val="both"/>
        <w:rPr>
          <w:rFonts w:cs="Times New Roman"/>
          <w:sz w:val="20"/>
          <w:szCs w:val="20"/>
          <w:lang w:val="en-GB"/>
        </w:rPr>
      </w:pPr>
    </w:p>
    <w:p w14:paraId="144B1CFF" w14:textId="4D89EFFF" w:rsidR="003608F0" w:rsidRPr="003B4B2F" w:rsidRDefault="009B0196" w:rsidP="00811677">
      <w:pPr>
        <w:jc w:val="both"/>
        <w:rPr>
          <w:rFonts w:cs="Times New Roman"/>
          <w:lang w:val="en-GB"/>
        </w:rPr>
      </w:pPr>
      <w:r>
        <w:rPr>
          <w:rFonts w:cs="Times New Roman"/>
          <w:lang w:val="en-GB"/>
        </w:rPr>
        <w:t xml:space="preserve">The </w:t>
      </w:r>
      <w:r w:rsidR="00410582">
        <w:rPr>
          <w:rFonts w:cs="Times New Roman"/>
          <w:lang w:val="en-GB"/>
        </w:rPr>
        <w:t>view</w:t>
      </w:r>
      <w:r>
        <w:rPr>
          <w:rFonts w:cs="Times New Roman"/>
          <w:lang w:val="en-GB"/>
        </w:rPr>
        <w:t xml:space="preserve"> </w:t>
      </w:r>
      <w:r w:rsidR="00410582">
        <w:rPr>
          <w:rFonts w:cs="Times New Roman"/>
          <w:lang w:val="en-GB"/>
        </w:rPr>
        <w:t>that a focus on 50 employees was</w:t>
      </w:r>
      <w:r>
        <w:rPr>
          <w:rFonts w:cs="Times New Roman"/>
          <w:lang w:val="en-GB"/>
        </w:rPr>
        <w:t xml:space="preserve"> a mistake was </w:t>
      </w:r>
      <w:r w:rsidR="00410582">
        <w:rPr>
          <w:rFonts w:cs="Times New Roman"/>
          <w:lang w:val="en-GB"/>
        </w:rPr>
        <w:t>shared</w:t>
      </w:r>
      <w:r>
        <w:rPr>
          <w:rFonts w:cs="Times New Roman"/>
          <w:lang w:val="en-GB"/>
        </w:rPr>
        <w:t xml:space="preserve"> by </w:t>
      </w:r>
      <w:r w:rsidRPr="009B0196">
        <w:rPr>
          <w:rFonts w:cs="Times New Roman"/>
          <w:lang w:val="en-GB"/>
        </w:rPr>
        <w:t>interviewees 3, 6, 7</w:t>
      </w:r>
      <w:r w:rsidR="00410582">
        <w:rPr>
          <w:rFonts w:cs="Times New Roman"/>
          <w:lang w:val="en-GB"/>
        </w:rPr>
        <w:t xml:space="preserve"> and </w:t>
      </w:r>
      <w:r w:rsidRPr="009B0196">
        <w:rPr>
          <w:rFonts w:cs="Times New Roman"/>
          <w:lang w:val="en-GB"/>
        </w:rPr>
        <w:t>12</w:t>
      </w:r>
      <w:r>
        <w:rPr>
          <w:rFonts w:cs="Times New Roman"/>
          <w:lang w:val="en-GB"/>
        </w:rPr>
        <w:t>. I</w:t>
      </w:r>
      <w:r w:rsidR="003608F0">
        <w:rPr>
          <w:rFonts w:cs="Times New Roman"/>
          <w:lang w:val="en-GB"/>
        </w:rPr>
        <w:t>nterviewee 11</w:t>
      </w:r>
      <w:r w:rsidR="003800BA">
        <w:rPr>
          <w:rFonts w:cs="Times New Roman"/>
          <w:lang w:val="en-GB"/>
        </w:rPr>
        <w:t xml:space="preserve"> </w:t>
      </w:r>
      <w:r w:rsidR="003608F0">
        <w:rPr>
          <w:rFonts w:cs="Times New Roman"/>
          <w:lang w:val="en-GB"/>
        </w:rPr>
        <w:t xml:space="preserve">shows how the </w:t>
      </w:r>
      <w:r w:rsidR="003608F0" w:rsidRPr="00E176CF">
        <w:rPr>
          <w:rFonts w:cs="Times New Roman"/>
          <w:lang w:val="en-GB"/>
        </w:rPr>
        <w:t>size criteri</w:t>
      </w:r>
      <w:r w:rsidR="003608F0">
        <w:rPr>
          <w:rFonts w:cs="Times New Roman"/>
          <w:lang w:val="en-GB"/>
        </w:rPr>
        <w:t>on (50 employees) resulted in</w:t>
      </w:r>
      <w:r w:rsidR="003608F0" w:rsidRPr="00E176CF">
        <w:rPr>
          <w:rFonts w:cs="Times New Roman"/>
          <w:lang w:val="en-GB"/>
        </w:rPr>
        <w:t xml:space="preserve"> critique</w:t>
      </w:r>
      <w:r w:rsidR="003608F0">
        <w:rPr>
          <w:rFonts w:cs="Times New Roman"/>
          <w:lang w:val="en-GB"/>
        </w:rPr>
        <w:t xml:space="preserve"> (displacement). However, this also illustrates an embedded critique of the IASB staff members (</w:t>
      </w:r>
      <w:r w:rsidR="00811677">
        <w:rPr>
          <w:rFonts w:cs="Times New Roman"/>
          <w:lang w:val="en-GB"/>
        </w:rPr>
        <w:t xml:space="preserve">who were </w:t>
      </w:r>
      <w:r w:rsidR="003608F0">
        <w:rPr>
          <w:rFonts w:cs="Times New Roman"/>
          <w:lang w:val="en-GB"/>
        </w:rPr>
        <w:t xml:space="preserve">responsible </w:t>
      </w:r>
      <w:r w:rsidR="00811677">
        <w:rPr>
          <w:rFonts w:cs="Times New Roman"/>
          <w:lang w:val="en-GB"/>
        </w:rPr>
        <w:t xml:space="preserve">for developing </w:t>
      </w:r>
      <w:r w:rsidR="003608F0">
        <w:rPr>
          <w:rFonts w:cs="Times New Roman"/>
          <w:lang w:val="en-GB"/>
        </w:rPr>
        <w:t xml:space="preserve">the ED). The sole focus on function (non-public accountability) constituted an attempt to smooth over a contingent discourse (illustrated by the size criterion). This is condensation, as the IASB’s decision to not define by quantitative criteria (which dominate jurisdictional approaches to SMEs) attempts to synthesise the many definitional alternatives into the signifier </w:t>
      </w:r>
      <w:r w:rsidR="0088131F">
        <w:rPr>
          <w:rFonts w:cs="Times New Roman"/>
          <w:lang w:val="en-GB"/>
        </w:rPr>
        <w:t>“</w:t>
      </w:r>
      <w:r w:rsidR="003608F0">
        <w:rPr>
          <w:rFonts w:cs="Times New Roman"/>
          <w:lang w:val="en-GB"/>
        </w:rPr>
        <w:t>non-public accountability</w:t>
      </w:r>
      <w:r w:rsidR="0088131F">
        <w:rPr>
          <w:rFonts w:cs="Times New Roman"/>
          <w:lang w:val="en-GB"/>
        </w:rPr>
        <w:t>”</w:t>
      </w:r>
      <w:r w:rsidR="003608F0">
        <w:rPr>
          <w:rFonts w:cs="Times New Roman"/>
          <w:lang w:val="en-GB"/>
        </w:rPr>
        <w:t>. From a technocratic perspective</w:t>
      </w:r>
      <w:r w:rsidR="00811677">
        <w:rPr>
          <w:rFonts w:cs="Times New Roman"/>
          <w:lang w:val="en-GB"/>
        </w:rPr>
        <w:t>,</w:t>
      </w:r>
      <w:r w:rsidR="003608F0">
        <w:rPr>
          <w:rFonts w:cs="Times New Roman"/>
          <w:lang w:val="en-GB"/>
        </w:rPr>
        <w:t xml:space="preserve"> the critical reaction to the ’50 employee’ construct demonstrated a narrowing effect on the standard’s target audience. Consequently, to cover over the </w:t>
      </w:r>
      <w:r w:rsidR="0088131F">
        <w:rPr>
          <w:rFonts w:cs="Times New Roman"/>
          <w:lang w:val="en-GB"/>
        </w:rPr>
        <w:t>“</w:t>
      </w:r>
      <w:r w:rsidR="003608F0">
        <w:rPr>
          <w:rFonts w:cs="Times New Roman"/>
          <w:lang w:val="en-GB"/>
        </w:rPr>
        <w:t>political mistake</w:t>
      </w:r>
      <w:r w:rsidR="0088131F">
        <w:rPr>
          <w:rFonts w:cs="Times New Roman"/>
          <w:lang w:val="en-GB"/>
        </w:rPr>
        <w:t>”</w:t>
      </w:r>
      <w:r w:rsidR="003608F0">
        <w:rPr>
          <w:rFonts w:cs="Times New Roman"/>
          <w:lang w:val="en-GB"/>
        </w:rPr>
        <w:t xml:space="preserve">, </w:t>
      </w:r>
      <w:r w:rsidR="003608F0" w:rsidRPr="003B4B2F">
        <w:rPr>
          <w:rFonts w:cs="Times New Roman"/>
          <w:i/>
          <w:lang w:val="en-GB"/>
        </w:rPr>
        <w:t>IFRS for SMEs</w:t>
      </w:r>
      <w:r w:rsidR="003608F0">
        <w:rPr>
          <w:rFonts w:cs="Times New Roman"/>
          <w:i/>
          <w:lang w:val="en-GB"/>
        </w:rPr>
        <w:t xml:space="preserve"> </w:t>
      </w:r>
      <w:r w:rsidR="003608F0">
        <w:rPr>
          <w:rFonts w:cs="Times New Roman"/>
          <w:lang w:val="en-GB"/>
        </w:rPr>
        <w:t xml:space="preserve">focuses on non-public accountability. </w:t>
      </w:r>
    </w:p>
    <w:p w14:paraId="20A40F99" w14:textId="77777777" w:rsidR="003608F0" w:rsidRDefault="003608F0" w:rsidP="00811677">
      <w:pPr>
        <w:jc w:val="both"/>
        <w:rPr>
          <w:rFonts w:cs="Times New Roman"/>
          <w:lang w:val="en-GB"/>
        </w:rPr>
      </w:pPr>
    </w:p>
    <w:p w14:paraId="50F71375" w14:textId="1F1267E0" w:rsidR="003608F0" w:rsidRDefault="003608F0" w:rsidP="008456E4">
      <w:pPr>
        <w:jc w:val="both"/>
        <w:rPr>
          <w:rFonts w:cs="Times New Roman"/>
          <w:lang w:val="en-GB"/>
        </w:rPr>
      </w:pPr>
      <w:r>
        <w:rPr>
          <w:rFonts w:cs="Times New Roman"/>
          <w:lang w:val="en-GB"/>
        </w:rPr>
        <w:t xml:space="preserve">The emergence of the </w:t>
      </w:r>
      <w:r w:rsidR="0088131F">
        <w:rPr>
          <w:rFonts w:cs="Times New Roman"/>
          <w:lang w:val="en-GB"/>
        </w:rPr>
        <w:t>“</w:t>
      </w:r>
      <w:r>
        <w:rPr>
          <w:rFonts w:cs="Times New Roman"/>
          <w:lang w:val="en-GB"/>
        </w:rPr>
        <w:t>political mistake</w:t>
      </w:r>
      <w:r w:rsidR="0088131F">
        <w:rPr>
          <w:rFonts w:cs="Times New Roman"/>
          <w:lang w:val="en-GB"/>
        </w:rPr>
        <w:t>”</w:t>
      </w:r>
      <w:r>
        <w:rPr>
          <w:rFonts w:cs="Times New Roman"/>
          <w:lang w:val="en-GB"/>
        </w:rPr>
        <w:t xml:space="preserve"> signifier is revisionist because non-public accountability and 50 employees had been subject to discussion from as early as 2003 (IStaR, 2003a). The concept of </w:t>
      </w:r>
      <w:r w:rsidR="0088131F">
        <w:rPr>
          <w:rFonts w:cs="Times New Roman"/>
          <w:lang w:val="en-GB"/>
        </w:rPr>
        <w:t>“</w:t>
      </w:r>
      <w:r>
        <w:rPr>
          <w:rFonts w:cs="Times New Roman"/>
          <w:lang w:val="en-GB"/>
        </w:rPr>
        <w:t>fewer than 50 employees</w:t>
      </w:r>
      <w:r w:rsidR="0088131F">
        <w:rPr>
          <w:rFonts w:cs="Times New Roman"/>
          <w:lang w:val="en-GB"/>
        </w:rPr>
        <w:t>”</w:t>
      </w:r>
      <w:r>
        <w:rPr>
          <w:rFonts w:cs="Times New Roman"/>
          <w:lang w:val="en-GB"/>
        </w:rPr>
        <w:t xml:space="preserve"> played a part in the IASB’s discussions: IStaR observer notes (2006, p.</w:t>
      </w:r>
      <w:r w:rsidRPr="00E176CF">
        <w:rPr>
          <w:rFonts w:cs="Times New Roman"/>
          <w:lang w:val="en-GB"/>
        </w:rPr>
        <w:t xml:space="preserve"> 21) </w:t>
      </w:r>
      <w:r>
        <w:rPr>
          <w:rFonts w:cs="Times New Roman"/>
          <w:lang w:val="en-GB"/>
        </w:rPr>
        <w:t xml:space="preserve">record </w:t>
      </w:r>
      <w:r w:rsidRPr="00E176CF">
        <w:rPr>
          <w:rFonts w:cs="Times New Roman"/>
          <w:lang w:val="en-GB"/>
        </w:rPr>
        <w:t xml:space="preserve">that the standard </w:t>
      </w:r>
      <w:r w:rsidR="0088131F">
        <w:rPr>
          <w:rFonts w:cs="Times New Roman"/>
          <w:lang w:val="en-GB"/>
        </w:rPr>
        <w:t>“</w:t>
      </w:r>
      <w:r w:rsidRPr="00E176CF">
        <w:rPr>
          <w:rFonts w:cs="Times New Roman"/>
          <w:lang w:val="en-GB"/>
        </w:rPr>
        <w:t>was aimed at companies with fewer than 50</w:t>
      </w:r>
      <w:r>
        <w:rPr>
          <w:rFonts w:cs="Times New Roman"/>
          <w:lang w:val="en-GB"/>
        </w:rPr>
        <w:t xml:space="preserve"> employees</w:t>
      </w:r>
      <w:r w:rsidR="0088131F">
        <w:rPr>
          <w:rFonts w:cs="Times New Roman"/>
          <w:lang w:val="en-GB"/>
        </w:rPr>
        <w:t>”</w:t>
      </w:r>
      <w:r>
        <w:rPr>
          <w:rFonts w:cs="Times New Roman"/>
          <w:lang w:val="en-GB"/>
        </w:rPr>
        <w:t>, and the ED states</w:t>
      </w:r>
      <w:r w:rsidRPr="00E176CF">
        <w:rPr>
          <w:rFonts w:cs="Times New Roman"/>
          <w:lang w:val="en-GB"/>
        </w:rPr>
        <w:t xml:space="preserve">: </w:t>
      </w:r>
    </w:p>
    <w:p w14:paraId="31B25628" w14:textId="77777777" w:rsidR="003608F0" w:rsidRPr="00E176CF" w:rsidRDefault="003608F0" w:rsidP="008456E4">
      <w:pPr>
        <w:jc w:val="both"/>
        <w:rPr>
          <w:rFonts w:cs="Times New Roman"/>
          <w:lang w:val="en-GB"/>
        </w:rPr>
      </w:pPr>
    </w:p>
    <w:p w14:paraId="21A01087" w14:textId="2027C37C" w:rsidR="003608F0" w:rsidRDefault="003608F0" w:rsidP="008456E4">
      <w:pPr>
        <w:spacing w:after="120"/>
        <w:ind w:left="720" w:right="720"/>
        <w:jc w:val="both"/>
        <w:rPr>
          <w:rFonts w:cs="Times New Roman"/>
          <w:sz w:val="20"/>
          <w:szCs w:val="20"/>
          <w:lang w:val="en-GB"/>
        </w:rPr>
      </w:pPr>
      <w:r w:rsidRPr="00E176CF">
        <w:rPr>
          <w:rFonts w:cs="Times New Roman"/>
          <w:sz w:val="20"/>
          <w:szCs w:val="20"/>
          <w:lang w:val="en-GB"/>
        </w:rPr>
        <w:t>In deciding on the content of the proposed IFRS for SMEs, the IASB focused on the types of transactions and other events and conditions typically encountered by SMEs with about 50 employees. For such entities, the proposed IFRS is intended to be a stand-alone document, with minimal cross-refer</w:t>
      </w:r>
      <w:r>
        <w:rPr>
          <w:rFonts w:cs="Times New Roman"/>
          <w:sz w:val="20"/>
          <w:szCs w:val="20"/>
          <w:lang w:val="en-GB"/>
        </w:rPr>
        <w:t>ences to full IFRSs</w:t>
      </w:r>
      <w:r w:rsidR="0088131F">
        <w:rPr>
          <w:rFonts w:cs="Times New Roman"/>
          <w:sz w:val="20"/>
          <w:szCs w:val="20"/>
          <w:lang w:val="en-GB"/>
        </w:rPr>
        <w:t>.</w:t>
      </w:r>
      <w:r>
        <w:rPr>
          <w:rFonts w:cs="Times New Roman"/>
          <w:sz w:val="20"/>
          <w:szCs w:val="20"/>
          <w:lang w:val="en-GB"/>
        </w:rPr>
        <w:t xml:space="preserve"> (IASB, 2007, p.</w:t>
      </w:r>
      <w:r w:rsidRPr="00E176CF">
        <w:rPr>
          <w:rFonts w:cs="Times New Roman"/>
          <w:sz w:val="20"/>
          <w:szCs w:val="20"/>
          <w:lang w:val="en-GB"/>
        </w:rPr>
        <w:t xml:space="preserve"> 5) </w:t>
      </w:r>
    </w:p>
    <w:p w14:paraId="14A6D646" w14:textId="77777777" w:rsidR="003608F0" w:rsidRPr="00E176CF" w:rsidRDefault="003608F0" w:rsidP="008456E4">
      <w:pPr>
        <w:ind w:left="720" w:right="720"/>
        <w:jc w:val="both"/>
        <w:rPr>
          <w:rFonts w:cs="Times New Roman"/>
          <w:sz w:val="20"/>
          <w:szCs w:val="20"/>
          <w:lang w:val="en-GB"/>
        </w:rPr>
      </w:pPr>
    </w:p>
    <w:p w14:paraId="5F76FCFE" w14:textId="71992EB7" w:rsidR="003608F0" w:rsidRDefault="003608F0" w:rsidP="008456E4">
      <w:pPr>
        <w:jc w:val="both"/>
        <w:rPr>
          <w:rFonts w:cs="Times New Roman"/>
          <w:lang w:val="en-GB"/>
        </w:rPr>
      </w:pPr>
      <w:r>
        <w:rPr>
          <w:rFonts w:cs="Times New Roman"/>
          <w:lang w:val="en-GB"/>
        </w:rPr>
        <w:t xml:space="preserve">The rhetoric of </w:t>
      </w:r>
      <w:r w:rsidR="0088131F">
        <w:rPr>
          <w:rFonts w:cs="Times New Roman"/>
          <w:lang w:val="en-GB"/>
        </w:rPr>
        <w:t>“</w:t>
      </w:r>
      <w:r>
        <w:rPr>
          <w:rFonts w:cs="Times New Roman"/>
          <w:lang w:val="en-GB"/>
        </w:rPr>
        <w:t>fewer than</w:t>
      </w:r>
      <w:r w:rsidR="0088131F">
        <w:rPr>
          <w:rFonts w:cs="Times New Roman"/>
          <w:lang w:val="en-GB"/>
        </w:rPr>
        <w:t>”</w:t>
      </w:r>
      <w:r>
        <w:rPr>
          <w:rFonts w:cs="Times New Roman"/>
          <w:lang w:val="en-GB"/>
        </w:rPr>
        <w:t xml:space="preserve"> and </w:t>
      </w:r>
      <w:r w:rsidR="0088131F">
        <w:rPr>
          <w:rFonts w:cs="Times New Roman"/>
          <w:lang w:val="en-GB"/>
        </w:rPr>
        <w:t>“</w:t>
      </w:r>
      <w:r>
        <w:rPr>
          <w:rFonts w:cs="Times New Roman"/>
          <w:lang w:val="en-GB"/>
        </w:rPr>
        <w:t>about</w:t>
      </w:r>
      <w:r w:rsidR="0088131F">
        <w:rPr>
          <w:rFonts w:cs="Times New Roman"/>
          <w:lang w:val="en-GB"/>
        </w:rPr>
        <w:t>”</w:t>
      </w:r>
      <w:r>
        <w:rPr>
          <w:rFonts w:cs="Times New Roman"/>
          <w:lang w:val="en-GB"/>
        </w:rPr>
        <w:t xml:space="preserve"> 50 illustrates an internal debate between IASB board members and staff, as the terms used are different. From a displacement point of view, the size criterion focused the attention of respondents, leading to limited external consultation on the </w:t>
      </w:r>
      <w:r w:rsidR="0088131F">
        <w:rPr>
          <w:rFonts w:cs="Times New Roman"/>
          <w:lang w:val="en-GB"/>
        </w:rPr>
        <w:t>“</w:t>
      </w:r>
      <w:r>
        <w:rPr>
          <w:rFonts w:cs="Times New Roman"/>
          <w:lang w:val="en-GB"/>
        </w:rPr>
        <w:t>non-public accountability</w:t>
      </w:r>
      <w:r w:rsidR="0088131F">
        <w:rPr>
          <w:rFonts w:cs="Times New Roman"/>
          <w:lang w:val="en-GB"/>
        </w:rPr>
        <w:t>”</w:t>
      </w:r>
      <w:r>
        <w:rPr>
          <w:rFonts w:cs="Times New Roman"/>
          <w:lang w:val="en-GB"/>
        </w:rPr>
        <w:t xml:space="preserve"> definition. Interviewee 7</w:t>
      </w:r>
      <w:r w:rsidR="00755D3F">
        <w:rPr>
          <w:rFonts w:cs="Times New Roman"/>
          <w:lang w:val="en-GB"/>
        </w:rPr>
        <w:t>,</w:t>
      </w:r>
      <w:r w:rsidR="00AF71D0">
        <w:rPr>
          <w:rFonts w:cs="Times New Roman"/>
          <w:lang w:val="en-GB"/>
        </w:rPr>
        <w:t xml:space="preserve"> who was on the </w:t>
      </w:r>
      <w:r w:rsidR="00AF71D0" w:rsidRPr="00755D3F">
        <w:rPr>
          <w:rFonts w:cs="Times New Roman"/>
          <w:i/>
          <w:lang w:val="en-GB"/>
        </w:rPr>
        <w:t>IFRS for SMEs</w:t>
      </w:r>
      <w:r w:rsidR="00AF71D0">
        <w:rPr>
          <w:rFonts w:cs="Times New Roman"/>
          <w:lang w:val="en-GB"/>
        </w:rPr>
        <w:t xml:space="preserve"> working group</w:t>
      </w:r>
      <w:r w:rsidR="00755D3F">
        <w:rPr>
          <w:rFonts w:cs="Times New Roman"/>
          <w:lang w:val="en-GB"/>
        </w:rPr>
        <w:t>,</w:t>
      </w:r>
      <w:r>
        <w:rPr>
          <w:rFonts w:cs="Times New Roman"/>
          <w:lang w:val="en-GB"/>
        </w:rPr>
        <w:t xml:space="preserve"> reflects on the</w:t>
      </w:r>
      <w:r w:rsidR="00755D3F">
        <w:rPr>
          <w:rFonts w:cs="Times New Roman"/>
          <w:lang w:val="en-GB"/>
        </w:rPr>
        <w:t xml:space="preserve"> implications of the size issue as a</w:t>
      </w:r>
      <w:r>
        <w:rPr>
          <w:rFonts w:cs="Times New Roman"/>
          <w:lang w:val="en-GB"/>
        </w:rPr>
        <w:t xml:space="preserve"> </w:t>
      </w:r>
      <w:r w:rsidR="0088131F">
        <w:rPr>
          <w:rFonts w:cs="Times New Roman"/>
          <w:lang w:val="en-GB"/>
        </w:rPr>
        <w:t>“</w:t>
      </w:r>
      <w:r>
        <w:rPr>
          <w:rFonts w:cs="Times New Roman"/>
          <w:lang w:val="en-GB"/>
        </w:rPr>
        <w:t>political mistake</w:t>
      </w:r>
      <w:r w:rsidR="0088131F">
        <w:rPr>
          <w:rFonts w:cs="Times New Roman"/>
          <w:lang w:val="en-GB"/>
        </w:rPr>
        <w:t>”</w:t>
      </w:r>
      <w:r>
        <w:rPr>
          <w:rFonts w:cs="Times New Roman"/>
          <w:lang w:val="en-GB"/>
        </w:rPr>
        <w:t xml:space="preserve">: </w:t>
      </w:r>
    </w:p>
    <w:p w14:paraId="72D473A3" w14:textId="77777777" w:rsidR="003608F0" w:rsidRDefault="003608F0" w:rsidP="008456E4">
      <w:pPr>
        <w:jc w:val="both"/>
        <w:rPr>
          <w:rFonts w:cs="Times New Roman"/>
          <w:lang w:val="en-GB"/>
        </w:rPr>
      </w:pPr>
    </w:p>
    <w:p w14:paraId="5B652C79" w14:textId="18CE70DE" w:rsidR="003608F0" w:rsidRDefault="003608F0" w:rsidP="008456E4">
      <w:pPr>
        <w:spacing w:after="120"/>
        <w:ind w:left="720" w:right="1082"/>
        <w:jc w:val="both"/>
        <w:rPr>
          <w:rFonts w:cs="Times New Roman"/>
          <w:sz w:val="20"/>
          <w:szCs w:val="20"/>
          <w:lang w:val="en-GB"/>
        </w:rPr>
      </w:pPr>
      <w:r w:rsidRPr="00E176CF">
        <w:rPr>
          <w:rFonts w:cs="Times New Roman"/>
          <w:sz w:val="20"/>
          <w:szCs w:val="20"/>
          <w:lang w:val="en-GB"/>
        </w:rPr>
        <w:t>We want to develop a standard</w:t>
      </w:r>
      <w:r>
        <w:rPr>
          <w:rFonts w:cs="Times New Roman"/>
          <w:sz w:val="20"/>
          <w:szCs w:val="20"/>
          <w:lang w:val="en-GB"/>
        </w:rPr>
        <w:t xml:space="preserve"> </w:t>
      </w:r>
      <w:r w:rsidRPr="00E176CF">
        <w:rPr>
          <w:rFonts w:cs="Times New Roman"/>
          <w:sz w:val="20"/>
          <w:szCs w:val="20"/>
          <w:lang w:val="en-GB"/>
        </w:rPr>
        <w:t xml:space="preserve">… for around about </w:t>
      </w:r>
      <w:r>
        <w:rPr>
          <w:rFonts w:cs="Times New Roman"/>
          <w:sz w:val="20"/>
          <w:szCs w:val="20"/>
          <w:lang w:val="en-GB"/>
        </w:rPr>
        <w:t xml:space="preserve">a </w:t>
      </w:r>
      <w:r w:rsidRPr="00E176CF">
        <w:rPr>
          <w:rFonts w:cs="Times New Roman"/>
          <w:sz w:val="20"/>
          <w:szCs w:val="20"/>
          <w:lang w:val="en-GB"/>
        </w:rPr>
        <w:t>50</w:t>
      </w:r>
      <w:r w:rsidR="006210A1">
        <w:rPr>
          <w:rFonts w:cs="Times New Roman"/>
          <w:sz w:val="20"/>
          <w:szCs w:val="20"/>
          <w:lang w:val="en-GB"/>
        </w:rPr>
        <w:t>-</w:t>
      </w:r>
      <w:r w:rsidRPr="00E176CF">
        <w:rPr>
          <w:rFonts w:cs="Times New Roman"/>
          <w:sz w:val="20"/>
          <w:szCs w:val="20"/>
          <w:lang w:val="en-GB"/>
        </w:rPr>
        <w:t>employee firm</w:t>
      </w:r>
      <w:r>
        <w:rPr>
          <w:rFonts w:cs="Times New Roman"/>
          <w:sz w:val="20"/>
          <w:szCs w:val="20"/>
          <w:lang w:val="en-GB"/>
        </w:rPr>
        <w:t xml:space="preserve"> </w:t>
      </w:r>
      <w:r w:rsidRPr="00E176CF">
        <w:rPr>
          <w:rFonts w:cs="Times New Roman"/>
          <w:sz w:val="20"/>
          <w:szCs w:val="20"/>
          <w:lang w:val="en-GB"/>
        </w:rPr>
        <w:t>… I was amazed really, in hindsight that n</w:t>
      </w:r>
      <w:r>
        <w:rPr>
          <w:rFonts w:cs="Times New Roman"/>
          <w:sz w:val="20"/>
          <w:szCs w:val="20"/>
          <w:lang w:val="en-GB"/>
        </w:rPr>
        <w:t>o-</w:t>
      </w:r>
      <w:r w:rsidRPr="00E176CF">
        <w:rPr>
          <w:rFonts w:cs="Times New Roman"/>
          <w:sz w:val="20"/>
          <w:szCs w:val="20"/>
          <w:lang w:val="en-GB"/>
        </w:rPr>
        <w:t>one ever queried that</w:t>
      </w:r>
      <w:r>
        <w:rPr>
          <w:rFonts w:cs="Times New Roman"/>
          <w:sz w:val="20"/>
          <w:szCs w:val="20"/>
          <w:lang w:val="en-GB"/>
        </w:rPr>
        <w:t>. S</w:t>
      </w:r>
      <w:r w:rsidRPr="00E176CF">
        <w:rPr>
          <w:rFonts w:cs="Times New Roman"/>
          <w:sz w:val="20"/>
          <w:szCs w:val="20"/>
          <w:lang w:val="en-GB"/>
        </w:rPr>
        <w:t>o he was saying really, that by developing a standard for 50 would mean that you would capture the needs of medium sized companies and the very small ones, which probably it doesn’t</w:t>
      </w:r>
      <w:r>
        <w:rPr>
          <w:rFonts w:cs="Times New Roman"/>
          <w:sz w:val="20"/>
          <w:szCs w:val="20"/>
          <w:lang w:val="en-GB"/>
        </w:rPr>
        <w:t xml:space="preserve"> </w:t>
      </w:r>
      <w:r w:rsidRPr="00E176CF">
        <w:rPr>
          <w:rFonts w:cs="Times New Roman"/>
          <w:sz w:val="20"/>
          <w:szCs w:val="20"/>
          <w:lang w:val="en-GB"/>
        </w:rPr>
        <w:t xml:space="preserve">… they were very wary, and really they had no sort of, they had very little knowledge I think of what SME was or what, I don’t think they’re particularly interested you know.  </w:t>
      </w:r>
    </w:p>
    <w:p w14:paraId="53680C53" w14:textId="77777777" w:rsidR="003608F0" w:rsidRDefault="003608F0" w:rsidP="008456E4">
      <w:pPr>
        <w:ind w:left="720" w:right="1082"/>
        <w:jc w:val="both"/>
        <w:rPr>
          <w:rFonts w:cs="Times New Roman"/>
          <w:lang w:val="en-GB"/>
        </w:rPr>
      </w:pPr>
    </w:p>
    <w:p w14:paraId="59ADBB58" w14:textId="294F80BC" w:rsidR="003608F0" w:rsidRDefault="00755D3F" w:rsidP="008456E4">
      <w:pPr>
        <w:jc w:val="both"/>
        <w:rPr>
          <w:rFonts w:cs="Times New Roman"/>
          <w:lang w:val="en-GB"/>
        </w:rPr>
      </w:pPr>
      <w:r>
        <w:rPr>
          <w:rFonts w:cs="Times New Roman"/>
          <w:lang w:val="en-GB"/>
        </w:rPr>
        <w:t xml:space="preserve">In this statement, </w:t>
      </w:r>
      <w:r w:rsidR="003608F0">
        <w:rPr>
          <w:rFonts w:cs="Times New Roman"/>
          <w:lang w:val="en-GB"/>
        </w:rPr>
        <w:t xml:space="preserve">Interviewee 7 </w:t>
      </w:r>
      <w:r>
        <w:rPr>
          <w:rFonts w:cs="Times New Roman"/>
          <w:lang w:val="en-GB"/>
        </w:rPr>
        <w:t xml:space="preserve">illustrates the politics of expertise and </w:t>
      </w:r>
      <w:r w:rsidR="003608F0">
        <w:rPr>
          <w:rFonts w:cs="Times New Roman"/>
          <w:lang w:val="en-GB"/>
        </w:rPr>
        <w:t>question</w:t>
      </w:r>
      <w:r>
        <w:rPr>
          <w:rFonts w:cs="Times New Roman"/>
          <w:lang w:val="en-GB"/>
        </w:rPr>
        <w:t>s</w:t>
      </w:r>
      <w:r w:rsidR="003608F0">
        <w:rPr>
          <w:rFonts w:cs="Times New Roman"/>
          <w:lang w:val="en-GB"/>
        </w:rPr>
        <w:t xml:space="preserve"> the technocratic skillset of the IASB</w:t>
      </w:r>
      <w:r>
        <w:rPr>
          <w:rFonts w:cs="Times New Roman"/>
          <w:lang w:val="en-GB"/>
        </w:rPr>
        <w:t xml:space="preserve">. The </w:t>
      </w:r>
      <w:r w:rsidR="003608F0">
        <w:rPr>
          <w:rFonts w:cs="Times New Roman"/>
          <w:lang w:val="en-GB"/>
        </w:rPr>
        <w:t xml:space="preserve">revisionism </w:t>
      </w:r>
      <w:r>
        <w:rPr>
          <w:rFonts w:cs="Times New Roman"/>
          <w:lang w:val="en-GB"/>
        </w:rPr>
        <w:t xml:space="preserve">of </w:t>
      </w:r>
      <w:r w:rsidR="0088131F">
        <w:rPr>
          <w:rFonts w:cs="Times New Roman"/>
          <w:lang w:val="en-GB"/>
        </w:rPr>
        <w:t>“</w:t>
      </w:r>
      <w:r>
        <w:rPr>
          <w:rFonts w:cs="Times New Roman"/>
          <w:lang w:val="en-GB"/>
        </w:rPr>
        <w:t>non-public accountability</w:t>
      </w:r>
      <w:r w:rsidR="0088131F">
        <w:rPr>
          <w:rFonts w:cs="Times New Roman"/>
          <w:lang w:val="en-GB"/>
        </w:rPr>
        <w:t>”</w:t>
      </w:r>
      <w:r>
        <w:rPr>
          <w:rFonts w:cs="Times New Roman"/>
          <w:lang w:val="en-GB"/>
        </w:rPr>
        <w:t xml:space="preserve"> </w:t>
      </w:r>
      <w:r w:rsidR="003608F0">
        <w:rPr>
          <w:rFonts w:cs="Times New Roman"/>
          <w:lang w:val="en-GB"/>
        </w:rPr>
        <w:t>was important to widespread adoption</w:t>
      </w:r>
      <w:r>
        <w:rPr>
          <w:rFonts w:cs="Times New Roman"/>
          <w:lang w:val="en-GB"/>
        </w:rPr>
        <w:t xml:space="preserve"> of the standard and f</w:t>
      </w:r>
      <w:r w:rsidR="003608F0">
        <w:rPr>
          <w:rFonts w:cs="Times New Roman"/>
          <w:lang w:val="en-GB"/>
        </w:rPr>
        <w:t xml:space="preserve">rom a perspective of spreading hegemony, </w:t>
      </w:r>
      <w:r w:rsidR="0088131F">
        <w:rPr>
          <w:rFonts w:cs="Times New Roman"/>
          <w:lang w:val="en-GB"/>
        </w:rPr>
        <w:t>“</w:t>
      </w:r>
      <w:r w:rsidR="003608F0">
        <w:rPr>
          <w:rFonts w:cs="Times New Roman"/>
          <w:lang w:val="en-GB"/>
        </w:rPr>
        <w:t>non-public accountability</w:t>
      </w:r>
      <w:r w:rsidR="0088131F">
        <w:rPr>
          <w:rFonts w:cs="Times New Roman"/>
          <w:lang w:val="en-GB"/>
        </w:rPr>
        <w:t>”</w:t>
      </w:r>
      <w:r w:rsidR="003608F0">
        <w:rPr>
          <w:rFonts w:cs="Times New Roman"/>
          <w:lang w:val="en-GB"/>
        </w:rPr>
        <w:t xml:space="preserve"> would likely have more applicability than the narrow criterion of </w:t>
      </w:r>
      <w:r w:rsidR="0088131F">
        <w:rPr>
          <w:rFonts w:cs="Times New Roman"/>
          <w:lang w:val="en-GB"/>
        </w:rPr>
        <w:t>“</w:t>
      </w:r>
      <w:r w:rsidR="003608F0">
        <w:rPr>
          <w:rFonts w:cs="Times New Roman"/>
          <w:lang w:val="en-GB"/>
        </w:rPr>
        <w:t>50 employees</w:t>
      </w:r>
      <w:r w:rsidR="0088131F">
        <w:rPr>
          <w:rFonts w:cs="Times New Roman"/>
          <w:lang w:val="en-GB"/>
        </w:rPr>
        <w:t>”</w:t>
      </w:r>
      <w:r w:rsidR="003608F0">
        <w:rPr>
          <w:rFonts w:cs="Times New Roman"/>
          <w:lang w:val="en-GB"/>
        </w:rPr>
        <w:t>.</w:t>
      </w:r>
    </w:p>
    <w:p w14:paraId="78F90E16" w14:textId="77777777" w:rsidR="003608F0" w:rsidRDefault="003608F0" w:rsidP="008456E4">
      <w:pPr>
        <w:jc w:val="both"/>
        <w:rPr>
          <w:rFonts w:cs="Times New Roman"/>
          <w:lang w:val="en-GB"/>
        </w:rPr>
      </w:pPr>
      <w:r>
        <w:rPr>
          <w:rFonts w:cs="Times New Roman"/>
          <w:lang w:val="en-GB"/>
        </w:rPr>
        <w:t xml:space="preserve"> </w:t>
      </w:r>
    </w:p>
    <w:p w14:paraId="248F3380" w14:textId="2C3F72A3" w:rsidR="003608F0" w:rsidRDefault="003608F0" w:rsidP="008456E4">
      <w:pPr>
        <w:jc w:val="both"/>
        <w:rPr>
          <w:rFonts w:cs="Times New Roman"/>
          <w:lang w:val="en-GB"/>
        </w:rPr>
      </w:pPr>
      <w:r>
        <w:rPr>
          <w:rFonts w:cs="Times New Roman"/>
          <w:lang w:val="en-GB"/>
        </w:rPr>
        <w:t xml:space="preserve">Following the ED, IASB internal discussion concerning the </w:t>
      </w:r>
      <w:r w:rsidR="0088131F">
        <w:rPr>
          <w:rFonts w:cs="Times New Roman"/>
          <w:lang w:val="en-GB"/>
        </w:rPr>
        <w:t>“</w:t>
      </w:r>
      <w:r>
        <w:rPr>
          <w:rFonts w:cs="Times New Roman"/>
          <w:lang w:val="en-GB"/>
        </w:rPr>
        <w:t>50 employees</w:t>
      </w:r>
      <w:r w:rsidR="0088131F">
        <w:rPr>
          <w:rFonts w:cs="Times New Roman"/>
          <w:lang w:val="en-GB"/>
        </w:rPr>
        <w:t>”</w:t>
      </w:r>
      <w:r>
        <w:rPr>
          <w:rFonts w:cs="Times New Roman"/>
          <w:lang w:val="en-GB"/>
        </w:rPr>
        <w:t xml:space="preserve"> size criterion continued. </w:t>
      </w:r>
      <w:r w:rsidRPr="00E176CF">
        <w:rPr>
          <w:rFonts w:cs="Times New Roman"/>
          <w:lang w:val="en-GB"/>
        </w:rPr>
        <w:t xml:space="preserve">For example, </w:t>
      </w:r>
      <w:r>
        <w:rPr>
          <w:rFonts w:cs="Times New Roman"/>
          <w:lang w:val="en-GB"/>
        </w:rPr>
        <w:t>the IStaR (2008b, pp.</w:t>
      </w:r>
      <w:r w:rsidRPr="00E176CF">
        <w:rPr>
          <w:rFonts w:cs="Times New Roman"/>
          <w:lang w:val="en-GB"/>
        </w:rPr>
        <w:t xml:space="preserve"> 24-25) observer notes: </w:t>
      </w:r>
    </w:p>
    <w:p w14:paraId="24B788F9" w14:textId="77777777" w:rsidR="003608F0" w:rsidRPr="00E176CF" w:rsidRDefault="003608F0" w:rsidP="008456E4">
      <w:pPr>
        <w:jc w:val="both"/>
        <w:rPr>
          <w:rFonts w:eastAsia="Times New Roman" w:cs="Times New Roman"/>
          <w:lang w:val="en-GB"/>
        </w:rPr>
      </w:pPr>
    </w:p>
    <w:p w14:paraId="300E7945" w14:textId="77777777" w:rsidR="003608F0" w:rsidRDefault="003608F0" w:rsidP="00811677">
      <w:pPr>
        <w:ind w:left="720" w:right="720"/>
        <w:jc w:val="both"/>
        <w:rPr>
          <w:rFonts w:cs="Times New Roman"/>
          <w:sz w:val="20"/>
          <w:szCs w:val="20"/>
          <w:lang w:val="en-GB"/>
        </w:rPr>
      </w:pPr>
      <w:r w:rsidRPr="00E176CF">
        <w:rPr>
          <w:rFonts w:cs="Times New Roman"/>
          <w:sz w:val="20"/>
          <w:szCs w:val="20"/>
          <w:lang w:val="en-GB"/>
        </w:rPr>
        <w:t>There were some very sensible ideas. They were dealing with very small companies, with fewer than 50 employees. Mr McGregor</w:t>
      </w:r>
      <w:r>
        <w:rPr>
          <w:rStyle w:val="FootnoteReference"/>
          <w:rFonts w:cs="Times New Roman"/>
          <w:sz w:val="20"/>
          <w:szCs w:val="20"/>
          <w:lang w:val="en-GB"/>
        </w:rPr>
        <w:footnoteReference w:id="3"/>
      </w:r>
      <w:r w:rsidRPr="00E176CF">
        <w:rPr>
          <w:rFonts w:cs="Times New Roman"/>
          <w:sz w:val="20"/>
          <w:szCs w:val="20"/>
          <w:lang w:val="en-GB"/>
        </w:rPr>
        <w:t xml:space="preserve"> objected that they had never said they were trying to account for micro entities. </w:t>
      </w:r>
    </w:p>
    <w:p w14:paraId="364F2A7A" w14:textId="77777777" w:rsidR="003608F0" w:rsidRPr="00E176CF" w:rsidRDefault="003608F0" w:rsidP="00811677">
      <w:pPr>
        <w:ind w:left="720" w:right="720"/>
        <w:jc w:val="both"/>
        <w:rPr>
          <w:rFonts w:cs="Times New Roman"/>
          <w:sz w:val="20"/>
          <w:szCs w:val="20"/>
          <w:lang w:val="en-GB"/>
        </w:rPr>
      </w:pPr>
    </w:p>
    <w:p w14:paraId="161D5F11" w14:textId="191D9987" w:rsidR="003608F0" w:rsidRPr="006C3F63" w:rsidRDefault="003608F0" w:rsidP="006C3F63">
      <w:pPr>
        <w:pStyle w:val="CommentText"/>
        <w:jc w:val="both"/>
      </w:pPr>
      <w:r>
        <w:rPr>
          <w:rFonts w:cs="Times New Roman"/>
          <w:lang w:val="en-GB"/>
        </w:rPr>
        <w:t xml:space="preserve">This quote illustrates </w:t>
      </w:r>
      <w:r w:rsidR="006C3F63">
        <w:rPr>
          <w:rFonts w:cs="Times New Roman"/>
          <w:lang w:val="en-GB"/>
        </w:rPr>
        <w:t xml:space="preserve">an </w:t>
      </w:r>
      <w:r w:rsidR="006C3F63">
        <w:t>internal tension as the size criteri</w:t>
      </w:r>
      <w:r w:rsidR="0088131F">
        <w:t>on</w:t>
      </w:r>
      <w:r w:rsidR="006C3F63">
        <w:t xml:space="preserve"> of 50 employees had been a focus of the IASB, which suggests that small and micro-entities were not always in the IASB’s focus.</w:t>
      </w:r>
      <w:r>
        <w:rPr>
          <w:rFonts w:cs="Times New Roman"/>
          <w:lang w:val="en-GB"/>
        </w:rPr>
        <w:t xml:space="preserve"> </w:t>
      </w:r>
      <w:r w:rsidR="003C38E6">
        <w:rPr>
          <w:rFonts w:cs="Times New Roman"/>
          <w:lang w:val="en-GB"/>
        </w:rPr>
        <w:t>T</w:t>
      </w:r>
      <w:r>
        <w:rPr>
          <w:rFonts w:cs="Times New Roman"/>
          <w:lang w:val="en-GB"/>
        </w:rPr>
        <w:t>his is surprising given the IASB’s focus on widespread adoption:</w:t>
      </w:r>
    </w:p>
    <w:p w14:paraId="7FD4D35B" w14:textId="77777777" w:rsidR="003608F0" w:rsidRDefault="003608F0" w:rsidP="008456E4">
      <w:pPr>
        <w:jc w:val="both"/>
        <w:rPr>
          <w:rFonts w:cs="Times New Roman"/>
          <w:lang w:val="en-GB"/>
        </w:rPr>
      </w:pPr>
    </w:p>
    <w:p w14:paraId="22BD5581" w14:textId="1F97A05E" w:rsidR="003608F0" w:rsidRDefault="003608F0" w:rsidP="002F1067">
      <w:pPr>
        <w:ind w:left="720" w:right="720"/>
        <w:jc w:val="both"/>
        <w:rPr>
          <w:rFonts w:cs="Times New Roman"/>
          <w:sz w:val="20"/>
          <w:szCs w:val="20"/>
          <w:lang w:val="en-GB"/>
        </w:rPr>
      </w:pPr>
      <w:r w:rsidRPr="00E176CF">
        <w:rPr>
          <w:rFonts w:cs="Times New Roman"/>
          <w:sz w:val="20"/>
          <w:szCs w:val="20"/>
          <w:lang w:val="en-GB"/>
        </w:rPr>
        <w:t>He [Paul Pacter]</w:t>
      </w:r>
      <w:r>
        <w:rPr>
          <w:rStyle w:val="FootnoteReference"/>
          <w:rFonts w:cs="Times New Roman"/>
          <w:sz w:val="20"/>
          <w:szCs w:val="20"/>
          <w:lang w:val="en-GB"/>
        </w:rPr>
        <w:footnoteReference w:id="4"/>
      </w:r>
      <w:r w:rsidRPr="00E176CF">
        <w:rPr>
          <w:rFonts w:cs="Times New Roman"/>
          <w:sz w:val="20"/>
          <w:szCs w:val="20"/>
          <w:lang w:val="en-GB"/>
        </w:rPr>
        <w:t xml:space="preserve"> thought the Board should discuss what sort of company they were aiming at. It might be that outsiders would say this was good for companies with €50m of turnover, and they could end up with very few companies u</w:t>
      </w:r>
      <w:r>
        <w:rPr>
          <w:rFonts w:cs="Times New Roman"/>
          <w:sz w:val="20"/>
          <w:szCs w:val="20"/>
          <w:lang w:val="en-GB"/>
        </w:rPr>
        <w:t>sing the standards</w:t>
      </w:r>
      <w:r w:rsidR="0088131F">
        <w:rPr>
          <w:rFonts w:cs="Times New Roman"/>
          <w:sz w:val="20"/>
          <w:szCs w:val="20"/>
          <w:lang w:val="en-GB"/>
        </w:rPr>
        <w:t>.</w:t>
      </w:r>
      <w:r>
        <w:rPr>
          <w:rFonts w:cs="Times New Roman"/>
          <w:sz w:val="20"/>
          <w:szCs w:val="20"/>
          <w:lang w:val="en-GB"/>
        </w:rPr>
        <w:t xml:space="preserve"> (IStaR, 2004, p.</w:t>
      </w:r>
      <w:r w:rsidRPr="00E176CF">
        <w:rPr>
          <w:rFonts w:cs="Times New Roman"/>
          <w:sz w:val="20"/>
          <w:szCs w:val="20"/>
          <w:lang w:val="en-GB"/>
        </w:rPr>
        <w:t xml:space="preserve"> 7) </w:t>
      </w:r>
    </w:p>
    <w:p w14:paraId="03D678DA" w14:textId="77777777" w:rsidR="002F1067" w:rsidRPr="00E176CF" w:rsidRDefault="002F1067" w:rsidP="002F1067">
      <w:pPr>
        <w:ind w:left="720" w:right="720"/>
        <w:jc w:val="both"/>
        <w:rPr>
          <w:rFonts w:cs="Times New Roman"/>
          <w:sz w:val="20"/>
          <w:szCs w:val="20"/>
          <w:lang w:val="en-GB"/>
        </w:rPr>
      </w:pPr>
    </w:p>
    <w:p w14:paraId="5485EAB0" w14:textId="16F00533" w:rsidR="003608F0" w:rsidRDefault="003608F0" w:rsidP="003C38E6">
      <w:pPr>
        <w:ind w:left="720" w:right="720"/>
        <w:jc w:val="both"/>
        <w:rPr>
          <w:rFonts w:cs="Times New Roman"/>
          <w:sz w:val="20"/>
          <w:szCs w:val="20"/>
          <w:lang w:val="en-GB"/>
        </w:rPr>
      </w:pPr>
      <w:r w:rsidRPr="00E176CF">
        <w:rPr>
          <w:rFonts w:cs="Times New Roman"/>
          <w:sz w:val="20"/>
          <w:szCs w:val="20"/>
          <w:lang w:val="en-GB"/>
        </w:rPr>
        <w:t>Because I don’t believe, or sort of believe that the IASB can or should define an SME, because that’s up to individual jurisdictions, it could do unlisted, non</w:t>
      </w:r>
      <w:r>
        <w:rPr>
          <w:rFonts w:cs="Times New Roman"/>
          <w:sz w:val="20"/>
          <w:szCs w:val="20"/>
          <w:lang w:val="en-GB"/>
        </w:rPr>
        <w:t>-</w:t>
      </w:r>
      <w:r w:rsidRPr="00E176CF">
        <w:rPr>
          <w:rFonts w:cs="Times New Roman"/>
          <w:sz w:val="20"/>
          <w:szCs w:val="20"/>
          <w:lang w:val="en-GB"/>
        </w:rPr>
        <w:t>listed, because that would be troublesome, so to my mind it was always clear that it was going to be jurisdictions w</w:t>
      </w:r>
      <w:r>
        <w:rPr>
          <w:rFonts w:cs="Times New Roman"/>
          <w:sz w:val="20"/>
          <w:szCs w:val="20"/>
          <w:lang w:val="en-GB"/>
        </w:rPr>
        <w:t xml:space="preserve">ho </w:t>
      </w:r>
      <w:r w:rsidRPr="00E176CF">
        <w:rPr>
          <w:rFonts w:cs="Times New Roman"/>
          <w:sz w:val="20"/>
          <w:szCs w:val="20"/>
          <w:lang w:val="en-GB"/>
        </w:rPr>
        <w:t>decided</w:t>
      </w:r>
      <w:r w:rsidR="0088131F">
        <w:rPr>
          <w:rFonts w:cs="Times New Roman"/>
          <w:sz w:val="20"/>
          <w:szCs w:val="20"/>
          <w:lang w:val="en-GB"/>
        </w:rPr>
        <w:t>.</w:t>
      </w:r>
      <w:r w:rsidRPr="00E176CF">
        <w:rPr>
          <w:rFonts w:cs="Times New Roman"/>
          <w:sz w:val="20"/>
          <w:szCs w:val="20"/>
          <w:lang w:val="en-GB"/>
        </w:rPr>
        <w:t xml:space="preserve"> (Interviewee 6</w:t>
      </w:r>
      <w:r w:rsidR="00AF71D0">
        <w:rPr>
          <w:rFonts w:cs="Times New Roman"/>
          <w:sz w:val="20"/>
          <w:szCs w:val="20"/>
          <w:lang w:val="en-GB"/>
        </w:rPr>
        <w:t>, who was on the working group</w:t>
      </w:r>
      <w:r w:rsidRPr="00E176CF">
        <w:rPr>
          <w:rFonts w:cs="Times New Roman"/>
          <w:sz w:val="20"/>
          <w:szCs w:val="20"/>
          <w:lang w:val="en-GB"/>
        </w:rPr>
        <w:t xml:space="preserve">) </w:t>
      </w:r>
    </w:p>
    <w:p w14:paraId="30893DF3" w14:textId="77777777" w:rsidR="003608F0" w:rsidRPr="00E176CF" w:rsidRDefault="003608F0" w:rsidP="003C38E6">
      <w:pPr>
        <w:ind w:left="720" w:right="720"/>
        <w:jc w:val="both"/>
        <w:rPr>
          <w:rFonts w:cs="Times New Roman"/>
          <w:sz w:val="20"/>
          <w:szCs w:val="20"/>
          <w:lang w:val="en-GB"/>
        </w:rPr>
      </w:pPr>
    </w:p>
    <w:p w14:paraId="1C1A6F38" w14:textId="77777777" w:rsidR="003608F0" w:rsidRPr="001045AA" w:rsidRDefault="003608F0" w:rsidP="003C38E6">
      <w:pPr>
        <w:jc w:val="both"/>
        <w:rPr>
          <w:rFonts w:cs="Times New Roman"/>
          <w:lang w:val="en-GB"/>
        </w:rPr>
      </w:pPr>
      <w:r>
        <w:rPr>
          <w:rFonts w:cs="Times New Roman"/>
          <w:lang w:val="en-GB"/>
        </w:rPr>
        <w:t xml:space="preserve">As an act of condensation, function was a safer political move because of the range of quantitative definitional features globally (Table 3). Function and definitional features are arbitrary. In an act of condensation, the IASB seeks to incorporate all these definitional </w:t>
      </w:r>
      <w:r w:rsidRPr="00E176CF">
        <w:rPr>
          <w:rFonts w:cs="Times New Roman"/>
          <w:lang w:val="en-GB"/>
        </w:rPr>
        <w:t>debates</w:t>
      </w:r>
      <w:r>
        <w:rPr>
          <w:rFonts w:cs="Times New Roman"/>
          <w:lang w:val="en-GB"/>
        </w:rPr>
        <w:t xml:space="preserve"> into a standard for SMEs. Figure 2 illustrates how this act of condensation by illustrating how one arbitrary definition (focused on function) is instituted over other approaches:</w:t>
      </w:r>
    </w:p>
    <w:p w14:paraId="3D2965F3" w14:textId="77777777" w:rsidR="003608F0" w:rsidRPr="00E176CF" w:rsidRDefault="003608F0" w:rsidP="008456E4">
      <w:pPr>
        <w:pStyle w:val="BodyTextIndent2"/>
        <w:spacing w:after="120"/>
        <w:ind w:firstLine="0"/>
        <w:rPr>
          <w:rFonts w:asciiTheme="minorHAnsi" w:hAnsiTheme="minorHAnsi"/>
          <w:lang w:val="en-GB"/>
        </w:rPr>
      </w:pPr>
      <w:r w:rsidRPr="00E176CF">
        <w:rPr>
          <w:rFonts w:asciiTheme="minorHAnsi" w:hAnsiTheme="minorHAnsi"/>
          <w:noProof/>
          <w:lang w:val="en-GB" w:eastAsia="en-GB"/>
        </w:rPr>
        <w:lastRenderedPageBreak/>
        <mc:AlternateContent>
          <mc:Choice Requires="wps">
            <w:drawing>
              <wp:anchor distT="0" distB="0" distL="114300" distR="114300" simplePos="0" relativeHeight="251665408" behindDoc="0" locked="0" layoutInCell="1" allowOverlap="1" wp14:anchorId="2229C1FE" wp14:editId="370402EB">
                <wp:simplePos x="0" y="0"/>
                <wp:positionH relativeFrom="column">
                  <wp:posOffset>1630680</wp:posOffset>
                </wp:positionH>
                <wp:positionV relativeFrom="paragraph">
                  <wp:posOffset>298450</wp:posOffset>
                </wp:positionV>
                <wp:extent cx="24003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35B8EF"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8.4pt,23.5pt" to="317.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" strokecolor="#4472c4 [3204]" strokeweight=".5pt">
                <v:stroke joinstyle="miter"/>
              </v:line>
            </w:pict>
          </mc:Fallback>
        </mc:AlternateContent>
      </w:r>
    </w:p>
    <w:p w14:paraId="7838F45D" w14:textId="77777777" w:rsidR="003608F0" w:rsidRPr="00E176CF" w:rsidRDefault="003608F0" w:rsidP="002F1067">
      <w:pPr>
        <w:pStyle w:val="BodyTextIndent2"/>
        <w:spacing w:before="240"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6432" behindDoc="0" locked="0" layoutInCell="1" allowOverlap="1" wp14:anchorId="2FF0BC73" wp14:editId="31A45676">
                <wp:simplePos x="0" y="0"/>
                <wp:positionH relativeFrom="column">
                  <wp:posOffset>1621155</wp:posOffset>
                </wp:positionH>
                <wp:positionV relativeFrom="paragraph">
                  <wp:posOffset>291465</wp:posOffset>
                </wp:positionV>
                <wp:extent cx="24003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3D008" id="Straight Connector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7.65pt,22.95pt" to="316.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FIGURE 2 </w:t>
      </w:r>
    </w:p>
    <w:p w14:paraId="3C0392DD" w14:textId="77777777" w:rsidR="003608F0" w:rsidRPr="00E176CF" w:rsidRDefault="003608F0" w:rsidP="008456E4">
      <w:pPr>
        <w:pStyle w:val="Caption"/>
        <w:jc w:val="both"/>
        <w:rPr>
          <w:rFonts w:cs="Times New Roman"/>
          <w:color w:val="auto"/>
          <w:sz w:val="22"/>
          <w:szCs w:val="22"/>
        </w:rPr>
      </w:pPr>
    </w:p>
    <w:p w14:paraId="70260485" w14:textId="6B465343" w:rsidR="003608F0" w:rsidRPr="001045AA" w:rsidRDefault="003608F0" w:rsidP="008456E4">
      <w:pPr>
        <w:spacing w:after="120"/>
        <w:jc w:val="both"/>
        <w:rPr>
          <w:rFonts w:cs="Times New Roman"/>
          <w:lang w:val="en-GB"/>
        </w:rPr>
      </w:pPr>
      <w:r w:rsidRPr="00E176CF">
        <w:rPr>
          <w:rFonts w:cs="Times New Roman"/>
          <w:lang w:val="en-GB"/>
        </w:rPr>
        <w:t>Th</w:t>
      </w:r>
      <w:r>
        <w:rPr>
          <w:rFonts w:cs="Times New Roman"/>
          <w:lang w:val="en-GB"/>
        </w:rPr>
        <w:t>e</w:t>
      </w:r>
      <w:r w:rsidRPr="00E176CF">
        <w:rPr>
          <w:rFonts w:cs="Times New Roman"/>
          <w:lang w:val="en-GB"/>
        </w:rPr>
        <w:t xml:space="preserve"> diagram demonstrates</w:t>
      </w:r>
      <w:r>
        <w:rPr>
          <w:rFonts w:cs="Times New Roman"/>
          <w:lang w:val="en-GB"/>
        </w:rPr>
        <w:t xml:space="preserve"> that defining by function operates as a floating signifier, which responds to the criticism concerned </w:t>
      </w:r>
      <w:r w:rsidRPr="00E176CF">
        <w:rPr>
          <w:rFonts w:cs="Times New Roman"/>
          <w:lang w:val="en-GB"/>
        </w:rPr>
        <w:t xml:space="preserve">with </w:t>
      </w:r>
      <w:r w:rsidR="00CD4805">
        <w:rPr>
          <w:rFonts w:cs="Times New Roman"/>
          <w:lang w:val="en-GB"/>
        </w:rPr>
        <w:t>“</w:t>
      </w:r>
      <w:r w:rsidRPr="00E176CF">
        <w:rPr>
          <w:rFonts w:cs="Times New Roman"/>
          <w:lang w:val="en-GB"/>
        </w:rPr>
        <w:t>50 employees</w:t>
      </w:r>
      <w:r w:rsidR="00CD4805">
        <w:rPr>
          <w:rFonts w:cs="Times New Roman"/>
          <w:lang w:val="en-GB"/>
        </w:rPr>
        <w:t>”</w:t>
      </w:r>
      <w:r>
        <w:rPr>
          <w:rFonts w:cs="Times New Roman"/>
          <w:lang w:val="en-GB"/>
        </w:rPr>
        <w:t xml:space="preserve"> and increases the political acceptability</w:t>
      </w:r>
      <w:r w:rsidRPr="00E176CF">
        <w:rPr>
          <w:rFonts w:cs="Times New Roman"/>
          <w:lang w:val="en-GB"/>
        </w:rPr>
        <w:t xml:space="preserve">. </w:t>
      </w:r>
      <w:r>
        <w:rPr>
          <w:rFonts w:cs="Times New Roman"/>
          <w:lang w:val="en-GB"/>
        </w:rPr>
        <w:t xml:space="preserve">As an act of technocracy, this has the effect of </w:t>
      </w:r>
      <w:r w:rsidRPr="00E176CF">
        <w:rPr>
          <w:rFonts w:cs="Times New Roman"/>
          <w:lang w:val="en-GB"/>
        </w:rPr>
        <w:t xml:space="preserve">excluding alternative </w:t>
      </w:r>
      <w:r>
        <w:rPr>
          <w:rFonts w:cs="Times New Roman"/>
          <w:lang w:val="en-GB"/>
        </w:rPr>
        <w:t xml:space="preserve">SME conceptions, including those focused on </w:t>
      </w:r>
      <w:r w:rsidRPr="00E176CF">
        <w:rPr>
          <w:rFonts w:cs="Times New Roman"/>
          <w:lang w:val="en-GB"/>
        </w:rPr>
        <w:t>innovation, entrepreneurship, famil</w:t>
      </w:r>
      <w:r w:rsidR="00EB0197">
        <w:rPr>
          <w:rFonts w:cs="Times New Roman"/>
          <w:lang w:val="en-GB"/>
        </w:rPr>
        <w:t xml:space="preserve">y </w:t>
      </w:r>
      <w:r>
        <w:rPr>
          <w:rFonts w:cs="Times New Roman"/>
          <w:lang w:val="en-GB"/>
        </w:rPr>
        <w:t>firms</w:t>
      </w:r>
      <w:r w:rsidRPr="00E176CF">
        <w:rPr>
          <w:rFonts w:cs="Times New Roman"/>
          <w:lang w:val="en-GB"/>
        </w:rPr>
        <w:t xml:space="preserve">, cooperatives or </w:t>
      </w:r>
      <w:r>
        <w:rPr>
          <w:rFonts w:cs="Times New Roman"/>
          <w:lang w:val="en-GB"/>
        </w:rPr>
        <w:t xml:space="preserve">the </w:t>
      </w:r>
      <w:r w:rsidRPr="00E176CF">
        <w:rPr>
          <w:rFonts w:cs="Times New Roman"/>
          <w:lang w:val="en-GB"/>
        </w:rPr>
        <w:t>community</w:t>
      </w:r>
      <w:r>
        <w:rPr>
          <w:rFonts w:cs="Times New Roman"/>
          <w:lang w:val="en-GB"/>
        </w:rPr>
        <w:t xml:space="preserve"> (a proportion of comment letters were from cooperatives)</w:t>
      </w:r>
      <w:r w:rsidRPr="00E176CF">
        <w:rPr>
          <w:rFonts w:cs="Times New Roman"/>
          <w:lang w:val="en-GB"/>
        </w:rPr>
        <w:t xml:space="preserve">. </w:t>
      </w:r>
      <w:r>
        <w:rPr>
          <w:rFonts w:cs="Times New Roman"/>
          <w:lang w:val="en-GB"/>
        </w:rPr>
        <w:t xml:space="preserve">The IASB excluded cooperatives at one of its meeting: </w:t>
      </w:r>
    </w:p>
    <w:p w14:paraId="7D885328" w14:textId="03F51659" w:rsidR="003608F0" w:rsidRPr="002A2791" w:rsidRDefault="003608F0" w:rsidP="008456E4">
      <w:pPr>
        <w:ind w:left="720" w:right="1082"/>
        <w:jc w:val="both"/>
        <w:rPr>
          <w:sz w:val="20"/>
          <w:szCs w:val="20"/>
        </w:rPr>
      </w:pPr>
      <w:r w:rsidRPr="002A2791">
        <w:rPr>
          <w:sz w:val="20"/>
          <w:szCs w:val="20"/>
        </w:rPr>
        <w:t>Paul Pacter said he wanted to discuss mutuals and cooperatives. Should they be included in the standard? Warren McGregor wondered if they weren’t caught by criterion 3, dealing with entities with fiduciary duties. Tricia O'Malley</w:t>
      </w:r>
      <w:r>
        <w:rPr>
          <w:rStyle w:val="FootnoteReference"/>
          <w:sz w:val="20"/>
          <w:szCs w:val="20"/>
        </w:rPr>
        <w:footnoteReference w:id="5"/>
      </w:r>
      <w:r w:rsidRPr="002A2791">
        <w:rPr>
          <w:sz w:val="20"/>
          <w:szCs w:val="20"/>
        </w:rPr>
        <w:t xml:space="preserve"> said they could have retail cooperatives that gave a return by way of discounted prices. Warren McGregor thought it was not worth bothering to include them</w:t>
      </w:r>
      <w:r w:rsidR="00CD4805">
        <w:rPr>
          <w:sz w:val="20"/>
          <w:szCs w:val="20"/>
        </w:rPr>
        <w:t>.</w:t>
      </w:r>
      <w:r>
        <w:rPr>
          <w:sz w:val="20"/>
          <w:szCs w:val="20"/>
        </w:rPr>
        <w:t xml:space="preserve"> (IStaR, 2003b, p. 30)</w:t>
      </w:r>
    </w:p>
    <w:p w14:paraId="71EB14A6" w14:textId="77777777" w:rsidR="003608F0" w:rsidRDefault="003608F0" w:rsidP="008456E4"/>
    <w:p w14:paraId="62840C87" w14:textId="611FC538" w:rsidR="003608F0" w:rsidRDefault="003608F0" w:rsidP="007208BD">
      <w:pPr>
        <w:jc w:val="both"/>
        <w:rPr>
          <w:rFonts w:cs="Times New Roman"/>
          <w:lang w:val="en-GB"/>
        </w:rPr>
      </w:pPr>
      <w:r>
        <w:rPr>
          <w:rFonts w:cs="Times New Roman"/>
          <w:lang w:val="en-GB"/>
        </w:rPr>
        <w:t>This illustrates that these alternative SME forms were not within the IASB’s scope, as the I</w:t>
      </w:r>
      <w:r w:rsidRPr="00E176CF">
        <w:rPr>
          <w:rFonts w:cs="Times New Roman"/>
          <w:lang w:val="en-GB"/>
        </w:rPr>
        <w:t xml:space="preserve">ASB </w:t>
      </w:r>
      <w:r>
        <w:rPr>
          <w:rFonts w:cs="Times New Roman"/>
          <w:lang w:val="en-GB"/>
        </w:rPr>
        <w:t xml:space="preserve">focused on shifting unlisted entities to listed entities, improving access to capital and to maximise </w:t>
      </w:r>
      <w:r w:rsidRPr="00E176CF">
        <w:rPr>
          <w:rFonts w:cs="Times New Roman"/>
          <w:lang w:val="en-GB"/>
        </w:rPr>
        <w:t>profit</w:t>
      </w:r>
      <w:r>
        <w:rPr>
          <w:rFonts w:cs="Times New Roman"/>
          <w:lang w:val="en-GB"/>
        </w:rPr>
        <w:t xml:space="preserve"> and </w:t>
      </w:r>
      <w:r w:rsidRPr="00E176CF">
        <w:rPr>
          <w:rFonts w:cs="Times New Roman"/>
          <w:lang w:val="en-GB"/>
        </w:rPr>
        <w:t>growth</w:t>
      </w:r>
      <w:r>
        <w:rPr>
          <w:rFonts w:cs="Times New Roman"/>
          <w:lang w:val="en-GB"/>
        </w:rPr>
        <w:t xml:space="preserve"> (Carter </w:t>
      </w:r>
      <w:r w:rsidR="00A272D9">
        <w:rPr>
          <w:rFonts w:cs="Times New Roman"/>
          <w:lang w:val="en-GB"/>
        </w:rPr>
        <w:t>and</w:t>
      </w:r>
      <w:r>
        <w:rPr>
          <w:rFonts w:cs="Times New Roman"/>
          <w:lang w:val="en-GB"/>
        </w:rPr>
        <w:t xml:space="preserve"> Warren, 2018a). Alternative SMEs forms fall outside this definition. </w:t>
      </w:r>
    </w:p>
    <w:p w14:paraId="39E8561C" w14:textId="77777777" w:rsidR="007208BD" w:rsidRDefault="007208BD" w:rsidP="007208BD">
      <w:pPr>
        <w:jc w:val="both"/>
        <w:rPr>
          <w:rFonts w:cs="Times New Roman"/>
          <w:lang w:val="en-GB"/>
        </w:rPr>
      </w:pPr>
    </w:p>
    <w:p w14:paraId="7EE18A5B" w14:textId="1B450AFA" w:rsidR="003608F0" w:rsidRDefault="003608F0" w:rsidP="007208BD">
      <w:pPr>
        <w:jc w:val="both"/>
        <w:rPr>
          <w:rFonts w:cs="Times New Roman"/>
          <w:lang w:val="en-GB"/>
        </w:rPr>
      </w:pPr>
      <w:r>
        <w:rPr>
          <w:rFonts w:cs="Times New Roman"/>
          <w:lang w:val="en-GB"/>
        </w:rPr>
        <w:t xml:space="preserve">Our interest in the </w:t>
      </w:r>
      <w:r w:rsidR="00CD4805">
        <w:rPr>
          <w:rFonts w:cs="Times New Roman"/>
          <w:lang w:val="en-GB"/>
        </w:rPr>
        <w:t>“</w:t>
      </w:r>
      <w:r>
        <w:rPr>
          <w:rFonts w:cs="Times New Roman"/>
          <w:lang w:val="en-GB"/>
        </w:rPr>
        <w:t>political mistake</w:t>
      </w:r>
      <w:r w:rsidR="00CD4805">
        <w:rPr>
          <w:rFonts w:cs="Times New Roman"/>
          <w:lang w:val="en-GB"/>
        </w:rPr>
        <w:t>”</w:t>
      </w:r>
      <w:r>
        <w:rPr>
          <w:rFonts w:cs="Times New Roman"/>
          <w:lang w:val="en-GB"/>
        </w:rPr>
        <w:t xml:space="preserve"> is how this illustrates an internal debate within the IASB (and how that became a public debate). The technocratic act is that the IASB condenses significant definitional debate to create </w:t>
      </w:r>
      <w:r w:rsidRPr="00E176CF">
        <w:rPr>
          <w:rFonts w:cs="Times New Roman"/>
          <w:lang w:val="en-GB"/>
        </w:rPr>
        <w:t xml:space="preserve">a </w:t>
      </w:r>
      <w:r w:rsidR="00CD4805">
        <w:rPr>
          <w:rFonts w:cs="Times New Roman"/>
          <w:lang w:val="en-GB"/>
        </w:rPr>
        <w:t>“</w:t>
      </w:r>
      <w:r w:rsidRPr="00E176CF">
        <w:rPr>
          <w:rFonts w:cs="Times New Roman"/>
          <w:lang w:val="en-GB"/>
        </w:rPr>
        <w:t>one size fits all</w:t>
      </w:r>
      <w:r w:rsidR="00CD4805">
        <w:rPr>
          <w:rFonts w:cs="Times New Roman"/>
          <w:lang w:val="en-GB"/>
        </w:rPr>
        <w:t>”</w:t>
      </w:r>
      <w:r>
        <w:rPr>
          <w:rFonts w:cs="Times New Roman"/>
          <w:lang w:val="en-GB"/>
        </w:rPr>
        <w:t xml:space="preserve"> standard:</w:t>
      </w:r>
      <w:r w:rsidRPr="00E176CF">
        <w:rPr>
          <w:rFonts w:cs="Times New Roman"/>
          <w:lang w:val="en-GB"/>
        </w:rPr>
        <w:t xml:space="preserve"> </w:t>
      </w:r>
    </w:p>
    <w:p w14:paraId="38ED6EB2" w14:textId="77777777" w:rsidR="007208BD" w:rsidRPr="00E176CF" w:rsidRDefault="007208BD" w:rsidP="007208BD">
      <w:pPr>
        <w:jc w:val="both"/>
        <w:rPr>
          <w:rFonts w:cs="Times New Roman"/>
          <w:lang w:val="en-GB"/>
        </w:rPr>
      </w:pPr>
    </w:p>
    <w:p w14:paraId="2D85B3CE" w14:textId="5CD5CE78" w:rsidR="003608F0" w:rsidRDefault="003608F0" w:rsidP="007208BD">
      <w:pPr>
        <w:ind w:left="720" w:right="720"/>
        <w:jc w:val="both"/>
        <w:rPr>
          <w:rFonts w:cs="Times New Roman"/>
          <w:sz w:val="20"/>
          <w:szCs w:val="20"/>
          <w:lang w:val="en-GB"/>
        </w:rPr>
      </w:pPr>
      <w:r w:rsidRPr="00E176CF">
        <w:rPr>
          <w:rFonts w:cs="Times New Roman"/>
          <w:sz w:val="20"/>
          <w:szCs w:val="20"/>
          <w:lang w:val="en-GB"/>
        </w:rPr>
        <w:t>We believe that the scope of the standard is currently too wide and tries to be a “one size fits all”. We believe that both the user needs and types of transaction differ too much between the companies that may currently be within the scope of the standard. As a result</w:t>
      </w:r>
      <w:r>
        <w:rPr>
          <w:rFonts w:cs="Times New Roman"/>
          <w:sz w:val="20"/>
          <w:szCs w:val="20"/>
          <w:lang w:val="en-GB"/>
        </w:rPr>
        <w:t>,</w:t>
      </w:r>
      <w:r w:rsidRPr="00E176CF">
        <w:rPr>
          <w:rFonts w:cs="Times New Roman"/>
          <w:sz w:val="20"/>
          <w:szCs w:val="20"/>
          <w:lang w:val="en-GB"/>
        </w:rPr>
        <w:t xml:space="preserve"> it will not be possible to come to an appropriate and comprehensive standard. We suggest limiting the scope (e.g. excludin</w:t>
      </w:r>
      <w:r>
        <w:rPr>
          <w:rFonts w:cs="Times New Roman"/>
          <w:sz w:val="20"/>
          <w:szCs w:val="20"/>
          <w:lang w:val="en-GB"/>
        </w:rPr>
        <w:t>g small and micro companies). (</w:t>
      </w:r>
      <w:r w:rsidR="00530B68">
        <w:rPr>
          <w:rFonts w:cs="Times New Roman"/>
          <w:sz w:val="20"/>
          <w:szCs w:val="20"/>
          <w:lang w:val="en-GB"/>
        </w:rPr>
        <w:t>CL</w:t>
      </w:r>
      <w:r w:rsidRPr="00E176CF">
        <w:rPr>
          <w:rFonts w:cs="Times New Roman"/>
          <w:sz w:val="20"/>
          <w:szCs w:val="20"/>
          <w:lang w:val="en-GB"/>
        </w:rPr>
        <w:t>96, 2007</w:t>
      </w:r>
      <w:r>
        <w:rPr>
          <w:rFonts w:cs="Times New Roman"/>
          <w:sz w:val="20"/>
          <w:szCs w:val="20"/>
          <w:lang w:val="en-GB"/>
        </w:rPr>
        <w:t xml:space="preserve">, p. </w:t>
      </w:r>
      <w:r w:rsidRPr="00E176CF">
        <w:rPr>
          <w:rFonts w:cs="Times New Roman"/>
          <w:sz w:val="20"/>
          <w:szCs w:val="20"/>
          <w:lang w:val="en-GB"/>
        </w:rPr>
        <w:t>3)</w:t>
      </w:r>
      <w:r>
        <w:rPr>
          <w:rStyle w:val="FootnoteReference"/>
          <w:rFonts w:cs="Times New Roman"/>
          <w:sz w:val="20"/>
          <w:szCs w:val="20"/>
          <w:lang w:val="en-GB"/>
        </w:rPr>
        <w:footnoteReference w:id="6"/>
      </w:r>
    </w:p>
    <w:p w14:paraId="7D4FAB4B" w14:textId="77777777" w:rsidR="003608F0" w:rsidRPr="00E176CF" w:rsidRDefault="003608F0" w:rsidP="007208BD">
      <w:pPr>
        <w:ind w:left="720" w:right="720"/>
        <w:jc w:val="both"/>
        <w:rPr>
          <w:rFonts w:cs="Times New Roman"/>
          <w:sz w:val="20"/>
          <w:szCs w:val="20"/>
          <w:lang w:val="en-GB"/>
        </w:rPr>
      </w:pPr>
    </w:p>
    <w:p w14:paraId="746B44B1" w14:textId="77777777" w:rsidR="003608F0" w:rsidRDefault="003608F0" w:rsidP="007208BD">
      <w:pPr>
        <w:jc w:val="both"/>
        <w:rPr>
          <w:rFonts w:cs="Times New Roman"/>
          <w:lang w:val="en-GB"/>
        </w:rPr>
      </w:pPr>
      <w:r w:rsidRPr="00E176CF">
        <w:rPr>
          <w:rFonts w:cs="Times New Roman"/>
          <w:lang w:val="en-GB"/>
        </w:rPr>
        <w:t xml:space="preserve">The IASB acknowledge </w:t>
      </w:r>
      <w:r>
        <w:rPr>
          <w:rFonts w:cs="Times New Roman"/>
          <w:lang w:val="en-GB"/>
        </w:rPr>
        <w:t>the quantitative definitional features existing internationally, but seek to condense this debate through employing the floating SME signifier of non-public accountability:</w:t>
      </w:r>
    </w:p>
    <w:p w14:paraId="52374298" w14:textId="77777777" w:rsidR="003608F0" w:rsidRPr="00E176CF" w:rsidRDefault="003608F0" w:rsidP="008456E4">
      <w:pPr>
        <w:jc w:val="both"/>
        <w:rPr>
          <w:rFonts w:cs="Times New Roman"/>
          <w:lang w:val="en-GB"/>
        </w:rPr>
      </w:pPr>
    </w:p>
    <w:p w14:paraId="2D02AAA5" w14:textId="4868F728" w:rsidR="003608F0" w:rsidRDefault="003608F0" w:rsidP="00E87E44">
      <w:pPr>
        <w:ind w:left="720" w:right="720"/>
        <w:jc w:val="both"/>
        <w:rPr>
          <w:rFonts w:eastAsia="Times New Roman" w:cs="Times New Roman"/>
          <w:sz w:val="20"/>
          <w:szCs w:val="20"/>
          <w:lang w:val="en-GB"/>
        </w:rPr>
      </w:pPr>
      <w:r w:rsidRPr="00E176CF">
        <w:rPr>
          <w:rFonts w:eastAsia="Times New Roman" w:cs="Times New Roman"/>
          <w:sz w:val="20"/>
          <w:szCs w:val="20"/>
          <w:lang w:val="en-GB"/>
        </w:rPr>
        <w:t>P9 The IASB develops and issues a separate Standard intended to apply to the general purpose financial statements of, and other financial reporting by, entities that in many countries are referred to by a variety of terms, including small and medium-sized entities (SMEs), private entities and non-publicly accountable entities</w:t>
      </w:r>
      <w:r>
        <w:rPr>
          <w:rFonts w:eastAsia="Times New Roman" w:cs="Times New Roman"/>
          <w:sz w:val="20"/>
          <w:szCs w:val="20"/>
          <w:lang w:val="en-GB"/>
        </w:rPr>
        <w:t xml:space="preserve"> </w:t>
      </w:r>
      <w:r w:rsidRPr="00E176CF">
        <w:rPr>
          <w:rFonts w:eastAsia="Times New Roman" w:cs="Times New Roman"/>
          <w:sz w:val="20"/>
          <w:szCs w:val="20"/>
          <w:lang w:val="en-GB"/>
        </w:rPr>
        <w:t xml:space="preserve">… Many jurisdictions around the world have developed their own definitions of SMEs for a broad range of purposes including prescribing financial reporting obligations. Often those national or regional definitions include quantified criteria based on revenue, assets, employees or other factors. Frequently, the term SMEs is used to mean or to include very small entities without regard to whether they publish general purpose financial statements </w:t>
      </w:r>
      <w:r>
        <w:rPr>
          <w:rFonts w:eastAsia="Times New Roman" w:cs="Times New Roman"/>
          <w:sz w:val="20"/>
          <w:szCs w:val="20"/>
          <w:lang w:val="en-GB"/>
        </w:rPr>
        <w:t>for external users</w:t>
      </w:r>
      <w:r w:rsidR="00CD4805">
        <w:rPr>
          <w:rFonts w:eastAsia="Times New Roman" w:cs="Times New Roman"/>
          <w:sz w:val="20"/>
          <w:szCs w:val="20"/>
          <w:lang w:val="en-GB"/>
        </w:rPr>
        <w:t>.</w:t>
      </w:r>
      <w:r>
        <w:rPr>
          <w:rFonts w:eastAsia="Times New Roman" w:cs="Times New Roman"/>
          <w:sz w:val="20"/>
          <w:szCs w:val="20"/>
          <w:lang w:val="en-GB"/>
        </w:rPr>
        <w:t xml:space="preserve"> (IASB, 2015, p.</w:t>
      </w:r>
      <w:r w:rsidRPr="00E176CF">
        <w:rPr>
          <w:rFonts w:eastAsia="Times New Roman" w:cs="Times New Roman"/>
          <w:sz w:val="20"/>
          <w:szCs w:val="20"/>
          <w:lang w:val="en-GB"/>
        </w:rPr>
        <w:t xml:space="preserve"> 7) </w:t>
      </w:r>
    </w:p>
    <w:p w14:paraId="5A594538" w14:textId="77777777" w:rsidR="003608F0" w:rsidRPr="00E176CF" w:rsidRDefault="003608F0" w:rsidP="00E87E44">
      <w:pPr>
        <w:ind w:left="720" w:right="720"/>
        <w:jc w:val="both"/>
        <w:rPr>
          <w:rFonts w:eastAsia="Times New Roman" w:cs="Times New Roman"/>
          <w:sz w:val="20"/>
          <w:szCs w:val="20"/>
          <w:lang w:val="en-GB"/>
        </w:rPr>
      </w:pPr>
    </w:p>
    <w:p w14:paraId="2DC167E9" w14:textId="02197236" w:rsidR="003608F0" w:rsidRDefault="003608F0" w:rsidP="008456E4">
      <w:pPr>
        <w:jc w:val="both"/>
        <w:rPr>
          <w:rFonts w:cs="Times New Roman"/>
          <w:lang w:val="en-GB"/>
        </w:rPr>
      </w:pPr>
      <w:r w:rsidRPr="00E176CF">
        <w:rPr>
          <w:rFonts w:cs="Times New Roman"/>
          <w:lang w:val="en-GB"/>
        </w:rPr>
        <w:lastRenderedPageBreak/>
        <w:t xml:space="preserve">This </w:t>
      </w:r>
      <w:r>
        <w:rPr>
          <w:rFonts w:cs="Times New Roman"/>
          <w:lang w:val="en-GB"/>
        </w:rPr>
        <w:t>led to critique because</w:t>
      </w:r>
      <w:r w:rsidRPr="00E176CF">
        <w:rPr>
          <w:rFonts w:cs="Times New Roman"/>
          <w:lang w:val="en-GB"/>
        </w:rPr>
        <w:t xml:space="preserve"> arguably the IASB are attempting to make </w:t>
      </w:r>
      <w:r w:rsidR="00CD4805">
        <w:rPr>
          <w:rFonts w:cs="Times New Roman"/>
          <w:lang w:val="en-GB"/>
        </w:rPr>
        <w:t>“</w:t>
      </w:r>
      <w:r w:rsidRPr="00E176CF">
        <w:rPr>
          <w:rFonts w:cs="Times New Roman"/>
          <w:lang w:val="en-GB"/>
        </w:rPr>
        <w:t>one-size-fit-all</w:t>
      </w:r>
      <w:r w:rsidR="00CD4805">
        <w:rPr>
          <w:rFonts w:cs="Times New Roman"/>
          <w:lang w:val="en-GB"/>
        </w:rPr>
        <w:t>”</w:t>
      </w:r>
      <w:r w:rsidRPr="00E176CF">
        <w:rPr>
          <w:rFonts w:cs="Times New Roman"/>
          <w:lang w:val="en-GB"/>
        </w:rPr>
        <w:t xml:space="preserve"> (Di Pietra </w:t>
      </w:r>
      <w:r w:rsidRPr="00E176CF">
        <w:rPr>
          <w:rFonts w:cs="Times New Roman"/>
          <w:i/>
          <w:lang w:val="en-GB"/>
        </w:rPr>
        <w:t>et al.,</w:t>
      </w:r>
      <w:r w:rsidRPr="00E176CF">
        <w:rPr>
          <w:rFonts w:cs="Times New Roman"/>
          <w:lang w:val="en-GB"/>
        </w:rPr>
        <w:t xml:space="preserve"> 2008). However, this</w:t>
      </w:r>
      <w:r>
        <w:rPr>
          <w:rFonts w:cs="Times New Roman"/>
          <w:lang w:val="en-GB"/>
        </w:rPr>
        <w:t xml:space="preserve"> does not resolve the definitional debate because each</w:t>
      </w:r>
      <w:r w:rsidRPr="00E176CF">
        <w:rPr>
          <w:rFonts w:cs="Times New Roman"/>
          <w:lang w:val="en-GB"/>
        </w:rPr>
        <w:t xml:space="preserve"> </w:t>
      </w:r>
      <w:r>
        <w:rPr>
          <w:rFonts w:cs="Times New Roman"/>
          <w:lang w:val="en-GB"/>
        </w:rPr>
        <w:t>counter articulation</w:t>
      </w:r>
      <w:r w:rsidRPr="00E176CF">
        <w:rPr>
          <w:rFonts w:cs="Times New Roman"/>
          <w:lang w:val="en-GB"/>
        </w:rPr>
        <w:t xml:space="preserve"> </w:t>
      </w:r>
      <w:r>
        <w:rPr>
          <w:rFonts w:cs="Times New Roman"/>
          <w:lang w:val="en-GB"/>
        </w:rPr>
        <w:t>raises new</w:t>
      </w:r>
      <w:r w:rsidRPr="00E176CF">
        <w:rPr>
          <w:rFonts w:cs="Times New Roman"/>
          <w:lang w:val="en-GB"/>
        </w:rPr>
        <w:t xml:space="preserve"> antagonisms. Di Pietra </w:t>
      </w:r>
      <w:r w:rsidRPr="00E176CF">
        <w:rPr>
          <w:rFonts w:cs="Times New Roman"/>
          <w:i/>
          <w:lang w:val="en-GB"/>
        </w:rPr>
        <w:t>et al.</w:t>
      </w:r>
      <w:r>
        <w:rPr>
          <w:rFonts w:cs="Times New Roman"/>
          <w:lang w:val="en-GB"/>
        </w:rPr>
        <w:t xml:space="preserve"> (2008, p. </w:t>
      </w:r>
      <w:r w:rsidRPr="00E176CF">
        <w:rPr>
          <w:rFonts w:cs="Times New Roman"/>
          <w:lang w:val="en-GB"/>
        </w:rPr>
        <w:t>6) explain the</w:t>
      </w:r>
      <w:r>
        <w:rPr>
          <w:rFonts w:cs="Times New Roman"/>
          <w:lang w:val="en-GB"/>
        </w:rPr>
        <w:t xml:space="preserve"> unsuitability of</w:t>
      </w:r>
      <w:r w:rsidRPr="00E176CF">
        <w:rPr>
          <w:rFonts w:cs="Times New Roman"/>
          <w:lang w:val="en-GB"/>
        </w:rPr>
        <w:t xml:space="preserve"> </w:t>
      </w:r>
      <w:r w:rsidRPr="00E176CF">
        <w:rPr>
          <w:rFonts w:cs="Times New Roman"/>
          <w:i/>
          <w:lang w:val="en-GB"/>
        </w:rPr>
        <w:t>IFRS for SMEs</w:t>
      </w:r>
      <w:r w:rsidRPr="00E176CF">
        <w:rPr>
          <w:rFonts w:cs="Times New Roman"/>
          <w:lang w:val="en-GB"/>
        </w:rPr>
        <w:t xml:space="preserve"> </w:t>
      </w:r>
      <w:r>
        <w:rPr>
          <w:rFonts w:cs="Times New Roman"/>
          <w:lang w:val="en-GB"/>
        </w:rPr>
        <w:t xml:space="preserve">due to the </w:t>
      </w:r>
      <w:r w:rsidR="00CD4805">
        <w:rPr>
          <w:rFonts w:cs="Times New Roman"/>
          <w:lang w:val="en-GB"/>
        </w:rPr>
        <w:t>“</w:t>
      </w:r>
      <w:r w:rsidRPr="00E176CF">
        <w:rPr>
          <w:rFonts w:cs="Times New Roman"/>
          <w:lang w:val="en-GB"/>
        </w:rPr>
        <w:t>broad definition</w:t>
      </w:r>
      <w:r w:rsidR="00CD4805">
        <w:rPr>
          <w:rFonts w:cs="Times New Roman"/>
          <w:lang w:val="en-GB"/>
        </w:rPr>
        <w:t>”</w:t>
      </w:r>
      <w:r w:rsidRPr="00E176CF">
        <w:rPr>
          <w:rFonts w:cs="Times New Roman"/>
          <w:lang w:val="en-GB"/>
        </w:rPr>
        <w:t xml:space="preserve">: </w:t>
      </w:r>
    </w:p>
    <w:p w14:paraId="6FBC2511" w14:textId="77777777" w:rsidR="003608F0" w:rsidRPr="00E176CF" w:rsidRDefault="003608F0" w:rsidP="008456E4">
      <w:pPr>
        <w:jc w:val="both"/>
        <w:rPr>
          <w:rFonts w:cs="Times New Roman"/>
          <w:lang w:val="en-GB"/>
        </w:rPr>
      </w:pPr>
    </w:p>
    <w:p w14:paraId="1FE6EBB3" w14:textId="77777777" w:rsidR="003608F0" w:rsidRDefault="003608F0" w:rsidP="00E87E44">
      <w:pPr>
        <w:ind w:left="720" w:right="720"/>
        <w:jc w:val="both"/>
        <w:rPr>
          <w:rFonts w:cs="Times New Roman"/>
          <w:sz w:val="20"/>
          <w:szCs w:val="20"/>
          <w:lang w:val="en-GB"/>
        </w:rPr>
      </w:pPr>
      <w:r w:rsidRPr="00E176CF">
        <w:rPr>
          <w:rFonts w:cs="Times New Roman"/>
          <w:sz w:val="20"/>
          <w:szCs w:val="20"/>
          <w:lang w:val="en-GB"/>
        </w:rPr>
        <w:t xml:space="preserve">Though the IASB </w:t>
      </w:r>
      <w:r>
        <w:rPr>
          <w:rFonts w:cs="Times New Roman"/>
          <w:sz w:val="20"/>
          <w:szCs w:val="20"/>
          <w:lang w:val="en-GB"/>
        </w:rPr>
        <w:t xml:space="preserve">… </w:t>
      </w:r>
      <w:r w:rsidRPr="00E176CF">
        <w:rPr>
          <w:rFonts w:cs="Times New Roman"/>
          <w:sz w:val="20"/>
          <w:szCs w:val="20"/>
          <w:lang w:val="en-GB"/>
        </w:rPr>
        <w:t>explicitly states that the ED-IFRS for SMEs is suitable for micro-entities, the content of the ED seems to suggest that the IASB’s focus was on larger SMEs (with more external users or stronger international orientation). The ED suggests that the financial reporting user needs for SMEs are similar or identical to those of bigger</w:t>
      </w:r>
      <w:r>
        <w:rPr>
          <w:rFonts w:cs="Times New Roman"/>
          <w:sz w:val="20"/>
          <w:szCs w:val="20"/>
          <w:lang w:val="en-GB"/>
        </w:rPr>
        <w:t xml:space="preserve"> </w:t>
      </w:r>
      <w:r w:rsidRPr="00E176CF">
        <w:rPr>
          <w:rFonts w:cs="Times New Roman"/>
          <w:sz w:val="20"/>
          <w:szCs w:val="20"/>
          <w:lang w:val="en-GB"/>
        </w:rPr>
        <w:t>… it has been questioned whether the IFRS for SMEs can be suitable for micro entities</w:t>
      </w:r>
      <w:r>
        <w:rPr>
          <w:rFonts w:cs="Times New Roman"/>
          <w:sz w:val="20"/>
          <w:szCs w:val="20"/>
          <w:lang w:val="en-GB"/>
        </w:rPr>
        <w:t xml:space="preserve"> </w:t>
      </w:r>
      <w:r w:rsidRPr="00E176CF">
        <w:rPr>
          <w:rFonts w:cs="Times New Roman"/>
          <w:sz w:val="20"/>
          <w:szCs w:val="20"/>
          <w:lang w:val="en-GB"/>
        </w:rPr>
        <w:t>…</w:t>
      </w:r>
    </w:p>
    <w:p w14:paraId="78ECE281" w14:textId="77777777" w:rsidR="003608F0" w:rsidRPr="00E176CF" w:rsidRDefault="003608F0" w:rsidP="00E87E44">
      <w:pPr>
        <w:ind w:left="720" w:right="720"/>
        <w:jc w:val="both"/>
        <w:rPr>
          <w:rFonts w:cs="Times New Roman"/>
          <w:sz w:val="20"/>
          <w:szCs w:val="20"/>
          <w:lang w:val="en-GB"/>
        </w:rPr>
      </w:pPr>
    </w:p>
    <w:p w14:paraId="1E4D904B" w14:textId="79760476" w:rsidR="003608F0" w:rsidRDefault="003608F0" w:rsidP="00755D3F">
      <w:pPr>
        <w:spacing w:after="120"/>
        <w:jc w:val="both"/>
        <w:rPr>
          <w:rFonts w:cs="Times New Roman"/>
          <w:lang w:val="en-GB"/>
        </w:rPr>
      </w:pPr>
      <w:r>
        <w:rPr>
          <w:rFonts w:cs="Times New Roman"/>
          <w:lang w:val="en-GB"/>
        </w:rPr>
        <w:t xml:space="preserve">Di Pietra </w:t>
      </w:r>
      <w:r w:rsidRPr="00D27E79">
        <w:rPr>
          <w:rFonts w:cs="Times New Roman"/>
          <w:i/>
          <w:lang w:val="en-GB"/>
        </w:rPr>
        <w:t>et al.</w:t>
      </w:r>
      <w:r>
        <w:rPr>
          <w:rFonts w:cs="Times New Roman"/>
          <w:lang w:val="en-GB"/>
        </w:rPr>
        <w:t xml:space="preserve"> (2008) highlight a concern with micro-entities which was not resolved by reference to non-public accountability. </w:t>
      </w:r>
      <w:r w:rsidR="00755D3F">
        <w:rPr>
          <w:rFonts w:cs="Times New Roman"/>
          <w:lang w:val="en-GB"/>
        </w:rPr>
        <w:t>T</w:t>
      </w:r>
      <w:r>
        <w:rPr>
          <w:rFonts w:cs="Times New Roman"/>
          <w:lang w:val="en-GB"/>
        </w:rPr>
        <w:t xml:space="preserve">he following section focuses on a </w:t>
      </w:r>
      <w:r w:rsidR="00E43ED7">
        <w:rPr>
          <w:rFonts w:cs="Times New Roman"/>
          <w:lang w:val="en-GB"/>
        </w:rPr>
        <w:t xml:space="preserve">connected </w:t>
      </w:r>
      <w:r>
        <w:rPr>
          <w:rFonts w:cs="Times New Roman"/>
          <w:lang w:val="en-GB"/>
        </w:rPr>
        <w:t xml:space="preserve">example of embedded politics </w:t>
      </w:r>
      <w:r w:rsidR="00E43ED7">
        <w:rPr>
          <w:rFonts w:cs="Times New Roman"/>
          <w:lang w:val="en-GB"/>
        </w:rPr>
        <w:t>of technocracy, as the politics evident in defining the concept of SMEs is reflected in the politics of determining the title of the standard.</w:t>
      </w:r>
    </w:p>
    <w:p w14:paraId="0143F1A1" w14:textId="77777777" w:rsidR="00E87E44" w:rsidRDefault="00E87E44" w:rsidP="00E87E44">
      <w:pPr>
        <w:jc w:val="both"/>
        <w:rPr>
          <w:rFonts w:cs="Times New Roman"/>
          <w:lang w:val="en-GB"/>
        </w:rPr>
      </w:pPr>
    </w:p>
    <w:p w14:paraId="20A5504F" w14:textId="7F49A25F" w:rsidR="003608F0" w:rsidRPr="00E87E44" w:rsidRDefault="00A51FA1" w:rsidP="00E87E44">
      <w:pPr>
        <w:pStyle w:val="Heading2"/>
        <w:rPr>
          <w:rFonts w:cs="Times New Roman"/>
          <w:b/>
        </w:rPr>
      </w:pPr>
      <w:r>
        <w:rPr>
          <w:b/>
          <w:lang w:val="en-GB"/>
        </w:rPr>
        <w:t>5</w:t>
      </w:r>
      <w:r w:rsidR="008F58A7" w:rsidRPr="00E87E44">
        <w:rPr>
          <w:b/>
          <w:lang w:val="en-GB"/>
        </w:rPr>
        <w:t>.</w:t>
      </w:r>
      <w:r>
        <w:rPr>
          <w:b/>
          <w:lang w:val="en-GB"/>
        </w:rPr>
        <w:t>3</w:t>
      </w:r>
      <w:r w:rsidR="003608F0" w:rsidRPr="00E87E44">
        <w:rPr>
          <w:b/>
          <w:lang w:val="en-GB"/>
        </w:rPr>
        <w:tab/>
      </w:r>
      <w:r w:rsidR="00206327">
        <w:rPr>
          <w:b/>
          <w:lang w:val="en-GB"/>
        </w:rPr>
        <w:t xml:space="preserve">Condensation: </w:t>
      </w:r>
      <w:r w:rsidR="003608F0" w:rsidRPr="00E87E44">
        <w:rPr>
          <w:b/>
          <w:lang w:val="en-GB"/>
        </w:rPr>
        <w:t xml:space="preserve">Naming the standard </w:t>
      </w:r>
      <w:r w:rsidR="00A51666">
        <w:rPr>
          <w:b/>
          <w:lang w:val="en-GB"/>
        </w:rPr>
        <w:t>(development)</w:t>
      </w:r>
    </w:p>
    <w:p w14:paraId="5CF99035" w14:textId="77777777" w:rsidR="00E87E44" w:rsidRDefault="00E87E44" w:rsidP="00E87E44">
      <w:pPr>
        <w:jc w:val="both"/>
        <w:rPr>
          <w:rFonts w:cs="Times New Roman"/>
          <w:lang w:val="en-GB"/>
        </w:rPr>
      </w:pPr>
    </w:p>
    <w:p w14:paraId="0106AFFC" w14:textId="03ED7685" w:rsidR="003608F0" w:rsidRDefault="003608F0" w:rsidP="008456E4">
      <w:pPr>
        <w:spacing w:after="120"/>
        <w:jc w:val="both"/>
        <w:rPr>
          <w:rFonts w:cs="Times New Roman"/>
          <w:lang w:val="en-GB"/>
        </w:rPr>
      </w:pPr>
      <w:r w:rsidRPr="00E176CF">
        <w:rPr>
          <w:rFonts w:cs="Times New Roman"/>
          <w:lang w:val="en-GB"/>
        </w:rPr>
        <w:t xml:space="preserve">Throughout </w:t>
      </w:r>
      <w:r>
        <w:rPr>
          <w:rFonts w:cs="Times New Roman"/>
          <w:lang w:val="en-GB"/>
        </w:rPr>
        <w:t xml:space="preserve">the </w:t>
      </w:r>
      <w:r w:rsidRPr="00E176CF">
        <w:rPr>
          <w:rFonts w:cs="Times New Roman"/>
          <w:lang w:val="en-GB"/>
        </w:rPr>
        <w:t>standard</w:t>
      </w:r>
      <w:r>
        <w:rPr>
          <w:rFonts w:cs="Times New Roman"/>
          <w:lang w:val="en-GB"/>
        </w:rPr>
        <w:t xml:space="preserve">’s development, </w:t>
      </w:r>
      <w:r w:rsidRPr="00E176CF">
        <w:rPr>
          <w:rFonts w:cs="Times New Roman"/>
          <w:lang w:val="en-GB"/>
        </w:rPr>
        <w:t>the title changed multiple times</w:t>
      </w:r>
      <w:r>
        <w:rPr>
          <w:rFonts w:cs="Times New Roman"/>
          <w:lang w:val="en-GB"/>
        </w:rPr>
        <w:t>,</w:t>
      </w:r>
      <w:r w:rsidRPr="00E176CF">
        <w:rPr>
          <w:rFonts w:cs="Times New Roman"/>
          <w:lang w:val="en-GB"/>
        </w:rPr>
        <w:t xml:space="preserve"> and the final decision </w:t>
      </w:r>
      <w:r>
        <w:rPr>
          <w:rFonts w:cs="Times New Roman"/>
          <w:lang w:val="en-GB"/>
        </w:rPr>
        <w:t xml:space="preserve">of </w:t>
      </w:r>
      <w:r w:rsidRPr="00E176CF">
        <w:rPr>
          <w:rFonts w:cs="Times New Roman"/>
          <w:i/>
          <w:lang w:val="en-GB"/>
        </w:rPr>
        <w:t>IFRS for SMEs</w:t>
      </w:r>
      <w:r>
        <w:rPr>
          <w:rFonts w:cs="Times New Roman"/>
          <w:i/>
          <w:lang w:val="en-GB"/>
        </w:rPr>
        <w:t xml:space="preserve"> </w:t>
      </w:r>
      <w:r w:rsidRPr="00E176CF">
        <w:rPr>
          <w:rFonts w:cs="Times New Roman"/>
          <w:lang w:val="en-GB"/>
        </w:rPr>
        <w:t xml:space="preserve">plays an important role </w:t>
      </w:r>
      <w:r>
        <w:rPr>
          <w:rFonts w:cs="Times New Roman"/>
          <w:lang w:val="en-GB"/>
        </w:rPr>
        <w:t xml:space="preserve">in subsequent confusions, as the </w:t>
      </w:r>
      <w:r w:rsidR="00CD4805">
        <w:rPr>
          <w:rFonts w:cs="Times New Roman"/>
          <w:lang w:val="en-GB"/>
        </w:rPr>
        <w:t>“</w:t>
      </w:r>
      <w:r w:rsidRPr="00E176CF">
        <w:rPr>
          <w:rFonts w:cs="Times New Roman"/>
          <w:lang w:val="en-GB"/>
        </w:rPr>
        <w:t>SME</w:t>
      </w:r>
      <w:r w:rsidR="00CD4805">
        <w:rPr>
          <w:rFonts w:cs="Times New Roman"/>
          <w:lang w:val="en-GB"/>
        </w:rPr>
        <w:t>”</w:t>
      </w:r>
      <w:r>
        <w:rPr>
          <w:rFonts w:cs="Times New Roman"/>
          <w:lang w:val="en-GB"/>
        </w:rPr>
        <w:t xml:space="preserve"> signifier (particularly in legislation and differential reporting frameworks) traditionally invokes </w:t>
      </w:r>
      <w:r w:rsidRPr="00E176CF">
        <w:rPr>
          <w:rFonts w:cs="Times New Roman"/>
          <w:lang w:val="en-GB"/>
        </w:rPr>
        <w:t>size criteri</w:t>
      </w:r>
      <w:r>
        <w:rPr>
          <w:rFonts w:cs="Times New Roman"/>
          <w:lang w:val="en-GB"/>
        </w:rPr>
        <w:t>a as definitional</w:t>
      </w:r>
      <w:r w:rsidRPr="00E176CF">
        <w:rPr>
          <w:rFonts w:cs="Times New Roman"/>
          <w:lang w:val="en-GB"/>
        </w:rPr>
        <w:t xml:space="preserve">. The </w:t>
      </w:r>
      <w:r>
        <w:rPr>
          <w:rFonts w:cs="Times New Roman"/>
          <w:lang w:val="en-GB"/>
        </w:rPr>
        <w:t xml:space="preserve">IFRSF (2013, p. 2) summarises the </w:t>
      </w:r>
      <w:r w:rsidRPr="00E176CF">
        <w:rPr>
          <w:rFonts w:cs="Times New Roman"/>
          <w:lang w:val="en-GB"/>
        </w:rPr>
        <w:t xml:space="preserve">debate: </w:t>
      </w:r>
    </w:p>
    <w:p w14:paraId="7899FC62" w14:textId="77777777" w:rsidR="003608F0" w:rsidRPr="00E176CF" w:rsidRDefault="003608F0" w:rsidP="008456E4">
      <w:pPr>
        <w:jc w:val="both"/>
        <w:rPr>
          <w:rFonts w:cs="Times New Roman"/>
          <w:lang w:val="en-GB"/>
        </w:rPr>
      </w:pPr>
    </w:p>
    <w:p w14:paraId="46743164" w14:textId="77777777" w:rsidR="003608F0" w:rsidRPr="00E176CF" w:rsidRDefault="003608F0" w:rsidP="008456E4">
      <w:pPr>
        <w:spacing w:after="120"/>
        <w:ind w:left="720" w:right="720"/>
        <w:jc w:val="both"/>
        <w:rPr>
          <w:rFonts w:cs="Times New Roman"/>
          <w:sz w:val="20"/>
          <w:szCs w:val="20"/>
          <w:lang w:val="en-GB"/>
        </w:rPr>
      </w:pPr>
      <w:r w:rsidRPr="00E176CF">
        <w:rPr>
          <w:rFonts w:cs="Times New Roman"/>
          <w:sz w:val="20"/>
          <w:szCs w:val="20"/>
          <w:lang w:val="en-GB"/>
        </w:rPr>
        <w:t xml:space="preserve">The </w:t>
      </w:r>
      <w:r w:rsidRPr="00E176CF">
        <w:rPr>
          <w:rFonts w:cs="Times New Roman"/>
          <w:b/>
          <w:sz w:val="20"/>
          <w:szCs w:val="20"/>
          <w:lang w:val="en-GB"/>
        </w:rPr>
        <w:t>title</w:t>
      </w:r>
      <w:r w:rsidRPr="00E176CF">
        <w:rPr>
          <w:rFonts w:cs="Times New Roman"/>
          <w:sz w:val="20"/>
          <w:szCs w:val="20"/>
          <w:lang w:val="en-GB"/>
        </w:rPr>
        <w:t xml:space="preserve"> of the standard—IFRS for SMEs</w:t>
      </w:r>
    </w:p>
    <w:p w14:paraId="72979D05" w14:textId="4B4B3D22" w:rsidR="003608F0" w:rsidRPr="00993680" w:rsidRDefault="003608F0" w:rsidP="008456E4">
      <w:pPr>
        <w:spacing w:after="120"/>
        <w:ind w:left="720" w:right="720"/>
        <w:jc w:val="both"/>
        <w:rPr>
          <w:rFonts w:cs="Times New Roman"/>
          <w:sz w:val="20"/>
          <w:szCs w:val="20"/>
          <w:lang w:val="en-GB"/>
        </w:rPr>
      </w:pPr>
      <w:r w:rsidRPr="00993680">
        <w:rPr>
          <w:rFonts w:cs="Times New Roman"/>
          <w:sz w:val="20"/>
          <w:szCs w:val="20"/>
          <w:lang w:val="en-GB"/>
        </w:rPr>
        <w:t xml:space="preserve">The </w:t>
      </w:r>
      <w:r w:rsidRPr="00993680">
        <w:rPr>
          <w:rFonts w:cs="Times New Roman"/>
          <w:b/>
          <w:sz w:val="20"/>
          <w:szCs w:val="20"/>
          <w:lang w:val="en-GB"/>
        </w:rPr>
        <w:t>term ‘SMEs’ is widely recognised and used around the world</w:t>
      </w:r>
      <w:r w:rsidR="00993680">
        <w:rPr>
          <w:rFonts w:cs="Times New Roman"/>
          <w:b/>
          <w:sz w:val="20"/>
          <w:szCs w:val="20"/>
          <w:lang w:val="en-GB"/>
        </w:rPr>
        <w:t>…</w:t>
      </w:r>
    </w:p>
    <w:p w14:paraId="3D6FC4E6" w14:textId="41296940" w:rsidR="003608F0" w:rsidRPr="00E176CF" w:rsidRDefault="00687722" w:rsidP="008456E4">
      <w:pPr>
        <w:spacing w:after="120"/>
        <w:ind w:left="720" w:right="720"/>
        <w:jc w:val="both"/>
        <w:rPr>
          <w:rFonts w:cs="Times New Roman"/>
          <w:sz w:val="20"/>
          <w:szCs w:val="20"/>
          <w:lang w:val="en-GB"/>
        </w:rPr>
      </w:pPr>
      <w:r>
        <w:rPr>
          <w:rFonts w:cs="Times New Roman"/>
          <w:sz w:val="20"/>
          <w:szCs w:val="20"/>
          <w:lang w:val="en-GB"/>
        </w:rPr>
        <w:t xml:space="preserve">… </w:t>
      </w:r>
      <w:r w:rsidR="003608F0" w:rsidRPr="00E176CF">
        <w:rPr>
          <w:rFonts w:cs="Times New Roman"/>
          <w:sz w:val="20"/>
          <w:szCs w:val="20"/>
          <w:lang w:val="en-GB"/>
        </w:rPr>
        <w:t xml:space="preserve">The IASB </w:t>
      </w:r>
      <w:r w:rsidR="003608F0" w:rsidRPr="00E176CF">
        <w:rPr>
          <w:rFonts w:cs="Times New Roman"/>
          <w:b/>
          <w:sz w:val="20"/>
          <w:szCs w:val="20"/>
          <w:lang w:val="en-GB"/>
        </w:rPr>
        <w:t>considered whether to use another term</w:t>
      </w:r>
      <w:r w:rsidR="003608F0" w:rsidRPr="00E176CF">
        <w:rPr>
          <w:rFonts w:cs="Times New Roman"/>
          <w:sz w:val="20"/>
          <w:szCs w:val="20"/>
          <w:lang w:val="en-GB"/>
        </w:rPr>
        <w:t xml:space="preserve">. Even before publishing the exposure draft in February 2007, the IASB had used the term </w:t>
      </w:r>
      <w:r w:rsidR="003608F0" w:rsidRPr="00EF417A">
        <w:rPr>
          <w:rFonts w:cs="Times New Roman"/>
          <w:b/>
          <w:sz w:val="20"/>
          <w:szCs w:val="20"/>
          <w:lang w:val="en-GB"/>
        </w:rPr>
        <w:t>‘non-publicly accountable entity’ (NPAE)</w:t>
      </w:r>
      <w:r w:rsidR="003608F0" w:rsidRPr="00E176CF">
        <w:rPr>
          <w:rFonts w:cs="Times New Roman"/>
          <w:sz w:val="20"/>
          <w:szCs w:val="20"/>
          <w:lang w:val="en-GB"/>
        </w:rPr>
        <w:t xml:space="preserve"> for several months during 2005. During its re</w:t>
      </w:r>
      <w:r w:rsidR="003608F0">
        <w:rPr>
          <w:rFonts w:cs="Times New Roman"/>
          <w:sz w:val="20"/>
          <w:szCs w:val="20"/>
          <w:lang w:val="en-GB"/>
        </w:rPr>
        <w:t>-</w:t>
      </w:r>
      <w:r w:rsidR="003608F0" w:rsidRPr="00E176CF">
        <w:rPr>
          <w:rFonts w:cs="Times New Roman"/>
          <w:sz w:val="20"/>
          <w:szCs w:val="20"/>
          <w:lang w:val="en-GB"/>
        </w:rPr>
        <w:t xml:space="preserve">deliberations of the proposals in the exposure draft during 2008, the IASB also used both ‘NPAEs’ and </w:t>
      </w:r>
      <w:r w:rsidR="003608F0" w:rsidRPr="00EF417A">
        <w:rPr>
          <w:rFonts w:cs="Times New Roman"/>
          <w:b/>
          <w:sz w:val="20"/>
          <w:szCs w:val="20"/>
          <w:lang w:val="en-GB"/>
        </w:rPr>
        <w:t>‘private entities’</w:t>
      </w:r>
      <w:r w:rsidR="003608F0" w:rsidRPr="00E176CF">
        <w:rPr>
          <w:rFonts w:cs="Times New Roman"/>
          <w:sz w:val="20"/>
          <w:szCs w:val="20"/>
          <w:lang w:val="en-GB"/>
        </w:rPr>
        <w:t xml:space="preserve"> for several months. Because the IASB concluded that full IFRSs are necessary for entities with public accountability, the terms ‘publicly accountable entity’ and ‘non-publicly accountable entity’ had some appeal. </w:t>
      </w:r>
      <w:r w:rsidR="003608F0" w:rsidRPr="00E176CF">
        <w:rPr>
          <w:rFonts w:cs="Times New Roman"/>
          <w:b/>
          <w:sz w:val="20"/>
          <w:szCs w:val="20"/>
          <w:lang w:val="en-GB"/>
        </w:rPr>
        <w:t>However, constituents argued that this term is not widely recognised, whereas ‘small and medium-sized entities’ and the acronym ‘SMEs’ are universally recognised.</w:t>
      </w:r>
      <w:r w:rsidR="003608F0" w:rsidRPr="00E176CF">
        <w:rPr>
          <w:rFonts w:cs="Times New Roman"/>
          <w:sz w:val="20"/>
          <w:szCs w:val="20"/>
          <w:lang w:val="en-GB"/>
        </w:rPr>
        <w:t xml:space="preserve"> Also, some said that ‘non-publicly accountable entities’ seemed to imply, incorrectly, that the smaller entities were not publicly accountable for anything. Furthermore, the objectives of the IFRS Foundation and the IASB as set out in the Foundation’s Constitution use the term ‘small and medium-sized entities’… </w:t>
      </w:r>
    </w:p>
    <w:p w14:paraId="03E17D9B" w14:textId="47E87920" w:rsidR="003608F0" w:rsidRDefault="003608F0" w:rsidP="008456E4">
      <w:pPr>
        <w:spacing w:after="120"/>
        <w:ind w:left="720" w:right="720"/>
        <w:jc w:val="both"/>
        <w:rPr>
          <w:rFonts w:cs="Times New Roman"/>
          <w:sz w:val="20"/>
          <w:szCs w:val="20"/>
          <w:lang w:val="en-GB"/>
        </w:rPr>
      </w:pPr>
      <w:r w:rsidRPr="00E176CF">
        <w:rPr>
          <w:rFonts w:cs="Times New Roman"/>
          <w:sz w:val="20"/>
          <w:szCs w:val="20"/>
          <w:lang w:val="en-GB"/>
        </w:rPr>
        <w:t>For these reasons, the IASB decided to use ‘small and medium-sized entities’</w:t>
      </w:r>
      <w:r w:rsidR="00CD4805">
        <w:rPr>
          <w:rFonts w:cs="Times New Roman"/>
          <w:sz w:val="20"/>
          <w:szCs w:val="20"/>
          <w:lang w:val="en-GB"/>
        </w:rPr>
        <w:t>.</w:t>
      </w:r>
      <w:r w:rsidRPr="00E176CF">
        <w:rPr>
          <w:rFonts w:cs="Times New Roman"/>
          <w:sz w:val="20"/>
          <w:szCs w:val="20"/>
          <w:lang w:val="en-GB"/>
        </w:rPr>
        <w:t xml:space="preserve"> (IFRSF, 2013: 2 [emphasis added]) </w:t>
      </w:r>
    </w:p>
    <w:p w14:paraId="7C9C52CF" w14:textId="77777777" w:rsidR="003608F0" w:rsidRPr="00E176CF" w:rsidRDefault="003608F0" w:rsidP="008456E4">
      <w:pPr>
        <w:spacing w:after="120"/>
        <w:ind w:left="720" w:right="720"/>
        <w:jc w:val="both"/>
        <w:rPr>
          <w:rFonts w:cs="Times New Roman"/>
          <w:sz w:val="20"/>
          <w:szCs w:val="20"/>
          <w:lang w:val="en-GB"/>
        </w:rPr>
      </w:pPr>
    </w:p>
    <w:p w14:paraId="1421D58C" w14:textId="4BA3F0FA" w:rsidR="003608F0" w:rsidRDefault="003608F0" w:rsidP="008456E4">
      <w:pPr>
        <w:spacing w:after="120"/>
        <w:jc w:val="both"/>
        <w:rPr>
          <w:rFonts w:cs="Times New Roman"/>
          <w:lang w:val="en-GB"/>
        </w:rPr>
      </w:pPr>
      <w:r>
        <w:rPr>
          <w:rFonts w:cs="Times New Roman"/>
          <w:lang w:val="en-GB"/>
        </w:rPr>
        <w:t xml:space="preserve">The IASB debated three titles: IFRS for NPAEs, IFRS for Private Entities and </w:t>
      </w:r>
      <w:r w:rsidRPr="00CD4805">
        <w:rPr>
          <w:rFonts w:cs="Times New Roman"/>
          <w:i/>
          <w:lang w:val="en-GB"/>
        </w:rPr>
        <w:t>IFRS for SMEs</w:t>
      </w:r>
      <w:r>
        <w:rPr>
          <w:rFonts w:cs="Times New Roman"/>
          <w:lang w:val="en-GB"/>
        </w:rPr>
        <w:t xml:space="preserve">. In the IASB’s reasoning, the wide-recognition of </w:t>
      </w:r>
      <w:r w:rsidRPr="00E176CF">
        <w:rPr>
          <w:rFonts w:cs="Times New Roman"/>
          <w:lang w:val="en-GB"/>
        </w:rPr>
        <w:t xml:space="preserve">the </w:t>
      </w:r>
      <w:r w:rsidR="00CD4805">
        <w:rPr>
          <w:rFonts w:cs="Times New Roman"/>
          <w:lang w:val="en-GB"/>
        </w:rPr>
        <w:t>“</w:t>
      </w:r>
      <w:r w:rsidRPr="00E176CF">
        <w:rPr>
          <w:rFonts w:cs="Times New Roman"/>
          <w:lang w:val="en-GB"/>
        </w:rPr>
        <w:t>SME</w:t>
      </w:r>
      <w:r w:rsidR="00CD4805">
        <w:rPr>
          <w:rFonts w:cs="Times New Roman"/>
          <w:lang w:val="en-GB"/>
        </w:rPr>
        <w:t>”</w:t>
      </w:r>
      <w:r>
        <w:rPr>
          <w:rFonts w:cs="Times New Roman"/>
          <w:lang w:val="en-GB"/>
        </w:rPr>
        <w:t xml:space="preserve"> term</w:t>
      </w:r>
      <w:r w:rsidRPr="00E176CF">
        <w:rPr>
          <w:rFonts w:cs="Times New Roman"/>
          <w:lang w:val="en-GB"/>
        </w:rPr>
        <w:t xml:space="preserve"> </w:t>
      </w:r>
      <w:r>
        <w:rPr>
          <w:rFonts w:cs="Times New Roman"/>
          <w:lang w:val="en-GB"/>
        </w:rPr>
        <w:t xml:space="preserve">was </w:t>
      </w:r>
      <w:r w:rsidRPr="00E176CF">
        <w:rPr>
          <w:rFonts w:cs="Times New Roman"/>
          <w:lang w:val="en-GB"/>
        </w:rPr>
        <w:t xml:space="preserve">crucial to the final decision. </w:t>
      </w:r>
      <w:r>
        <w:rPr>
          <w:rFonts w:cs="Times New Roman"/>
          <w:lang w:val="en-GB"/>
        </w:rPr>
        <w:t>T</w:t>
      </w:r>
      <w:r w:rsidRPr="00E176CF">
        <w:rPr>
          <w:rFonts w:cs="Times New Roman"/>
          <w:lang w:val="en-GB"/>
        </w:rPr>
        <w:t xml:space="preserve">he IASB </w:t>
      </w:r>
      <w:r>
        <w:rPr>
          <w:rFonts w:cs="Times New Roman"/>
          <w:lang w:val="en-GB"/>
        </w:rPr>
        <w:t>rejected alternative titles</w:t>
      </w:r>
      <w:r w:rsidRPr="00E176CF">
        <w:rPr>
          <w:rFonts w:cs="Times New Roman"/>
          <w:lang w:val="en-GB"/>
        </w:rPr>
        <w:t xml:space="preserve"> by concluding that other </w:t>
      </w:r>
      <w:r>
        <w:rPr>
          <w:rFonts w:cs="Times New Roman"/>
          <w:lang w:val="en-GB"/>
        </w:rPr>
        <w:t xml:space="preserve">approaches </w:t>
      </w:r>
      <w:r w:rsidRPr="00E176CF">
        <w:rPr>
          <w:rFonts w:cs="Times New Roman"/>
          <w:lang w:val="en-GB"/>
        </w:rPr>
        <w:t>d</w:t>
      </w:r>
      <w:r>
        <w:rPr>
          <w:rFonts w:cs="Times New Roman"/>
          <w:lang w:val="en-GB"/>
        </w:rPr>
        <w:t>id</w:t>
      </w:r>
      <w:r w:rsidRPr="00E176CF">
        <w:rPr>
          <w:rFonts w:cs="Times New Roman"/>
          <w:lang w:val="en-GB"/>
        </w:rPr>
        <w:t xml:space="preserve"> not give </w:t>
      </w:r>
      <w:r>
        <w:rPr>
          <w:rFonts w:cs="Times New Roman"/>
          <w:lang w:val="en-GB"/>
        </w:rPr>
        <w:t xml:space="preserve">due </w:t>
      </w:r>
      <w:r w:rsidR="00CD4805">
        <w:rPr>
          <w:rFonts w:cs="Times New Roman"/>
          <w:lang w:val="en-GB"/>
        </w:rPr>
        <w:t>“</w:t>
      </w:r>
      <w:r w:rsidRPr="00E176CF">
        <w:rPr>
          <w:rFonts w:cs="Times New Roman"/>
          <w:lang w:val="en-GB"/>
        </w:rPr>
        <w:t>regard</w:t>
      </w:r>
      <w:r w:rsidR="00CD4805">
        <w:rPr>
          <w:rFonts w:cs="Times New Roman"/>
          <w:lang w:val="en-GB"/>
        </w:rPr>
        <w:t>”</w:t>
      </w:r>
      <w:r w:rsidRPr="00E176CF">
        <w:rPr>
          <w:rFonts w:cs="Times New Roman"/>
          <w:lang w:val="en-GB"/>
        </w:rPr>
        <w:t xml:space="preserve"> to </w:t>
      </w:r>
      <w:r w:rsidR="00CD4805">
        <w:rPr>
          <w:rFonts w:cs="Times New Roman"/>
          <w:lang w:val="en-GB"/>
        </w:rPr>
        <w:t>“</w:t>
      </w:r>
      <w:r w:rsidRPr="00E176CF">
        <w:rPr>
          <w:rFonts w:cs="Times New Roman"/>
          <w:lang w:val="en-GB"/>
        </w:rPr>
        <w:t>general purpose financial statements</w:t>
      </w:r>
      <w:r w:rsidR="00CD4805">
        <w:rPr>
          <w:rFonts w:cs="Times New Roman"/>
          <w:lang w:val="en-GB"/>
        </w:rPr>
        <w:t>”</w:t>
      </w:r>
      <w:r w:rsidRPr="00E176CF">
        <w:rPr>
          <w:rFonts w:cs="Times New Roman"/>
          <w:lang w:val="en-GB"/>
        </w:rPr>
        <w:t xml:space="preserve"> or </w:t>
      </w:r>
      <w:r w:rsidR="00CD4805">
        <w:rPr>
          <w:rFonts w:cs="Times New Roman"/>
          <w:lang w:val="en-GB"/>
        </w:rPr>
        <w:t>“</w:t>
      </w:r>
      <w:r w:rsidRPr="00E176CF">
        <w:rPr>
          <w:rFonts w:cs="Times New Roman"/>
          <w:lang w:val="en-GB"/>
        </w:rPr>
        <w:t>external users</w:t>
      </w:r>
      <w:r w:rsidR="00CD4805">
        <w:rPr>
          <w:rFonts w:cs="Times New Roman"/>
          <w:lang w:val="en-GB"/>
        </w:rPr>
        <w:t>”</w:t>
      </w:r>
      <w:r w:rsidRPr="00E176CF">
        <w:rPr>
          <w:rFonts w:cs="Times New Roman"/>
          <w:lang w:val="en-GB"/>
        </w:rPr>
        <w:t>. This politically delegitimises national standard setters</w:t>
      </w:r>
      <w:r>
        <w:rPr>
          <w:rFonts w:cs="Times New Roman"/>
          <w:lang w:val="en-GB"/>
        </w:rPr>
        <w:t>, regulators, governments and IFIs</w:t>
      </w:r>
      <w:r w:rsidRPr="00E176CF">
        <w:rPr>
          <w:rFonts w:cs="Times New Roman"/>
          <w:lang w:val="en-GB"/>
        </w:rPr>
        <w:t xml:space="preserve">. </w:t>
      </w:r>
      <w:r>
        <w:rPr>
          <w:rFonts w:cs="Times New Roman"/>
          <w:lang w:val="en-GB"/>
        </w:rPr>
        <w:t>T</w:t>
      </w:r>
      <w:r w:rsidRPr="00E176CF">
        <w:rPr>
          <w:rFonts w:cs="Times New Roman"/>
          <w:lang w:val="en-GB"/>
        </w:rPr>
        <w:t xml:space="preserve">he IASB considered other names that </w:t>
      </w:r>
      <w:r>
        <w:rPr>
          <w:rFonts w:cs="Times New Roman"/>
          <w:lang w:val="en-GB"/>
        </w:rPr>
        <w:t xml:space="preserve">reflected non-public accountability, but these were discounted as they were not as easily </w:t>
      </w:r>
      <w:r w:rsidRPr="00E176CF">
        <w:rPr>
          <w:rFonts w:cs="Times New Roman"/>
          <w:lang w:val="en-GB"/>
        </w:rPr>
        <w:t>recognis</w:t>
      </w:r>
      <w:r>
        <w:rPr>
          <w:rFonts w:cs="Times New Roman"/>
          <w:lang w:val="en-GB"/>
        </w:rPr>
        <w:t>able, despite the fact that this was the defining definitional characteristic of their regulatory intervention</w:t>
      </w:r>
      <w:r w:rsidRPr="00E176CF">
        <w:rPr>
          <w:rFonts w:cs="Times New Roman"/>
          <w:lang w:val="en-GB"/>
        </w:rPr>
        <w:t xml:space="preserve">. </w:t>
      </w:r>
      <w:r>
        <w:rPr>
          <w:rFonts w:cs="Times New Roman"/>
          <w:lang w:val="en-GB"/>
        </w:rPr>
        <w:t>We suggest that this debate</w:t>
      </w:r>
      <w:r w:rsidR="004B1B30">
        <w:rPr>
          <w:rFonts w:cs="Times New Roman"/>
          <w:lang w:val="en-GB"/>
        </w:rPr>
        <w:t xml:space="preserve"> (</w:t>
      </w:r>
      <w:r>
        <w:rPr>
          <w:rFonts w:cs="Times New Roman"/>
          <w:lang w:val="en-GB"/>
        </w:rPr>
        <w:t xml:space="preserve">as Figure </w:t>
      </w:r>
      <w:r w:rsidR="008458A4">
        <w:rPr>
          <w:rFonts w:cs="Times New Roman"/>
          <w:lang w:val="en-GB"/>
        </w:rPr>
        <w:t>3</w:t>
      </w:r>
      <w:r>
        <w:rPr>
          <w:rFonts w:cs="Times New Roman"/>
          <w:lang w:val="en-GB"/>
        </w:rPr>
        <w:t xml:space="preserve"> </w:t>
      </w:r>
      <w:r>
        <w:rPr>
          <w:rFonts w:cs="Times New Roman"/>
          <w:lang w:val="en-GB"/>
        </w:rPr>
        <w:lastRenderedPageBreak/>
        <w:t>illustrates</w:t>
      </w:r>
      <w:r w:rsidR="004B1B30">
        <w:rPr>
          <w:rFonts w:cs="Times New Roman"/>
          <w:lang w:val="en-GB"/>
        </w:rPr>
        <w:t>)</w:t>
      </w:r>
      <w:r>
        <w:rPr>
          <w:rFonts w:cs="Times New Roman"/>
          <w:lang w:val="en-GB"/>
        </w:rPr>
        <w:t xml:space="preserve"> demonstrates how the IASB masks the embedded politics around naming the standard by condensation:</w:t>
      </w:r>
    </w:p>
    <w:p w14:paraId="710A298F" w14:textId="285E522D" w:rsidR="003608F0" w:rsidRPr="00E176CF" w:rsidRDefault="003608F0" w:rsidP="008456E4">
      <w:pPr>
        <w:pStyle w:val="BodyTextIndent2"/>
        <w:spacing w:after="120"/>
        <w:ind w:firstLine="0"/>
        <w:rPr>
          <w:rFonts w:asciiTheme="minorHAnsi" w:hAnsiTheme="minorHAnsi"/>
          <w:lang w:val="en-GB"/>
        </w:rPr>
      </w:pPr>
    </w:p>
    <w:p w14:paraId="2DE93AA7" w14:textId="249B1379" w:rsidR="003608F0" w:rsidRPr="00E176CF" w:rsidRDefault="00E87E44"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73600" behindDoc="0" locked="0" layoutInCell="1" allowOverlap="1" wp14:anchorId="6388E217" wp14:editId="497702BC">
                <wp:simplePos x="0" y="0"/>
                <wp:positionH relativeFrom="column">
                  <wp:posOffset>1640205</wp:posOffset>
                </wp:positionH>
                <wp:positionV relativeFrom="paragraph">
                  <wp:posOffset>17145</wp:posOffset>
                </wp:positionV>
                <wp:extent cx="24003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E2528" id="Straight Connector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9.15pt,1.35pt" to="318.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" strokecolor="#4472c4 [3204]" strokeweight=".5pt">
                <v:stroke joinstyle="miter"/>
              </v:line>
            </w:pict>
          </mc:Fallback>
        </mc:AlternateContent>
      </w:r>
      <w:r w:rsidR="003608F0" w:rsidRPr="00E176CF">
        <w:rPr>
          <w:rFonts w:asciiTheme="minorHAnsi" w:hAnsiTheme="minorHAnsi"/>
          <w:noProof/>
          <w:lang w:val="en-GB" w:eastAsia="en-GB"/>
        </w:rPr>
        <mc:AlternateContent>
          <mc:Choice Requires="wps">
            <w:drawing>
              <wp:anchor distT="0" distB="0" distL="114300" distR="114300" simplePos="0" relativeHeight="251674624" behindDoc="0" locked="0" layoutInCell="1" allowOverlap="1" wp14:anchorId="30394B37" wp14:editId="21074464">
                <wp:simplePos x="0" y="0"/>
                <wp:positionH relativeFrom="column">
                  <wp:posOffset>1630680</wp:posOffset>
                </wp:positionH>
                <wp:positionV relativeFrom="paragraph">
                  <wp:posOffset>243840</wp:posOffset>
                </wp:positionV>
                <wp:extent cx="24003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B400F"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" strokecolor="#4472c4 [3204]" strokeweight=".5pt">
                <v:stroke joinstyle="miter"/>
              </v:line>
            </w:pict>
          </mc:Fallback>
        </mc:AlternateContent>
      </w:r>
      <w:r w:rsidR="003608F0" w:rsidRPr="00E176CF">
        <w:rPr>
          <w:rFonts w:asciiTheme="minorHAnsi" w:hAnsiTheme="minorHAnsi"/>
          <w:lang w:val="en-GB"/>
        </w:rPr>
        <w:t xml:space="preserve">INSERT </w:t>
      </w:r>
      <w:r w:rsidR="003608F0">
        <w:rPr>
          <w:rFonts w:asciiTheme="minorHAnsi" w:hAnsiTheme="minorHAnsi"/>
          <w:lang w:val="en-GB"/>
        </w:rPr>
        <w:t xml:space="preserve">FIGURE </w:t>
      </w:r>
      <w:r w:rsidR="00260CBE">
        <w:rPr>
          <w:rFonts w:asciiTheme="minorHAnsi" w:hAnsiTheme="minorHAnsi"/>
          <w:lang w:val="en-GB"/>
        </w:rPr>
        <w:t>3</w:t>
      </w:r>
    </w:p>
    <w:p w14:paraId="34F26F51" w14:textId="77777777" w:rsidR="00255CD2" w:rsidRDefault="00255CD2" w:rsidP="008456E4">
      <w:pPr>
        <w:jc w:val="both"/>
        <w:rPr>
          <w:rFonts w:cs="Times New Roman"/>
          <w:lang w:val="en-GB"/>
        </w:rPr>
      </w:pPr>
    </w:p>
    <w:p w14:paraId="677BDB21" w14:textId="3D5304F8" w:rsidR="003608F0" w:rsidRDefault="003608F0" w:rsidP="008456E4">
      <w:pPr>
        <w:jc w:val="both"/>
        <w:rPr>
          <w:rFonts w:cs="Times New Roman"/>
          <w:lang w:val="en-GB"/>
        </w:rPr>
      </w:pPr>
      <w:r>
        <w:rPr>
          <w:rFonts w:cs="Times New Roman"/>
          <w:lang w:val="en-GB"/>
        </w:rPr>
        <w:t xml:space="preserve">Post-publication, the SME title created </w:t>
      </w:r>
      <w:r w:rsidRPr="00E176CF">
        <w:rPr>
          <w:rFonts w:cs="Times New Roman"/>
          <w:lang w:val="en-GB"/>
        </w:rPr>
        <w:t>confusion</w:t>
      </w:r>
      <w:r>
        <w:rPr>
          <w:rFonts w:cs="Times New Roman"/>
          <w:lang w:val="en-GB"/>
        </w:rPr>
        <w:t xml:space="preserve"> and</w:t>
      </w:r>
      <w:r w:rsidRPr="00E176CF">
        <w:rPr>
          <w:rFonts w:cs="Times New Roman"/>
          <w:lang w:val="en-GB"/>
        </w:rPr>
        <w:t xml:space="preserve"> disappointment</w:t>
      </w:r>
      <w:r w:rsidR="002E0F69">
        <w:rPr>
          <w:rFonts w:cs="Times New Roman"/>
          <w:lang w:val="en-GB"/>
        </w:rPr>
        <w:t xml:space="preserve"> </w:t>
      </w:r>
      <w:r w:rsidR="00A51FA1">
        <w:rPr>
          <w:rFonts w:cs="Times New Roman"/>
          <w:lang w:val="en-GB"/>
        </w:rPr>
        <w:t>through the IASB’s</w:t>
      </w:r>
      <w:r w:rsidR="002E0F69">
        <w:rPr>
          <w:rFonts w:cs="Times New Roman"/>
          <w:lang w:val="en-GB"/>
        </w:rPr>
        <w:t xml:space="preserve"> attempt to fix meaning</w:t>
      </w:r>
      <w:r w:rsidR="00A51FA1">
        <w:rPr>
          <w:rFonts w:cs="Times New Roman"/>
          <w:lang w:val="en-GB"/>
        </w:rPr>
        <w:t xml:space="preserve"> (condensation)</w:t>
      </w:r>
      <w:r>
        <w:rPr>
          <w:rFonts w:cs="Times New Roman"/>
          <w:lang w:val="en-GB"/>
        </w:rPr>
        <w:t>,</w:t>
      </w:r>
      <w:r w:rsidRPr="00E176CF">
        <w:rPr>
          <w:rFonts w:cs="Times New Roman"/>
          <w:lang w:val="en-GB"/>
        </w:rPr>
        <w:t xml:space="preserve"> </w:t>
      </w:r>
      <w:r w:rsidR="00A51FA1">
        <w:rPr>
          <w:rFonts w:cs="Times New Roman"/>
          <w:lang w:val="en-GB"/>
        </w:rPr>
        <w:t>which</w:t>
      </w:r>
      <w:r w:rsidRPr="00E176CF">
        <w:rPr>
          <w:rFonts w:cs="Times New Roman"/>
          <w:lang w:val="en-GB"/>
        </w:rPr>
        <w:t xml:space="preserve"> </w:t>
      </w:r>
      <w:r>
        <w:rPr>
          <w:rFonts w:cs="Times New Roman"/>
          <w:lang w:val="en-GB"/>
        </w:rPr>
        <w:t xml:space="preserve">led to competing interpretations </w:t>
      </w:r>
      <w:r w:rsidRPr="00E176CF">
        <w:rPr>
          <w:rFonts w:cs="Times New Roman"/>
          <w:lang w:val="en-GB"/>
        </w:rPr>
        <w:t>over the</w:t>
      </w:r>
      <w:r>
        <w:rPr>
          <w:rFonts w:cs="Times New Roman"/>
          <w:lang w:val="en-GB"/>
        </w:rPr>
        <w:t xml:space="preserve"> standard’s</w:t>
      </w:r>
      <w:r w:rsidRPr="00E176CF">
        <w:rPr>
          <w:rFonts w:cs="Times New Roman"/>
          <w:lang w:val="en-GB"/>
        </w:rPr>
        <w:t xml:space="preserve"> purpose: </w:t>
      </w:r>
    </w:p>
    <w:p w14:paraId="15925F40" w14:textId="77777777" w:rsidR="003608F0" w:rsidRPr="00E176CF" w:rsidRDefault="003608F0" w:rsidP="008456E4">
      <w:pPr>
        <w:jc w:val="both"/>
        <w:rPr>
          <w:rFonts w:cs="Times New Roman"/>
          <w:lang w:val="en-GB"/>
        </w:rPr>
      </w:pPr>
    </w:p>
    <w:p w14:paraId="2B5CE10F" w14:textId="6B607CB0" w:rsidR="003608F0" w:rsidRDefault="003608F0" w:rsidP="008456E4">
      <w:pPr>
        <w:spacing w:after="120"/>
        <w:ind w:left="720" w:right="720"/>
        <w:jc w:val="both"/>
        <w:rPr>
          <w:rFonts w:eastAsia="Times New Roman" w:cs="Times New Roman"/>
          <w:sz w:val="20"/>
          <w:szCs w:val="20"/>
          <w:lang w:val="en-GB"/>
        </w:rPr>
      </w:pPr>
      <w:r w:rsidRPr="00E176CF">
        <w:rPr>
          <w:rFonts w:eastAsia="Times New Roman" w:cs="Times New Roman"/>
          <w:sz w:val="20"/>
          <w:szCs w:val="20"/>
          <w:lang w:val="en-GB"/>
        </w:rPr>
        <w:t>…</w:t>
      </w:r>
      <w:r>
        <w:rPr>
          <w:rFonts w:eastAsia="Times New Roman" w:cs="Times New Roman"/>
          <w:sz w:val="20"/>
          <w:szCs w:val="20"/>
          <w:lang w:val="en-GB"/>
        </w:rPr>
        <w:t xml:space="preserve"> </w:t>
      </w:r>
      <w:r w:rsidRPr="00E176CF">
        <w:rPr>
          <w:rFonts w:eastAsia="Times New Roman" w:cs="Times New Roman"/>
          <w:sz w:val="20"/>
          <w:szCs w:val="20"/>
          <w:lang w:val="en-GB"/>
        </w:rPr>
        <w:t>we would observe that the title of the proposed Standard is misleading. To title the Standard ‘IFRS for SMEs’ when it applies, in fact, not to small and medium-sized entities but rather to those entities which are not publicly accountable, is not only confusing but totally inaccurate</w:t>
      </w:r>
      <w:r w:rsidR="00CD4805">
        <w:rPr>
          <w:rFonts w:eastAsia="Times New Roman" w:cs="Times New Roman"/>
          <w:sz w:val="20"/>
          <w:szCs w:val="20"/>
          <w:lang w:val="en-GB"/>
        </w:rPr>
        <w:t>.</w:t>
      </w:r>
      <w:r w:rsidRPr="00E176CF">
        <w:rPr>
          <w:rFonts w:eastAsia="Times New Roman" w:cs="Times New Roman"/>
          <w:sz w:val="20"/>
          <w:szCs w:val="20"/>
          <w:lang w:val="en-GB"/>
        </w:rPr>
        <w:t xml:space="preserve"> (CL8, 2007: 1) </w:t>
      </w:r>
    </w:p>
    <w:p w14:paraId="2532C8E1" w14:textId="77777777" w:rsidR="003608F0" w:rsidRPr="00E176CF" w:rsidRDefault="003608F0" w:rsidP="008456E4">
      <w:pPr>
        <w:spacing w:after="120"/>
        <w:ind w:left="720" w:right="720"/>
        <w:jc w:val="both"/>
        <w:rPr>
          <w:rFonts w:eastAsia="Times New Roman" w:cs="Times New Roman"/>
          <w:sz w:val="20"/>
          <w:szCs w:val="20"/>
          <w:lang w:val="en-GB"/>
        </w:rPr>
      </w:pPr>
    </w:p>
    <w:p w14:paraId="28511DB5" w14:textId="7D9D1C42" w:rsidR="003608F0" w:rsidRDefault="003608F0" w:rsidP="008456E4">
      <w:pPr>
        <w:jc w:val="both"/>
        <w:rPr>
          <w:rFonts w:eastAsia="Times New Roman" w:cs="Times New Roman"/>
          <w:lang w:val="en-GB"/>
        </w:rPr>
      </w:pPr>
      <w:r w:rsidRPr="00E176CF">
        <w:rPr>
          <w:rFonts w:eastAsia="Times New Roman" w:cs="Times New Roman"/>
          <w:lang w:val="en-GB"/>
        </w:rPr>
        <w:t xml:space="preserve">This </w:t>
      </w:r>
      <w:r w:rsidR="00206327">
        <w:rPr>
          <w:rFonts w:eastAsia="Times New Roman" w:cs="Times New Roman"/>
          <w:lang w:val="en-GB"/>
        </w:rPr>
        <w:t>c</w:t>
      </w:r>
      <w:r>
        <w:rPr>
          <w:rFonts w:eastAsia="Times New Roman" w:cs="Times New Roman"/>
          <w:lang w:val="en-GB"/>
        </w:rPr>
        <w:t xml:space="preserve">omment </w:t>
      </w:r>
      <w:r w:rsidR="00206327">
        <w:rPr>
          <w:rFonts w:eastAsia="Times New Roman" w:cs="Times New Roman"/>
          <w:lang w:val="en-GB"/>
        </w:rPr>
        <w:t>l</w:t>
      </w:r>
      <w:r>
        <w:rPr>
          <w:rFonts w:eastAsia="Times New Roman" w:cs="Times New Roman"/>
          <w:lang w:val="en-GB"/>
        </w:rPr>
        <w:t xml:space="preserve">etter </w:t>
      </w:r>
      <w:r w:rsidR="00206327">
        <w:rPr>
          <w:rFonts w:eastAsia="Times New Roman" w:cs="Times New Roman"/>
          <w:lang w:val="en-GB"/>
        </w:rPr>
        <w:t xml:space="preserve">suggests that </w:t>
      </w:r>
      <w:r>
        <w:rPr>
          <w:rFonts w:eastAsia="Times New Roman" w:cs="Times New Roman"/>
          <w:lang w:val="en-GB"/>
        </w:rPr>
        <w:t xml:space="preserve">title </w:t>
      </w:r>
      <w:r w:rsidR="00206327">
        <w:rPr>
          <w:rFonts w:eastAsia="Times New Roman" w:cs="Times New Roman"/>
          <w:lang w:val="en-GB"/>
        </w:rPr>
        <w:t>is</w:t>
      </w:r>
      <w:r>
        <w:rPr>
          <w:rFonts w:eastAsia="Times New Roman" w:cs="Times New Roman"/>
          <w:lang w:val="en-GB"/>
        </w:rPr>
        <w:t xml:space="preserve"> </w:t>
      </w:r>
      <w:r w:rsidRPr="00E176CF">
        <w:rPr>
          <w:rFonts w:eastAsia="Times New Roman" w:cs="Times New Roman"/>
          <w:lang w:val="en-GB"/>
        </w:rPr>
        <w:t>misleading</w:t>
      </w:r>
      <w:r>
        <w:rPr>
          <w:rFonts w:eastAsia="Times New Roman" w:cs="Times New Roman"/>
          <w:lang w:val="en-GB"/>
        </w:rPr>
        <w:t xml:space="preserve">, while </w:t>
      </w:r>
      <w:r w:rsidR="00530B68">
        <w:rPr>
          <w:rFonts w:eastAsia="Times New Roman" w:cs="Times New Roman"/>
          <w:lang w:val="en-GB"/>
        </w:rPr>
        <w:t>CL</w:t>
      </w:r>
      <w:r w:rsidRPr="00E176CF">
        <w:rPr>
          <w:rFonts w:eastAsia="Times New Roman" w:cs="Times New Roman"/>
          <w:lang w:val="en-GB"/>
        </w:rPr>
        <w:t xml:space="preserve">156 (2007:1) </w:t>
      </w:r>
      <w:r>
        <w:rPr>
          <w:rFonts w:eastAsia="Times New Roman" w:cs="Times New Roman"/>
          <w:lang w:val="en-GB"/>
        </w:rPr>
        <w:t>suggests the title is inaccurate</w:t>
      </w:r>
      <w:r w:rsidRPr="00E176CF">
        <w:rPr>
          <w:rFonts w:eastAsia="Times New Roman" w:cs="Times New Roman"/>
          <w:lang w:val="en-GB"/>
        </w:rPr>
        <w:t xml:space="preserve">: </w:t>
      </w:r>
    </w:p>
    <w:p w14:paraId="4AED648C" w14:textId="77777777" w:rsidR="003608F0" w:rsidRPr="00E176CF" w:rsidRDefault="003608F0" w:rsidP="008456E4">
      <w:pPr>
        <w:jc w:val="both"/>
        <w:rPr>
          <w:rFonts w:eastAsia="Times New Roman" w:cs="Times New Roman"/>
          <w:lang w:val="en-GB"/>
        </w:rPr>
      </w:pPr>
    </w:p>
    <w:p w14:paraId="103726C1" w14:textId="6F9C4BEB" w:rsidR="003608F0" w:rsidRDefault="003608F0" w:rsidP="008456E4">
      <w:pPr>
        <w:ind w:left="720" w:right="720"/>
        <w:jc w:val="both"/>
        <w:rPr>
          <w:rFonts w:eastAsia="Times New Roman" w:cs="Times New Roman"/>
          <w:sz w:val="20"/>
          <w:szCs w:val="20"/>
          <w:lang w:val="en-GB"/>
        </w:rPr>
      </w:pPr>
      <w:r w:rsidRPr="00E176CF">
        <w:rPr>
          <w:rFonts w:eastAsia="Times New Roman" w:cs="Times New Roman"/>
          <w:sz w:val="20"/>
          <w:szCs w:val="20"/>
          <w:lang w:val="en-GB"/>
        </w:rPr>
        <w:t xml:space="preserve">Although the title of the Standard </w:t>
      </w:r>
      <w:r w:rsidRPr="00E176CF">
        <w:rPr>
          <w:rFonts w:eastAsia="Times New Roman" w:cs="Times New Roman"/>
          <w:b/>
          <w:sz w:val="20"/>
          <w:szCs w:val="20"/>
          <w:lang w:val="en-GB"/>
        </w:rPr>
        <w:t>refers to SMEs, the scope is actually much broader, encompassing all non-publicly accountable entities publishing general purpose financial statements</w:t>
      </w:r>
      <w:r>
        <w:rPr>
          <w:rFonts w:eastAsia="Times New Roman" w:cs="Times New Roman"/>
          <w:sz w:val="20"/>
          <w:szCs w:val="20"/>
          <w:lang w:val="en-GB"/>
        </w:rPr>
        <w:t xml:space="preserve"> </w:t>
      </w:r>
      <w:r w:rsidRPr="00F53F6E">
        <w:rPr>
          <w:rFonts w:eastAsia="Times New Roman" w:cs="Times New Roman"/>
          <w:sz w:val="20"/>
          <w:szCs w:val="20"/>
          <w:lang w:val="en-GB"/>
        </w:rPr>
        <w:t>…</w:t>
      </w:r>
      <w:r w:rsidRPr="00E176CF">
        <w:rPr>
          <w:rFonts w:eastAsia="Times New Roman" w:cs="Times New Roman"/>
          <w:sz w:val="20"/>
          <w:szCs w:val="20"/>
          <w:lang w:val="en-GB"/>
        </w:rPr>
        <w:t xml:space="preserve"> However, it seems that </w:t>
      </w:r>
      <w:r w:rsidRPr="00E176CF">
        <w:rPr>
          <w:rFonts w:eastAsia="Times New Roman" w:cs="Times New Roman"/>
          <w:b/>
          <w:sz w:val="20"/>
          <w:szCs w:val="20"/>
          <w:lang w:val="en-GB"/>
        </w:rPr>
        <w:t>the title as currently expressed does not adequately indicate that the document should be used for these ‘middle ground’ entities</w:t>
      </w:r>
      <w:r w:rsidR="00CD4805">
        <w:rPr>
          <w:rFonts w:eastAsia="Times New Roman" w:cs="Times New Roman"/>
          <w:sz w:val="20"/>
          <w:szCs w:val="20"/>
          <w:lang w:val="en-GB"/>
        </w:rPr>
        <w:t>.</w:t>
      </w:r>
      <w:r>
        <w:rPr>
          <w:rFonts w:eastAsia="Times New Roman" w:cs="Times New Roman"/>
          <w:sz w:val="20"/>
          <w:szCs w:val="20"/>
          <w:lang w:val="en-GB"/>
        </w:rPr>
        <w:t xml:space="preserve"> [Emphasis added]</w:t>
      </w:r>
    </w:p>
    <w:p w14:paraId="2ED67010" w14:textId="77777777" w:rsidR="003608F0" w:rsidRPr="00E176CF" w:rsidRDefault="003608F0" w:rsidP="008456E4">
      <w:pPr>
        <w:ind w:left="720" w:right="720"/>
        <w:jc w:val="both"/>
        <w:rPr>
          <w:rFonts w:eastAsia="Times New Roman" w:cs="Times New Roman"/>
          <w:sz w:val="20"/>
          <w:szCs w:val="20"/>
          <w:lang w:val="en-GB"/>
        </w:rPr>
      </w:pPr>
    </w:p>
    <w:p w14:paraId="7395E742" w14:textId="77777777" w:rsidR="003608F0" w:rsidRPr="00E176CF" w:rsidRDefault="003608F0" w:rsidP="00E87E44">
      <w:pPr>
        <w:jc w:val="both"/>
        <w:rPr>
          <w:rFonts w:cs="Times New Roman"/>
          <w:lang w:val="en-GB"/>
        </w:rPr>
      </w:pPr>
      <w:r>
        <w:rPr>
          <w:rFonts w:cs="Times New Roman"/>
          <w:noProof/>
          <w:lang w:val="en-GB"/>
        </w:rPr>
        <w:t>Despite these criticisms</w:t>
      </w:r>
      <w:r w:rsidRPr="00E176CF">
        <w:rPr>
          <w:rFonts w:cs="Times New Roman"/>
          <w:lang w:val="en-GB"/>
        </w:rPr>
        <w:t>, the IASB</w:t>
      </w:r>
      <w:r>
        <w:rPr>
          <w:rFonts w:cs="Times New Roman"/>
          <w:lang w:val="en-GB"/>
        </w:rPr>
        <w:t xml:space="preserve"> favoured international recognition.</w:t>
      </w:r>
      <w:r w:rsidRPr="00E176CF">
        <w:rPr>
          <w:rFonts w:cs="Times New Roman"/>
          <w:lang w:val="en-GB"/>
        </w:rPr>
        <w:t xml:space="preserve"> The </w:t>
      </w:r>
      <w:r>
        <w:rPr>
          <w:rFonts w:cs="Times New Roman"/>
          <w:lang w:val="en-GB"/>
        </w:rPr>
        <w:t xml:space="preserve">political impact of this is that the </w:t>
      </w:r>
      <w:r w:rsidRPr="00E176CF">
        <w:rPr>
          <w:rFonts w:cs="Times New Roman"/>
          <w:lang w:val="en-GB"/>
        </w:rPr>
        <w:t xml:space="preserve">IASB rhetorically redescribe </w:t>
      </w:r>
      <w:r>
        <w:rPr>
          <w:rFonts w:cs="Times New Roman"/>
          <w:lang w:val="en-GB"/>
        </w:rPr>
        <w:t>t</w:t>
      </w:r>
      <w:r w:rsidRPr="00E176CF">
        <w:rPr>
          <w:rFonts w:cs="Times New Roman"/>
          <w:lang w:val="en-GB"/>
        </w:rPr>
        <w:t xml:space="preserve">he term SMEs </w:t>
      </w:r>
      <w:r>
        <w:rPr>
          <w:rFonts w:cs="Times New Roman"/>
          <w:lang w:val="en-GB"/>
        </w:rPr>
        <w:t xml:space="preserve">(due to their definition) and employ a title and definition that </w:t>
      </w:r>
      <w:r w:rsidRPr="00E176CF">
        <w:rPr>
          <w:rFonts w:cs="Times New Roman"/>
          <w:lang w:val="en-GB"/>
        </w:rPr>
        <w:t xml:space="preserve">best suits </w:t>
      </w:r>
      <w:r>
        <w:rPr>
          <w:rFonts w:cs="Times New Roman"/>
          <w:lang w:val="en-GB"/>
        </w:rPr>
        <w:t>their political interests</w:t>
      </w:r>
      <w:r w:rsidRPr="00E176CF">
        <w:rPr>
          <w:rFonts w:cs="Times New Roman"/>
          <w:lang w:val="en-GB"/>
        </w:rPr>
        <w:t xml:space="preserve">.  </w:t>
      </w:r>
    </w:p>
    <w:p w14:paraId="58D5B9D3" w14:textId="77777777" w:rsidR="003608F0" w:rsidRDefault="003608F0" w:rsidP="00E87E44">
      <w:pPr>
        <w:jc w:val="both"/>
        <w:rPr>
          <w:rFonts w:cs="Times New Roman"/>
          <w:lang w:val="en-GB"/>
        </w:rPr>
      </w:pPr>
    </w:p>
    <w:p w14:paraId="1A46AE65" w14:textId="5B71C795" w:rsidR="003608F0" w:rsidRPr="00E176CF" w:rsidRDefault="00D91A79" w:rsidP="008456E4">
      <w:pPr>
        <w:jc w:val="both"/>
        <w:rPr>
          <w:rFonts w:cs="Times New Roman"/>
          <w:lang w:val="en-GB"/>
        </w:rPr>
      </w:pPr>
      <w:r>
        <w:rPr>
          <w:rStyle w:val="Strong"/>
          <w:b w:val="0"/>
          <w:bCs w:val="0"/>
          <w:lang w:val="en-GB"/>
        </w:rPr>
        <w:t>Laclau and Mouffe</w:t>
      </w:r>
      <w:r w:rsidR="003608F0">
        <w:rPr>
          <w:rFonts w:cs="Times New Roman"/>
          <w:lang w:val="en-GB"/>
        </w:rPr>
        <w:t xml:space="preserve"> (2001) argue that instituting a nodal point creates antagonism and the condensation evident in defining SMEs and titling the standard begins to unravel, in a process of displacement. The initial issues with applicability, scope, the role of micro-entities and confusion between the SME title and definition all constitute the beginnings of displacement. This is evident in the debate concerning the potential usefulness of the standard, but the complexity for micro- or small-entities. This is illustrated by three quotes:</w:t>
      </w:r>
      <w:r w:rsidR="003608F0" w:rsidRPr="00E176CF">
        <w:rPr>
          <w:rFonts w:cs="Times New Roman"/>
          <w:lang w:val="en-GB"/>
        </w:rPr>
        <w:t xml:space="preserve"> </w:t>
      </w:r>
    </w:p>
    <w:p w14:paraId="249D0AE5" w14:textId="77777777" w:rsidR="003608F0" w:rsidRDefault="003608F0" w:rsidP="008456E4">
      <w:pPr>
        <w:ind w:left="720" w:right="720"/>
        <w:jc w:val="both"/>
        <w:rPr>
          <w:rFonts w:cs="Times New Roman"/>
          <w:sz w:val="20"/>
          <w:szCs w:val="20"/>
          <w:lang w:val="en-GB"/>
        </w:rPr>
      </w:pPr>
    </w:p>
    <w:p w14:paraId="37B7C17E" w14:textId="5A196A6F" w:rsidR="003608F0" w:rsidRPr="00E176CF" w:rsidRDefault="003608F0" w:rsidP="008456E4">
      <w:pPr>
        <w:spacing w:after="120"/>
        <w:ind w:left="720" w:right="720"/>
        <w:jc w:val="both"/>
        <w:rPr>
          <w:rFonts w:cs="Times New Roman"/>
          <w:sz w:val="20"/>
          <w:szCs w:val="20"/>
          <w:lang w:val="en-GB"/>
        </w:rPr>
      </w:pPr>
      <w:r w:rsidRPr="00E176CF">
        <w:rPr>
          <w:rFonts w:cs="Times New Roman"/>
          <w:sz w:val="20"/>
          <w:szCs w:val="20"/>
          <w:lang w:val="en-GB"/>
        </w:rPr>
        <w:t>…but what we have started to hear now is … a demand for companies that are middle tier, that are not big companies but are also not SMEs</w:t>
      </w:r>
      <w:r w:rsidR="00CD4805">
        <w:rPr>
          <w:rFonts w:cs="Times New Roman"/>
          <w:sz w:val="20"/>
          <w:szCs w:val="20"/>
          <w:lang w:val="en-GB"/>
        </w:rPr>
        <w:t>.</w:t>
      </w:r>
      <w:r w:rsidRPr="00E176CF">
        <w:rPr>
          <w:rFonts w:cs="Times New Roman"/>
          <w:sz w:val="20"/>
          <w:szCs w:val="20"/>
          <w:lang w:val="en-GB"/>
        </w:rPr>
        <w:t xml:space="preserve"> (Interviewee 14</w:t>
      </w:r>
      <w:r w:rsidR="00AF71D0">
        <w:rPr>
          <w:rFonts w:cs="Times New Roman"/>
          <w:sz w:val="20"/>
          <w:szCs w:val="20"/>
          <w:lang w:val="en-GB"/>
        </w:rPr>
        <w:t>, board member</w:t>
      </w:r>
      <w:r w:rsidRPr="00E176CF">
        <w:rPr>
          <w:rFonts w:cs="Times New Roman"/>
          <w:sz w:val="20"/>
          <w:szCs w:val="20"/>
          <w:lang w:val="en-GB"/>
        </w:rPr>
        <w:t>)</w:t>
      </w:r>
    </w:p>
    <w:p w14:paraId="1F86D17F" w14:textId="2995FC55" w:rsidR="003608F0" w:rsidRPr="00E176CF" w:rsidRDefault="003608F0" w:rsidP="008456E4">
      <w:pPr>
        <w:spacing w:after="120"/>
        <w:ind w:left="720" w:right="720"/>
        <w:jc w:val="both"/>
        <w:rPr>
          <w:rFonts w:cs="Times New Roman"/>
          <w:sz w:val="20"/>
          <w:szCs w:val="20"/>
          <w:lang w:val="en-GB"/>
        </w:rPr>
      </w:pPr>
      <w:r w:rsidRPr="00E176CF">
        <w:rPr>
          <w:rFonts w:cs="Times New Roman"/>
          <w:sz w:val="20"/>
          <w:szCs w:val="20"/>
          <w:lang w:val="en-GB"/>
        </w:rPr>
        <w:t>We believe that the SME standard will in practice be used by medium sized companies, not the very small ones as – in our opinion – the standard would be far too burdensome for the sm</w:t>
      </w:r>
      <w:r>
        <w:rPr>
          <w:rFonts w:cs="Times New Roman"/>
          <w:sz w:val="20"/>
          <w:szCs w:val="20"/>
          <w:lang w:val="en-GB"/>
        </w:rPr>
        <w:t>allest companies</w:t>
      </w:r>
      <w:r w:rsidR="00CD4805">
        <w:rPr>
          <w:rFonts w:cs="Times New Roman"/>
          <w:sz w:val="20"/>
          <w:szCs w:val="20"/>
          <w:lang w:val="en-GB"/>
        </w:rPr>
        <w:t>.</w:t>
      </w:r>
      <w:r>
        <w:rPr>
          <w:rFonts w:cs="Times New Roman"/>
          <w:sz w:val="20"/>
          <w:szCs w:val="20"/>
          <w:lang w:val="en-GB"/>
        </w:rPr>
        <w:t xml:space="preserve"> (CL</w:t>
      </w:r>
      <w:r w:rsidRPr="00E176CF">
        <w:rPr>
          <w:rFonts w:cs="Times New Roman"/>
          <w:sz w:val="20"/>
          <w:szCs w:val="20"/>
          <w:lang w:val="en-GB"/>
        </w:rPr>
        <w:t>49, 2005</w:t>
      </w:r>
      <w:r w:rsidR="006210A1">
        <w:rPr>
          <w:rFonts w:cs="Times New Roman"/>
          <w:sz w:val="20"/>
          <w:szCs w:val="20"/>
          <w:lang w:val="en-GB"/>
        </w:rPr>
        <w:t xml:space="preserve">, p. </w:t>
      </w:r>
      <w:r w:rsidRPr="00E176CF">
        <w:rPr>
          <w:rFonts w:cs="Times New Roman"/>
          <w:sz w:val="20"/>
          <w:szCs w:val="20"/>
          <w:lang w:val="en-GB"/>
        </w:rPr>
        <w:t>1)</w:t>
      </w:r>
    </w:p>
    <w:p w14:paraId="121FBCFF" w14:textId="3EEF8767" w:rsidR="003608F0" w:rsidRDefault="003608F0" w:rsidP="00E87E44">
      <w:pPr>
        <w:ind w:left="720" w:right="720"/>
        <w:jc w:val="both"/>
        <w:rPr>
          <w:rFonts w:cs="Times New Roman"/>
          <w:sz w:val="20"/>
          <w:szCs w:val="20"/>
          <w:lang w:val="en-GB"/>
        </w:rPr>
      </w:pPr>
      <w:r w:rsidRPr="00E176CF">
        <w:rPr>
          <w:rFonts w:cs="Times New Roman"/>
          <w:sz w:val="20"/>
          <w:szCs w:val="20"/>
          <w:lang w:val="en-GB"/>
        </w:rPr>
        <w:t>A focus on the needs of large private entities will likely result in a set of SME standards that are broadly the same as IFRSs, with only token simplification of their recognition and measurement principles. This outcome would result in SME standards ill-suited for application by the great majority of SMEs</w:t>
      </w:r>
      <w:r w:rsidR="00CD4805">
        <w:rPr>
          <w:rFonts w:cs="Times New Roman"/>
          <w:sz w:val="20"/>
          <w:szCs w:val="20"/>
          <w:lang w:val="en-GB"/>
        </w:rPr>
        <w:t>.</w:t>
      </w:r>
      <w:r w:rsidRPr="00E176CF">
        <w:rPr>
          <w:rFonts w:cs="Times New Roman"/>
          <w:sz w:val="20"/>
          <w:szCs w:val="20"/>
          <w:lang w:val="en-GB"/>
        </w:rPr>
        <w:t xml:space="preserve"> (CL44, 2005</w:t>
      </w:r>
      <w:r w:rsidR="006210A1">
        <w:rPr>
          <w:rFonts w:cs="Times New Roman"/>
          <w:sz w:val="20"/>
          <w:szCs w:val="20"/>
          <w:lang w:val="en-GB"/>
        </w:rPr>
        <w:t xml:space="preserve">, p. </w:t>
      </w:r>
      <w:r w:rsidRPr="00E176CF">
        <w:rPr>
          <w:rFonts w:cs="Times New Roman"/>
          <w:sz w:val="20"/>
          <w:szCs w:val="20"/>
          <w:lang w:val="en-GB"/>
        </w:rPr>
        <w:t>2)</w:t>
      </w:r>
    </w:p>
    <w:p w14:paraId="66A23D87" w14:textId="77777777" w:rsidR="003608F0" w:rsidRPr="00E176CF" w:rsidRDefault="003608F0" w:rsidP="00E87E44">
      <w:pPr>
        <w:ind w:left="720" w:right="720"/>
        <w:jc w:val="both"/>
        <w:rPr>
          <w:rFonts w:cs="Times New Roman"/>
          <w:sz w:val="20"/>
          <w:szCs w:val="20"/>
          <w:lang w:val="en-GB"/>
        </w:rPr>
      </w:pPr>
    </w:p>
    <w:p w14:paraId="3543057D" w14:textId="4E4B8E14" w:rsidR="00A51666" w:rsidRDefault="003608F0" w:rsidP="008456E4">
      <w:pPr>
        <w:spacing w:after="120"/>
        <w:jc w:val="both"/>
        <w:rPr>
          <w:rFonts w:cs="Times New Roman"/>
          <w:lang w:val="en-GB"/>
        </w:rPr>
      </w:pPr>
      <w:r w:rsidRPr="00E176CF">
        <w:rPr>
          <w:rFonts w:cs="Times New Roman"/>
          <w:lang w:val="en-GB"/>
        </w:rPr>
        <w:t xml:space="preserve">These quotes </w:t>
      </w:r>
      <w:r>
        <w:rPr>
          <w:rFonts w:cs="Times New Roman"/>
          <w:lang w:val="en-GB"/>
        </w:rPr>
        <w:t xml:space="preserve">suggest </w:t>
      </w:r>
      <w:r w:rsidRPr="00E176CF">
        <w:rPr>
          <w:rFonts w:cs="Times New Roman"/>
          <w:lang w:val="en-GB"/>
        </w:rPr>
        <w:t xml:space="preserve">the standard is unsuitable for </w:t>
      </w:r>
      <w:r w:rsidR="00CD4805">
        <w:rPr>
          <w:rFonts w:cs="Times New Roman"/>
          <w:lang w:val="en-GB"/>
        </w:rPr>
        <w:t>“</w:t>
      </w:r>
      <w:r w:rsidRPr="00E176CF">
        <w:rPr>
          <w:rFonts w:cs="Times New Roman"/>
          <w:lang w:val="en-GB"/>
        </w:rPr>
        <w:t>the great majority of SMEs</w:t>
      </w:r>
      <w:r w:rsidR="00CD4805">
        <w:rPr>
          <w:rFonts w:cs="Times New Roman"/>
          <w:lang w:val="en-GB"/>
        </w:rPr>
        <w:t>”</w:t>
      </w:r>
      <w:r w:rsidRPr="00E176CF">
        <w:rPr>
          <w:rFonts w:cs="Times New Roman"/>
          <w:lang w:val="en-GB"/>
        </w:rPr>
        <w:t>.</w:t>
      </w:r>
      <w:r w:rsidR="00755D3F">
        <w:rPr>
          <w:rFonts w:cs="Times New Roman"/>
          <w:lang w:val="en-GB"/>
        </w:rPr>
        <w:t xml:space="preserve"> However, this technocratic tension manifests following the publication of the standard, when the technocratic expertise of the IASB is maintained </w:t>
      </w:r>
      <w:r w:rsidR="005D78BA">
        <w:rPr>
          <w:rFonts w:cs="Times New Roman"/>
          <w:lang w:val="en-GB"/>
        </w:rPr>
        <w:t xml:space="preserve">as </w:t>
      </w:r>
      <w:r w:rsidR="005D78BA" w:rsidRPr="00993680">
        <w:rPr>
          <w:rFonts w:cs="Times New Roman"/>
          <w:i/>
          <w:lang w:val="en-GB"/>
        </w:rPr>
        <w:t xml:space="preserve">IFRS for SMEs </w:t>
      </w:r>
      <w:r w:rsidR="005D78BA" w:rsidRPr="00993680">
        <w:rPr>
          <w:rFonts w:cs="Times New Roman"/>
          <w:lang w:val="en-GB"/>
        </w:rPr>
        <w:t xml:space="preserve">is “designed for use by small and medium-sized entities (SMEs)”, which were estimated to “represent more than 95 per </w:t>
      </w:r>
      <w:r w:rsidR="005D78BA" w:rsidRPr="00993680">
        <w:rPr>
          <w:rFonts w:cs="Times New Roman"/>
          <w:lang w:val="en-GB"/>
        </w:rPr>
        <w:lastRenderedPageBreak/>
        <w:t>cent of all companies” (IASB, 2009, p. 1).</w:t>
      </w:r>
      <w:r w:rsidR="00755D3F">
        <w:rPr>
          <w:rFonts w:cs="Times New Roman"/>
          <w:lang w:val="en-GB"/>
        </w:rPr>
        <w:t xml:space="preserve"> This, we argue is a </w:t>
      </w:r>
      <w:r w:rsidR="00A51666">
        <w:rPr>
          <w:rFonts w:cs="Times New Roman"/>
          <w:lang w:val="en-GB"/>
        </w:rPr>
        <w:t>further act of condensation</w:t>
      </w:r>
      <w:r w:rsidR="00755D3F">
        <w:rPr>
          <w:rFonts w:cs="Times New Roman"/>
          <w:lang w:val="en-GB"/>
        </w:rPr>
        <w:t xml:space="preserve">, but illustrates the politics of expertise and the tension between the internal discourse of unsuitability and the external presentation that this standard was suitable for 95 per cent of entities. </w:t>
      </w:r>
      <w:r w:rsidR="00A51666">
        <w:rPr>
          <w:rFonts w:cs="Times New Roman"/>
          <w:lang w:val="en-GB"/>
        </w:rPr>
        <w:t xml:space="preserve">Arguably, the IASB defined and titled the standard in such a way that they condense many </w:t>
      </w:r>
      <w:r w:rsidR="00755D3F">
        <w:rPr>
          <w:rFonts w:cs="Times New Roman"/>
          <w:lang w:val="en-GB"/>
        </w:rPr>
        <w:t xml:space="preserve">entities </w:t>
      </w:r>
      <w:r w:rsidR="00A51666">
        <w:rPr>
          <w:rFonts w:cs="Times New Roman"/>
          <w:lang w:val="en-GB"/>
        </w:rPr>
        <w:t xml:space="preserve">into one standard, and 95 per cent offers </w:t>
      </w:r>
      <w:r w:rsidR="00755D3F">
        <w:rPr>
          <w:rFonts w:cs="Times New Roman"/>
          <w:lang w:val="en-GB"/>
        </w:rPr>
        <w:t xml:space="preserve">a </w:t>
      </w:r>
      <w:r w:rsidR="00A51666">
        <w:rPr>
          <w:rFonts w:cs="Times New Roman"/>
          <w:lang w:val="en-GB"/>
        </w:rPr>
        <w:t>clear example of that</w:t>
      </w:r>
      <w:r w:rsidR="00755D3F">
        <w:rPr>
          <w:rFonts w:cs="Times New Roman"/>
          <w:lang w:val="en-GB"/>
        </w:rPr>
        <w:t xml:space="preserve"> act of condensation</w:t>
      </w:r>
      <w:r w:rsidR="00A51666">
        <w:rPr>
          <w:rFonts w:cs="Times New Roman"/>
          <w:lang w:val="en-GB"/>
        </w:rPr>
        <w:t xml:space="preserve">. </w:t>
      </w:r>
      <w:r w:rsidR="00755D3F">
        <w:rPr>
          <w:rFonts w:cs="Times New Roman"/>
          <w:lang w:val="en-GB"/>
        </w:rPr>
        <w:t xml:space="preserve">We draw on this argument, following the publication of the standard, to illustrate the acts of </w:t>
      </w:r>
      <w:r w:rsidR="00A51666">
        <w:rPr>
          <w:rFonts w:cs="Times New Roman"/>
          <w:lang w:val="en-GB"/>
        </w:rPr>
        <w:t xml:space="preserve">condensation by the IASB. </w:t>
      </w:r>
    </w:p>
    <w:p w14:paraId="2B3D0B19" w14:textId="312DEA16" w:rsidR="00A51666" w:rsidRDefault="00A51666" w:rsidP="008456E4">
      <w:pPr>
        <w:spacing w:after="120"/>
        <w:jc w:val="both"/>
        <w:rPr>
          <w:rFonts w:cs="Times New Roman"/>
          <w:lang w:val="en-GB"/>
        </w:rPr>
      </w:pPr>
    </w:p>
    <w:p w14:paraId="6B040E54" w14:textId="2E600835" w:rsidR="00A51666" w:rsidRPr="00755D3F" w:rsidRDefault="00A51666" w:rsidP="00755D3F">
      <w:pPr>
        <w:pStyle w:val="Heading2"/>
        <w:rPr>
          <w:b/>
          <w:lang w:val="en-GB"/>
        </w:rPr>
      </w:pPr>
      <w:r w:rsidRPr="00755D3F">
        <w:rPr>
          <w:b/>
          <w:lang w:val="en-GB"/>
        </w:rPr>
        <w:t xml:space="preserve">5.4 </w:t>
      </w:r>
      <w:r>
        <w:rPr>
          <w:b/>
          <w:lang w:val="en-GB"/>
        </w:rPr>
        <w:tab/>
      </w:r>
      <w:r w:rsidRPr="00755D3F">
        <w:rPr>
          <w:b/>
          <w:lang w:val="en-GB"/>
        </w:rPr>
        <w:t>Condensation: The 95 per cent</w:t>
      </w:r>
      <w:r w:rsidR="00755D3F">
        <w:rPr>
          <w:b/>
          <w:lang w:val="en-GB"/>
        </w:rPr>
        <w:t xml:space="preserve"> (following promulgation)</w:t>
      </w:r>
    </w:p>
    <w:p w14:paraId="47CDFD72" w14:textId="77777777" w:rsidR="00A51666" w:rsidRDefault="00A51666" w:rsidP="00A51666">
      <w:pPr>
        <w:spacing w:after="120"/>
        <w:jc w:val="both"/>
        <w:rPr>
          <w:rFonts w:cs="Times New Roman"/>
          <w:lang w:val="en-GB"/>
        </w:rPr>
      </w:pPr>
    </w:p>
    <w:p w14:paraId="15A6A47B" w14:textId="3DAF2ED9" w:rsidR="00A51666" w:rsidRDefault="00A51666" w:rsidP="00A51666">
      <w:pPr>
        <w:jc w:val="both"/>
        <w:rPr>
          <w:rFonts w:cs="Times New Roman"/>
          <w:lang w:val="en-GB"/>
        </w:rPr>
      </w:pPr>
      <w:r w:rsidRPr="0098498B">
        <w:rPr>
          <w:rFonts w:cs="Times New Roman"/>
          <w:lang w:val="en-GB"/>
        </w:rPr>
        <w:t>Our anal</w:t>
      </w:r>
      <w:r>
        <w:rPr>
          <w:rFonts w:cs="Times New Roman"/>
          <w:lang w:val="en-GB"/>
        </w:rPr>
        <w:t xml:space="preserve">ysis highlights that the </w:t>
      </w:r>
      <w:r w:rsidR="00CD4805">
        <w:rPr>
          <w:rFonts w:cs="Times New Roman"/>
          <w:lang w:val="en-GB"/>
        </w:rPr>
        <w:t>“</w:t>
      </w:r>
      <w:r>
        <w:rPr>
          <w:rFonts w:cs="Times New Roman"/>
          <w:lang w:val="en-GB"/>
        </w:rPr>
        <w:t>95 per cent</w:t>
      </w:r>
      <w:r w:rsidR="00CD4805">
        <w:rPr>
          <w:rFonts w:cs="Times New Roman"/>
          <w:lang w:val="en-GB"/>
        </w:rPr>
        <w:t>”</w:t>
      </w:r>
      <w:r>
        <w:rPr>
          <w:rFonts w:cs="Times New Roman"/>
          <w:lang w:val="en-GB"/>
        </w:rPr>
        <w:t xml:space="preserve"> condensation gave rise to definitional misunderstandings</w:t>
      </w:r>
      <w:r w:rsidRPr="00E176CF">
        <w:rPr>
          <w:rFonts w:cs="Times New Roman"/>
          <w:lang w:val="en-GB"/>
        </w:rPr>
        <w:t xml:space="preserve"> and misuse</w:t>
      </w:r>
      <w:r>
        <w:rPr>
          <w:rFonts w:cs="Times New Roman"/>
          <w:lang w:val="en-GB"/>
        </w:rPr>
        <w:t xml:space="preserve"> of</w:t>
      </w:r>
      <w:r w:rsidRPr="00E176CF">
        <w:rPr>
          <w:rFonts w:cs="Times New Roman"/>
          <w:lang w:val="en-GB"/>
        </w:rPr>
        <w:t xml:space="preserve"> the standard</w:t>
      </w:r>
      <w:r>
        <w:rPr>
          <w:rFonts w:cs="Times New Roman"/>
          <w:lang w:val="en-GB"/>
        </w:rPr>
        <w:t>. We have three examples of this</w:t>
      </w:r>
      <w:r w:rsidR="00755D3F">
        <w:rPr>
          <w:rFonts w:cs="Times New Roman"/>
          <w:lang w:val="en-GB"/>
        </w:rPr>
        <w:t>:</w:t>
      </w:r>
      <w:r>
        <w:rPr>
          <w:rFonts w:cs="Times New Roman"/>
          <w:lang w:val="en-GB"/>
        </w:rPr>
        <w:t xml:space="preserve"> one is about how </w:t>
      </w:r>
      <w:r w:rsidR="00CD4805">
        <w:rPr>
          <w:rFonts w:cs="Times New Roman"/>
          <w:lang w:val="en-GB"/>
        </w:rPr>
        <w:t>the standard</w:t>
      </w:r>
      <w:r>
        <w:rPr>
          <w:rFonts w:cs="Times New Roman"/>
          <w:lang w:val="en-GB"/>
        </w:rPr>
        <w:t xml:space="preserve"> should not apply to micro entities, one reflects that it should apply to micro entities but that micro entities do not understand the concept of users, and a further debate concerned the risk of subverting the IASB’s technocracy through the development of standards by other bodies.</w:t>
      </w:r>
      <w:r w:rsidRPr="00474434">
        <w:rPr>
          <w:rFonts w:cs="Times New Roman"/>
          <w:lang w:val="en-GB"/>
        </w:rPr>
        <w:t xml:space="preserve"> </w:t>
      </w:r>
    </w:p>
    <w:p w14:paraId="3500AED1" w14:textId="77777777" w:rsidR="00A51666" w:rsidRDefault="00A51666" w:rsidP="00A51666">
      <w:pPr>
        <w:jc w:val="both"/>
        <w:rPr>
          <w:rFonts w:cs="Times New Roman"/>
          <w:lang w:val="en-GB"/>
        </w:rPr>
      </w:pPr>
    </w:p>
    <w:p w14:paraId="763F613D" w14:textId="7EE48048" w:rsidR="00A51666" w:rsidRDefault="00A51666" w:rsidP="00A51666">
      <w:pPr>
        <w:jc w:val="both"/>
        <w:rPr>
          <w:rFonts w:cs="Times New Roman"/>
          <w:lang w:val="en-GB"/>
        </w:rPr>
      </w:pPr>
      <w:r>
        <w:rPr>
          <w:rFonts w:cs="Times New Roman"/>
          <w:lang w:val="en-GB"/>
        </w:rPr>
        <w:t xml:space="preserve">For example, </w:t>
      </w:r>
      <w:r w:rsidR="00CD4805">
        <w:rPr>
          <w:rFonts w:cs="Times New Roman"/>
          <w:lang w:val="en-GB"/>
        </w:rPr>
        <w:t>I</w:t>
      </w:r>
      <w:r w:rsidRPr="00E176CF">
        <w:rPr>
          <w:rFonts w:cs="Times New Roman"/>
          <w:lang w:val="en-GB"/>
        </w:rPr>
        <w:t xml:space="preserve">nterviewee </w:t>
      </w:r>
      <w:r>
        <w:rPr>
          <w:rFonts w:cs="Times New Roman"/>
          <w:lang w:val="en-GB"/>
        </w:rPr>
        <w:t>14</w:t>
      </w:r>
      <w:r w:rsidR="00B5143C">
        <w:rPr>
          <w:rFonts w:cs="Times New Roman"/>
          <w:lang w:val="en-GB"/>
        </w:rPr>
        <w:t>, an IASB board member,</w:t>
      </w:r>
      <w:r>
        <w:rPr>
          <w:rFonts w:cs="Times New Roman"/>
          <w:lang w:val="en-GB"/>
        </w:rPr>
        <w:t xml:space="preserve"> contends that the standard was not intended to apply to all entities and </w:t>
      </w:r>
      <w:r w:rsidRPr="00E176CF">
        <w:rPr>
          <w:rFonts w:cs="Times New Roman"/>
          <w:lang w:val="en-GB"/>
        </w:rPr>
        <w:t>criticises juris</w:t>
      </w:r>
      <w:r>
        <w:rPr>
          <w:rFonts w:cs="Times New Roman"/>
          <w:lang w:val="en-GB"/>
        </w:rPr>
        <w:t>dictions for adopting the IASB’s standard</w:t>
      </w:r>
      <w:r w:rsidRPr="00E176CF">
        <w:rPr>
          <w:rFonts w:cs="Times New Roman"/>
          <w:lang w:val="en-GB"/>
        </w:rPr>
        <w:t xml:space="preserve"> for all entities</w:t>
      </w:r>
      <w:r>
        <w:rPr>
          <w:rFonts w:cs="Times New Roman"/>
          <w:lang w:val="en-GB"/>
        </w:rPr>
        <w:t>:</w:t>
      </w:r>
    </w:p>
    <w:p w14:paraId="78824EC7" w14:textId="77777777" w:rsidR="00A51666" w:rsidRPr="00E176CF" w:rsidRDefault="00A51666" w:rsidP="00A51666">
      <w:pPr>
        <w:jc w:val="both"/>
        <w:rPr>
          <w:rFonts w:cs="Times New Roman"/>
          <w:lang w:val="en-GB"/>
        </w:rPr>
      </w:pPr>
    </w:p>
    <w:p w14:paraId="3A151E9B" w14:textId="062A4187" w:rsidR="00A51666" w:rsidRDefault="00A51666" w:rsidP="00A51666">
      <w:pPr>
        <w:spacing w:after="120"/>
        <w:ind w:left="720" w:right="720"/>
        <w:jc w:val="both"/>
        <w:rPr>
          <w:rFonts w:cs="Times New Roman"/>
          <w:sz w:val="20"/>
          <w:szCs w:val="20"/>
          <w:lang w:val="en-GB"/>
        </w:rPr>
      </w:pPr>
      <w:r w:rsidRPr="00E176CF">
        <w:rPr>
          <w:rFonts w:cs="Times New Roman"/>
          <w:sz w:val="20"/>
          <w:szCs w:val="20"/>
          <w:lang w:val="en-GB"/>
        </w:rPr>
        <w:t>The other misuse of IFRS for SMEs is by genuine tiny companies, and what, in fact that’s the wrong expression, it’s for companies that don’t need to prepare what we call</w:t>
      </w:r>
      <w:r>
        <w:rPr>
          <w:rFonts w:cs="Times New Roman"/>
          <w:sz w:val="20"/>
          <w:szCs w:val="20"/>
          <w:lang w:val="en-GB"/>
        </w:rPr>
        <w:t xml:space="preserve"> </w:t>
      </w:r>
      <w:r w:rsidRPr="00E176CF">
        <w:rPr>
          <w:rFonts w:cs="Times New Roman"/>
          <w:sz w:val="20"/>
          <w:szCs w:val="20"/>
          <w:lang w:val="en-GB"/>
        </w:rPr>
        <w:t>… general purpose financial statements</w:t>
      </w:r>
      <w:r>
        <w:rPr>
          <w:rFonts w:cs="Times New Roman"/>
          <w:sz w:val="20"/>
          <w:szCs w:val="20"/>
          <w:lang w:val="en-GB"/>
        </w:rPr>
        <w:t xml:space="preserve"> </w:t>
      </w:r>
      <w:r w:rsidRPr="00E176CF">
        <w:rPr>
          <w:rFonts w:cs="Times New Roman"/>
          <w:sz w:val="20"/>
          <w:szCs w:val="20"/>
          <w:lang w:val="en-GB"/>
        </w:rPr>
        <w:t>… and you see an awful lot of that</w:t>
      </w:r>
      <w:r>
        <w:rPr>
          <w:rFonts w:cs="Times New Roman"/>
          <w:sz w:val="20"/>
          <w:szCs w:val="20"/>
          <w:lang w:val="en-GB"/>
        </w:rPr>
        <w:t>.</w:t>
      </w:r>
      <w:r w:rsidRPr="00E176CF">
        <w:rPr>
          <w:rFonts w:cs="Times New Roman"/>
          <w:sz w:val="20"/>
          <w:szCs w:val="20"/>
          <w:lang w:val="en-GB"/>
        </w:rPr>
        <w:t xml:space="preserve"> South Africa has fixed their system and whenever I speak about it I try and encourage others to do the same, but in many other countries, and Brazil comes to mind, they have not</w:t>
      </w:r>
      <w:r w:rsidR="00CD4805">
        <w:rPr>
          <w:rFonts w:cs="Times New Roman"/>
          <w:sz w:val="20"/>
          <w:szCs w:val="20"/>
          <w:lang w:val="en-GB"/>
        </w:rPr>
        <w:t>.</w:t>
      </w:r>
      <w:r w:rsidRPr="00E176CF">
        <w:rPr>
          <w:rFonts w:cs="Times New Roman"/>
          <w:sz w:val="20"/>
          <w:szCs w:val="20"/>
          <w:lang w:val="en-GB"/>
        </w:rPr>
        <w:t xml:space="preserve"> </w:t>
      </w:r>
    </w:p>
    <w:p w14:paraId="5743F2F4" w14:textId="77777777" w:rsidR="00A51666" w:rsidRPr="00E176CF" w:rsidRDefault="00A51666" w:rsidP="00A51666">
      <w:pPr>
        <w:spacing w:after="120"/>
        <w:ind w:left="720" w:right="720"/>
        <w:jc w:val="both"/>
        <w:rPr>
          <w:rFonts w:cs="Times New Roman"/>
          <w:sz w:val="20"/>
          <w:szCs w:val="20"/>
          <w:lang w:val="en-GB"/>
        </w:rPr>
      </w:pPr>
    </w:p>
    <w:p w14:paraId="64CC61E4" w14:textId="2A9A7DAA" w:rsidR="00A51666" w:rsidRDefault="00A51666" w:rsidP="00A51666">
      <w:pPr>
        <w:spacing w:after="120"/>
        <w:jc w:val="both"/>
        <w:rPr>
          <w:rFonts w:cs="Times New Roman"/>
          <w:lang w:val="en-GB"/>
        </w:rPr>
      </w:pPr>
      <w:r>
        <w:rPr>
          <w:rFonts w:cs="Times New Roman"/>
          <w:lang w:val="en-GB"/>
        </w:rPr>
        <w:t>Interviewee 14</w:t>
      </w:r>
      <w:r w:rsidR="00B5143C">
        <w:rPr>
          <w:rFonts w:cs="Times New Roman"/>
          <w:lang w:val="en-GB"/>
        </w:rPr>
        <w:t>, as a standard setter,</w:t>
      </w:r>
      <w:r>
        <w:rPr>
          <w:rFonts w:cs="Times New Roman"/>
          <w:lang w:val="en-GB"/>
        </w:rPr>
        <w:t xml:space="preserve"> contradicts</w:t>
      </w:r>
      <w:r w:rsidRPr="00E176CF">
        <w:rPr>
          <w:rFonts w:cs="Times New Roman"/>
          <w:lang w:val="en-GB"/>
        </w:rPr>
        <w:t xml:space="preserve"> the </w:t>
      </w:r>
      <w:r w:rsidR="00B5143C">
        <w:rPr>
          <w:rFonts w:cs="Times New Roman"/>
          <w:lang w:val="en-GB"/>
        </w:rPr>
        <w:t xml:space="preserve">technocratic neutrality of the </w:t>
      </w:r>
      <w:r w:rsidRPr="00E176CF">
        <w:rPr>
          <w:rFonts w:cs="Times New Roman"/>
          <w:lang w:val="en-GB"/>
        </w:rPr>
        <w:t>IASB</w:t>
      </w:r>
      <w:r w:rsidR="00B5143C">
        <w:rPr>
          <w:rFonts w:cs="Times New Roman"/>
          <w:lang w:val="en-GB"/>
        </w:rPr>
        <w:t xml:space="preserve">, as the </w:t>
      </w:r>
      <w:r>
        <w:rPr>
          <w:rFonts w:cs="Times New Roman"/>
          <w:lang w:val="en-GB"/>
        </w:rPr>
        <w:t xml:space="preserve">IASB claim that </w:t>
      </w:r>
      <w:r w:rsidRPr="00E176CF">
        <w:rPr>
          <w:rFonts w:cs="Times New Roman"/>
          <w:i/>
          <w:lang w:val="en-GB"/>
        </w:rPr>
        <w:t>IFRS for SMEs</w:t>
      </w:r>
      <w:r w:rsidRPr="00E176CF">
        <w:rPr>
          <w:rFonts w:cs="Times New Roman"/>
          <w:lang w:val="en-GB"/>
        </w:rPr>
        <w:t xml:space="preserve"> </w:t>
      </w:r>
      <w:r>
        <w:rPr>
          <w:rFonts w:cs="Times New Roman"/>
          <w:lang w:val="en-GB"/>
        </w:rPr>
        <w:t xml:space="preserve">applies to </w:t>
      </w:r>
      <w:r w:rsidRPr="00E176CF">
        <w:rPr>
          <w:rFonts w:cs="Times New Roman"/>
          <w:lang w:val="en-GB"/>
        </w:rPr>
        <w:t xml:space="preserve">all entities that publish general purpose financial statements for external users other than those that have public accountability. </w:t>
      </w:r>
      <w:r>
        <w:rPr>
          <w:rFonts w:cs="Times New Roman"/>
          <w:lang w:val="en-GB"/>
        </w:rPr>
        <w:t>Despite Interviewee 14 insisting that companies should follow South Africa and distinguish the applicability of the standard from micro-entities, i</w:t>
      </w:r>
      <w:r w:rsidRPr="00E176CF">
        <w:rPr>
          <w:rFonts w:cs="Times New Roman"/>
          <w:lang w:val="en-GB"/>
        </w:rPr>
        <w:t>nevitably</w:t>
      </w:r>
      <w:r>
        <w:rPr>
          <w:rFonts w:cs="Times New Roman"/>
          <w:lang w:val="en-GB"/>
        </w:rPr>
        <w:t xml:space="preserve"> the scope of the standard would include some </w:t>
      </w:r>
      <w:r w:rsidRPr="00E176CF">
        <w:rPr>
          <w:rFonts w:cs="Times New Roman"/>
          <w:lang w:val="en-GB"/>
        </w:rPr>
        <w:t>micro</w:t>
      </w:r>
      <w:r>
        <w:rPr>
          <w:rFonts w:cs="Times New Roman"/>
          <w:lang w:val="en-GB"/>
        </w:rPr>
        <w:t xml:space="preserve">-entities. The removal of any size criterion (for example, 50 employees) renders the standard potentially applicable to any entity. Take, for example, the proportional </w:t>
      </w:r>
      <w:r w:rsidR="00B5143C">
        <w:rPr>
          <w:rFonts w:cs="Times New Roman"/>
          <w:lang w:val="en-GB"/>
        </w:rPr>
        <w:t xml:space="preserve">count </w:t>
      </w:r>
      <w:r>
        <w:rPr>
          <w:rFonts w:cs="Times New Roman"/>
          <w:lang w:val="en-GB"/>
        </w:rPr>
        <w:t>of micro-, small- and medium entities in Indonesia: in 2010,</w:t>
      </w:r>
      <w:r w:rsidR="00B5143C">
        <w:rPr>
          <w:rFonts w:cs="Times New Roman"/>
          <w:lang w:val="en-GB"/>
        </w:rPr>
        <w:t xml:space="preserve"> it is reported that </w:t>
      </w:r>
      <w:r>
        <w:rPr>
          <w:rFonts w:cs="Times New Roman"/>
          <w:lang w:val="en-GB"/>
        </w:rPr>
        <w:t xml:space="preserve">there were 4,838 listed entities, compared with 42,631 medium-sized entities and 573,601 small entities. These accounted for 1.15 per cent of all </w:t>
      </w:r>
      <w:r w:rsidR="00B5143C">
        <w:rPr>
          <w:rFonts w:cs="Times New Roman"/>
          <w:lang w:val="en-GB"/>
        </w:rPr>
        <w:t xml:space="preserve">Indonesian </w:t>
      </w:r>
      <w:r>
        <w:rPr>
          <w:rFonts w:cs="Times New Roman"/>
          <w:lang w:val="en-GB"/>
        </w:rPr>
        <w:t xml:space="preserve">businesses, with estimates of over 50 million micro businesses being recorded (Bellefleur </w:t>
      </w:r>
      <w:r w:rsidRPr="002235F3">
        <w:rPr>
          <w:rFonts w:cs="Times New Roman"/>
          <w:i/>
          <w:lang w:val="en-GB"/>
        </w:rPr>
        <w:t>et al</w:t>
      </w:r>
      <w:r>
        <w:rPr>
          <w:rFonts w:cs="Times New Roman"/>
          <w:lang w:val="en-GB"/>
        </w:rPr>
        <w:t xml:space="preserve">., 2012). In short, if </w:t>
      </w:r>
      <w:r w:rsidRPr="003217F0">
        <w:rPr>
          <w:rFonts w:cs="Times New Roman"/>
          <w:i/>
          <w:lang w:val="en-GB"/>
        </w:rPr>
        <w:t>IFRS for SMEs</w:t>
      </w:r>
      <w:r>
        <w:rPr>
          <w:rFonts w:cs="Times New Roman"/>
          <w:lang w:val="en-GB"/>
        </w:rPr>
        <w:t xml:space="preserve"> was designed to apply to 95 per cent of Indonesian companies, then clearly that would apply to a significant proportion of Indonesian micro-entities. If </w:t>
      </w:r>
      <w:r w:rsidRPr="00E176CF">
        <w:rPr>
          <w:rFonts w:cs="Times New Roman"/>
          <w:lang w:val="en-GB"/>
        </w:rPr>
        <w:t xml:space="preserve">a </w:t>
      </w:r>
      <w:r>
        <w:rPr>
          <w:rFonts w:cs="Times New Roman"/>
          <w:lang w:val="en-GB"/>
        </w:rPr>
        <w:t xml:space="preserve">jurisdiction </w:t>
      </w:r>
      <w:r w:rsidRPr="00E176CF">
        <w:rPr>
          <w:rFonts w:cs="Times New Roman"/>
          <w:lang w:val="en-GB"/>
        </w:rPr>
        <w:t>requires companies to publish general purpose financial statements</w:t>
      </w:r>
      <w:r>
        <w:rPr>
          <w:rFonts w:cs="Times New Roman"/>
          <w:lang w:val="en-GB"/>
        </w:rPr>
        <w:t>,</w:t>
      </w:r>
      <w:r w:rsidRPr="00E176CF">
        <w:rPr>
          <w:rFonts w:cs="Times New Roman"/>
          <w:lang w:val="en-GB"/>
        </w:rPr>
        <w:t xml:space="preserve"> then that </w:t>
      </w:r>
      <w:r>
        <w:rPr>
          <w:rFonts w:cs="Times New Roman"/>
          <w:lang w:val="en-GB"/>
        </w:rPr>
        <w:t>jurisdiction</w:t>
      </w:r>
      <w:r w:rsidRPr="00E176CF">
        <w:rPr>
          <w:rFonts w:cs="Times New Roman"/>
          <w:lang w:val="en-GB"/>
        </w:rPr>
        <w:t xml:space="preserve"> </w:t>
      </w:r>
      <w:r>
        <w:rPr>
          <w:rFonts w:cs="Times New Roman"/>
          <w:lang w:val="en-GB"/>
        </w:rPr>
        <w:t>should not</w:t>
      </w:r>
      <w:r w:rsidRPr="00E176CF">
        <w:rPr>
          <w:rFonts w:cs="Times New Roman"/>
          <w:lang w:val="en-GB"/>
        </w:rPr>
        <w:t xml:space="preserve"> be criticised for </w:t>
      </w:r>
      <w:r>
        <w:rPr>
          <w:rFonts w:cs="Times New Roman"/>
          <w:lang w:val="en-GB"/>
        </w:rPr>
        <w:t xml:space="preserve">requiring </w:t>
      </w:r>
      <w:r w:rsidRPr="00E176CF">
        <w:rPr>
          <w:rFonts w:cs="Times New Roman"/>
          <w:i/>
          <w:lang w:val="en-GB"/>
        </w:rPr>
        <w:t>IFRS for SMEs</w:t>
      </w:r>
      <w:r w:rsidR="00B5143C">
        <w:rPr>
          <w:rFonts w:cs="Times New Roman"/>
          <w:lang w:val="en-GB"/>
        </w:rPr>
        <w:t xml:space="preserve">-based reporting </w:t>
      </w:r>
      <w:r w:rsidRPr="00E176CF">
        <w:rPr>
          <w:rFonts w:cs="Times New Roman"/>
          <w:lang w:val="en-GB"/>
        </w:rPr>
        <w:t xml:space="preserve">by </w:t>
      </w:r>
      <w:r>
        <w:rPr>
          <w:rFonts w:cs="Times New Roman"/>
          <w:lang w:val="en-GB"/>
        </w:rPr>
        <w:t>companies with no</w:t>
      </w:r>
      <w:r w:rsidRPr="00E176CF">
        <w:rPr>
          <w:rFonts w:cs="Times New Roman"/>
          <w:lang w:val="en-GB"/>
        </w:rPr>
        <w:t xml:space="preserve"> public accountability. </w:t>
      </w:r>
    </w:p>
    <w:p w14:paraId="0FD44D36" w14:textId="77777777" w:rsidR="00A51666" w:rsidRDefault="00A51666" w:rsidP="00A51666">
      <w:pPr>
        <w:spacing w:after="120"/>
        <w:jc w:val="both"/>
        <w:rPr>
          <w:rFonts w:cs="Times New Roman"/>
          <w:lang w:val="en-GB"/>
        </w:rPr>
      </w:pPr>
    </w:p>
    <w:p w14:paraId="5EA2BAE0" w14:textId="703312C1" w:rsidR="00A51666" w:rsidRDefault="00A51666" w:rsidP="00A51666">
      <w:pPr>
        <w:jc w:val="both"/>
        <w:rPr>
          <w:rFonts w:cs="Times New Roman"/>
          <w:lang w:val="en-GB"/>
        </w:rPr>
      </w:pPr>
      <w:r>
        <w:rPr>
          <w:rFonts w:cs="Times New Roman"/>
          <w:lang w:val="en-GB"/>
        </w:rPr>
        <w:lastRenderedPageBreak/>
        <w:t>When asked similar questions about the scope of application of the standard, Interviewee 11 (</w:t>
      </w:r>
      <w:r w:rsidR="00B5143C">
        <w:rPr>
          <w:rFonts w:cs="Times New Roman"/>
          <w:lang w:val="en-GB"/>
        </w:rPr>
        <w:t xml:space="preserve">an IASB </w:t>
      </w:r>
      <w:r>
        <w:rPr>
          <w:rFonts w:cs="Times New Roman"/>
          <w:lang w:val="en-GB"/>
        </w:rPr>
        <w:t>staff member) focuses on the majority of entities having some kind of external user:</w:t>
      </w:r>
    </w:p>
    <w:p w14:paraId="23E80E4D" w14:textId="77777777" w:rsidR="00A51666" w:rsidRDefault="00A51666" w:rsidP="00A51666">
      <w:pPr>
        <w:jc w:val="both"/>
        <w:rPr>
          <w:rFonts w:cs="Times New Roman"/>
          <w:lang w:val="en-GB"/>
        </w:rPr>
      </w:pPr>
    </w:p>
    <w:p w14:paraId="18795B2B" w14:textId="77777777" w:rsidR="00A51666" w:rsidRDefault="00A51666" w:rsidP="00A51666">
      <w:pPr>
        <w:ind w:left="709" w:right="1082"/>
        <w:jc w:val="both"/>
        <w:rPr>
          <w:rFonts w:cs="Times New Roman"/>
          <w:sz w:val="20"/>
          <w:lang w:val="en-GB"/>
        </w:rPr>
      </w:pPr>
      <w:r>
        <w:rPr>
          <w:rFonts w:cs="Times New Roman"/>
          <w:sz w:val="20"/>
          <w:lang w:val="en-GB"/>
        </w:rPr>
        <w:t xml:space="preserve">… </w:t>
      </w:r>
      <w:r w:rsidRPr="00405FB4">
        <w:rPr>
          <w:rFonts w:cs="Times New Roman"/>
          <w:sz w:val="20"/>
          <w:lang w:val="en-GB"/>
        </w:rPr>
        <w:t>so the link is a problem</w:t>
      </w:r>
      <w:r>
        <w:rPr>
          <w:rFonts w:cs="Times New Roman"/>
          <w:sz w:val="20"/>
          <w:lang w:val="en-GB"/>
        </w:rPr>
        <w:t>; a</w:t>
      </w:r>
      <w:r w:rsidRPr="00405FB4">
        <w:rPr>
          <w:rFonts w:cs="Times New Roman"/>
          <w:sz w:val="20"/>
          <w:lang w:val="en-GB"/>
        </w:rPr>
        <w:t xml:space="preserve"> lack of a concept of external users of financial statements</w:t>
      </w:r>
      <w:r>
        <w:rPr>
          <w:rFonts w:cs="Times New Roman"/>
          <w:sz w:val="20"/>
          <w:lang w:val="en-GB"/>
        </w:rPr>
        <w:t>.</w:t>
      </w:r>
      <w:r w:rsidRPr="00405FB4">
        <w:rPr>
          <w:rFonts w:cs="Times New Roman"/>
          <w:sz w:val="20"/>
          <w:lang w:val="en-GB"/>
        </w:rPr>
        <w:t xml:space="preserve"> </w:t>
      </w:r>
      <w:r>
        <w:rPr>
          <w:rFonts w:cs="Times New Roman"/>
          <w:sz w:val="20"/>
          <w:lang w:val="en-GB"/>
        </w:rPr>
        <w:t>M</w:t>
      </w:r>
      <w:r w:rsidRPr="00405FB4">
        <w:rPr>
          <w:rFonts w:cs="Times New Roman"/>
          <w:sz w:val="20"/>
          <w:lang w:val="en-GB"/>
        </w:rPr>
        <w:t xml:space="preserve">ost little companies don’t even think about the notion of external users, you know the manager says so how do we use </w:t>
      </w:r>
      <w:r>
        <w:rPr>
          <w:rFonts w:cs="Times New Roman"/>
          <w:sz w:val="20"/>
          <w:lang w:val="en-GB"/>
        </w:rPr>
        <w:t>[</w:t>
      </w:r>
      <w:r w:rsidRPr="00405FB4">
        <w:rPr>
          <w:rFonts w:cs="Times New Roman"/>
          <w:i/>
          <w:sz w:val="20"/>
          <w:lang w:val="en-GB"/>
        </w:rPr>
        <w:t>IFRS for SMEs</w:t>
      </w:r>
      <w:r>
        <w:rPr>
          <w:rFonts w:cs="Times New Roman"/>
          <w:sz w:val="20"/>
          <w:lang w:val="en-GB"/>
        </w:rPr>
        <w:t>],</w:t>
      </w:r>
      <w:r w:rsidRPr="00405FB4">
        <w:rPr>
          <w:rFonts w:cs="Times New Roman"/>
          <w:sz w:val="20"/>
          <w:lang w:val="en-GB"/>
        </w:rPr>
        <w:t xml:space="preserve"> but wait a minute didn’t you give the bank your financial statements to</w:t>
      </w:r>
      <w:r>
        <w:rPr>
          <w:rFonts w:cs="Times New Roman"/>
          <w:sz w:val="20"/>
          <w:lang w:val="en-GB"/>
        </w:rPr>
        <w:t xml:space="preserve"> </w:t>
      </w:r>
      <w:r w:rsidRPr="00405FB4">
        <w:rPr>
          <w:rFonts w:cs="Times New Roman"/>
          <w:sz w:val="20"/>
          <w:lang w:val="en-GB"/>
        </w:rPr>
        <w:t>... borrow money, or did you talk to a venture capitalist, or how about your brother</w:t>
      </w:r>
      <w:r>
        <w:rPr>
          <w:rFonts w:cs="Times New Roman"/>
          <w:sz w:val="20"/>
          <w:lang w:val="en-GB"/>
        </w:rPr>
        <w:t>-</w:t>
      </w:r>
      <w:r w:rsidRPr="00405FB4">
        <w:rPr>
          <w:rFonts w:cs="Times New Roman"/>
          <w:sz w:val="20"/>
          <w:lang w:val="en-GB"/>
        </w:rPr>
        <w:t>in</w:t>
      </w:r>
      <w:r>
        <w:rPr>
          <w:rFonts w:cs="Times New Roman"/>
          <w:sz w:val="20"/>
          <w:lang w:val="en-GB"/>
        </w:rPr>
        <w:t>-</w:t>
      </w:r>
      <w:r w:rsidRPr="00405FB4">
        <w:rPr>
          <w:rFonts w:cs="Times New Roman"/>
          <w:sz w:val="20"/>
          <w:lang w:val="en-GB"/>
        </w:rPr>
        <w:t>law who bought shares in</w:t>
      </w:r>
      <w:r>
        <w:rPr>
          <w:rFonts w:cs="Times New Roman"/>
          <w:sz w:val="20"/>
          <w:lang w:val="en-GB"/>
        </w:rPr>
        <w:t>. S</w:t>
      </w:r>
      <w:r w:rsidRPr="00405FB4">
        <w:rPr>
          <w:rFonts w:cs="Times New Roman"/>
          <w:sz w:val="20"/>
          <w:lang w:val="en-GB"/>
        </w:rPr>
        <w:t>o they are outside, but they don’t accept that. The definition of an SME</w:t>
      </w:r>
      <w:r>
        <w:rPr>
          <w:rFonts w:cs="Times New Roman"/>
          <w:sz w:val="20"/>
          <w:lang w:val="en-GB"/>
        </w:rPr>
        <w:t xml:space="preserve"> …</w:t>
      </w:r>
      <w:r w:rsidRPr="00405FB4">
        <w:rPr>
          <w:rFonts w:cs="Times New Roman"/>
          <w:sz w:val="20"/>
          <w:lang w:val="en-GB"/>
        </w:rPr>
        <w:t xml:space="preserve"> shouldn’t be </w:t>
      </w:r>
      <w:r>
        <w:rPr>
          <w:rFonts w:cs="Times New Roman"/>
          <w:sz w:val="20"/>
          <w:lang w:val="en-GB"/>
        </w:rPr>
        <w:t xml:space="preserve">quantitative … </w:t>
      </w:r>
      <w:r w:rsidRPr="00405FB4">
        <w:rPr>
          <w:rFonts w:cs="Times New Roman"/>
          <w:sz w:val="20"/>
          <w:lang w:val="en-GB"/>
        </w:rPr>
        <w:t>And the final</w:t>
      </w:r>
      <w:r>
        <w:rPr>
          <w:rFonts w:cs="Times New Roman"/>
          <w:sz w:val="20"/>
          <w:lang w:val="en-GB"/>
        </w:rPr>
        <w:t xml:space="preserve"> one on my list, is it suitable?</w:t>
      </w:r>
      <w:r w:rsidRPr="00405FB4">
        <w:rPr>
          <w:rFonts w:cs="Times New Roman"/>
          <w:sz w:val="20"/>
          <w:lang w:val="en-GB"/>
        </w:rPr>
        <w:t xml:space="preserve"> </w:t>
      </w:r>
      <w:r>
        <w:rPr>
          <w:rFonts w:cs="Times New Roman"/>
          <w:sz w:val="20"/>
          <w:lang w:val="en-GB"/>
        </w:rPr>
        <w:t>I</w:t>
      </w:r>
      <w:r w:rsidRPr="00405FB4">
        <w:rPr>
          <w:rFonts w:cs="Times New Roman"/>
          <w:sz w:val="20"/>
          <w:lang w:val="en-GB"/>
        </w:rPr>
        <w:t>s this standard suitable for micro-sized entities</w:t>
      </w:r>
      <w:r>
        <w:rPr>
          <w:rFonts w:cs="Times New Roman"/>
          <w:sz w:val="20"/>
          <w:lang w:val="en-GB"/>
        </w:rPr>
        <w:t>:</w:t>
      </w:r>
      <w:r w:rsidRPr="00405FB4">
        <w:rPr>
          <w:rFonts w:cs="Times New Roman"/>
          <w:sz w:val="20"/>
          <w:lang w:val="en-GB"/>
        </w:rPr>
        <w:t xml:space="preserve"> to me that</w:t>
      </w:r>
      <w:r>
        <w:rPr>
          <w:rFonts w:cs="Times New Roman"/>
          <w:sz w:val="20"/>
          <w:lang w:val="en-GB"/>
        </w:rPr>
        <w:t>’</w:t>
      </w:r>
      <w:r w:rsidRPr="00405FB4">
        <w:rPr>
          <w:rFonts w:cs="Times New Roman"/>
          <w:sz w:val="20"/>
          <w:lang w:val="en-GB"/>
        </w:rPr>
        <w:t>s an entity with fewer than 10 employees and in many countries in the world</w:t>
      </w:r>
      <w:r>
        <w:rPr>
          <w:rFonts w:cs="Times New Roman"/>
          <w:sz w:val="20"/>
          <w:lang w:val="en-GB"/>
        </w:rPr>
        <w:t>,</w:t>
      </w:r>
      <w:r w:rsidRPr="00405FB4">
        <w:rPr>
          <w:rFonts w:cs="Times New Roman"/>
          <w:sz w:val="20"/>
          <w:lang w:val="en-GB"/>
        </w:rPr>
        <w:t xml:space="preserve"> that</w:t>
      </w:r>
      <w:r>
        <w:rPr>
          <w:rFonts w:cs="Times New Roman"/>
          <w:sz w:val="20"/>
          <w:lang w:val="en-GB"/>
        </w:rPr>
        <w:t>’</w:t>
      </w:r>
      <w:r w:rsidRPr="00405FB4">
        <w:rPr>
          <w:rFonts w:cs="Times New Roman"/>
          <w:sz w:val="20"/>
          <w:lang w:val="en-GB"/>
        </w:rPr>
        <w:t>s 99%,</w:t>
      </w:r>
      <w:r>
        <w:rPr>
          <w:rFonts w:cs="Times New Roman"/>
          <w:sz w:val="20"/>
          <w:lang w:val="en-GB"/>
        </w:rPr>
        <w:t xml:space="preserve"> in</w:t>
      </w:r>
      <w:r w:rsidRPr="00405FB4">
        <w:rPr>
          <w:rFonts w:cs="Times New Roman"/>
          <w:sz w:val="20"/>
          <w:lang w:val="en-GB"/>
        </w:rPr>
        <w:t xml:space="preserve"> most developing countries, the vast majority of companies are micros</w:t>
      </w:r>
      <w:r>
        <w:rPr>
          <w:rFonts w:cs="Times New Roman"/>
          <w:sz w:val="20"/>
          <w:lang w:val="en-GB"/>
        </w:rPr>
        <w:t xml:space="preserve"> …</w:t>
      </w:r>
      <w:r w:rsidRPr="00405FB4">
        <w:rPr>
          <w:rFonts w:cs="Times New Roman"/>
          <w:sz w:val="20"/>
          <w:lang w:val="en-GB"/>
        </w:rPr>
        <w:t xml:space="preserve"> </w:t>
      </w:r>
    </w:p>
    <w:p w14:paraId="02AB4722" w14:textId="77777777" w:rsidR="00A51666" w:rsidRPr="00405FB4" w:rsidRDefault="00A51666" w:rsidP="00A51666">
      <w:pPr>
        <w:spacing w:after="120"/>
        <w:ind w:left="709" w:right="1082"/>
        <w:jc w:val="both"/>
        <w:rPr>
          <w:rFonts w:cs="Times New Roman"/>
          <w:sz w:val="20"/>
          <w:lang w:val="en-GB"/>
        </w:rPr>
      </w:pPr>
    </w:p>
    <w:p w14:paraId="7FD493E7" w14:textId="4B7601B1" w:rsidR="00A51666" w:rsidRDefault="00A51666" w:rsidP="00A51666">
      <w:pPr>
        <w:jc w:val="both"/>
        <w:rPr>
          <w:rFonts w:cs="Times New Roman"/>
          <w:lang w:val="en-GB"/>
        </w:rPr>
      </w:pPr>
      <w:r>
        <w:rPr>
          <w:rFonts w:cs="Times New Roman"/>
          <w:lang w:val="en-GB"/>
        </w:rPr>
        <w:t xml:space="preserve">Interviewee 11 confuses the matter further by referring to quantitative definitional features (i.e., 10 employees as defining micro-entities), but illustrates that </w:t>
      </w:r>
      <w:r w:rsidRPr="006C138A">
        <w:rPr>
          <w:rFonts w:cs="Times New Roman"/>
          <w:i/>
          <w:lang w:val="en-GB"/>
        </w:rPr>
        <w:t>IFRS for SMEs</w:t>
      </w:r>
      <w:r>
        <w:rPr>
          <w:rFonts w:cs="Times New Roman"/>
          <w:lang w:val="en-GB"/>
        </w:rPr>
        <w:t xml:space="preserve"> was intended to apply to micro-entities. The core question for </w:t>
      </w:r>
      <w:r w:rsidR="00CD4805">
        <w:rPr>
          <w:rFonts w:cs="Times New Roman"/>
          <w:lang w:val="en-GB"/>
        </w:rPr>
        <w:t>I</w:t>
      </w:r>
      <w:r>
        <w:rPr>
          <w:rFonts w:cs="Times New Roman"/>
          <w:lang w:val="en-GB"/>
        </w:rPr>
        <w:t>nterviewee 11 is whether the entity has external users</w:t>
      </w:r>
      <w:r w:rsidR="00206327">
        <w:rPr>
          <w:rFonts w:cs="Times New Roman"/>
          <w:lang w:val="en-GB"/>
        </w:rPr>
        <w:t xml:space="preserve">, illustrating the argument through </w:t>
      </w:r>
      <w:r>
        <w:rPr>
          <w:rFonts w:cs="Times New Roman"/>
          <w:lang w:val="en-GB"/>
        </w:rPr>
        <w:t xml:space="preserve">a series of examples concerning borrowing. </w:t>
      </w:r>
      <w:r w:rsidR="00206327">
        <w:rPr>
          <w:rFonts w:cs="Times New Roman"/>
          <w:lang w:val="en-GB"/>
        </w:rPr>
        <w:t xml:space="preserve">In reflecting the debates at the time of development, for example, </w:t>
      </w:r>
      <w:r>
        <w:rPr>
          <w:rFonts w:cs="Times New Roman"/>
          <w:lang w:val="en-GB"/>
        </w:rPr>
        <w:t>IStaR observer notes suggest that the micro-entity issue was prominent:</w:t>
      </w:r>
    </w:p>
    <w:p w14:paraId="193AF9BC" w14:textId="77777777" w:rsidR="00A51666" w:rsidRDefault="00A51666" w:rsidP="00A51666">
      <w:pPr>
        <w:ind w:left="709" w:right="1082"/>
        <w:jc w:val="both"/>
        <w:rPr>
          <w:rFonts w:cs="Times New Roman"/>
          <w:sz w:val="20"/>
          <w:szCs w:val="20"/>
          <w:lang w:val="en-GB"/>
        </w:rPr>
      </w:pPr>
    </w:p>
    <w:p w14:paraId="068B7299" w14:textId="511A961E" w:rsidR="00A51666" w:rsidRDefault="00A51666" w:rsidP="00A51666">
      <w:pPr>
        <w:ind w:left="709" w:right="1082"/>
        <w:jc w:val="both"/>
        <w:rPr>
          <w:rFonts w:cs="Times New Roman"/>
          <w:sz w:val="20"/>
          <w:szCs w:val="20"/>
          <w:lang w:val="en-GB"/>
        </w:rPr>
      </w:pPr>
      <w:r>
        <w:rPr>
          <w:rFonts w:cs="Times New Roman"/>
          <w:sz w:val="20"/>
          <w:szCs w:val="20"/>
          <w:lang w:val="en-GB"/>
        </w:rPr>
        <w:t>T</w:t>
      </w:r>
      <w:r w:rsidRPr="00E176CF">
        <w:rPr>
          <w:rFonts w:cs="Times New Roman"/>
          <w:sz w:val="20"/>
          <w:szCs w:val="20"/>
          <w:lang w:val="en-GB"/>
        </w:rPr>
        <w:t>om Jones</w:t>
      </w:r>
      <w:r>
        <w:rPr>
          <w:rStyle w:val="FootnoteReference"/>
          <w:rFonts w:cs="Times New Roman"/>
          <w:sz w:val="20"/>
          <w:szCs w:val="20"/>
          <w:lang w:val="en-GB"/>
        </w:rPr>
        <w:footnoteReference w:id="7"/>
      </w:r>
      <w:r w:rsidRPr="00E176CF">
        <w:rPr>
          <w:rFonts w:cs="Times New Roman"/>
          <w:sz w:val="20"/>
          <w:szCs w:val="20"/>
          <w:lang w:val="en-GB"/>
        </w:rPr>
        <w:t xml:space="preserve"> urged caution, saying that there was tremendous competition from people who wanted to write standards for micros. A lot of the scope queries came from them</w:t>
      </w:r>
      <w:r w:rsidR="00CD4805">
        <w:rPr>
          <w:rFonts w:cs="Times New Roman"/>
          <w:sz w:val="20"/>
          <w:szCs w:val="20"/>
          <w:lang w:val="en-GB"/>
        </w:rPr>
        <w:t>.</w:t>
      </w:r>
      <w:r w:rsidRPr="00E176CF">
        <w:rPr>
          <w:rFonts w:cs="Times New Roman"/>
          <w:sz w:val="20"/>
          <w:szCs w:val="20"/>
          <w:lang w:val="en-GB"/>
        </w:rPr>
        <w:t xml:space="preserve"> (IStaR, 2008</w:t>
      </w:r>
      <w:r>
        <w:rPr>
          <w:rFonts w:cs="Times New Roman"/>
          <w:sz w:val="20"/>
          <w:szCs w:val="20"/>
          <w:lang w:val="en-GB"/>
        </w:rPr>
        <w:t>a</w:t>
      </w:r>
      <w:r w:rsidR="006210A1">
        <w:rPr>
          <w:rFonts w:cs="Times New Roman"/>
          <w:sz w:val="20"/>
          <w:szCs w:val="20"/>
          <w:lang w:val="en-GB"/>
        </w:rPr>
        <w:t xml:space="preserve">, p. </w:t>
      </w:r>
      <w:r w:rsidRPr="00E176CF">
        <w:rPr>
          <w:rFonts w:cs="Times New Roman"/>
          <w:sz w:val="20"/>
          <w:szCs w:val="20"/>
          <w:lang w:val="en-GB"/>
        </w:rPr>
        <w:t>11)</w:t>
      </w:r>
    </w:p>
    <w:p w14:paraId="2EB80E22" w14:textId="77777777" w:rsidR="00A51666" w:rsidRDefault="00A51666" w:rsidP="00A51666">
      <w:pPr>
        <w:jc w:val="both"/>
        <w:rPr>
          <w:rFonts w:cs="Times New Roman"/>
          <w:lang w:val="en-GB"/>
        </w:rPr>
      </w:pPr>
    </w:p>
    <w:p w14:paraId="6602EAD1" w14:textId="22D30AB5" w:rsidR="00A51666" w:rsidRDefault="00A51666" w:rsidP="00A51666">
      <w:pPr>
        <w:jc w:val="both"/>
        <w:rPr>
          <w:rFonts w:cs="Times New Roman"/>
          <w:lang w:val="en-GB"/>
        </w:rPr>
      </w:pPr>
      <w:r>
        <w:rPr>
          <w:rFonts w:cs="Times New Roman"/>
          <w:lang w:val="en-GB"/>
        </w:rPr>
        <w:t xml:space="preserve">Consequently, </w:t>
      </w:r>
      <w:r w:rsidR="00206327">
        <w:rPr>
          <w:rFonts w:cs="Times New Roman"/>
          <w:lang w:val="en-GB"/>
        </w:rPr>
        <w:t>t</w:t>
      </w:r>
      <w:r>
        <w:rPr>
          <w:rFonts w:cs="Times New Roman"/>
          <w:lang w:val="en-GB"/>
        </w:rPr>
        <w:t xml:space="preserve">his constitutes evidence of an internal dispute in the form of embedded politics (Suddaby and Greenwood, 2005). The contention concerning the applicability of </w:t>
      </w:r>
      <w:r w:rsidRPr="00E176CF">
        <w:rPr>
          <w:rFonts w:cs="Times New Roman"/>
          <w:i/>
          <w:lang w:val="en-GB"/>
        </w:rPr>
        <w:t>IFRS for SMEs</w:t>
      </w:r>
      <w:r>
        <w:rPr>
          <w:rFonts w:cs="Times New Roman"/>
          <w:lang w:val="en-GB"/>
        </w:rPr>
        <w:t xml:space="preserve"> </w:t>
      </w:r>
      <w:r w:rsidRPr="00E176CF">
        <w:rPr>
          <w:rFonts w:cs="Times New Roman"/>
          <w:lang w:val="en-GB"/>
        </w:rPr>
        <w:t>continue</w:t>
      </w:r>
      <w:r>
        <w:rPr>
          <w:rFonts w:cs="Times New Roman"/>
          <w:lang w:val="en-GB"/>
        </w:rPr>
        <w:t>s</w:t>
      </w:r>
      <w:r w:rsidRPr="00E176CF">
        <w:rPr>
          <w:rFonts w:cs="Times New Roman"/>
          <w:lang w:val="en-GB"/>
        </w:rPr>
        <w:t xml:space="preserve"> in the </w:t>
      </w:r>
      <w:r>
        <w:rPr>
          <w:rFonts w:cs="Times New Roman"/>
          <w:lang w:val="en-GB"/>
        </w:rPr>
        <w:t>first comprehensive review</w:t>
      </w:r>
      <w:r w:rsidRPr="00E176CF">
        <w:rPr>
          <w:rFonts w:cs="Times New Roman"/>
          <w:lang w:val="en-GB"/>
        </w:rPr>
        <w:t>:</w:t>
      </w:r>
    </w:p>
    <w:p w14:paraId="18F7442C" w14:textId="77777777" w:rsidR="00A51666" w:rsidRPr="00E176CF" w:rsidRDefault="00A51666" w:rsidP="00A51666">
      <w:pPr>
        <w:jc w:val="both"/>
        <w:rPr>
          <w:rFonts w:cs="Times New Roman"/>
          <w:lang w:val="en-GB"/>
        </w:rPr>
      </w:pPr>
    </w:p>
    <w:p w14:paraId="60FF0334" w14:textId="703FE603" w:rsidR="00A51666" w:rsidRDefault="00A51666" w:rsidP="00A51666">
      <w:pPr>
        <w:ind w:left="720" w:right="720"/>
        <w:jc w:val="both"/>
        <w:rPr>
          <w:rFonts w:cs="Times New Roman"/>
          <w:sz w:val="20"/>
          <w:szCs w:val="20"/>
          <w:lang w:val="en-GB"/>
        </w:rPr>
      </w:pPr>
      <w:r w:rsidRPr="00E176CF">
        <w:rPr>
          <w:rFonts w:cs="Times New Roman"/>
          <w:sz w:val="20"/>
          <w:szCs w:val="20"/>
          <w:lang w:val="en-GB"/>
        </w:rPr>
        <w:t>Some respondents expressed concern that the IASB’s primary aim in developing the IFRS for SMEs in paragraph 16 means the reporting needs of larger, more complex non-publicly accountable entities are not effectively addressed (paragraph 17(b)). However, other respondents had concerns that the IFRS for SMEs is still too complex for ‘smaller’ SMEs (paragraph 17(d)). Such contrasting views have been evident throughout the development of the IFRS for SMEs and show the challenge the IASB faces in determining the content o</w:t>
      </w:r>
      <w:r>
        <w:rPr>
          <w:rFonts w:cs="Times New Roman"/>
          <w:sz w:val="20"/>
          <w:szCs w:val="20"/>
          <w:lang w:val="en-GB"/>
        </w:rPr>
        <w:t>f the IFRS for SMEs</w:t>
      </w:r>
      <w:r w:rsidR="00CD4805">
        <w:rPr>
          <w:rFonts w:cs="Times New Roman"/>
          <w:sz w:val="20"/>
          <w:szCs w:val="20"/>
          <w:lang w:val="en-GB"/>
        </w:rPr>
        <w:t>.</w:t>
      </w:r>
      <w:r>
        <w:rPr>
          <w:rFonts w:cs="Times New Roman"/>
          <w:sz w:val="20"/>
          <w:szCs w:val="20"/>
          <w:lang w:val="en-GB"/>
        </w:rPr>
        <w:t xml:space="preserve"> (IASB, 2014, pp. 7-8</w:t>
      </w:r>
      <w:r w:rsidRPr="00E176CF">
        <w:rPr>
          <w:rFonts w:cs="Times New Roman"/>
          <w:sz w:val="20"/>
          <w:szCs w:val="20"/>
          <w:lang w:val="en-GB"/>
        </w:rPr>
        <w:t>)</w:t>
      </w:r>
    </w:p>
    <w:p w14:paraId="322ADD13" w14:textId="77777777" w:rsidR="00A51666" w:rsidRPr="00E176CF" w:rsidRDefault="00A51666" w:rsidP="00A51666">
      <w:pPr>
        <w:ind w:left="720" w:right="720"/>
        <w:jc w:val="both"/>
        <w:rPr>
          <w:rFonts w:cs="Times New Roman"/>
          <w:sz w:val="20"/>
          <w:szCs w:val="20"/>
          <w:lang w:val="en-GB"/>
        </w:rPr>
      </w:pPr>
    </w:p>
    <w:p w14:paraId="316FED0E" w14:textId="54CA65A7" w:rsidR="00A51666" w:rsidRDefault="00A51666" w:rsidP="00A51666">
      <w:pPr>
        <w:jc w:val="both"/>
        <w:rPr>
          <w:rFonts w:cs="Times New Roman"/>
          <w:lang w:val="en-GB"/>
        </w:rPr>
      </w:pPr>
      <w:r w:rsidRPr="00E176CF">
        <w:rPr>
          <w:rFonts w:cs="Times New Roman"/>
          <w:lang w:val="en-GB"/>
        </w:rPr>
        <w:t xml:space="preserve">This highlights </w:t>
      </w:r>
      <w:r>
        <w:rPr>
          <w:rFonts w:cs="Times New Roman"/>
          <w:lang w:val="en-GB"/>
        </w:rPr>
        <w:t xml:space="preserve">applicability issues </w:t>
      </w:r>
      <w:r w:rsidRPr="00E176CF">
        <w:rPr>
          <w:rFonts w:cs="Times New Roman"/>
          <w:lang w:val="en-GB"/>
        </w:rPr>
        <w:t xml:space="preserve">across the range of entities that the IASB attempt to </w:t>
      </w:r>
      <w:r>
        <w:rPr>
          <w:rFonts w:cs="Times New Roman"/>
          <w:lang w:val="en-GB"/>
        </w:rPr>
        <w:t xml:space="preserve">condense within </w:t>
      </w:r>
      <w:r w:rsidR="00CD4805">
        <w:rPr>
          <w:rFonts w:cs="Times New Roman"/>
          <w:lang w:val="en-GB"/>
        </w:rPr>
        <w:t>“</w:t>
      </w:r>
      <w:r w:rsidRPr="00E176CF">
        <w:rPr>
          <w:rFonts w:cs="Times New Roman"/>
          <w:lang w:val="en-GB"/>
        </w:rPr>
        <w:t>no</w:t>
      </w:r>
      <w:r>
        <w:rPr>
          <w:rFonts w:cs="Times New Roman"/>
          <w:lang w:val="en-GB"/>
        </w:rPr>
        <w:t>n</w:t>
      </w:r>
      <w:r w:rsidRPr="00E176CF">
        <w:rPr>
          <w:rFonts w:cs="Times New Roman"/>
          <w:lang w:val="en-GB"/>
        </w:rPr>
        <w:t>-public</w:t>
      </w:r>
      <w:r>
        <w:rPr>
          <w:rFonts w:cs="Times New Roman"/>
          <w:lang w:val="en-GB"/>
        </w:rPr>
        <w:t xml:space="preserve"> accountability</w:t>
      </w:r>
      <w:r w:rsidR="00CD4805">
        <w:rPr>
          <w:rFonts w:cs="Times New Roman"/>
          <w:lang w:val="en-GB"/>
        </w:rPr>
        <w:t>”</w:t>
      </w:r>
      <w:r>
        <w:rPr>
          <w:rFonts w:cs="Times New Roman"/>
          <w:lang w:val="en-GB"/>
        </w:rPr>
        <w:t>, which leads to various issues</w:t>
      </w:r>
      <w:r w:rsidRPr="00E176CF">
        <w:rPr>
          <w:rFonts w:cs="Times New Roman"/>
          <w:lang w:val="en-GB"/>
        </w:rPr>
        <w:t xml:space="preserve">: </w:t>
      </w:r>
    </w:p>
    <w:p w14:paraId="2DE6130B" w14:textId="77777777" w:rsidR="00A51666" w:rsidRPr="00E176CF" w:rsidRDefault="00A51666" w:rsidP="00A51666">
      <w:pPr>
        <w:jc w:val="both"/>
        <w:rPr>
          <w:rFonts w:cs="Times New Roman"/>
          <w:lang w:val="en-GB"/>
        </w:rPr>
      </w:pPr>
    </w:p>
    <w:p w14:paraId="6E75687B" w14:textId="49171900" w:rsidR="00A51666" w:rsidRDefault="00A51666" w:rsidP="00A51666">
      <w:pPr>
        <w:ind w:left="720" w:right="720"/>
        <w:jc w:val="both"/>
        <w:rPr>
          <w:rFonts w:cs="Times New Roman"/>
          <w:sz w:val="20"/>
          <w:szCs w:val="20"/>
          <w:lang w:val="en-GB"/>
        </w:rPr>
      </w:pPr>
      <w:r w:rsidRPr="00E176CF">
        <w:rPr>
          <w:rFonts w:cs="Times New Roman"/>
          <w:sz w:val="20"/>
          <w:szCs w:val="20"/>
          <w:lang w:val="en-GB"/>
        </w:rPr>
        <w:t>The ED treats SMEs as a homogeneous group for which it proposes the same accounting rules with the same exemptions, assuming a common group of users, characterized by the same needs. However, for the largest number of SMEs (particularly the smaller and micro entities</w:t>
      </w:r>
      <w:r>
        <w:rPr>
          <w:rFonts w:cs="Times New Roman"/>
          <w:sz w:val="20"/>
          <w:szCs w:val="20"/>
          <w:lang w:val="en-GB"/>
        </w:rPr>
        <w:t>)</w:t>
      </w:r>
      <w:r w:rsidRPr="00E176CF">
        <w:rPr>
          <w:rFonts w:cs="Times New Roman"/>
          <w:sz w:val="20"/>
          <w:szCs w:val="20"/>
          <w:lang w:val="en-GB"/>
        </w:rPr>
        <w:t xml:space="preserve"> the ED’s 200+ pages and extensive requirements and rules may not provide an appropriate cost-benefit balance</w:t>
      </w:r>
      <w:r w:rsidR="00CD4805">
        <w:rPr>
          <w:rFonts w:cs="Times New Roman"/>
          <w:sz w:val="20"/>
          <w:szCs w:val="20"/>
          <w:lang w:val="en-GB"/>
        </w:rPr>
        <w:t>.</w:t>
      </w:r>
      <w:r w:rsidRPr="00E176CF">
        <w:rPr>
          <w:rFonts w:cs="Times New Roman"/>
          <w:sz w:val="20"/>
          <w:szCs w:val="20"/>
          <w:lang w:val="en-GB"/>
        </w:rPr>
        <w:t xml:space="preserve"> (Di Pietra </w:t>
      </w:r>
      <w:r w:rsidRPr="00E176CF">
        <w:rPr>
          <w:rFonts w:cs="Times New Roman"/>
          <w:i/>
          <w:sz w:val="20"/>
          <w:szCs w:val="20"/>
          <w:lang w:val="en-GB"/>
        </w:rPr>
        <w:t>et al.,</w:t>
      </w:r>
      <w:r w:rsidRPr="00E176CF">
        <w:rPr>
          <w:rFonts w:cs="Times New Roman"/>
          <w:sz w:val="20"/>
          <w:szCs w:val="20"/>
          <w:lang w:val="en-GB"/>
        </w:rPr>
        <w:t xml:space="preserve"> 2008</w:t>
      </w:r>
      <w:r>
        <w:rPr>
          <w:rFonts w:cs="Times New Roman"/>
          <w:sz w:val="20"/>
          <w:szCs w:val="20"/>
          <w:lang w:val="en-GB"/>
        </w:rPr>
        <w:t>, p. 4</w:t>
      </w:r>
      <w:r w:rsidR="00CD4805">
        <w:rPr>
          <w:rFonts w:cs="Times New Roman"/>
          <w:sz w:val="20"/>
          <w:szCs w:val="20"/>
          <w:lang w:val="en-GB"/>
        </w:rPr>
        <w:t>; this was a</w:t>
      </w:r>
      <w:r>
        <w:rPr>
          <w:rFonts w:cs="Times New Roman"/>
          <w:sz w:val="20"/>
          <w:szCs w:val="20"/>
          <w:lang w:val="en-GB"/>
        </w:rPr>
        <w:t xml:space="preserve">lso </w:t>
      </w:r>
      <w:r w:rsidRPr="00E176CF">
        <w:rPr>
          <w:rFonts w:cs="Times New Roman"/>
          <w:sz w:val="20"/>
          <w:szCs w:val="20"/>
          <w:lang w:val="en-GB"/>
        </w:rPr>
        <w:t xml:space="preserve">a comment letter on the ED) </w:t>
      </w:r>
    </w:p>
    <w:p w14:paraId="29362E92" w14:textId="77777777" w:rsidR="00A51666" w:rsidRPr="00E176CF" w:rsidRDefault="00A51666" w:rsidP="00A51666">
      <w:pPr>
        <w:ind w:left="720" w:right="720"/>
        <w:jc w:val="both"/>
        <w:rPr>
          <w:rFonts w:cs="Times New Roman"/>
          <w:sz w:val="20"/>
          <w:szCs w:val="20"/>
          <w:lang w:val="en-GB"/>
        </w:rPr>
      </w:pPr>
    </w:p>
    <w:p w14:paraId="1EA5627F" w14:textId="0F14DE8A" w:rsidR="00A51666" w:rsidRDefault="00A51666" w:rsidP="00A51666">
      <w:pPr>
        <w:spacing w:after="120"/>
        <w:jc w:val="both"/>
        <w:rPr>
          <w:rFonts w:cs="Times New Roman"/>
          <w:lang w:val="en-GB"/>
        </w:rPr>
      </w:pPr>
      <w:r w:rsidRPr="00E176CF">
        <w:rPr>
          <w:rFonts w:cs="Times New Roman"/>
          <w:lang w:val="en-GB"/>
        </w:rPr>
        <w:t xml:space="preserve">The IASB fuse together disparate articulations </w:t>
      </w:r>
      <w:r>
        <w:rPr>
          <w:rFonts w:cs="Times New Roman"/>
          <w:lang w:val="en-GB"/>
        </w:rPr>
        <w:t xml:space="preserve">of SMEs and non-public accountability entities: the condensation is two-fold – by condensing competing SME quantitative definitions under non-public accountability they include micro-, small- and medium entities within the same standard, as </w:t>
      </w:r>
      <w:r w:rsidRPr="00E176CF">
        <w:rPr>
          <w:rFonts w:cs="Times New Roman"/>
          <w:lang w:val="en-GB"/>
        </w:rPr>
        <w:t xml:space="preserve">illustrated in </w:t>
      </w:r>
      <w:r>
        <w:rPr>
          <w:rFonts w:cs="Times New Roman"/>
          <w:lang w:val="en-GB"/>
        </w:rPr>
        <w:t>F</w:t>
      </w:r>
      <w:r w:rsidRPr="00E176CF">
        <w:rPr>
          <w:rFonts w:cs="Times New Roman"/>
          <w:lang w:val="en-GB"/>
        </w:rPr>
        <w:t xml:space="preserve">igure </w:t>
      </w:r>
      <w:r w:rsidR="009E0395">
        <w:rPr>
          <w:rFonts w:cs="Times New Roman"/>
          <w:lang w:val="en-GB"/>
        </w:rPr>
        <w:t>4</w:t>
      </w:r>
      <w:r w:rsidRPr="00E176CF">
        <w:rPr>
          <w:rFonts w:cs="Times New Roman"/>
          <w:lang w:val="en-GB"/>
        </w:rPr>
        <w:t xml:space="preserve">:  </w:t>
      </w:r>
    </w:p>
    <w:p w14:paraId="49C0523E" w14:textId="77777777" w:rsidR="00A51666" w:rsidRPr="00E176CF" w:rsidRDefault="00A51666" w:rsidP="00A51666">
      <w:pPr>
        <w:pStyle w:val="BodyTextIndent2"/>
        <w:spacing w:after="120"/>
        <w:ind w:firstLine="0"/>
        <w:rPr>
          <w:rFonts w:asciiTheme="minorHAnsi" w:hAnsiTheme="minorHAnsi"/>
          <w:lang w:val="en-GB"/>
        </w:rPr>
      </w:pPr>
    </w:p>
    <w:p w14:paraId="721FDF86" w14:textId="5413D126" w:rsidR="00A51666" w:rsidRPr="00E176CF" w:rsidRDefault="00A51666" w:rsidP="00A51666">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76672" behindDoc="0" locked="0" layoutInCell="1" allowOverlap="1" wp14:anchorId="48A68345" wp14:editId="3706C090">
                <wp:simplePos x="0" y="0"/>
                <wp:positionH relativeFrom="column">
                  <wp:posOffset>1659255</wp:posOffset>
                </wp:positionH>
                <wp:positionV relativeFrom="paragraph">
                  <wp:posOffset>17145</wp:posOffset>
                </wp:positionV>
                <wp:extent cx="24003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A3F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0.65pt,1.35pt" to="31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" strokecolor="#4472c4 [3204]" strokeweight=".5pt">
                <v:stroke joinstyle="miter"/>
              </v:line>
            </w:pict>
          </mc:Fallback>
        </mc:AlternateContent>
      </w:r>
      <w:r w:rsidRPr="00E176CF">
        <w:rPr>
          <w:noProof/>
          <w:lang w:val="en-GB" w:eastAsia="en-GB"/>
        </w:rPr>
        <mc:AlternateContent>
          <mc:Choice Requires="wps">
            <w:drawing>
              <wp:anchor distT="0" distB="0" distL="114300" distR="114300" simplePos="0" relativeHeight="251677696" behindDoc="0" locked="0" layoutInCell="1" allowOverlap="1" wp14:anchorId="19162DA1" wp14:editId="02E140C0">
                <wp:simplePos x="0" y="0"/>
                <wp:positionH relativeFrom="column">
                  <wp:posOffset>1630680</wp:posOffset>
                </wp:positionH>
                <wp:positionV relativeFrom="paragraph">
                  <wp:posOffset>243840</wp:posOffset>
                </wp:positionV>
                <wp:extent cx="2400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F7354" id="Straight Connector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" strokecolor="#4472c4 [3204]" strokeweight=".5pt">
                <v:stroke joinstyle="miter"/>
              </v:line>
            </w:pict>
          </mc:Fallback>
        </mc:AlternateContent>
      </w:r>
      <w:r w:rsidRPr="00E176CF">
        <w:rPr>
          <w:rFonts w:asciiTheme="minorHAnsi" w:hAnsiTheme="minorHAnsi"/>
          <w:lang w:val="en-GB"/>
        </w:rPr>
        <w:t xml:space="preserve">INSERT </w:t>
      </w:r>
      <w:r>
        <w:rPr>
          <w:rFonts w:asciiTheme="minorHAnsi" w:hAnsiTheme="minorHAnsi"/>
          <w:lang w:val="en-GB"/>
        </w:rPr>
        <w:t xml:space="preserve">FIGURE </w:t>
      </w:r>
      <w:r w:rsidR="00260CBE">
        <w:rPr>
          <w:rFonts w:asciiTheme="minorHAnsi" w:hAnsiTheme="minorHAnsi"/>
          <w:lang w:val="en-GB"/>
        </w:rPr>
        <w:t>4</w:t>
      </w:r>
    </w:p>
    <w:p w14:paraId="4BCF1110" w14:textId="77777777" w:rsidR="00A51666" w:rsidRDefault="00A51666" w:rsidP="00A51666">
      <w:pPr>
        <w:pStyle w:val="BodyTextIndent2"/>
        <w:spacing w:after="120"/>
        <w:ind w:firstLine="0"/>
        <w:jc w:val="center"/>
      </w:pPr>
    </w:p>
    <w:p w14:paraId="3D66F0BA" w14:textId="71C1BBF4" w:rsidR="00A51666" w:rsidRDefault="00A51666" w:rsidP="008456E4">
      <w:pPr>
        <w:spacing w:after="120"/>
        <w:jc w:val="both"/>
        <w:rPr>
          <w:rFonts w:cs="Times New Roman"/>
          <w:lang w:val="en-GB"/>
        </w:rPr>
      </w:pPr>
      <w:r>
        <w:rPr>
          <w:rFonts w:cs="Times New Roman"/>
          <w:lang w:val="en-GB"/>
        </w:rPr>
        <w:t xml:space="preserve">The IASB technocratically </w:t>
      </w:r>
      <w:r w:rsidRPr="00E176CF">
        <w:rPr>
          <w:rFonts w:cs="Times New Roman"/>
          <w:lang w:val="en-GB"/>
        </w:rPr>
        <w:t>condens</w:t>
      </w:r>
      <w:r>
        <w:rPr>
          <w:rFonts w:cs="Times New Roman"/>
          <w:lang w:val="en-GB"/>
        </w:rPr>
        <w:t xml:space="preserve">e to reinforce their expertise and </w:t>
      </w:r>
      <w:r w:rsidRPr="00E176CF">
        <w:rPr>
          <w:rFonts w:cs="Times New Roman"/>
          <w:lang w:val="en-GB"/>
        </w:rPr>
        <w:t xml:space="preserve">cover over antagonisms and competing articulations. </w:t>
      </w:r>
      <w:r>
        <w:rPr>
          <w:rFonts w:cs="Times New Roman"/>
          <w:lang w:val="en-GB"/>
        </w:rPr>
        <w:t xml:space="preserve">The </w:t>
      </w:r>
      <w:r w:rsidRPr="00D8272F">
        <w:rPr>
          <w:rFonts w:cs="Times New Roman"/>
          <w:i/>
          <w:lang w:val="en-GB"/>
        </w:rPr>
        <w:t>IFRS for SMEs</w:t>
      </w:r>
      <w:r>
        <w:rPr>
          <w:rFonts w:cs="Times New Roman"/>
          <w:lang w:val="en-GB"/>
        </w:rPr>
        <w:t xml:space="preserve"> </w:t>
      </w:r>
      <w:r w:rsidR="00CD4805">
        <w:rPr>
          <w:rFonts w:cs="Times New Roman"/>
          <w:lang w:val="en-GB"/>
        </w:rPr>
        <w:t>“</w:t>
      </w:r>
      <w:r>
        <w:rPr>
          <w:rFonts w:cs="Times New Roman"/>
          <w:lang w:val="en-GB"/>
        </w:rPr>
        <w:t>non-public accountability</w:t>
      </w:r>
      <w:r w:rsidR="00CD4805">
        <w:rPr>
          <w:rFonts w:cs="Times New Roman"/>
          <w:lang w:val="en-GB"/>
        </w:rPr>
        <w:t>”</w:t>
      </w:r>
      <w:r>
        <w:rPr>
          <w:rFonts w:cs="Times New Roman"/>
          <w:lang w:val="en-GB"/>
        </w:rPr>
        <w:t xml:space="preserve"> approach and the scope of applicability (micro-medium) becomes </w:t>
      </w:r>
      <w:r w:rsidRPr="00E176CF">
        <w:rPr>
          <w:rFonts w:cs="Times New Roman"/>
          <w:lang w:val="en-GB"/>
        </w:rPr>
        <w:t xml:space="preserve">a nodal point. Politically, this movement </w:t>
      </w:r>
      <w:r>
        <w:rPr>
          <w:rFonts w:cs="Times New Roman"/>
          <w:lang w:val="en-GB"/>
        </w:rPr>
        <w:t xml:space="preserve">restricts and delegitimises the emergence of alternative </w:t>
      </w:r>
      <w:r w:rsidRPr="00E176CF">
        <w:rPr>
          <w:rFonts w:cs="Times New Roman"/>
          <w:lang w:val="en-GB"/>
        </w:rPr>
        <w:t xml:space="preserve">differential reporting </w:t>
      </w:r>
      <w:r>
        <w:rPr>
          <w:rFonts w:cs="Times New Roman"/>
          <w:lang w:val="en-GB"/>
        </w:rPr>
        <w:t xml:space="preserve">frameworks </w:t>
      </w:r>
      <w:r w:rsidRPr="00E176CF">
        <w:rPr>
          <w:rFonts w:cs="Times New Roman"/>
          <w:lang w:val="en-GB"/>
        </w:rPr>
        <w:t xml:space="preserve">by claiming </w:t>
      </w:r>
      <w:r>
        <w:rPr>
          <w:rFonts w:cs="Times New Roman"/>
          <w:lang w:val="en-GB"/>
        </w:rPr>
        <w:t>that this applies to more than 95 per cent of entities</w:t>
      </w:r>
      <w:r w:rsidRPr="00E176CF">
        <w:rPr>
          <w:rFonts w:cs="Times New Roman"/>
          <w:lang w:val="en-GB"/>
        </w:rPr>
        <w:t xml:space="preserve">. </w:t>
      </w:r>
      <w:r>
        <w:rPr>
          <w:rFonts w:cs="Times New Roman"/>
          <w:lang w:val="en-GB"/>
        </w:rPr>
        <w:t>Interviewee 11 claims “[t]</w:t>
      </w:r>
      <w:r w:rsidRPr="00084529">
        <w:rPr>
          <w:rFonts w:cs="Times New Roman"/>
          <w:lang w:val="en-GB"/>
        </w:rPr>
        <w:t>he definition of an SME … shouldn’t be quantitative</w:t>
      </w:r>
      <w:r>
        <w:rPr>
          <w:rFonts w:cs="Times New Roman"/>
          <w:lang w:val="en-GB"/>
        </w:rPr>
        <w:t xml:space="preserve">”, while reinforcing a hegemony focused on </w:t>
      </w:r>
      <w:r w:rsidRPr="00E176CF">
        <w:rPr>
          <w:rFonts w:cs="Times New Roman"/>
          <w:lang w:val="en-GB"/>
        </w:rPr>
        <w:t>suitab</w:t>
      </w:r>
      <w:r>
        <w:rPr>
          <w:rFonts w:cs="Times New Roman"/>
          <w:lang w:val="en-GB"/>
        </w:rPr>
        <w:t xml:space="preserve">ility for </w:t>
      </w:r>
      <w:r w:rsidRPr="00E176CF">
        <w:rPr>
          <w:rFonts w:cs="Times New Roman"/>
          <w:lang w:val="en-GB"/>
        </w:rPr>
        <w:t>all</w:t>
      </w:r>
      <w:r>
        <w:rPr>
          <w:rFonts w:cs="Times New Roman"/>
          <w:lang w:val="en-GB"/>
        </w:rPr>
        <w:t xml:space="preserve">, </w:t>
      </w:r>
      <w:r w:rsidRPr="00E176CF">
        <w:rPr>
          <w:rFonts w:cs="Times New Roman"/>
          <w:lang w:val="en-GB"/>
        </w:rPr>
        <w:t>comparability</w:t>
      </w:r>
      <w:r>
        <w:rPr>
          <w:rFonts w:cs="Times New Roman"/>
          <w:lang w:val="en-GB"/>
        </w:rPr>
        <w:t>,</w:t>
      </w:r>
      <w:r w:rsidRPr="00E176CF">
        <w:rPr>
          <w:rFonts w:cs="Times New Roman"/>
          <w:lang w:val="en-GB"/>
        </w:rPr>
        <w:t xml:space="preserve"> increase</w:t>
      </w:r>
      <w:r>
        <w:rPr>
          <w:rFonts w:cs="Times New Roman"/>
          <w:lang w:val="en-GB"/>
        </w:rPr>
        <w:t>d</w:t>
      </w:r>
      <w:r w:rsidRPr="00E176CF">
        <w:rPr>
          <w:rFonts w:cs="Times New Roman"/>
          <w:lang w:val="en-GB"/>
        </w:rPr>
        <w:t xml:space="preserve"> access to capital</w:t>
      </w:r>
      <w:r>
        <w:rPr>
          <w:rFonts w:cs="Times New Roman"/>
          <w:lang w:val="en-GB"/>
        </w:rPr>
        <w:t xml:space="preserve"> and </w:t>
      </w:r>
      <w:r w:rsidRPr="00E176CF">
        <w:rPr>
          <w:rFonts w:cs="Times New Roman"/>
          <w:lang w:val="en-GB"/>
        </w:rPr>
        <w:t xml:space="preserve">high-quality reporting. This </w:t>
      </w:r>
      <w:r>
        <w:rPr>
          <w:rFonts w:cs="Times New Roman"/>
          <w:lang w:val="en-GB"/>
        </w:rPr>
        <w:t>illustrates the IASB’s technocracy</w:t>
      </w:r>
      <w:r w:rsidRPr="00E176CF">
        <w:rPr>
          <w:rFonts w:cs="Times New Roman"/>
          <w:lang w:val="en-GB"/>
        </w:rPr>
        <w:t xml:space="preserve"> and their ability to define SMEs</w:t>
      </w:r>
      <w:r>
        <w:rPr>
          <w:rFonts w:cs="Times New Roman"/>
          <w:lang w:val="en-GB"/>
        </w:rPr>
        <w:t xml:space="preserve">: from an external perspective, the IASB appears united in support of </w:t>
      </w:r>
      <w:r w:rsidRPr="00C20CE0">
        <w:rPr>
          <w:rFonts w:cs="Times New Roman"/>
          <w:i/>
          <w:lang w:val="en-GB"/>
        </w:rPr>
        <w:t>IFRS for SMEs</w:t>
      </w:r>
      <w:r>
        <w:rPr>
          <w:rFonts w:cs="Times New Roman"/>
          <w:lang w:val="en-GB"/>
        </w:rPr>
        <w:t>, but the internal debate illustrates the embedded politics of the standard, as there was far from universal support within the IASB.</w:t>
      </w:r>
    </w:p>
    <w:p w14:paraId="1E9CD3B0" w14:textId="77777777" w:rsidR="00260CBE" w:rsidRDefault="00260CBE" w:rsidP="008456E4">
      <w:pPr>
        <w:spacing w:after="120"/>
        <w:jc w:val="both"/>
        <w:rPr>
          <w:rFonts w:cs="Times New Roman"/>
          <w:lang w:val="en-GB"/>
        </w:rPr>
      </w:pPr>
    </w:p>
    <w:p w14:paraId="791F5B67" w14:textId="304FA61E" w:rsidR="003608F0" w:rsidRDefault="00260CBE" w:rsidP="008456E4">
      <w:pPr>
        <w:spacing w:after="120"/>
        <w:jc w:val="both"/>
        <w:rPr>
          <w:lang w:val="en-GB"/>
        </w:rPr>
      </w:pPr>
      <w:r>
        <w:rPr>
          <w:rFonts w:cs="Times New Roman"/>
          <w:lang w:val="en-GB"/>
        </w:rPr>
        <w:t>This is subsequently displaced as a</w:t>
      </w:r>
      <w:r w:rsidR="003608F0" w:rsidRPr="00E176CF">
        <w:rPr>
          <w:rFonts w:cs="Times New Roman"/>
          <w:lang w:val="en-GB"/>
        </w:rPr>
        <w:t>fter the promulgation of the standard</w:t>
      </w:r>
      <w:r w:rsidR="003608F0">
        <w:rPr>
          <w:rFonts w:cs="Times New Roman"/>
          <w:lang w:val="en-GB"/>
        </w:rPr>
        <w:t>,</w:t>
      </w:r>
      <w:r w:rsidR="003608F0" w:rsidRPr="00E176CF">
        <w:rPr>
          <w:rFonts w:cs="Times New Roman"/>
          <w:lang w:val="en-GB"/>
        </w:rPr>
        <w:t xml:space="preserve"> </w:t>
      </w:r>
      <w:r w:rsidR="003608F0">
        <w:rPr>
          <w:rFonts w:cs="Times New Roman"/>
          <w:lang w:val="en-GB"/>
        </w:rPr>
        <w:t xml:space="preserve">there continues to be issues concerning </w:t>
      </w:r>
      <w:r w:rsidR="003608F0" w:rsidRPr="00E176CF">
        <w:rPr>
          <w:rFonts w:cs="Times New Roman"/>
          <w:lang w:val="en-GB"/>
        </w:rPr>
        <w:t>suitability</w:t>
      </w:r>
      <w:r w:rsidR="003608F0">
        <w:rPr>
          <w:rFonts w:cs="Times New Roman"/>
          <w:lang w:val="en-GB"/>
        </w:rPr>
        <w:t xml:space="preserve"> </w:t>
      </w:r>
      <w:r w:rsidR="003608F0" w:rsidRPr="00E176CF">
        <w:rPr>
          <w:rFonts w:cs="Times New Roman"/>
          <w:lang w:val="en-GB"/>
        </w:rPr>
        <w:t xml:space="preserve">and problems </w:t>
      </w:r>
      <w:r w:rsidR="003608F0">
        <w:rPr>
          <w:rFonts w:cs="Times New Roman"/>
          <w:lang w:val="en-GB"/>
        </w:rPr>
        <w:t xml:space="preserve">with respect to </w:t>
      </w:r>
      <w:r w:rsidR="003608F0" w:rsidRPr="00E176CF">
        <w:rPr>
          <w:rFonts w:cs="Times New Roman"/>
          <w:lang w:val="en-GB"/>
        </w:rPr>
        <w:t>defining</w:t>
      </w:r>
      <w:r w:rsidR="003608F0">
        <w:rPr>
          <w:rFonts w:cs="Times New Roman"/>
          <w:lang w:val="en-GB"/>
        </w:rPr>
        <w:t xml:space="preserve"> SMEs, and giving the standard a title, </w:t>
      </w:r>
      <w:r w:rsidR="003608F0" w:rsidRPr="00E176CF">
        <w:rPr>
          <w:rFonts w:cs="Times New Roman"/>
          <w:lang w:val="en-GB"/>
        </w:rPr>
        <w:t>because the IASB attempted to meet the needs of all</w:t>
      </w:r>
      <w:r w:rsidR="003608F0">
        <w:rPr>
          <w:rFonts w:cs="Times New Roman"/>
          <w:lang w:val="en-GB"/>
        </w:rPr>
        <w:t xml:space="preserve"> in a single standard</w:t>
      </w:r>
      <w:r w:rsidR="003608F0" w:rsidRPr="00E176CF">
        <w:rPr>
          <w:rFonts w:cs="Times New Roman"/>
          <w:lang w:val="en-GB"/>
        </w:rPr>
        <w:t xml:space="preserve">. </w:t>
      </w:r>
      <w:r w:rsidR="003608F0">
        <w:rPr>
          <w:rFonts w:cs="Times New Roman"/>
          <w:lang w:val="en-GB"/>
        </w:rPr>
        <w:t>T</w:t>
      </w:r>
      <w:r w:rsidR="003608F0" w:rsidRPr="00E176CF">
        <w:rPr>
          <w:rFonts w:cs="Times New Roman"/>
          <w:lang w:val="en-GB"/>
        </w:rPr>
        <w:t xml:space="preserve">he IASB </w:t>
      </w:r>
      <w:r w:rsidR="003608F0">
        <w:rPr>
          <w:rFonts w:cs="Times New Roman"/>
          <w:lang w:val="en-GB"/>
        </w:rPr>
        <w:t>were</w:t>
      </w:r>
      <w:r w:rsidR="003608F0" w:rsidRPr="00E176CF">
        <w:rPr>
          <w:rFonts w:cs="Times New Roman"/>
          <w:lang w:val="en-GB"/>
        </w:rPr>
        <w:t xml:space="preserve"> fixated on getting the standard </w:t>
      </w:r>
      <w:r w:rsidR="00CD4805">
        <w:rPr>
          <w:rFonts w:cs="Times New Roman"/>
          <w:lang w:val="en-GB"/>
        </w:rPr>
        <w:t>“</w:t>
      </w:r>
      <w:r w:rsidR="003608F0" w:rsidRPr="00E176CF">
        <w:rPr>
          <w:rFonts w:cs="Times New Roman"/>
          <w:lang w:val="en-GB"/>
        </w:rPr>
        <w:t>right</w:t>
      </w:r>
      <w:r w:rsidR="00CD4805">
        <w:rPr>
          <w:rFonts w:cs="Times New Roman"/>
          <w:lang w:val="en-GB"/>
        </w:rPr>
        <w:t>”</w:t>
      </w:r>
      <w:r w:rsidR="003608F0">
        <w:rPr>
          <w:rFonts w:cs="Times New Roman"/>
          <w:lang w:val="en-GB"/>
        </w:rPr>
        <w:t xml:space="preserve"> to reinforce technocracy</w:t>
      </w:r>
      <w:r w:rsidR="003608F0" w:rsidRPr="00E176CF">
        <w:rPr>
          <w:rFonts w:cs="Times New Roman"/>
          <w:lang w:val="en-GB"/>
        </w:rPr>
        <w:t xml:space="preserve">, but these attempts </w:t>
      </w:r>
      <w:r w:rsidR="003608F0">
        <w:rPr>
          <w:rFonts w:cs="Times New Roman"/>
          <w:lang w:val="en-GB"/>
        </w:rPr>
        <w:t xml:space="preserve">are antagonistic. The result of this antagonism was an attempt by the IASB to rescue the project by producing a </w:t>
      </w:r>
      <w:r w:rsidR="003608F0" w:rsidRPr="00E176CF">
        <w:rPr>
          <w:rFonts w:cs="Times New Roman"/>
          <w:lang w:val="en-GB"/>
        </w:rPr>
        <w:t xml:space="preserve">guide </w:t>
      </w:r>
      <w:r w:rsidR="003608F0">
        <w:rPr>
          <w:rFonts w:cs="Times New Roman"/>
          <w:lang w:val="en-GB"/>
        </w:rPr>
        <w:t xml:space="preserve">for micro-entities in 2013, in </w:t>
      </w:r>
      <w:r w:rsidR="003608F0" w:rsidRPr="00E176CF">
        <w:rPr>
          <w:rFonts w:cs="Times New Roman"/>
          <w:lang w:val="en-GB"/>
        </w:rPr>
        <w:t xml:space="preserve">addition to </w:t>
      </w:r>
      <w:r w:rsidR="003608F0" w:rsidRPr="00E176CF">
        <w:rPr>
          <w:rFonts w:cs="Times New Roman"/>
          <w:i/>
          <w:lang w:val="en-GB"/>
        </w:rPr>
        <w:t>IFRS for SMEs</w:t>
      </w:r>
      <w:r w:rsidR="003608F0" w:rsidRPr="00E176CF">
        <w:rPr>
          <w:rFonts w:cs="Times New Roman"/>
          <w:lang w:val="en-GB"/>
        </w:rPr>
        <w:t xml:space="preserve">. </w:t>
      </w:r>
      <w:r w:rsidR="003608F0">
        <w:rPr>
          <w:rFonts w:cs="Times New Roman"/>
          <w:lang w:val="en-GB"/>
        </w:rPr>
        <w:t>We consider this an act of displacement.</w:t>
      </w:r>
      <w:r w:rsidR="003608F0" w:rsidRPr="00E176CF">
        <w:rPr>
          <w:lang w:val="en-GB"/>
        </w:rPr>
        <w:t xml:space="preserve"> </w:t>
      </w:r>
    </w:p>
    <w:p w14:paraId="2C8D726E" w14:textId="77777777" w:rsidR="00CD4805" w:rsidRDefault="00CD4805" w:rsidP="008456E4">
      <w:pPr>
        <w:spacing w:after="120"/>
        <w:jc w:val="both"/>
        <w:rPr>
          <w:lang w:val="en-GB"/>
        </w:rPr>
      </w:pPr>
    </w:p>
    <w:p w14:paraId="4E08F63D" w14:textId="163951BB" w:rsidR="003608F0" w:rsidRPr="00E87E44" w:rsidRDefault="00A51FA1" w:rsidP="00E87E44">
      <w:pPr>
        <w:pStyle w:val="Heading2"/>
        <w:rPr>
          <w:rFonts w:cs="Times New Roman"/>
          <w:b/>
          <w:lang w:val="en-GB"/>
        </w:rPr>
      </w:pPr>
      <w:r>
        <w:rPr>
          <w:b/>
          <w:lang w:val="en-GB"/>
        </w:rPr>
        <w:t>5</w:t>
      </w:r>
      <w:r w:rsidR="008F58A7" w:rsidRPr="00E87E44">
        <w:rPr>
          <w:b/>
          <w:lang w:val="en-GB"/>
        </w:rPr>
        <w:t>.</w:t>
      </w:r>
      <w:r w:rsidR="00A51666">
        <w:rPr>
          <w:b/>
          <w:lang w:val="en-GB"/>
        </w:rPr>
        <w:t>5</w:t>
      </w:r>
      <w:r w:rsidR="003608F0" w:rsidRPr="00E87E44">
        <w:rPr>
          <w:b/>
          <w:lang w:val="en-GB"/>
        </w:rPr>
        <w:tab/>
      </w:r>
      <w:r w:rsidR="00206327">
        <w:rPr>
          <w:b/>
          <w:lang w:val="en-GB"/>
        </w:rPr>
        <w:t xml:space="preserve">Displacement: </w:t>
      </w:r>
      <w:r w:rsidR="003608F0" w:rsidRPr="00E87E44">
        <w:rPr>
          <w:b/>
          <w:lang w:val="en-GB"/>
        </w:rPr>
        <w:t xml:space="preserve">Publishing the guidance for micro-entities </w:t>
      </w:r>
    </w:p>
    <w:p w14:paraId="5A95F20C" w14:textId="77777777" w:rsidR="00E87E44" w:rsidRDefault="00E87E44" w:rsidP="008456E4">
      <w:pPr>
        <w:jc w:val="both"/>
        <w:rPr>
          <w:rFonts w:cs="Times New Roman"/>
          <w:lang w:val="en-GB"/>
        </w:rPr>
      </w:pPr>
    </w:p>
    <w:p w14:paraId="48DB70E7" w14:textId="17222EEA" w:rsidR="003608F0" w:rsidRDefault="003608F0" w:rsidP="008456E4">
      <w:pPr>
        <w:jc w:val="both"/>
        <w:rPr>
          <w:rFonts w:cs="Times New Roman"/>
          <w:lang w:val="en-GB"/>
        </w:rPr>
      </w:pPr>
      <w:r>
        <w:rPr>
          <w:rFonts w:cs="Times New Roman"/>
          <w:lang w:val="en-GB"/>
        </w:rPr>
        <w:t xml:space="preserve">During the first comprehensive review of </w:t>
      </w:r>
      <w:r w:rsidRPr="00772693">
        <w:rPr>
          <w:rFonts w:cs="Times New Roman"/>
          <w:i/>
          <w:lang w:val="en-GB"/>
        </w:rPr>
        <w:t>IFRS for SMEs</w:t>
      </w:r>
      <w:r>
        <w:rPr>
          <w:rFonts w:cs="Times New Roman"/>
          <w:lang w:val="en-GB"/>
        </w:rPr>
        <w:t xml:space="preserve">, the IASB published a simplified guide for micro-entities in 2013. The repeated problematisations concerning usefulness, applicability, suitability and relevance of the standard required action by the IASB to legitimise </w:t>
      </w:r>
      <w:r>
        <w:rPr>
          <w:rFonts w:cs="Times New Roman"/>
          <w:i/>
          <w:lang w:val="en-GB"/>
        </w:rPr>
        <w:t xml:space="preserve">IFRS for SMEs </w:t>
      </w:r>
      <w:r>
        <w:rPr>
          <w:rFonts w:cs="Times New Roman"/>
          <w:lang w:val="en-GB"/>
        </w:rPr>
        <w:t xml:space="preserve">and maintain authority. To render </w:t>
      </w:r>
      <w:r w:rsidRPr="00D06B6B">
        <w:rPr>
          <w:rFonts w:cs="Times New Roman"/>
          <w:i/>
          <w:lang w:val="en-GB"/>
        </w:rPr>
        <w:t>IFRS for SMEs</w:t>
      </w:r>
      <w:r>
        <w:rPr>
          <w:rFonts w:cs="Times New Roman"/>
          <w:lang w:val="en-GB"/>
        </w:rPr>
        <w:t xml:space="preserve"> usable by micro-entities</w:t>
      </w:r>
      <w:r w:rsidRPr="00E176CF">
        <w:rPr>
          <w:rFonts w:cs="Times New Roman"/>
          <w:lang w:val="en-GB"/>
        </w:rPr>
        <w:t>, the IASB reposition</w:t>
      </w:r>
      <w:r>
        <w:rPr>
          <w:rFonts w:cs="Times New Roman"/>
          <w:lang w:val="en-GB"/>
        </w:rPr>
        <w:t>ed</w:t>
      </w:r>
      <w:r w:rsidRPr="00E176CF">
        <w:rPr>
          <w:rFonts w:cs="Times New Roman"/>
          <w:lang w:val="en-GB"/>
        </w:rPr>
        <w:t xml:space="preserve"> themselves to resolve this problem</w:t>
      </w:r>
      <w:r>
        <w:rPr>
          <w:rFonts w:cs="Times New Roman"/>
          <w:lang w:val="en-GB"/>
        </w:rPr>
        <w:t xml:space="preserve"> by publishing </w:t>
      </w:r>
      <w:r>
        <w:rPr>
          <w:rFonts w:cs="Times New Roman"/>
          <w:i/>
          <w:lang w:val="en-GB"/>
        </w:rPr>
        <w:t>Guidance for Micro-Entities</w:t>
      </w:r>
      <w:r>
        <w:rPr>
          <w:rFonts w:cs="Times New Roman"/>
          <w:lang w:val="en-GB"/>
        </w:rPr>
        <w:t xml:space="preserve">. The Guidance </w:t>
      </w:r>
      <w:r w:rsidR="00CD4805">
        <w:rPr>
          <w:rFonts w:cs="Times New Roman"/>
          <w:lang w:val="en-GB"/>
        </w:rPr>
        <w:t>“</w:t>
      </w:r>
      <w:r>
        <w:rPr>
          <w:rFonts w:cs="Times New Roman"/>
          <w:lang w:val="en-GB"/>
        </w:rPr>
        <w:t xml:space="preserve">helps [micro-entities] to identify more easily the requirements of </w:t>
      </w:r>
      <w:r w:rsidRPr="005F1B1D">
        <w:rPr>
          <w:rFonts w:cs="Times New Roman"/>
          <w:i/>
          <w:lang w:val="en-GB"/>
        </w:rPr>
        <w:t>IFRS for SMEs</w:t>
      </w:r>
      <w:r>
        <w:rPr>
          <w:rFonts w:cs="Times New Roman"/>
          <w:lang w:val="en-GB"/>
        </w:rPr>
        <w:t xml:space="preserve"> that are relevant to them</w:t>
      </w:r>
      <w:r w:rsidR="00CD4805">
        <w:rPr>
          <w:rFonts w:cs="Times New Roman"/>
          <w:lang w:val="en-GB"/>
        </w:rPr>
        <w:t>”</w:t>
      </w:r>
      <w:r>
        <w:rPr>
          <w:rFonts w:cs="Times New Roman"/>
          <w:lang w:val="en-GB"/>
        </w:rPr>
        <w:t xml:space="preserve"> (IAS Plus, 2013). </w:t>
      </w:r>
      <w:r w:rsidRPr="00E176CF">
        <w:rPr>
          <w:rFonts w:cs="Times New Roman"/>
          <w:lang w:val="en-GB"/>
        </w:rPr>
        <w:t>Interviewee 14</w:t>
      </w:r>
      <w:r w:rsidR="00C87F19">
        <w:rPr>
          <w:rFonts w:cs="Times New Roman"/>
          <w:lang w:val="en-GB"/>
        </w:rPr>
        <w:t xml:space="preserve"> (board member)</w:t>
      </w:r>
      <w:r w:rsidRPr="00E176CF">
        <w:rPr>
          <w:rFonts w:cs="Times New Roman"/>
          <w:lang w:val="en-GB"/>
        </w:rPr>
        <w:t xml:space="preserve"> explains the development of the micro-guide</w:t>
      </w:r>
      <w:r>
        <w:rPr>
          <w:rFonts w:cs="Times New Roman"/>
          <w:lang w:val="en-GB"/>
        </w:rPr>
        <w:t xml:space="preserve"> and reflects on its take-up:</w:t>
      </w:r>
    </w:p>
    <w:p w14:paraId="25873998" w14:textId="77777777" w:rsidR="003608F0" w:rsidRPr="00E176CF" w:rsidRDefault="003608F0" w:rsidP="008456E4">
      <w:pPr>
        <w:jc w:val="both"/>
        <w:rPr>
          <w:rFonts w:cs="Times New Roman"/>
          <w:lang w:val="en-GB"/>
        </w:rPr>
      </w:pPr>
    </w:p>
    <w:p w14:paraId="4FB9305E" w14:textId="77777777" w:rsidR="003608F0" w:rsidRDefault="003608F0" w:rsidP="008456E4">
      <w:pPr>
        <w:spacing w:after="120"/>
        <w:ind w:left="720" w:right="720"/>
        <w:jc w:val="both"/>
        <w:rPr>
          <w:rFonts w:cs="Times New Roman"/>
          <w:sz w:val="20"/>
          <w:szCs w:val="20"/>
          <w:lang w:val="en-GB"/>
        </w:rPr>
      </w:pPr>
      <w:r w:rsidRPr="00E176CF">
        <w:rPr>
          <w:rFonts w:cs="Times New Roman"/>
          <w:sz w:val="20"/>
          <w:szCs w:val="20"/>
          <w:lang w:val="en-GB"/>
        </w:rPr>
        <w:t>…</w:t>
      </w:r>
      <w:r>
        <w:rPr>
          <w:rFonts w:cs="Times New Roman"/>
          <w:sz w:val="20"/>
          <w:szCs w:val="20"/>
          <w:lang w:val="en-GB"/>
        </w:rPr>
        <w:t xml:space="preserve"> </w:t>
      </w:r>
      <w:r w:rsidRPr="00E176CF">
        <w:rPr>
          <w:rFonts w:cs="Times New Roman"/>
          <w:sz w:val="20"/>
          <w:szCs w:val="20"/>
          <w:lang w:val="en-GB"/>
        </w:rPr>
        <w:t>the micro guide was created because there was, for lack of a better term, a thud factor so what had essentially happened is a lot of people were looking at our 250 page document and saying this is a really long document and we want something simpler</w:t>
      </w:r>
      <w:r>
        <w:rPr>
          <w:rFonts w:cs="Times New Roman"/>
          <w:sz w:val="20"/>
          <w:szCs w:val="20"/>
          <w:lang w:val="en-GB"/>
        </w:rPr>
        <w:t xml:space="preserve"> …</w:t>
      </w:r>
      <w:r w:rsidRPr="00E176CF">
        <w:rPr>
          <w:rFonts w:cs="Times New Roman"/>
          <w:sz w:val="20"/>
          <w:szCs w:val="20"/>
          <w:lang w:val="en-GB"/>
        </w:rPr>
        <w:t xml:space="preserve"> the problem was that a lot of small companies don’t have pension schemes, they don’t ha</w:t>
      </w:r>
      <w:r>
        <w:rPr>
          <w:rFonts w:cs="Times New Roman"/>
          <w:sz w:val="20"/>
          <w:szCs w:val="20"/>
          <w:lang w:val="en-GB"/>
        </w:rPr>
        <w:t>ve share option schemes etc</w:t>
      </w:r>
      <w:r w:rsidRPr="00E176CF">
        <w:rPr>
          <w:rFonts w:cs="Times New Roman"/>
          <w:sz w:val="20"/>
          <w:szCs w:val="20"/>
          <w:lang w:val="en-GB"/>
        </w:rPr>
        <w:t>, and so we thought it might be useful to simply do an extract from IFRS for SMEs, put it into a smaller book and say</w:t>
      </w:r>
      <w:r>
        <w:rPr>
          <w:rFonts w:cs="Times New Roman"/>
          <w:sz w:val="20"/>
          <w:szCs w:val="20"/>
          <w:lang w:val="en-GB"/>
        </w:rPr>
        <w:t>,</w:t>
      </w:r>
      <w:r w:rsidRPr="00E176CF">
        <w:rPr>
          <w:rFonts w:cs="Times New Roman"/>
          <w:sz w:val="20"/>
          <w:szCs w:val="20"/>
          <w:lang w:val="en-GB"/>
        </w:rPr>
        <w:t xml:space="preserve"> if you don’t have these 10 things, if you don’t have a share option scheme and a pension fund and </w:t>
      </w:r>
      <w:r>
        <w:rPr>
          <w:rFonts w:cs="Times New Roman"/>
          <w:sz w:val="20"/>
          <w:szCs w:val="20"/>
          <w:lang w:val="en-GB"/>
        </w:rPr>
        <w:t xml:space="preserve">etc, </w:t>
      </w:r>
      <w:r w:rsidRPr="00E176CF">
        <w:rPr>
          <w:rFonts w:cs="Times New Roman"/>
          <w:sz w:val="20"/>
          <w:szCs w:val="20"/>
          <w:lang w:val="en-GB"/>
        </w:rPr>
        <w:t>then you can use this 70 page book and that might actually make your life, you know, make</w:t>
      </w:r>
      <w:r>
        <w:rPr>
          <w:rFonts w:cs="Times New Roman"/>
          <w:sz w:val="20"/>
          <w:szCs w:val="20"/>
          <w:lang w:val="en-GB"/>
        </w:rPr>
        <w:t xml:space="preserve"> …</w:t>
      </w:r>
      <w:r w:rsidRPr="00E176CF">
        <w:rPr>
          <w:rFonts w:cs="Times New Roman"/>
          <w:sz w:val="20"/>
          <w:szCs w:val="20"/>
          <w:lang w:val="en-GB"/>
        </w:rPr>
        <w:t xml:space="preserve"> it is interesting in fact we haven’t had as many people use </w:t>
      </w:r>
      <w:r>
        <w:rPr>
          <w:rFonts w:cs="Times New Roman"/>
          <w:sz w:val="20"/>
          <w:szCs w:val="20"/>
          <w:lang w:val="en-GB"/>
        </w:rPr>
        <w:t>[the micro-guide]</w:t>
      </w:r>
      <w:r w:rsidRPr="00E176CF">
        <w:rPr>
          <w:rFonts w:cs="Times New Roman"/>
          <w:sz w:val="20"/>
          <w:szCs w:val="20"/>
          <w:lang w:val="en-GB"/>
        </w:rPr>
        <w:t xml:space="preserve"> as we thought. </w:t>
      </w:r>
    </w:p>
    <w:p w14:paraId="0E81702D" w14:textId="77777777" w:rsidR="003608F0" w:rsidRPr="00E176CF" w:rsidRDefault="003608F0" w:rsidP="008456E4">
      <w:pPr>
        <w:spacing w:after="120"/>
        <w:ind w:left="720" w:right="720"/>
        <w:jc w:val="both"/>
        <w:rPr>
          <w:rFonts w:cs="Times New Roman"/>
          <w:sz w:val="20"/>
          <w:szCs w:val="20"/>
          <w:lang w:val="en-GB"/>
        </w:rPr>
      </w:pPr>
    </w:p>
    <w:p w14:paraId="16B922A7" w14:textId="77777777" w:rsidR="003608F0" w:rsidRDefault="003608F0" w:rsidP="008456E4">
      <w:pPr>
        <w:jc w:val="both"/>
        <w:rPr>
          <w:rFonts w:cs="Times New Roman"/>
          <w:lang w:val="en-GB"/>
        </w:rPr>
      </w:pPr>
      <w:r>
        <w:rPr>
          <w:rFonts w:cs="Times New Roman"/>
          <w:lang w:val="en-GB"/>
        </w:rPr>
        <w:lastRenderedPageBreak/>
        <w:t xml:space="preserve">This </w:t>
      </w:r>
      <w:r w:rsidRPr="00E176CF">
        <w:rPr>
          <w:rFonts w:cs="Times New Roman"/>
          <w:lang w:val="en-GB"/>
        </w:rPr>
        <w:t>covers over</w:t>
      </w:r>
      <w:r>
        <w:rPr>
          <w:rFonts w:cs="Times New Roman"/>
          <w:lang w:val="en-GB"/>
        </w:rPr>
        <w:t xml:space="preserve"> the deeper political problems</w:t>
      </w:r>
      <w:r w:rsidRPr="00E176CF">
        <w:rPr>
          <w:rFonts w:cs="Times New Roman"/>
          <w:lang w:val="en-GB"/>
        </w:rPr>
        <w:t xml:space="preserve"> </w:t>
      </w:r>
      <w:r>
        <w:rPr>
          <w:rFonts w:cs="Times New Roman"/>
          <w:lang w:val="en-GB"/>
        </w:rPr>
        <w:t xml:space="preserve">with </w:t>
      </w:r>
      <w:r w:rsidRPr="00E176CF">
        <w:rPr>
          <w:rFonts w:cs="Times New Roman"/>
          <w:lang w:val="en-GB"/>
        </w:rPr>
        <w:t xml:space="preserve">the </w:t>
      </w:r>
      <w:r w:rsidRPr="00E176CF">
        <w:rPr>
          <w:rFonts w:cs="Times New Roman"/>
          <w:i/>
          <w:lang w:val="en-GB"/>
        </w:rPr>
        <w:t>IFRS for SMEs</w:t>
      </w:r>
      <w:r w:rsidRPr="00E176CF">
        <w:rPr>
          <w:rFonts w:cs="Times New Roman"/>
          <w:lang w:val="en-GB"/>
        </w:rPr>
        <w:t>. Moreover, th</w:t>
      </w:r>
      <w:r>
        <w:rPr>
          <w:rFonts w:cs="Times New Roman"/>
          <w:lang w:val="en-GB"/>
        </w:rPr>
        <w:t>e</w:t>
      </w:r>
      <w:r w:rsidRPr="00E176CF">
        <w:rPr>
          <w:rFonts w:cs="Times New Roman"/>
          <w:lang w:val="en-GB"/>
        </w:rPr>
        <w:t xml:space="preserve"> addition </w:t>
      </w:r>
      <w:r>
        <w:rPr>
          <w:rFonts w:cs="Times New Roman"/>
          <w:lang w:val="en-GB"/>
        </w:rPr>
        <w:t>further restricts</w:t>
      </w:r>
      <w:r w:rsidRPr="00E176CF">
        <w:rPr>
          <w:rFonts w:cs="Times New Roman"/>
          <w:lang w:val="en-GB"/>
        </w:rPr>
        <w:t xml:space="preserve"> </w:t>
      </w:r>
      <w:r>
        <w:rPr>
          <w:rFonts w:cs="Times New Roman"/>
          <w:lang w:val="en-GB"/>
        </w:rPr>
        <w:t xml:space="preserve">the </w:t>
      </w:r>
      <w:r w:rsidRPr="00E176CF">
        <w:rPr>
          <w:rFonts w:cs="Times New Roman"/>
          <w:lang w:val="en-GB"/>
        </w:rPr>
        <w:t>differential reporting debate</w:t>
      </w:r>
      <w:r>
        <w:rPr>
          <w:rFonts w:cs="Times New Roman"/>
          <w:lang w:val="en-GB"/>
        </w:rPr>
        <w:t xml:space="preserve">, </w:t>
      </w:r>
      <w:r w:rsidRPr="00E176CF">
        <w:rPr>
          <w:rFonts w:cs="Times New Roman"/>
          <w:lang w:val="en-GB"/>
        </w:rPr>
        <w:t xml:space="preserve">as </w:t>
      </w:r>
      <w:r>
        <w:rPr>
          <w:rFonts w:cs="Times New Roman"/>
          <w:lang w:val="en-GB"/>
        </w:rPr>
        <w:t xml:space="preserve">the micro-guide appears </w:t>
      </w:r>
      <w:r w:rsidRPr="00E176CF">
        <w:rPr>
          <w:rFonts w:cs="Times New Roman"/>
          <w:lang w:val="en-GB"/>
        </w:rPr>
        <w:t>to have resolved problem</w:t>
      </w:r>
      <w:r>
        <w:rPr>
          <w:rFonts w:cs="Times New Roman"/>
          <w:lang w:val="en-GB"/>
        </w:rPr>
        <w:t>atisations</w:t>
      </w:r>
      <w:r w:rsidRPr="00E176CF">
        <w:rPr>
          <w:rFonts w:cs="Times New Roman"/>
          <w:lang w:val="en-GB"/>
        </w:rPr>
        <w:t xml:space="preserve">: </w:t>
      </w:r>
    </w:p>
    <w:p w14:paraId="57730BE7" w14:textId="77777777" w:rsidR="003608F0" w:rsidRPr="00E176CF" w:rsidRDefault="003608F0" w:rsidP="008456E4">
      <w:pPr>
        <w:jc w:val="both"/>
        <w:rPr>
          <w:rFonts w:cs="Times New Roman"/>
          <w:lang w:val="en-GB"/>
        </w:rPr>
      </w:pPr>
    </w:p>
    <w:p w14:paraId="53682EF3" w14:textId="156E9682" w:rsidR="003608F0" w:rsidRDefault="003608F0" w:rsidP="008456E4">
      <w:pPr>
        <w:spacing w:after="120"/>
        <w:ind w:left="720" w:right="720"/>
        <w:jc w:val="both"/>
        <w:rPr>
          <w:rFonts w:cs="Times New Roman"/>
          <w:sz w:val="20"/>
          <w:szCs w:val="20"/>
          <w:lang w:val="en-GB"/>
        </w:rPr>
      </w:pPr>
      <w:r w:rsidRPr="00E176CF">
        <w:rPr>
          <w:rFonts w:cs="Times New Roman"/>
          <w:sz w:val="20"/>
          <w:szCs w:val="20"/>
          <w:lang w:val="en-GB"/>
        </w:rPr>
        <w:t>In response to requests from constituents, the IASB has developed guidance both to assist micro-sized entities currently applying the</w:t>
      </w:r>
      <w:r w:rsidRPr="00E176CF">
        <w:rPr>
          <w:rFonts w:cs="Times New Roman"/>
          <w:i/>
          <w:iCs/>
          <w:sz w:val="20"/>
          <w:szCs w:val="20"/>
          <w:lang w:val="en-GB"/>
        </w:rPr>
        <w:t xml:space="preserve"> IFRS for SMEs</w:t>
      </w:r>
      <w:r w:rsidRPr="00E176CF">
        <w:rPr>
          <w:rFonts w:cs="Times New Roman"/>
          <w:sz w:val="20"/>
          <w:szCs w:val="20"/>
          <w:lang w:val="en-GB"/>
        </w:rPr>
        <w:t xml:space="preserve"> and to make the </w:t>
      </w:r>
      <w:r w:rsidRPr="00E176CF">
        <w:rPr>
          <w:rFonts w:cs="Times New Roman"/>
          <w:i/>
          <w:iCs/>
          <w:sz w:val="20"/>
          <w:szCs w:val="20"/>
          <w:lang w:val="en-GB"/>
        </w:rPr>
        <w:t>IFRS for SMEs</w:t>
      </w:r>
      <w:r w:rsidRPr="00E176CF">
        <w:rPr>
          <w:rFonts w:cs="Times New Roman"/>
          <w:sz w:val="20"/>
          <w:szCs w:val="20"/>
          <w:lang w:val="en-GB"/>
        </w:rPr>
        <w:t xml:space="preserve"> more accessible for those considering applying it in the future. The guidance supports the </w:t>
      </w:r>
      <w:r w:rsidRPr="00E176CF">
        <w:rPr>
          <w:rFonts w:cs="Times New Roman"/>
          <w:i/>
          <w:iCs/>
          <w:sz w:val="20"/>
          <w:szCs w:val="20"/>
          <w:lang w:val="en-GB"/>
        </w:rPr>
        <w:t>IFRS for SMEs</w:t>
      </w:r>
      <w:r w:rsidRPr="00E176CF">
        <w:rPr>
          <w:rFonts w:cs="Times New Roman"/>
          <w:sz w:val="20"/>
          <w:szCs w:val="20"/>
          <w:lang w:val="en-GB"/>
        </w:rPr>
        <w:t xml:space="preserve"> and does not constitute a separate Standard for micro-sized entities</w:t>
      </w:r>
      <w:r w:rsidR="00CD4805">
        <w:rPr>
          <w:rFonts w:cs="Times New Roman"/>
          <w:sz w:val="20"/>
          <w:szCs w:val="20"/>
          <w:lang w:val="en-GB"/>
        </w:rPr>
        <w:t>.</w:t>
      </w:r>
      <w:r w:rsidRPr="00E176CF">
        <w:rPr>
          <w:rFonts w:cs="Times New Roman"/>
          <w:sz w:val="20"/>
          <w:szCs w:val="20"/>
          <w:lang w:val="en-GB"/>
        </w:rPr>
        <w:t xml:space="preserve"> (IASB, 2013</w:t>
      </w:r>
      <w:r>
        <w:rPr>
          <w:rFonts w:cs="Times New Roman"/>
          <w:sz w:val="20"/>
          <w:szCs w:val="20"/>
          <w:lang w:val="en-GB"/>
        </w:rPr>
        <w:t xml:space="preserve">, p. </w:t>
      </w:r>
      <w:r w:rsidRPr="00E176CF">
        <w:rPr>
          <w:rFonts w:cs="Times New Roman"/>
          <w:sz w:val="20"/>
          <w:szCs w:val="20"/>
          <w:lang w:val="en-GB"/>
        </w:rPr>
        <w:t>1)</w:t>
      </w:r>
    </w:p>
    <w:p w14:paraId="241BA692" w14:textId="77777777" w:rsidR="00AF7A42" w:rsidRPr="00E176CF" w:rsidRDefault="00AF7A42" w:rsidP="00AF7A42">
      <w:pPr>
        <w:ind w:left="720" w:right="720"/>
        <w:jc w:val="both"/>
        <w:rPr>
          <w:rFonts w:cs="Times New Roman"/>
          <w:sz w:val="20"/>
          <w:szCs w:val="20"/>
          <w:lang w:val="en-GB"/>
        </w:rPr>
      </w:pPr>
    </w:p>
    <w:p w14:paraId="5EDE1218" w14:textId="7FF7B10C" w:rsidR="003608F0" w:rsidRPr="00F83F26" w:rsidRDefault="003608F0" w:rsidP="008456E4">
      <w:pPr>
        <w:spacing w:after="120"/>
        <w:jc w:val="both"/>
        <w:rPr>
          <w:rFonts w:cs="Times New Roman"/>
          <w:lang w:val="en-GB"/>
        </w:rPr>
      </w:pPr>
      <w:r>
        <w:rPr>
          <w:rFonts w:cs="Times New Roman"/>
          <w:lang w:val="en-GB"/>
        </w:rPr>
        <w:t>T</w:t>
      </w:r>
      <w:r w:rsidRPr="00E176CF">
        <w:rPr>
          <w:rFonts w:cs="Times New Roman"/>
          <w:lang w:val="en-GB"/>
        </w:rPr>
        <w:t>he micro-guide is not a separate standard</w:t>
      </w:r>
      <w:r>
        <w:rPr>
          <w:rFonts w:cs="Times New Roman"/>
          <w:lang w:val="en-GB"/>
        </w:rPr>
        <w:t xml:space="preserve">, but </w:t>
      </w:r>
      <w:r w:rsidR="00AF7A42">
        <w:rPr>
          <w:rFonts w:cs="Times New Roman"/>
          <w:lang w:val="en-GB"/>
        </w:rPr>
        <w:t>proviedes</w:t>
      </w:r>
      <w:r>
        <w:rPr>
          <w:rFonts w:cs="Times New Roman"/>
          <w:lang w:val="en-GB"/>
        </w:rPr>
        <w:t xml:space="preserve"> guidance for micro-entities. Figure 5 characterises the embedded nature of politics in the production of the micro-guide, by illustrating </w:t>
      </w:r>
      <w:r w:rsidR="00AF7A42">
        <w:rPr>
          <w:rFonts w:cs="Times New Roman"/>
          <w:lang w:val="en-GB"/>
        </w:rPr>
        <w:t xml:space="preserve">simplifying </w:t>
      </w:r>
      <w:r>
        <w:rPr>
          <w:rFonts w:cs="Times New Roman"/>
          <w:lang w:val="en-GB"/>
        </w:rPr>
        <w:t xml:space="preserve">the phases of condensation from definition to the publication of </w:t>
      </w:r>
      <w:r w:rsidRPr="00F83F26">
        <w:rPr>
          <w:rFonts w:cs="Times New Roman"/>
          <w:i/>
          <w:lang w:val="en-GB"/>
        </w:rPr>
        <w:t>IFRS for SMEs</w:t>
      </w:r>
      <w:r>
        <w:rPr>
          <w:rFonts w:cs="Times New Roman"/>
          <w:lang w:val="en-GB"/>
        </w:rPr>
        <w:t xml:space="preserve"> to the development of the subsequent micro-guide. This illustrates the contingency and displacement associated with the standard. </w:t>
      </w:r>
    </w:p>
    <w:p w14:paraId="0868F931" w14:textId="395E2305" w:rsidR="003608F0" w:rsidRPr="00E176CF" w:rsidRDefault="003608F0" w:rsidP="008456E4">
      <w:pPr>
        <w:pStyle w:val="BodyTextIndent2"/>
        <w:spacing w:after="120"/>
        <w:ind w:firstLine="0"/>
        <w:rPr>
          <w:rFonts w:asciiTheme="minorHAnsi" w:hAnsiTheme="minorHAnsi"/>
          <w:lang w:val="en-GB"/>
        </w:rPr>
      </w:pPr>
    </w:p>
    <w:p w14:paraId="3E2C7171" w14:textId="6B723CF2" w:rsidR="003608F0" w:rsidRPr="00E176CF" w:rsidRDefault="00E87E44" w:rsidP="008456E4">
      <w:pPr>
        <w:pStyle w:val="BodyTextIndent2"/>
        <w:spacing w:after="120"/>
        <w:ind w:firstLine="0"/>
        <w:jc w:val="center"/>
        <w:rPr>
          <w:rFonts w:asciiTheme="minorHAnsi" w:hAnsiTheme="minorHAnsi"/>
          <w:lang w:val="en-GB"/>
        </w:rPr>
      </w:pPr>
      <w:r w:rsidRPr="00E176CF">
        <w:rPr>
          <w:rFonts w:asciiTheme="minorHAnsi" w:hAnsiTheme="minorHAnsi"/>
          <w:noProof/>
          <w:lang w:val="en-GB" w:eastAsia="en-GB"/>
        </w:rPr>
        <mc:AlternateContent>
          <mc:Choice Requires="wps">
            <w:drawing>
              <wp:anchor distT="0" distB="0" distL="114300" distR="114300" simplePos="0" relativeHeight="251669504" behindDoc="0" locked="0" layoutInCell="1" allowOverlap="1" wp14:anchorId="2ED767C7" wp14:editId="189910B8">
                <wp:simplePos x="0" y="0"/>
                <wp:positionH relativeFrom="margin">
                  <wp:align>center</wp:align>
                </wp:positionH>
                <wp:positionV relativeFrom="paragraph">
                  <wp:posOffset>10160</wp:posOffset>
                </wp:positionV>
                <wp:extent cx="24003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78353" id="Straight Connector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8pt" to="18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VMtwEAAMMDAAAOAAAAZHJzL2Uyb0RvYy54bWysU8GOEzEMvSPxD1HudKaFRWj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" strokecolor="#4472c4 [3204]" strokeweight=".5pt">
                <v:stroke joinstyle="miter"/>
                <w10:wrap anchorx="margin"/>
              </v:line>
            </w:pict>
          </mc:Fallback>
        </mc:AlternateContent>
      </w:r>
      <w:r w:rsidR="003608F0" w:rsidRPr="00E176CF">
        <w:rPr>
          <w:rFonts w:asciiTheme="minorHAnsi" w:hAnsiTheme="minorHAnsi"/>
          <w:noProof/>
          <w:lang w:val="en-GB" w:eastAsia="en-GB"/>
        </w:rPr>
        <mc:AlternateContent>
          <mc:Choice Requires="wps">
            <w:drawing>
              <wp:anchor distT="0" distB="0" distL="114300" distR="114300" simplePos="0" relativeHeight="251670528" behindDoc="0" locked="0" layoutInCell="1" allowOverlap="1" wp14:anchorId="72E6EBD2" wp14:editId="1FF1B95F">
                <wp:simplePos x="0" y="0"/>
                <wp:positionH relativeFrom="column">
                  <wp:posOffset>1630680</wp:posOffset>
                </wp:positionH>
                <wp:positionV relativeFrom="paragraph">
                  <wp:posOffset>243840</wp:posOffset>
                </wp:positionV>
                <wp:extent cx="24003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7D7A0"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8.4pt,19.2pt" to="317.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" strokecolor="#4472c4 [3204]" strokeweight=".5pt">
                <v:stroke joinstyle="miter"/>
              </v:line>
            </w:pict>
          </mc:Fallback>
        </mc:AlternateContent>
      </w:r>
      <w:r w:rsidR="003608F0" w:rsidRPr="00E176CF">
        <w:rPr>
          <w:rFonts w:asciiTheme="minorHAnsi" w:hAnsiTheme="minorHAnsi"/>
          <w:lang w:val="en-GB"/>
        </w:rPr>
        <w:t xml:space="preserve">INSERT </w:t>
      </w:r>
      <w:r w:rsidR="003608F0">
        <w:rPr>
          <w:rFonts w:asciiTheme="minorHAnsi" w:hAnsiTheme="minorHAnsi"/>
          <w:lang w:val="en-GB"/>
        </w:rPr>
        <w:t>FIGURE 5</w:t>
      </w:r>
    </w:p>
    <w:p w14:paraId="4A08CF12" w14:textId="77777777" w:rsidR="003608F0" w:rsidRPr="00E176CF" w:rsidRDefault="003608F0" w:rsidP="008456E4">
      <w:pPr>
        <w:spacing w:after="120"/>
        <w:jc w:val="both"/>
        <w:rPr>
          <w:rFonts w:cs="Times New Roman"/>
          <w:sz w:val="22"/>
          <w:szCs w:val="22"/>
        </w:rPr>
      </w:pPr>
      <w:r w:rsidRPr="00E176CF">
        <w:rPr>
          <w:rFonts w:cs="Times New Roman"/>
          <w:lang w:val="en-GB"/>
        </w:rPr>
        <w:t xml:space="preserve"> </w:t>
      </w:r>
    </w:p>
    <w:p w14:paraId="4EFCC945" w14:textId="37D40FE1" w:rsidR="003608F0" w:rsidRDefault="00206327" w:rsidP="008456E4">
      <w:pPr>
        <w:jc w:val="both"/>
        <w:rPr>
          <w:rFonts w:cs="Times New Roman"/>
          <w:lang w:val="en-GB"/>
        </w:rPr>
      </w:pPr>
      <w:r>
        <w:rPr>
          <w:rFonts w:cs="Times New Roman"/>
          <w:lang w:val="en-GB"/>
        </w:rPr>
        <w:t xml:space="preserve">Figure 5 depicts a simplified version of </w:t>
      </w:r>
      <w:r w:rsidR="00AF7A42">
        <w:rPr>
          <w:rFonts w:cs="Times New Roman"/>
          <w:lang w:val="en-GB"/>
        </w:rPr>
        <w:t xml:space="preserve">the </w:t>
      </w:r>
      <w:r>
        <w:rPr>
          <w:rFonts w:cs="Times New Roman"/>
          <w:lang w:val="en-GB"/>
        </w:rPr>
        <w:t>displacement</w:t>
      </w:r>
      <w:r w:rsidR="00AF7A42">
        <w:rPr>
          <w:rFonts w:cs="Times New Roman"/>
          <w:lang w:val="en-GB"/>
        </w:rPr>
        <w:t>. It should be read along with the complexity of condensation depicted in Figure 3. The point of displacement though is that it cuts through complexity – the production of the micro-guide</w:t>
      </w:r>
      <w:r w:rsidR="006206CB">
        <w:rPr>
          <w:rFonts w:cs="Times New Roman"/>
          <w:lang w:val="en-GB"/>
        </w:rPr>
        <w:t xml:space="preserve"> seems to suggest that although there is evidence to suggest that micro-entities were part of the definitional phases of the development of the standard, this needed clarification. This is an act of displacement because although size was not supposed to be central signifier of a standard for non-public accountability, the production of a micro-guide shifts the focus back to size. The </w:t>
      </w:r>
      <w:r w:rsidR="003608F0">
        <w:rPr>
          <w:rFonts w:cs="Times New Roman"/>
          <w:lang w:val="en-GB"/>
        </w:rPr>
        <w:t xml:space="preserve">political point with respect to the micro-guide is that attempts to condense all entities into </w:t>
      </w:r>
      <w:r w:rsidR="003608F0" w:rsidRPr="00444BDE">
        <w:rPr>
          <w:rFonts w:cs="Times New Roman"/>
          <w:i/>
          <w:lang w:val="en-GB"/>
        </w:rPr>
        <w:t>IFRS for SMEs</w:t>
      </w:r>
      <w:r w:rsidR="003608F0">
        <w:rPr>
          <w:rFonts w:cs="Times New Roman"/>
          <w:lang w:val="en-GB"/>
        </w:rPr>
        <w:t xml:space="preserve"> failed </w:t>
      </w:r>
      <w:r w:rsidR="006206CB">
        <w:rPr>
          <w:rFonts w:cs="Times New Roman"/>
          <w:lang w:val="en-GB"/>
        </w:rPr>
        <w:t xml:space="preserve">and </w:t>
      </w:r>
      <w:r w:rsidR="003608F0">
        <w:rPr>
          <w:rFonts w:cs="Times New Roman"/>
          <w:lang w:val="en-GB"/>
        </w:rPr>
        <w:t>was over-determined</w:t>
      </w:r>
      <w:r w:rsidR="006206CB">
        <w:rPr>
          <w:rFonts w:cs="Times New Roman"/>
          <w:lang w:val="en-GB"/>
        </w:rPr>
        <w:t xml:space="preserve">. This </w:t>
      </w:r>
      <w:r w:rsidR="003608F0">
        <w:rPr>
          <w:rFonts w:cs="Times New Roman"/>
          <w:lang w:val="en-GB"/>
        </w:rPr>
        <w:t xml:space="preserve">resulted in displacement through the micro-guide. </w:t>
      </w:r>
      <w:r w:rsidR="003608F0" w:rsidRPr="00E176CF">
        <w:rPr>
          <w:rFonts w:cs="Times New Roman"/>
          <w:lang w:val="en-GB"/>
        </w:rPr>
        <w:t>Displacement obfuscate</w:t>
      </w:r>
      <w:r w:rsidR="003608F0">
        <w:rPr>
          <w:rFonts w:cs="Times New Roman"/>
          <w:lang w:val="en-GB"/>
        </w:rPr>
        <w:t>s</w:t>
      </w:r>
      <w:r w:rsidR="003608F0" w:rsidRPr="00E176CF">
        <w:rPr>
          <w:rFonts w:cs="Times New Roman"/>
          <w:lang w:val="en-GB"/>
        </w:rPr>
        <w:t xml:space="preserve"> the political by concealing the primary identity of the dissimilar</w:t>
      </w:r>
      <w:r w:rsidR="003608F0">
        <w:rPr>
          <w:rFonts w:cs="Times New Roman"/>
          <w:lang w:val="en-GB"/>
        </w:rPr>
        <w:t>, which in our context, relates to the problematisation evident in defining and titling the standard. We illustrate this through two points:</w:t>
      </w:r>
    </w:p>
    <w:p w14:paraId="65D99458" w14:textId="77777777" w:rsidR="00E87E44" w:rsidRDefault="00E87E44" w:rsidP="008456E4">
      <w:pPr>
        <w:jc w:val="both"/>
        <w:rPr>
          <w:rFonts w:cs="Times New Roman"/>
          <w:lang w:val="en-GB"/>
        </w:rPr>
      </w:pPr>
    </w:p>
    <w:p w14:paraId="7E3F0699" w14:textId="77777777" w:rsidR="003608F0" w:rsidRPr="00373231" w:rsidRDefault="003608F0" w:rsidP="008456E4">
      <w:pPr>
        <w:pStyle w:val="ListParagraph"/>
        <w:numPr>
          <w:ilvl w:val="0"/>
          <w:numId w:val="8"/>
        </w:numPr>
        <w:spacing w:after="120"/>
        <w:jc w:val="both"/>
        <w:rPr>
          <w:rFonts w:cs="Times New Roman"/>
          <w:lang w:val="en-GB"/>
        </w:rPr>
      </w:pPr>
      <w:r w:rsidRPr="00373231">
        <w:rPr>
          <w:rFonts w:cs="Times New Roman"/>
          <w:lang w:val="en-GB"/>
        </w:rPr>
        <w:t>Claim A: Non-Public Accountability</w:t>
      </w:r>
    </w:p>
    <w:p w14:paraId="52ED1B42" w14:textId="53A54C5E" w:rsidR="003608F0" w:rsidRDefault="003608F0" w:rsidP="008456E4">
      <w:pPr>
        <w:spacing w:after="120"/>
        <w:ind w:left="720"/>
        <w:jc w:val="both"/>
        <w:rPr>
          <w:rFonts w:cs="Times New Roman"/>
          <w:lang w:val="en-GB"/>
        </w:rPr>
      </w:pPr>
      <w:r>
        <w:rPr>
          <w:rFonts w:cs="Times New Roman"/>
          <w:lang w:val="en-GB"/>
        </w:rPr>
        <w:t xml:space="preserve">In the development of </w:t>
      </w:r>
      <w:r w:rsidRPr="00373231">
        <w:rPr>
          <w:rFonts w:cs="Times New Roman"/>
          <w:i/>
          <w:lang w:val="en-GB"/>
        </w:rPr>
        <w:t>IFRS for SMEs</w:t>
      </w:r>
      <w:r>
        <w:rPr>
          <w:rFonts w:cs="Times New Roman"/>
          <w:lang w:val="en-GB"/>
        </w:rPr>
        <w:t>, the definitional focus on ‘non-public accountability’ could apply to micro-entities. As Interviewee 11</w:t>
      </w:r>
      <w:r w:rsidR="00C87F19">
        <w:rPr>
          <w:rFonts w:cs="Times New Roman"/>
          <w:lang w:val="en-GB"/>
        </w:rPr>
        <w:t xml:space="preserve"> (staff member)</w:t>
      </w:r>
      <w:r>
        <w:rPr>
          <w:rFonts w:cs="Times New Roman"/>
          <w:lang w:val="en-GB"/>
        </w:rPr>
        <w:t xml:space="preserve"> argued</w:t>
      </w:r>
      <w:r w:rsidR="00EE504B">
        <w:rPr>
          <w:rFonts w:cs="Times New Roman"/>
          <w:lang w:val="en-GB"/>
        </w:rPr>
        <w:t>,</w:t>
      </w:r>
      <w:r>
        <w:rPr>
          <w:rFonts w:cs="Times New Roman"/>
          <w:lang w:val="en-GB"/>
        </w:rPr>
        <w:t xml:space="preserve"> </w:t>
      </w:r>
      <w:r w:rsidR="00C75A13">
        <w:rPr>
          <w:rFonts w:cs="Times New Roman"/>
          <w:lang w:val="en-GB"/>
        </w:rPr>
        <w:t>“</w:t>
      </w:r>
      <w:r>
        <w:rPr>
          <w:rFonts w:cs="Times New Roman"/>
          <w:lang w:val="en-GB"/>
        </w:rPr>
        <w:t>small companies have external users</w:t>
      </w:r>
      <w:r w:rsidR="00C75A13">
        <w:rPr>
          <w:rFonts w:cs="Times New Roman"/>
          <w:lang w:val="en-GB"/>
        </w:rPr>
        <w:t>”</w:t>
      </w:r>
      <w:r>
        <w:rPr>
          <w:rFonts w:cs="Times New Roman"/>
          <w:lang w:val="en-GB"/>
        </w:rPr>
        <w:t xml:space="preserve">. Equally, the status and applicability of the standard to micro-entities was considered by the IASB during debates. There were mixed views, illustrating the embedded politics of regulatory debates, but at no point were micros explicitly excluded. This was reinforced further by the removal of any reference to 50 employees, which would exclude micro- and small-entities. Thus, the production of the micro-guide displaces these inclusive, over-determined claims in the publication of the original standard. </w:t>
      </w:r>
    </w:p>
    <w:p w14:paraId="076F991B" w14:textId="77777777" w:rsidR="00255CD2" w:rsidRDefault="00255CD2" w:rsidP="008456E4">
      <w:pPr>
        <w:spacing w:after="120"/>
        <w:ind w:left="720"/>
        <w:jc w:val="both"/>
        <w:rPr>
          <w:rFonts w:cs="Times New Roman"/>
          <w:lang w:val="en-GB"/>
        </w:rPr>
      </w:pPr>
    </w:p>
    <w:p w14:paraId="6D3BA098" w14:textId="77777777" w:rsidR="003608F0" w:rsidRDefault="003608F0" w:rsidP="008456E4">
      <w:pPr>
        <w:pStyle w:val="ListParagraph"/>
        <w:numPr>
          <w:ilvl w:val="0"/>
          <w:numId w:val="8"/>
        </w:numPr>
        <w:spacing w:after="120"/>
        <w:jc w:val="both"/>
        <w:rPr>
          <w:rFonts w:cs="Times New Roman"/>
          <w:lang w:val="en-GB"/>
        </w:rPr>
      </w:pPr>
      <w:r w:rsidRPr="00661437">
        <w:rPr>
          <w:rFonts w:cs="Times New Roman"/>
          <w:lang w:val="en-GB"/>
        </w:rPr>
        <w:t xml:space="preserve">Claim B: The 95 per cent </w:t>
      </w:r>
    </w:p>
    <w:p w14:paraId="238CDD75" w14:textId="671CD766" w:rsidR="003608F0" w:rsidRPr="00661437" w:rsidRDefault="003608F0" w:rsidP="008456E4">
      <w:pPr>
        <w:spacing w:after="120"/>
        <w:ind w:left="720"/>
        <w:jc w:val="both"/>
        <w:rPr>
          <w:rFonts w:cs="Times New Roman"/>
          <w:lang w:val="en-GB"/>
        </w:rPr>
      </w:pPr>
      <w:r>
        <w:rPr>
          <w:rFonts w:cs="Times New Roman"/>
          <w:lang w:val="en-GB"/>
        </w:rPr>
        <w:t xml:space="preserve">The production of the micro-guide challenges the original claim that </w:t>
      </w:r>
      <w:r w:rsidRPr="00661437">
        <w:rPr>
          <w:rFonts w:cs="Times New Roman"/>
          <w:i/>
          <w:lang w:val="en-GB"/>
        </w:rPr>
        <w:t>IFRS for SMEs</w:t>
      </w:r>
      <w:r>
        <w:rPr>
          <w:rFonts w:cs="Times New Roman"/>
          <w:i/>
          <w:lang w:val="en-GB"/>
        </w:rPr>
        <w:t xml:space="preserve"> </w:t>
      </w:r>
      <w:r w:rsidRPr="00661437">
        <w:rPr>
          <w:rFonts w:cs="Times New Roman"/>
          <w:lang w:val="en-GB"/>
        </w:rPr>
        <w:t>would apply to 95 per cent of all entities</w:t>
      </w:r>
      <w:r>
        <w:rPr>
          <w:rFonts w:cs="Times New Roman"/>
          <w:lang w:val="en-GB"/>
        </w:rPr>
        <w:t xml:space="preserve">. We questioned whether the IASB had the </w:t>
      </w:r>
      <w:r>
        <w:rPr>
          <w:rFonts w:cs="Times New Roman"/>
          <w:lang w:val="en-GB"/>
        </w:rPr>
        <w:lastRenderedPageBreak/>
        <w:t xml:space="preserve">necessary knowledge of SMEs to justify the 95 per cent claim. Politically, the micro-guide obfuscates </w:t>
      </w:r>
      <w:r w:rsidRPr="00661437">
        <w:rPr>
          <w:rFonts w:cs="Times New Roman"/>
          <w:i/>
          <w:lang w:val="en-GB"/>
        </w:rPr>
        <w:t>IFRS for SMEs</w:t>
      </w:r>
      <w:r>
        <w:rPr>
          <w:rFonts w:cs="Times New Roman"/>
          <w:i/>
          <w:lang w:val="en-GB"/>
        </w:rPr>
        <w:t xml:space="preserve"> </w:t>
      </w:r>
      <w:r>
        <w:rPr>
          <w:rFonts w:cs="Times New Roman"/>
          <w:lang w:val="en-GB"/>
        </w:rPr>
        <w:t xml:space="preserve">and operates to unpack the condensation that resulted in the original standard. The micro-guide, as an attempt to cover over contingencies, is itself partial and fails to account for other criticisms, including for example, the complexity and suitability of IFRS for these entities. For </w:t>
      </w:r>
      <w:r w:rsidR="00D91A79">
        <w:rPr>
          <w:rFonts w:cs="Times New Roman"/>
          <w:lang w:val="en-GB"/>
        </w:rPr>
        <w:t xml:space="preserve">Laclau and Mouffe </w:t>
      </w:r>
      <w:r>
        <w:rPr>
          <w:rFonts w:cs="Times New Roman"/>
          <w:lang w:val="en-GB"/>
        </w:rPr>
        <w:t>(2001), the displacement of the micro-guide is also displacement.</w:t>
      </w:r>
      <w:r>
        <w:rPr>
          <w:rFonts w:cs="Times New Roman"/>
          <w:i/>
          <w:lang w:val="en-GB"/>
        </w:rPr>
        <w:t xml:space="preserve"> </w:t>
      </w:r>
    </w:p>
    <w:p w14:paraId="6E189D41" w14:textId="77777777" w:rsidR="003608F0" w:rsidRPr="00E176CF" w:rsidRDefault="003608F0" w:rsidP="008456E4">
      <w:pPr>
        <w:pStyle w:val="CommentText"/>
        <w:spacing w:after="120"/>
        <w:ind w:left="720" w:right="720"/>
        <w:jc w:val="both"/>
        <w:rPr>
          <w:rFonts w:cs="Times New Roman"/>
          <w:sz w:val="20"/>
          <w:szCs w:val="20"/>
          <w:lang w:val="en-GB"/>
        </w:rPr>
      </w:pPr>
    </w:p>
    <w:p w14:paraId="4155B8F4" w14:textId="49DE781F" w:rsidR="003608F0" w:rsidRDefault="00A51FA1" w:rsidP="008456E4">
      <w:pPr>
        <w:spacing w:after="120"/>
        <w:jc w:val="both"/>
        <w:rPr>
          <w:rFonts w:cs="Times New Roman"/>
          <w:lang w:val="en-GB"/>
        </w:rPr>
      </w:pPr>
      <w:r w:rsidRPr="00854F2E">
        <w:rPr>
          <w:rFonts w:cs="Times New Roman"/>
          <w:lang w:val="en-GB"/>
        </w:rPr>
        <w:t>We posed three questions to help us study the politics of the IASB’s standard-setting process:</w:t>
      </w:r>
      <w:r w:rsidRPr="00E274A1">
        <w:rPr>
          <w:rFonts w:cs="Times New Roman"/>
          <w:lang w:val="en-GB"/>
        </w:rPr>
        <w:t xml:space="preserve"> </w:t>
      </w:r>
      <w:r>
        <w:rPr>
          <w:rFonts w:cs="Times New Roman"/>
          <w:lang w:val="en-GB"/>
        </w:rPr>
        <w:t>h</w:t>
      </w:r>
      <w:r w:rsidRPr="00854F2E">
        <w:rPr>
          <w:rFonts w:cs="Times New Roman"/>
          <w:lang w:val="en-GB"/>
        </w:rPr>
        <w:t xml:space="preserve">ow did the IASB define </w:t>
      </w:r>
      <w:r>
        <w:rPr>
          <w:rFonts w:cs="Times New Roman"/>
          <w:lang w:val="en-GB"/>
        </w:rPr>
        <w:t xml:space="preserve">the term </w:t>
      </w:r>
      <w:r w:rsidR="00C75A13">
        <w:rPr>
          <w:rFonts w:cs="Times New Roman"/>
          <w:lang w:val="en-GB"/>
        </w:rPr>
        <w:t>“</w:t>
      </w:r>
      <w:r>
        <w:rPr>
          <w:rFonts w:cs="Times New Roman"/>
          <w:lang w:val="en-GB"/>
        </w:rPr>
        <w:t>SMEs</w:t>
      </w:r>
      <w:r w:rsidR="00C75A13">
        <w:rPr>
          <w:rFonts w:cs="Times New Roman"/>
          <w:lang w:val="en-GB"/>
        </w:rPr>
        <w:t>”</w:t>
      </w:r>
      <w:r>
        <w:rPr>
          <w:rFonts w:cs="Times New Roman"/>
          <w:lang w:val="en-GB"/>
        </w:rPr>
        <w:t>; h</w:t>
      </w:r>
      <w:r w:rsidRPr="00854F2E">
        <w:rPr>
          <w:rFonts w:cs="Times New Roman"/>
          <w:lang w:val="en-GB"/>
        </w:rPr>
        <w:t>ow d</w:t>
      </w:r>
      <w:r>
        <w:rPr>
          <w:rFonts w:cs="Times New Roman"/>
          <w:lang w:val="en-GB"/>
        </w:rPr>
        <w:t>id the IASB title the standard; and w</w:t>
      </w:r>
      <w:r w:rsidRPr="00854F2E">
        <w:rPr>
          <w:rFonts w:cs="Times New Roman"/>
          <w:lang w:val="en-GB"/>
        </w:rPr>
        <w:t xml:space="preserve">hy did the IASB develop and issue the micro-guide? </w:t>
      </w:r>
      <w:r>
        <w:rPr>
          <w:rFonts w:cs="Times New Roman"/>
          <w:lang w:val="en-GB"/>
        </w:rPr>
        <w:t>O</w:t>
      </w:r>
      <w:r w:rsidR="003608F0">
        <w:rPr>
          <w:rFonts w:cs="Times New Roman"/>
          <w:lang w:val="en-GB"/>
        </w:rPr>
        <w:t>ur discussion</w:t>
      </w:r>
      <w:r>
        <w:rPr>
          <w:rFonts w:cs="Times New Roman"/>
          <w:lang w:val="en-GB"/>
        </w:rPr>
        <w:t xml:space="preserve"> of the empirical evidence</w:t>
      </w:r>
      <w:r w:rsidR="003608F0">
        <w:rPr>
          <w:rFonts w:cs="Times New Roman"/>
          <w:lang w:val="en-GB"/>
        </w:rPr>
        <w:t xml:space="preserve"> illustrates two acts of condensation (through the non-public accountability definition and </w:t>
      </w:r>
      <w:r w:rsidR="008C25B2">
        <w:rPr>
          <w:rFonts w:cs="Times New Roman"/>
          <w:lang w:val="en-GB"/>
        </w:rPr>
        <w:t xml:space="preserve">the </w:t>
      </w:r>
      <w:r w:rsidR="003608F0">
        <w:rPr>
          <w:rFonts w:cs="Times New Roman"/>
          <w:lang w:val="en-GB"/>
        </w:rPr>
        <w:t xml:space="preserve">titling </w:t>
      </w:r>
      <w:r w:rsidR="008C25B2">
        <w:rPr>
          <w:rFonts w:cs="Times New Roman"/>
          <w:lang w:val="en-GB"/>
        </w:rPr>
        <w:t xml:space="preserve">of </w:t>
      </w:r>
      <w:r w:rsidR="003608F0">
        <w:rPr>
          <w:rFonts w:cs="Times New Roman"/>
          <w:lang w:val="en-GB"/>
        </w:rPr>
        <w:t xml:space="preserve">the standard) and the subsequent act of displacement through publishing the micro-guide. Both condensation and displacement disrupt the </w:t>
      </w:r>
      <w:r w:rsidR="003608F0" w:rsidRPr="00E176CF">
        <w:rPr>
          <w:rFonts w:cs="Times New Roman"/>
          <w:lang w:val="en-GB"/>
        </w:rPr>
        <w:t>nodal point</w:t>
      </w:r>
      <w:r w:rsidR="003608F0">
        <w:rPr>
          <w:rFonts w:cs="Times New Roman"/>
          <w:lang w:val="en-GB"/>
        </w:rPr>
        <w:t>s</w:t>
      </w:r>
      <w:r w:rsidR="003608F0" w:rsidRPr="00E176CF">
        <w:rPr>
          <w:rFonts w:cs="Times New Roman"/>
          <w:lang w:val="en-GB"/>
        </w:rPr>
        <w:t xml:space="preserve"> </w:t>
      </w:r>
      <w:r w:rsidR="003608F0">
        <w:rPr>
          <w:rFonts w:cs="Times New Roman"/>
          <w:lang w:val="en-GB"/>
        </w:rPr>
        <w:t xml:space="preserve">within </w:t>
      </w:r>
      <w:r w:rsidR="003608F0" w:rsidRPr="00E176CF">
        <w:rPr>
          <w:rFonts w:cs="Times New Roman"/>
          <w:i/>
          <w:lang w:val="en-GB"/>
        </w:rPr>
        <w:t>IFRS for SMEs</w:t>
      </w:r>
      <w:r w:rsidR="003608F0" w:rsidRPr="00E176CF">
        <w:rPr>
          <w:rFonts w:cs="Times New Roman"/>
          <w:lang w:val="en-GB"/>
        </w:rPr>
        <w:t xml:space="preserve">, rendering it difficult to identify meaning and purpose. </w:t>
      </w:r>
      <w:r w:rsidR="00DA6B31">
        <w:rPr>
          <w:rFonts w:cs="Times New Roman"/>
          <w:lang w:val="en-GB"/>
        </w:rPr>
        <w:t xml:space="preserve">Through Laclau and Mouffe’s (2001) concepts of condensation and displacement we have opened </w:t>
      </w:r>
      <w:r w:rsidR="008C25B2">
        <w:rPr>
          <w:rFonts w:cs="Times New Roman"/>
          <w:lang w:val="en-GB"/>
        </w:rPr>
        <w:t xml:space="preserve">up </w:t>
      </w:r>
      <w:r w:rsidR="00DA6B31">
        <w:rPr>
          <w:rFonts w:cs="Times New Roman"/>
          <w:lang w:val="en-GB"/>
        </w:rPr>
        <w:t xml:space="preserve">the </w:t>
      </w:r>
      <w:r w:rsidR="009D5212">
        <w:rPr>
          <w:rFonts w:cs="Times New Roman"/>
          <w:lang w:val="en-GB"/>
        </w:rPr>
        <w:t>“</w:t>
      </w:r>
      <w:r w:rsidR="00DA6B31">
        <w:rPr>
          <w:rFonts w:cs="Times New Roman"/>
          <w:lang w:val="en-GB"/>
        </w:rPr>
        <w:t>black box</w:t>
      </w:r>
      <w:r w:rsidR="009D5212">
        <w:rPr>
          <w:rFonts w:cs="Times New Roman"/>
          <w:lang w:val="en-GB"/>
        </w:rPr>
        <w:t>”</w:t>
      </w:r>
      <w:r w:rsidR="00DA6B31">
        <w:rPr>
          <w:rFonts w:cs="Times New Roman"/>
          <w:lang w:val="en-GB"/>
        </w:rPr>
        <w:t xml:space="preserve"> of standard setting and </w:t>
      </w:r>
      <w:r w:rsidR="008C25B2">
        <w:rPr>
          <w:rFonts w:cs="Times New Roman"/>
          <w:lang w:val="en-GB"/>
        </w:rPr>
        <w:t>investigated</w:t>
      </w:r>
      <w:r w:rsidR="00DA6B31">
        <w:rPr>
          <w:rFonts w:cs="Times New Roman"/>
          <w:lang w:val="en-GB"/>
        </w:rPr>
        <w:t xml:space="preserve"> </w:t>
      </w:r>
      <w:r w:rsidR="008C25B2">
        <w:rPr>
          <w:rFonts w:cs="Times New Roman"/>
          <w:lang w:val="en-GB"/>
        </w:rPr>
        <w:t>how</w:t>
      </w:r>
      <w:r w:rsidR="00DA6B31">
        <w:rPr>
          <w:rFonts w:cs="Times New Roman"/>
          <w:lang w:val="en-GB"/>
        </w:rPr>
        <w:t xml:space="preserve"> politics manifests</w:t>
      </w:r>
      <w:r w:rsidR="008C25B2">
        <w:rPr>
          <w:rFonts w:cs="Times New Roman"/>
          <w:lang w:val="en-GB"/>
        </w:rPr>
        <w:t xml:space="preserve"> itself in this process</w:t>
      </w:r>
      <w:r w:rsidR="00DA6B31">
        <w:rPr>
          <w:rFonts w:cs="Times New Roman"/>
          <w:lang w:val="en-GB"/>
        </w:rPr>
        <w:t xml:space="preserve">. </w:t>
      </w:r>
      <w:r w:rsidR="00E2195F">
        <w:rPr>
          <w:rFonts w:cs="Times New Roman"/>
          <w:lang w:val="en-GB"/>
        </w:rPr>
        <w:t>Examining these movements demonstrates the embedded nature of politics in standard setting and lifts the v</w:t>
      </w:r>
      <w:r w:rsidR="008C25B2">
        <w:rPr>
          <w:rFonts w:cs="Times New Roman"/>
          <w:lang w:val="en-GB"/>
        </w:rPr>
        <w:t>e</w:t>
      </w:r>
      <w:r w:rsidR="00E2195F">
        <w:rPr>
          <w:rFonts w:cs="Times New Roman"/>
          <w:lang w:val="en-GB"/>
        </w:rPr>
        <w:t xml:space="preserve">il of technocracy surrounding the IASB. </w:t>
      </w:r>
      <w:r w:rsidR="003608F0">
        <w:rPr>
          <w:rFonts w:cs="Times New Roman"/>
          <w:lang w:val="en-GB"/>
        </w:rPr>
        <w:t>We now reflect</w:t>
      </w:r>
      <w:r w:rsidR="00E2195F">
        <w:rPr>
          <w:rFonts w:cs="Times New Roman"/>
          <w:lang w:val="en-GB"/>
        </w:rPr>
        <w:t xml:space="preserve"> </w:t>
      </w:r>
      <w:r w:rsidR="003608F0">
        <w:rPr>
          <w:rFonts w:cs="Times New Roman"/>
          <w:lang w:val="en-GB"/>
        </w:rPr>
        <w:t>on the implications of embedded politics of standard setting.</w:t>
      </w:r>
    </w:p>
    <w:p w14:paraId="644B6682" w14:textId="77777777" w:rsidR="0083002F" w:rsidRPr="002A3390" w:rsidRDefault="0083002F" w:rsidP="008456E4">
      <w:pPr>
        <w:spacing w:after="120"/>
        <w:jc w:val="both"/>
        <w:rPr>
          <w:rFonts w:cs="Times New Roman"/>
          <w:lang w:val="en-GB"/>
        </w:rPr>
      </w:pPr>
    </w:p>
    <w:p w14:paraId="30082DF1" w14:textId="34338783" w:rsidR="003608F0" w:rsidRPr="00E176CF" w:rsidRDefault="0029574A" w:rsidP="008456E4">
      <w:pPr>
        <w:pStyle w:val="Heading1"/>
        <w:spacing w:before="0" w:after="120"/>
        <w:rPr>
          <w:rFonts w:asciiTheme="minorHAnsi" w:hAnsiTheme="minorHAnsi"/>
          <w:lang w:val="en-GB"/>
        </w:rPr>
      </w:pPr>
      <w:r>
        <w:rPr>
          <w:rFonts w:asciiTheme="minorHAnsi" w:hAnsiTheme="minorHAnsi"/>
          <w:lang w:val="en-GB"/>
        </w:rPr>
        <w:t>6</w:t>
      </w:r>
      <w:r w:rsidR="008F58A7">
        <w:rPr>
          <w:rFonts w:asciiTheme="minorHAnsi" w:hAnsiTheme="minorHAnsi"/>
          <w:lang w:val="en-GB"/>
        </w:rPr>
        <w:t xml:space="preserve">. </w:t>
      </w:r>
      <w:r w:rsidR="003608F0">
        <w:rPr>
          <w:rFonts w:asciiTheme="minorHAnsi" w:hAnsiTheme="minorHAnsi"/>
          <w:lang w:val="en-GB"/>
        </w:rPr>
        <w:t>Concluding Comments</w:t>
      </w:r>
      <w:r w:rsidR="00DA6B31">
        <w:rPr>
          <w:rFonts w:asciiTheme="minorHAnsi" w:hAnsiTheme="minorHAnsi"/>
          <w:lang w:val="en-GB"/>
        </w:rPr>
        <w:t xml:space="preserve"> and Contributions </w:t>
      </w:r>
    </w:p>
    <w:p w14:paraId="496D6BD0" w14:textId="3BA874E6" w:rsidR="00870701" w:rsidRDefault="00870701" w:rsidP="008456E4">
      <w:pPr>
        <w:pStyle w:val="CommentText"/>
        <w:jc w:val="both"/>
      </w:pPr>
    </w:p>
    <w:p w14:paraId="48997611" w14:textId="1B3573E2" w:rsidR="0083002F" w:rsidRPr="006206CB" w:rsidRDefault="00C0071A" w:rsidP="00783AE3">
      <w:pPr>
        <w:pStyle w:val="CommentText"/>
        <w:jc w:val="both"/>
        <w:rPr>
          <w:rFonts w:cs="Times New Roman"/>
          <w:lang w:val="en-GB"/>
        </w:rPr>
      </w:pPr>
      <w:r>
        <w:t>P</w:t>
      </w:r>
      <w:r w:rsidR="0083002F">
        <w:t xml:space="preserve">revious research has </w:t>
      </w:r>
      <w:r w:rsidR="008F08A9">
        <w:t xml:space="preserve">examined </w:t>
      </w:r>
      <w:r w:rsidR="0083002F">
        <w:t>the politics of standard setting (</w:t>
      </w:r>
      <w:r w:rsidR="0083002F">
        <w:rPr>
          <w:rFonts w:cs="Times New Roman"/>
          <w:lang w:val="en-GB"/>
        </w:rPr>
        <w:t xml:space="preserve">Solomons, 1983; Walker </w:t>
      </w:r>
      <w:r w:rsidR="00830C37">
        <w:rPr>
          <w:rFonts w:cs="Times New Roman"/>
          <w:lang w:val="en-GB"/>
        </w:rPr>
        <w:t>and</w:t>
      </w:r>
      <w:r w:rsidR="0083002F">
        <w:rPr>
          <w:rFonts w:cs="Times New Roman"/>
          <w:lang w:val="en-GB"/>
        </w:rPr>
        <w:t xml:space="preserve"> Robinson, 1993; 1994; </w:t>
      </w:r>
      <w:r w:rsidR="009E0395">
        <w:rPr>
          <w:rFonts w:cs="Times New Roman"/>
          <w:lang w:val="en-GB"/>
        </w:rPr>
        <w:t xml:space="preserve">Botzem, 2012; </w:t>
      </w:r>
      <w:r w:rsidR="0083002F">
        <w:rPr>
          <w:rFonts w:cs="Times New Roman"/>
          <w:lang w:val="en-GB"/>
        </w:rPr>
        <w:t xml:space="preserve">Crawford </w:t>
      </w:r>
      <w:r w:rsidR="0083002F" w:rsidRPr="00C75A13">
        <w:rPr>
          <w:rFonts w:cs="Times New Roman"/>
          <w:i/>
          <w:lang w:val="en-GB"/>
        </w:rPr>
        <w:t>et al.,</w:t>
      </w:r>
      <w:r w:rsidR="0083002F">
        <w:rPr>
          <w:rFonts w:cs="Times New Roman"/>
          <w:lang w:val="en-GB"/>
        </w:rPr>
        <w:t xml:space="preserve"> 2014; Ram </w:t>
      </w:r>
      <w:r w:rsidR="00830C37">
        <w:rPr>
          <w:rFonts w:cs="Times New Roman"/>
          <w:lang w:val="en-GB"/>
        </w:rPr>
        <w:t>and</w:t>
      </w:r>
      <w:r w:rsidR="0083002F">
        <w:rPr>
          <w:rFonts w:cs="Times New Roman"/>
          <w:lang w:val="en-GB"/>
        </w:rPr>
        <w:t xml:space="preserve"> Newberry, 2017). In particular, Ram </w:t>
      </w:r>
      <w:r w:rsidR="00830C37">
        <w:rPr>
          <w:rFonts w:cs="Times New Roman"/>
          <w:lang w:val="en-GB"/>
        </w:rPr>
        <w:t>and</w:t>
      </w:r>
      <w:r w:rsidR="0083002F">
        <w:rPr>
          <w:rFonts w:cs="Times New Roman"/>
          <w:lang w:val="en-GB"/>
        </w:rPr>
        <w:t xml:space="preserve"> Newberry (2017) explore the politics of agenda setting and agenda entrance, opening up</w:t>
      </w:r>
      <w:r w:rsidR="006206CB">
        <w:rPr>
          <w:rFonts w:cs="Times New Roman"/>
          <w:lang w:val="en-GB"/>
        </w:rPr>
        <w:t xml:space="preserve"> an opportunity to focus on core decision moments within the development of </w:t>
      </w:r>
      <w:r w:rsidR="0083002F" w:rsidRPr="00CB0B22">
        <w:rPr>
          <w:rFonts w:cs="Times New Roman"/>
          <w:i/>
          <w:lang w:val="en-GB"/>
        </w:rPr>
        <w:t>IFRS for SMEs</w:t>
      </w:r>
      <w:r w:rsidR="0083002F">
        <w:rPr>
          <w:rFonts w:cs="Times New Roman"/>
          <w:lang w:val="en-GB"/>
        </w:rPr>
        <w:t xml:space="preserve">. We add to the </w:t>
      </w:r>
      <w:r>
        <w:rPr>
          <w:rFonts w:cs="Times New Roman"/>
          <w:lang w:val="en-GB"/>
        </w:rPr>
        <w:t xml:space="preserve">literature relating to the </w:t>
      </w:r>
      <w:r w:rsidR="0083002F">
        <w:rPr>
          <w:rFonts w:cs="Times New Roman"/>
          <w:lang w:val="en-GB"/>
        </w:rPr>
        <w:t>politics of stan</w:t>
      </w:r>
      <w:r w:rsidR="006206CB">
        <w:rPr>
          <w:rFonts w:cs="Times New Roman"/>
          <w:lang w:val="en-GB"/>
        </w:rPr>
        <w:t>d</w:t>
      </w:r>
      <w:r w:rsidR="0083002F">
        <w:rPr>
          <w:rFonts w:cs="Times New Roman"/>
          <w:lang w:val="en-GB"/>
        </w:rPr>
        <w:t xml:space="preserve">ard setting by exploring the debates between the experts on the </w:t>
      </w:r>
      <w:r w:rsidR="006206CB">
        <w:rPr>
          <w:rFonts w:cs="Times New Roman"/>
          <w:lang w:val="en-GB"/>
        </w:rPr>
        <w:t xml:space="preserve">IASB, IASB staff involved in </w:t>
      </w:r>
      <w:r>
        <w:rPr>
          <w:rFonts w:cs="Times New Roman"/>
          <w:lang w:val="en-GB"/>
        </w:rPr>
        <w:t xml:space="preserve">the </w:t>
      </w:r>
      <w:r w:rsidR="006206CB">
        <w:rPr>
          <w:rFonts w:cs="Times New Roman"/>
          <w:lang w:val="en-GB"/>
        </w:rPr>
        <w:t>development</w:t>
      </w:r>
      <w:r>
        <w:rPr>
          <w:rFonts w:cs="Times New Roman"/>
          <w:lang w:val="en-GB"/>
        </w:rPr>
        <w:t xml:space="preserve"> of the standard</w:t>
      </w:r>
      <w:r w:rsidR="008F08A9">
        <w:rPr>
          <w:rFonts w:cs="Times New Roman"/>
          <w:lang w:val="en-GB"/>
        </w:rPr>
        <w:t>,</w:t>
      </w:r>
      <w:r w:rsidR="006206CB">
        <w:rPr>
          <w:rFonts w:cs="Times New Roman"/>
          <w:lang w:val="en-GB"/>
        </w:rPr>
        <w:t xml:space="preserve"> and </w:t>
      </w:r>
      <w:r w:rsidR="00EB1337">
        <w:rPr>
          <w:rFonts w:cs="Times New Roman"/>
          <w:lang w:val="en-GB"/>
        </w:rPr>
        <w:t>external commentators</w:t>
      </w:r>
      <w:r w:rsidR="006206CB">
        <w:rPr>
          <w:rFonts w:cs="Times New Roman"/>
          <w:lang w:val="en-GB"/>
        </w:rPr>
        <w:t xml:space="preserve">. </w:t>
      </w:r>
      <w:r w:rsidR="00CE2128">
        <w:t xml:space="preserve">Our exploration of the </w:t>
      </w:r>
      <w:r w:rsidR="00EE504B">
        <w:t>intricacies</w:t>
      </w:r>
      <w:r w:rsidR="00CE2128">
        <w:t xml:space="preserve"> of politics in standard setting demonstrates that politics is grounded even in activities perceived to be mundane and technical. </w:t>
      </w:r>
      <w:r w:rsidR="006206CB">
        <w:rPr>
          <w:rFonts w:cs="Times New Roman"/>
          <w:lang w:val="en-GB"/>
        </w:rPr>
        <w:t xml:space="preserve">We illustrate the politics of expertise through </w:t>
      </w:r>
      <w:r w:rsidR="00227B3D">
        <w:rPr>
          <w:rFonts w:cs="Times New Roman"/>
          <w:lang w:val="en-GB"/>
        </w:rPr>
        <w:t xml:space="preserve">the notion of </w:t>
      </w:r>
      <w:r w:rsidR="006206CB">
        <w:rPr>
          <w:rFonts w:cs="Times New Roman"/>
          <w:lang w:val="en-GB"/>
        </w:rPr>
        <w:t>condensation</w:t>
      </w:r>
      <w:r w:rsidR="00227B3D">
        <w:rPr>
          <w:rFonts w:cs="Times New Roman"/>
          <w:lang w:val="en-GB"/>
        </w:rPr>
        <w:t xml:space="preserve"> (Laclau and Mouffe, 2001)</w:t>
      </w:r>
      <w:r w:rsidR="0083002F">
        <w:rPr>
          <w:rFonts w:cs="Times New Roman"/>
          <w:lang w:val="en-GB"/>
        </w:rPr>
        <w:t xml:space="preserve">. </w:t>
      </w:r>
      <w:r w:rsidR="00227B3D">
        <w:rPr>
          <w:rFonts w:cs="Times New Roman"/>
          <w:lang w:val="en-GB"/>
        </w:rPr>
        <w:t>Given</w:t>
      </w:r>
      <w:r w:rsidR="006206CB">
        <w:rPr>
          <w:rFonts w:cs="Times New Roman"/>
          <w:lang w:val="en-GB"/>
        </w:rPr>
        <w:t xml:space="preserve"> Botzem’s (2012) </w:t>
      </w:r>
      <w:r w:rsidR="0083002F">
        <w:rPr>
          <w:rFonts w:cs="Times New Roman"/>
          <w:lang w:val="en-GB"/>
        </w:rPr>
        <w:t xml:space="preserve">explicit recognition of </w:t>
      </w:r>
      <w:r w:rsidR="006206CB">
        <w:rPr>
          <w:rFonts w:cs="Times New Roman"/>
          <w:lang w:val="en-GB"/>
        </w:rPr>
        <w:t xml:space="preserve">the politics of </w:t>
      </w:r>
      <w:r w:rsidR="0083002F">
        <w:rPr>
          <w:rFonts w:cs="Times New Roman"/>
          <w:lang w:val="en-GB"/>
        </w:rPr>
        <w:t xml:space="preserve">technocracy, </w:t>
      </w:r>
      <w:r w:rsidR="006206CB">
        <w:rPr>
          <w:rFonts w:cs="Times New Roman"/>
          <w:lang w:val="en-GB"/>
        </w:rPr>
        <w:t xml:space="preserve">this provides opportunities to study the politics of expertise within a context of </w:t>
      </w:r>
      <w:r w:rsidR="00227B3D">
        <w:rPr>
          <w:rFonts w:cs="Times New Roman"/>
          <w:lang w:val="en-GB"/>
        </w:rPr>
        <w:t xml:space="preserve">claimed </w:t>
      </w:r>
      <w:r w:rsidR="006206CB">
        <w:rPr>
          <w:rFonts w:cs="Times New Roman"/>
          <w:lang w:val="en-GB"/>
        </w:rPr>
        <w:t>technocratic neutrality.</w:t>
      </w:r>
      <w:r w:rsidR="0083002F">
        <w:rPr>
          <w:rFonts w:cs="Times New Roman"/>
          <w:lang w:val="en-GB"/>
        </w:rPr>
        <w:t xml:space="preserve"> </w:t>
      </w:r>
      <w:r w:rsidR="008F08A9">
        <w:rPr>
          <w:rFonts w:cs="Times New Roman"/>
          <w:lang w:val="en-GB"/>
        </w:rPr>
        <w:t xml:space="preserve">We advance the work of Camfferman and Zeff (2015) and Ram and Newberry (2017) </w:t>
      </w:r>
      <w:r w:rsidR="008F08A9">
        <w:rPr>
          <w:rFonts w:cs="Times New Roman"/>
          <w:lang w:val="en-AU"/>
        </w:rPr>
        <w:t xml:space="preserve">by </w:t>
      </w:r>
      <w:r w:rsidR="008F08A9">
        <w:rPr>
          <w:rFonts w:cs="Times New Roman"/>
          <w:lang w:val="en-GB"/>
        </w:rPr>
        <w:t xml:space="preserve">studying the politics of expertise in core decision moments in the development of </w:t>
      </w:r>
      <w:r w:rsidR="00EB1337">
        <w:rPr>
          <w:rFonts w:cs="Times New Roman"/>
          <w:i/>
          <w:lang w:val="en-GB"/>
        </w:rPr>
        <w:t>IFRS for SMEs</w:t>
      </w:r>
      <w:r w:rsidR="008F08A9">
        <w:rPr>
          <w:rFonts w:cs="Times New Roman"/>
          <w:lang w:val="en-GB"/>
        </w:rPr>
        <w:t xml:space="preserve">. </w:t>
      </w:r>
      <w:r w:rsidR="00227B3D">
        <w:rPr>
          <w:rFonts w:cs="Times New Roman"/>
          <w:lang w:val="en-GB"/>
        </w:rPr>
        <w:t>Our contribution exposes</w:t>
      </w:r>
      <w:r w:rsidR="006206CB">
        <w:rPr>
          <w:rFonts w:cs="Times New Roman"/>
          <w:lang w:val="en-GB"/>
        </w:rPr>
        <w:t xml:space="preserve"> </w:t>
      </w:r>
      <w:r w:rsidR="0083002F">
        <w:rPr>
          <w:rFonts w:cs="Times New Roman"/>
          <w:lang w:val="en-GB"/>
        </w:rPr>
        <w:t>how tensions and issues materiali</w:t>
      </w:r>
      <w:r w:rsidR="00EB1337">
        <w:rPr>
          <w:rFonts w:cs="Times New Roman"/>
          <w:lang w:val="en-GB"/>
        </w:rPr>
        <w:t>s</w:t>
      </w:r>
      <w:r w:rsidR="0083002F">
        <w:rPr>
          <w:rFonts w:cs="Times New Roman"/>
          <w:lang w:val="en-GB"/>
        </w:rPr>
        <w:t xml:space="preserve">ed in and around </w:t>
      </w:r>
      <w:r w:rsidR="006206CB">
        <w:rPr>
          <w:rFonts w:cs="Times New Roman"/>
          <w:lang w:val="en-GB"/>
        </w:rPr>
        <w:t xml:space="preserve">core decision </w:t>
      </w:r>
      <w:r w:rsidR="0083002F">
        <w:rPr>
          <w:rFonts w:cs="Times New Roman"/>
          <w:lang w:val="en-GB"/>
        </w:rPr>
        <w:t>moments of condensation and displacement</w:t>
      </w:r>
      <w:r w:rsidR="00EB1337">
        <w:rPr>
          <w:rFonts w:cs="Times New Roman"/>
          <w:lang w:val="en-GB"/>
        </w:rPr>
        <w:t>:</w:t>
      </w:r>
      <w:r w:rsidR="0083002F">
        <w:rPr>
          <w:rFonts w:cs="Times New Roman"/>
          <w:lang w:val="en-GB"/>
        </w:rPr>
        <w:t xml:space="preserve"> defini</w:t>
      </w:r>
      <w:r w:rsidR="006206CB">
        <w:rPr>
          <w:rFonts w:cs="Times New Roman"/>
          <w:lang w:val="en-GB"/>
        </w:rPr>
        <w:t>ng the scope of the standard</w:t>
      </w:r>
      <w:r w:rsidR="00783AE3">
        <w:rPr>
          <w:rFonts w:cs="Times New Roman"/>
          <w:lang w:val="en-GB"/>
        </w:rPr>
        <w:t>, naming the standard</w:t>
      </w:r>
      <w:r w:rsidR="00EB1337">
        <w:rPr>
          <w:rFonts w:cs="Times New Roman"/>
          <w:lang w:val="en-GB"/>
        </w:rPr>
        <w:t>,</w:t>
      </w:r>
      <w:r w:rsidR="00783AE3">
        <w:rPr>
          <w:rFonts w:cs="Times New Roman"/>
          <w:lang w:val="en-GB"/>
        </w:rPr>
        <w:t xml:space="preserve"> and </w:t>
      </w:r>
      <w:r w:rsidR="00227B3D">
        <w:rPr>
          <w:rFonts w:cs="Times New Roman"/>
          <w:lang w:val="en-GB"/>
        </w:rPr>
        <w:t xml:space="preserve">developing </w:t>
      </w:r>
      <w:r w:rsidR="00783AE3">
        <w:rPr>
          <w:rFonts w:cs="Times New Roman"/>
          <w:lang w:val="en-GB"/>
        </w:rPr>
        <w:t xml:space="preserve">the micro-guide. </w:t>
      </w:r>
      <w:r w:rsidR="00227B3D">
        <w:rPr>
          <w:rFonts w:cs="Times New Roman"/>
          <w:lang w:val="en-GB"/>
        </w:rPr>
        <w:t>Our examination, which is conducted</w:t>
      </w:r>
      <w:r w:rsidR="006206CB">
        <w:rPr>
          <w:rFonts w:cs="Times New Roman"/>
          <w:lang w:val="en-GB"/>
        </w:rPr>
        <w:t xml:space="preserve"> through the lens of </w:t>
      </w:r>
      <w:r w:rsidR="00783AE3" w:rsidRPr="00783AE3">
        <w:rPr>
          <w:rFonts w:cs="Times New Roman"/>
          <w:lang w:val="en-GB"/>
        </w:rPr>
        <w:t xml:space="preserve">technocratic </w:t>
      </w:r>
      <w:r w:rsidR="006206CB">
        <w:rPr>
          <w:rFonts w:cs="Times New Roman"/>
          <w:lang w:val="en-GB"/>
        </w:rPr>
        <w:t>governance</w:t>
      </w:r>
      <w:r w:rsidR="00783AE3" w:rsidRPr="00783AE3">
        <w:rPr>
          <w:rFonts w:cs="Times New Roman"/>
          <w:lang w:val="en-GB"/>
        </w:rPr>
        <w:t xml:space="preserve">, </w:t>
      </w:r>
      <w:r w:rsidR="008F08A9">
        <w:rPr>
          <w:rFonts w:cs="Times New Roman"/>
          <w:lang w:val="en-GB"/>
        </w:rPr>
        <w:t>demonstrates how</w:t>
      </w:r>
      <w:r w:rsidR="00783AE3" w:rsidRPr="00783AE3">
        <w:rPr>
          <w:rFonts w:cs="Times New Roman"/>
          <w:lang w:val="en-GB"/>
        </w:rPr>
        <w:t xml:space="preserve"> moments and debates pull </w:t>
      </w:r>
      <w:r w:rsidR="006206CB">
        <w:rPr>
          <w:rFonts w:cs="Times New Roman"/>
          <w:lang w:val="en-GB"/>
        </w:rPr>
        <w:t xml:space="preserve">competing </w:t>
      </w:r>
      <w:r w:rsidR="00783AE3" w:rsidRPr="00783AE3">
        <w:rPr>
          <w:rFonts w:cs="Times New Roman"/>
          <w:lang w:val="en-GB"/>
        </w:rPr>
        <w:t>interests</w:t>
      </w:r>
      <w:r w:rsidR="00783AE3">
        <w:rPr>
          <w:rFonts w:cs="Times New Roman"/>
          <w:lang w:val="en-GB"/>
        </w:rPr>
        <w:t xml:space="preserve"> </w:t>
      </w:r>
      <w:r w:rsidR="00EB1337">
        <w:rPr>
          <w:rFonts w:cs="Times New Roman"/>
          <w:lang w:val="en-GB"/>
        </w:rPr>
        <w:t>together behind</w:t>
      </w:r>
      <w:r w:rsidR="00227B3D">
        <w:rPr>
          <w:rFonts w:cs="Times New Roman"/>
          <w:lang w:val="en-GB"/>
        </w:rPr>
        <w:t xml:space="preserve"> the veil of</w:t>
      </w:r>
      <w:r w:rsidR="006206CB">
        <w:rPr>
          <w:rFonts w:cs="Times New Roman"/>
          <w:lang w:val="en-GB"/>
        </w:rPr>
        <w:t xml:space="preserve"> technocratic neutrality</w:t>
      </w:r>
      <w:r w:rsidR="00783AE3" w:rsidRPr="00783AE3">
        <w:rPr>
          <w:rFonts w:cs="Times New Roman"/>
          <w:lang w:val="en-GB"/>
        </w:rPr>
        <w:t>.</w:t>
      </w:r>
    </w:p>
    <w:p w14:paraId="11D20332" w14:textId="77777777" w:rsidR="0083002F" w:rsidRDefault="0083002F" w:rsidP="008456E4">
      <w:pPr>
        <w:pStyle w:val="CommentText"/>
        <w:jc w:val="both"/>
      </w:pPr>
    </w:p>
    <w:p w14:paraId="009D1D84" w14:textId="0D76EE87" w:rsidR="00EB1337" w:rsidRDefault="00AA31D9" w:rsidP="00870701">
      <w:pPr>
        <w:pStyle w:val="CommentText"/>
        <w:jc w:val="both"/>
        <w:rPr>
          <w:rFonts w:cs="Times New Roman"/>
          <w:lang w:val="en-GB"/>
        </w:rPr>
      </w:pPr>
      <w:r>
        <w:t>W</w:t>
      </w:r>
      <w:r w:rsidR="00870701">
        <w:t xml:space="preserve">e </w:t>
      </w:r>
      <w:r w:rsidR="00E50064">
        <w:t xml:space="preserve">contribute </w:t>
      </w:r>
      <w:r>
        <w:t xml:space="preserve">further by introducing overdetermination, </w:t>
      </w:r>
      <w:r w:rsidR="00870701">
        <w:t xml:space="preserve">condensation and displacement </w:t>
      </w:r>
      <w:r>
        <w:t xml:space="preserve">to </w:t>
      </w:r>
      <w:r w:rsidR="00870701">
        <w:t xml:space="preserve">provide a </w:t>
      </w:r>
      <w:r w:rsidR="00CE2128">
        <w:t xml:space="preserve">novel </w:t>
      </w:r>
      <w:r w:rsidR="00870701">
        <w:t xml:space="preserve">theoretical framework for accounting and regulatory research </w:t>
      </w:r>
      <w:r>
        <w:t xml:space="preserve">that </w:t>
      </w:r>
      <w:r w:rsidR="00870701">
        <w:t>highlight</w:t>
      </w:r>
      <w:r>
        <w:t>s</w:t>
      </w:r>
      <w:r w:rsidR="00870701">
        <w:t xml:space="preserve"> contingencies inherent in standard setting. By condensing the definition and the title of </w:t>
      </w:r>
      <w:r w:rsidR="00870701" w:rsidRPr="00BF0DD1">
        <w:rPr>
          <w:i/>
        </w:rPr>
        <w:t xml:space="preserve">IFRS </w:t>
      </w:r>
      <w:r w:rsidR="00870701" w:rsidRPr="00BF0DD1">
        <w:rPr>
          <w:i/>
        </w:rPr>
        <w:lastRenderedPageBreak/>
        <w:t>for SMEs</w:t>
      </w:r>
      <w:r w:rsidR="00870701">
        <w:t xml:space="preserve">, the IASB </w:t>
      </w:r>
      <w:r w:rsidR="00C75A13">
        <w:t>“</w:t>
      </w:r>
      <w:r w:rsidR="00870701">
        <w:t>cover over</w:t>
      </w:r>
      <w:r w:rsidR="00C75A13">
        <w:t>”</w:t>
      </w:r>
      <w:r w:rsidR="00870701">
        <w:t xml:space="preserve"> problems with respect to suitability</w:t>
      </w:r>
      <w:r w:rsidR="00CE2128">
        <w:t xml:space="preserve"> for different entities</w:t>
      </w:r>
      <w:r w:rsidR="00870701">
        <w:t xml:space="preserve"> and the inherent capital market orientation of their standards. However, all hegemonic movements construct antagonisms, as is evident in problematising the </w:t>
      </w:r>
      <w:r w:rsidR="00C75A13">
        <w:t>“</w:t>
      </w:r>
      <w:r w:rsidR="00870701">
        <w:t>one-size-fit</w:t>
      </w:r>
      <w:r w:rsidR="008C25B2">
        <w:t>s</w:t>
      </w:r>
      <w:r w:rsidR="00870701">
        <w:t>-all</w:t>
      </w:r>
      <w:r w:rsidR="00C75A13">
        <w:t>”</w:t>
      </w:r>
      <w:r w:rsidR="00870701">
        <w:t xml:space="preserve"> logic of </w:t>
      </w:r>
      <w:r w:rsidR="00870701" w:rsidRPr="00530389">
        <w:rPr>
          <w:i/>
        </w:rPr>
        <w:t>IFRS for SMEs</w:t>
      </w:r>
      <w:r w:rsidR="00870701">
        <w:t xml:space="preserve">. </w:t>
      </w:r>
      <w:r w:rsidR="00EB1337">
        <w:t xml:space="preserve">The IASB attempts to </w:t>
      </w:r>
      <w:r w:rsidR="00C75A13">
        <w:t>“</w:t>
      </w:r>
      <w:r w:rsidR="00EB1337">
        <w:t>cover over</w:t>
      </w:r>
      <w:r w:rsidR="00C75A13">
        <w:t>”</w:t>
      </w:r>
      <w:r w:rsidR="00EB1337">
        <w:t xml:space="preserve"> what it projects as mistakes, when these </w:t>
      </w:r>
      <w:r w:rsidR="00C75A13">
        <w:t>“</w:t>
      </w:r>
      <w:r w:rsidR="00EB1337">
        <w:t>mistakes</w:t>
      </w:r>
      <w:r w:rsidR="00C75A13">
        <w:t>”</w:t>
      </w:r>
      <w:r w:rsidR="00EB1337">
        <w:t xml:space="preserve"> were, in fact, deliberate political choices by experts within the IASB. </w:t>
      </w:r>
      <w:r w:rsidR="00870701">
        <w:t>We deconstruct the logic that the IASB</w:t>
      </w:r>
      <w:r w:rsidR="00CE2128">
        <w:t>, as a technocratic regulator,</w:t>
      </w:r>
      <w:r w:rsidR="00870701">
        <w:t xml:space="preserve"> </w:t>
      </w:r>
      <w:r w:rsidR="00EB1337">
        <w:t xml:space="preserve">is </w:t>
      </w:r>
      <w:r w:rsidR="00870701">
        <w:t xml:space="preserve">the body that can resolve the problems of differential reporting </w:t>
      </w:r>
      <w:r w:rsidR="00870701" w:rsidRPr="00E176CF">
        <w:rPr>
          <w:rFonts w:cs="Times New Roman"/>
          <w:lang w:val="en-GB"/>
        </w:rPr>
        <w:t>(Sunder, 2011; Botzem, 2012).</w:t>
      </w:r>
      <w:r w:rsidR="00870701">
        <w:rPr>
          <w:rFonts w:cs="Times New Roman"/>
          <w:lang w:val="en-GB"/>
        </w:rPr>
        <w:t xml:space="preserve"> Our d</w:t>
      </w:r>
      <w:r w:rsidR="00870701" w:rsidRPr="00E176CF">
        <w:rPr>
          <w:rFonts w:cs="Times New Roman"/>
          <w:lang w:val="en-GB"/>
        </w:rPr>
        <w:t>econstructi</w:t>
      </w:r>
      <w:r w:rsidR="00870701">
        <w:rPr>
          <w:rFonts w:cs="Times New Roman"/>
          <w:lang w:val="en-GB"/>
        </w:rPr>
        <w:t xml:space="preserve">on </w:t>
      </w:r>
      <w:r w:rsidR="00870701" w:rsidRPr="00E176CF">
        <w:rPr>
          <w:rFonts w:cs="Times New Roman"/>
          <w:lang w:val="en-GB"/>
        </w:rPr>
        <w:t xml:space="preserve">also belies the due process arguments that the IASB </w:t>
      </w:r>
      <w:r w:rsidR="00870701">
        <w:rPr>
          <w:rFonts w:cs="Times New Roman"/>
          <w:lang w:val="en-GB"/>
        </w:rPr>
        <w:t>employ</w:t>
      </w:r>
      <w:r w:rsidR="00EB1337">
        <w:rPr>
          <w:rFonts w:cs="Times New Roman"/>
          <w:lang w:val="en-GB"/>
        </w:rPr>
        <w:t>s</w:t>
      </w:r>
      <w:r w:rsidR="00870701">
        <w:rPr>
          <w:rFonts w:cs="Times New Roman"/>
          <w:lang w:val="en-GB"/>
        </w:rPr>
        <w:t xml:space="preserve"> to construct</w:t>
      </w:r>
      <w:r w:rsidR="00870701" w:rsidRPr="00E176CF">
        <w:rPr>
          <w:rFonts w:cs="Times New Roman"/>
          <w:lang w:val="en-GB"/>
        </w:rPr>
        <w:t xml:space="preserve"> their legitimacy and technocracy (</w:t>
      </w:r>
      <w:r w:rsidR="009E0395" w:rsidRPr="00E176CF">
        <w:rPr>
          <w:rFonts w:cs="Times New Roman"/>
          <w:lang w:val="en-GB"/>
        </w:rPr>
        <w:t>Quack, 2010</w:t>
      </w:r>
      <w:r w:rsidR="009E0395">
        <w:rPr>
          <w:rFonts w:cs="Times New Roman"/>
          <w:lang w:val="en-GB"/>
        </w:rPr>
        <w:t xml:space="preserve">; </w:t>
      </w:r>
      <w:r w:rsidR="00870701" w:rsidRPr="00E176CF">
        <w:rPr>
          <w:rFonts w:cs="Times New Roman"/>
          <w:lang w:val="en-GB"/>
        </w:rPr>
        <w:t xml:space="preserve">Botzem, 2012; </w:t>
      </w:r>
      <w:r>
        <w:rPr>
          <w:rFonts w:cs="Times New Roman"/>
          <w:lang w:val="en-GB"/>
        </w:rPr>
        <w:t xml:space="preserve">Ram and Newberry, 2013; 2017; </w:t>
      </w:r>
      <w:r w:rsidR="00870701">
        <w:rPr>
          <w:rFonts w:cs="Times New Roman"/>
          <w:lang w:val="en-GB"/>
        </w:rPr>
        <w:t>Carter and Warren, 2018b</w:t>
      </w:r>
      <w:r w:rsidR="00870701" w:rsidRPr="00E176CF">
        <w:rPr>
          <w:rFonts w:cs="Times New Roman"/>
          <w:lang w:val="en-GB"/>
        </w:rPr>
        <w:t xml:space="preserve">). </w:t>
      </w:r>
      <w:r w:rsidR="00870701">
        <w:rPr>
          <w:rFonts w:cs="Times New Roman"/>
          <w:lang w:val="en-GB"/>
        </w:rPr>
        <w:t>T</w:t>
      </w:r>
      <w:r w:rsidR="00870701" w:rsidRPr="00E176CF">
        <w:rPr>
          <w:rFonts w:cs="Times New Roman"/>
          <w:lang w:val="en-GB"/>
        </w:rPr>
        <w:t xml:space="preserve">he IASB’s </w:t>
      </w:r>
      <w:r w:rsidR="00870701">
        <w:rPr>
          <w:rFonts w:cs="Times New Roman"/>
          <w:lang w:val="en-GB"/>
        </w:rPr>
        <w:t xml:space="preserve">reliance on </w:t>
      </w:r>
      <w:r w:rsidR="00870701" w:rsidRPr="00E176CF">
        <w:rPr>
          <w:rFonts w:cs="Times New Roman"/>
          <w:lang w:val="en-GB"/>
        </w:rPr>
        <w:t>due process cover</w:t>
      </w:r>
      <w:r>
        <w:rPr>
          <w:rFonts w:cs="Times New Roman"/>
          <w:lang w:val="en-GB"/>
        </w:rPr>
        <w:t>s</w:t>
      </w:r>
      <w:r w:rsidR="00870701" w:rsidRPr="00E176CF">
        <w:rPr>
          <w:rFonts w:cs="Times New Roman"/>
          <w:lang w:val="en-GB"/>
        </w:rPr>
        <w:t xml:space="preserve"> over </w:t>
      </w:r>
      <w:r w:rsidR="00870701">
        <w:rPr>
          <w:rFonts w:cs="Times New Roman"/>
          <w:lang w:val="en-GB"/>
        </w:rPr>
        <w:t>the embedded politics of technocracy and provide</w:t>
      </w:r>
      <w:r w:rsidR="008C25B2">
        <w:rPr>
          <w:rFonts w:cs="Times New Roman"/>
          <w:lang w:val="en-GB"/>
        </w:rPr>
        <w:t>s</w:t>
      </w:r>
      <w:r w:rsidR="00870701">
        <w:rPr>
          <w:rFonts w:cs="Times New Roman"/>
          <w:lang w:val="en-GB"/>
        </w:rPr>
        <w:t xml:space="preserve"> a framework by which the IASB</w:t>
      </w:r>
      <w:r>
        <w:rPr>
          <w:rFonts w:cs="Times New Roman"/>
          <w:lang w:val="en-GB"/>
        </w:rPr>
        <w:t xml:space="preserve">, through </w:t>
      </w:r>
      <w:r w:rsidR="00CE2128">
        <w:rPr>
          <w:rFonts w:cs="Times New Roman"/>
          <w:lang w:val="en-GB"/>
        </w:rPr>
        <w:t xml:space="preserve">its purported </w:t>
      </w:r>
      <w:r>
        <w:rPr>
          <w:rFonts w:cs="Times New Roman"/>
          <w:lang w:val="en-GB"/>
        </w:rPr>
        <w:t xml:space="preserve">technocratic neutrality, can </w:t>
      </w:r>
      <w:r w:rsidR="00870701" w:rsidRPr="00E176CF">
        <w:rPr>
          <w:rFonts w:cs="Times New Roman"/>
          <w:lang w:val="en-GB"/>
        </w:rPr>
        <w:t>ignor</w:t>
      </w:r>
      <w:r>
        <w:rPr>
          <w:rFonts w:cs="Times New Roman"/>
          <w:lang w:val="en-GB"/>
        </w:rPr>
        <w:t>e</w:t>
      </w:r>
      <w:r w:rsidR="00870701" w:rsidRPr="00E176CF">
        <w:rPr>
          <w:rFonts w:cs="Times New Roman"/>
          <w:lang w:val="en-GB"/>
        </w:rPr>
        <w:t>, silenc</w:t>
      </w:r>
      <w:r>
        <w:rPr>
          <w:rFonts w:cs="Times New Roman"/>
          <w:lang w:val="en-GB"/>
        </w:rPr>
        <w:t>e</w:t>
      </w:r>
      <w:r w:rsidR="00870701" w:rsidRPr="00E176CF">
        <w:rPr>
          <w:rFonts w:cs="Times New Roman"/>
          <w:lang w:val="en-GB"/>
        </w:rPr>
        <w:t xml:space="preserve"> </w:t>
      </w:r>
      <w:r>
        <w:rPr>
          <w:rFonts w:cs="Times New Roman"/>
          <w:lang w:val="en-GB"/>
        </w:rPr>
        <w:t xml:space="preserve">or </w:t>
      </w:r>
      <w:r w:rsidR="00870701" w:rsidRPr="00E176CF">
        <w:rPr>
          <w:rFonts w:cs="Times New Roman"/>
          <w:lang w:val="en-GB"/>
        </w:rPr>
        <w:t xml:space="preserve">mask </w:t>
      </w:r>
      <w:r w:rsidR="008F08A9">
        <w:rPr>
          <w:rFonts w:cs="Times New Roman"/>
          <w:lang w:val="en-GB"/>
        </w:rPr>
        <w:t xml:space="preserve">certain </w:t>
      </w:r>
      <w:r w:rsidR="00870701" w:rsidRPr="00E176CF">
        <w:rPr>
          <w:rFonts w:cs="Times New Roman"/>
          <w:lang w:val="en-GB"/>
        </w:rPr>
        <w:t>voice</w:t>
      </w:r>
      <w:r w:rsidR="008F08A9">
        <w:rPr>
          <w:rFonts w:cs="Times New Roman"/>
          <w:lang w:val="en-GB"/>
        </w:rPr>
        <w:t>s</w:t>
      </w:r>
      <w:r w:rsidR="00870701" w:rsidRPr="00E176CF">
        <w:rPr>
          <w:rFonts w:cs="Times New Roman"/>
          <w:lang w:val="en-GB"/>
        </w:rPr>
        <w:t>.</w:t>
      </w:r>
    </w:p>
    <w:p w14:paraId="647AE6EF" w14:textId="77777777" w:rsidR="00EB1337" w:rsidRDefault="00EB1337" w:rsidP="00870701">
      <w:pPr>
        <w:pStyle w:val="CommentText"/>
        <w:jc w:val="both"/>
        <w:rPr>
          <w:rFonts w:cs="Times New Roman"/>
          <w:lang w:val="en-GB"/>
        </w:rPr>
      </w:pPr>
    </w:p>
    <w:p w14:paraId="05CDF1D1" w14:textId="48D81541" w:rsidR="00870701" w:rsidRDefault="00EB1337" w:rsidP="00870701">
      <w:pPr>
        <w:pStyle w:val="CommentText"/>
        <w:jc w:val="both"/>
      </w:pPr>
      <w:r>
        <w:t>Internal critique, as used in this paper, deconstructs the ide</w:t>
      </w:r>
      <w:r w:rsidR="008E1F58">
        <w:t xml:space="preserve">ology of the IASB’s technocracy. </w:t>
      </w:r>
      <w:r>
        <w:rPr>
          <w:rFonts w:cs="Times New Roman"/>
          <w:lang w:val="en-GB"/>
        </w:rPr>
        <w:t>Drawing on the concepts of</w:t>
      </w:r>
      <w:r w:rsidR="00870701" w:rsidRPr="00E176CF">
        <w:rPr>
          <w:rFonts w:cs="Times New Roman"/>
          <w:lang w:val="en-GB"/>
        </w:rPr>
        <w:t xml:space="preserve"> condensation </w:t>
      </w:r>
      <w:r w:rsidR="00870701">
        <w:rPr>
          <w:rFonts w:cs="Times New Roman"/>
          <w:lang w:val="en-GB"/>
        </w:rPr>
        <w:t xml:space="preserve">and displacement </w:t>
      </w:r>
      <w:r w:rsidR="008C25B2">
        <w:rPr>
          <w:rFonts w:cs="Times New Roman"/>
          <w:lang w:val="en-GB"/>
        </w:rPr>
        <w:t>expands the range of tools for the political analysis of discourse</w:t>
      </w:r>
      <w:r w:rsidR="00AA31D9">
        <w:rPr>
          <w:rFonts w:cs="Times New Roman"/>
          <w:lang w:val="en-GB"/>
        </w:rPr>
        <w:t xml:space="preserve">. </w:t>
      </w:r>
      <w:r w:rsidR="00870701">
        <w:rPr>
          <w:rFonts w:cs="Times New Roman"/>
          <w:lang w:val="en-GB"/>
        </w:rPr>
        <w:t xml:space="preserve">While </w:t>
      </w:r>
      <w:r w:rsidR="00CE2128">
        <w:rPr>
          <w:rFonts w:cs="Times New Roman"/>
          <w:lang w:val="en-GB"/>
        </w:rPr>
        <w:t>our</w:t>
      </w:r>
      <w:r w:rsidR="00AA31D9">
        <w:rPr>
          <w:rFonts w:cs="Times New Roman"/>
          <w:lang w:val="en-GB"/>
        </w:rPr>
        <w:t xml:space="preserve"> analysis </w:t>
      </w:r>
      <w:r w:rsidR="00870701">
        <w:rPr>
          <w:rFonts w:cs="Times New Roman"/>
          <w:lang w:val="en-GB"/>
        </w:rPr>
        <w:t>focus</w:t>
      </w:r>
      <w:r w:rsidR="00AA31D9">
        <w:rPr>
          <w:rFonts w:cs="Times New Roman"/>
          <w:lang w:val="en-GB"/>
        </w:rPr>
        <w:t>es</w:t>
      </w:r>
      <w:r w:rsidR="00870701">
        <w:rPr>
          <w:rFonts w:cs="Times New Roman"/>
          <w:lang w:val="en-GB"/>
        </w:rPr>
        <w:t xml:space="preserve"> on </w:t>
      </w:r>
      <w:r w:rsidR="00AA31D9">
        <w:rPr>
          <w:rFonts w:cs="Times New Roman"/>
          <w:lang w:val="en-GB"/>
        </w:rPr>
        <w:t xml:space="preserve">the </w:t>
      </w:r>
      <w:r w:rsidR="00870701">
        <w:rPr>
          <w:rFonts w:cs="Times New Roman"/>
          <w:lang w:val="en-GB"/>
        </w:rPr>
        <w:t xml:space="preserve">politics </w:t>
      </w:r>
      <w:r w:rsidR="00AA31D9">
        <w:rPr>
          <w:rFonts w:cs="Times New Roman"/>
          <w:lang w:val="en-GB"/>
        </w:rPr>
        <w:t xml:space="preserve">of </w:t>
      </w:r>
      <w:r w:rsidR="00AA31D9" w:rsidRPr="00AA31D9">
        <w:rPr>
          <w:rFonts w:cs="Times New Roman"/>
          <w:i/>
          <w:lang w:val="en-GB"/>
        </w:rPr>
        <w:t>IFRS for SMEs</w:t>
      </w:r>
      <w:r w:rsidR="00AA31D9">
        <w:rPr>
          <w:rFonts w:cs="Times New Roman"/>
          <w:lang w:val="en-GB"/>
        </w:rPr>
        <w:t xml:space="preserve">, </w:t>
      </w:r>
      <w:r w:rsidR="00CE2128">
        <w:t xml:space="preserve">there is a need for further examination of the politics of expertise between experts, including internal disagreement and tension around the development of standards. The theoretical </w:t>
      </w:r>
      <w:r w:rsidR="00870701">
        <w:rPr>
          <w:rFonts w:cs="Times New Roman"/>
          <w:lang w:val="en-GB"/>
        </w:rPr>
        <w:t>t</w:t>
      </w:r>
      <w:r w:rsidR="008C25B2">
        <w:rPr>
          <w:rFonts w:cs="Times New Roman"/>
          <w:lang w:val="en-GB"/>
        </w:rPr>
        <w:t>ool</w:t>
      </w:r>
      <w:r w:rsidR="00870701">
        <w:rPr>
          <w:rFonts w:cs="Times New Roman"/>
          <w:lang w:val="en-GB"/>
        </w:rPr>
        <w:t xml:space="preserve">s </w:t>
      </w:r>
      <w:r w:rsidR="00CE2128">
        <w:rPr>
          <w:rFonts w:cs="Times New Roman"/>
          <w:lang w:val="en-GB"/>
        </w:rPr>
        <w:t xml:space="preserve">used in this paper </w:t>
      </w:r>
      <w:r w:rsidR="00870701">
        <w:rPr>
          <w:rFonts w:cs="Times New Roman"/>
          <w:lang w:val="en-GB"/>
        </w:rPr>
        <w:t xml:space="preserve">could be employed </w:t>
      </w:r>
      <w:r w:rsidR="00AA31D9">
        <w:rPr>
          <w:rFonts w:cs="Times New Roman"/>
          <w:lang w:val="en-GB"/>
        </w:rPr>
        <w:t xml:space="preserve">in other debates </w:t>
      </w:r>
      <w:r>
        <w:rPr>
          <w:rFonts w:cs="Times New Roman"/>
          <w:lang w:val="en-GB"/>
        </w:rPr>
        <w:t>about</w:t>
      </w:r>
      <w:r w:rsidR="00AA31D9">
        <w:rPr>
          <w:rFonts w:cs="Times New Roman"/>
          <w:lang w:val="en-GB"/>
        </w:rPr>
        <w:t xml:space="preserve"> the IASB as well as other regulatory spaces</w:t>
      </w:r>
      <w:r w:rsidR="00CE2128">
        <w:rPr>
          <w:rFonts w:cs="Times New Roman"/>
          <w:lang w:val="en-GB"/>
        </w:rPr>
        <w:t xml:space="preserve"> beyond accounting</w:t>
      </w:r>
      <w:r w:rsidR="00AA31D9">
        <w:rPr>
          <w:rFonts w:cs="Times New Roman"/>
          <w:lang w:val="en-GB"/>
        </w:rPr>
        <w:t xml:space="preserve">. </w:t>
      </w:r>
    </w:p>
    <w:p w14:paraId="3F27CEEA" w14:textId="77777777" w:rsidR="00870701" w:rsidRDefault="00870701" w:rsidP="008456E4">
      <w:pPr>
        <w:pStyle w:val="CommentText"/>
        <w:jc w:val="both"/>
      </w:pPr>
    </w:p>
    <w:p w14:paraId="1156B379" w14:textId="77777777" w:rsidR="003608F0" w:rsidRDefault="003608F0" w:rsidP="008456E4">
      <w:pPr>
        <w:pStyle w:val="CommentText"/>
        <w:jc w:val="both"/>
      </w:pPr>
    </w:p>
    <w:p w14:paraId="4D636F1D" w14:textId="77777777" w:rsidR="003608F0" w:rsidRDefault="003608F0" w:rsidP="008456E4">
      <w:pPr>
        <w:pStyle w:val="CommentText"/>
        <w:jc w:val="both"/>
      </w:pPr>
    </w:p>
    <w:p w14:paraId="7AAA885E" w14:textId="60727EE6" w:rsidR="003800BA" w:rsidRPr="0098498B" w:rsidRDefault="00561944" w:rsidP="00CB0B22">
      <w:pPr>
        <w:rPr>
          <w:lang w:val="en-GB"/>
        </w:rPr>
      </w:pPr>
      <w:r>
        <w:rPr>
          <w:lang w:val="en-GB"/>
        </w:rPr>
        <w:br w:type="page"/>
      </w:r>
    </w:p>
    <w:p w14:paraId="05651A90" w14:textId="26A9711C" w:rsidR="00D215FE" w:rsidRDefault="003608F0" w:rsidP="00C75A13">
      <w:pPr>
        <w:pStyle w:val="Heading1"/>
        <w:spacing w:after="120"/>
      </w:pPr>
      <w:r w:rsidRPr="00A01D65">
        <w:rPr>
          <w:rFonts w:asciiTheme="minorHAnsi" w:hAnsiTheme="minorHAnsi"/>
          <w:lang w:val="en-GB"/>
        </w:rPr>
        <w:lastRenderedPageBreak/>
        <w:t>References</w:t>
      </w:r>
    </w:p>
    <w:p w14:paraId="12B8B3CC" w14:textId="59A0B245" w:rsidR="00D215FE" w:rsidRDefault="00D215FE" w:rsidP="00276A73">
      <w:pPr>
        <w:spacing w:afterLines="80" w:after="192"/>
        <w:jc w:val="both"/>
        <w:rPr>
          <w:rFonts w:cs="Times New Roman"/>
          <w:sz w:val="22"/>
          <w:szCs w:val="22"/>
        </w:rPr>
      </w:pPr>
      <w:r w:rsidRPr="00D215FE">
        <w:rPr>
          <w:rFonts w:cs="Times New Roman"/>
          <w:sz w:val="22"/>
          <w:szCs w:val="22"/>
        </w:rPr>
        <w:t>Albu, C. N., Albu, N., Pali-Pista, S. F., Gîrbină, M. M., Selimoglu, S. K., Ková</w:t>
      </w:r>
      <w:r>
        <w:rPr>
          <w:rFonts w:cs="Times New Roman"/>
          <w:sz w:val="22"/>
          <w:szCs w:val="22"/>
        </w:rPr>
        <w:t>cs, D. M.,</w:t>
      </w:r>
      <w:r w:rsidR="00590DA1">
        <w:rPr>
          <w:rFonts w:cs="Times New Roman"/>
          <w:sz w:val="22"/>
          <w:szCs w:val="22"/>
        </w:rPr>
        <w:t xml:space="preserve"> </w:t>
      </w:r>
      <w:r w:rsidR="00590DA1" w:rsidRPr="00590DA1">
        <w:rPr>
          <w:rFonts w:cs="Times New Roman"/>
          <w:sz w:val="22"/>
          <w:szCs w:val="22"/>
        </w:rPr>
        <w:t>Lukács</w:t>
      </w:r>
      <w:r w:rsidR="00590DA1">
        <w:rPr>
          <w:rFonts w:cs="Times New Roman"/>
          <w:sz w:val="22"/>
          <w:szCs w:val="22"/>
        </w:rPr>
        <w:t xml:space="preserve">, I., Mohl, G, </w:t>
      </w:r>
      <w:r w:rsidR="00590DA1" w:rsidRPr="00590DA1">
        <w:rPr>
          <w:rFonts w:cs="Times New Roman"/>
          <w:sz w:val="22"/>
          <w:szCs w:val="22"/>
        </w:rPr>
        <w:t>Müllerová</w:t>
      </w:r>
      <w:r w:rsidR="00590DA1">
        <w:rPr>
          <w:rFonts w:cs="Times New Roman"/>
          <w:sz w:val="22"/>
          <w:szCs w:val="22"/>
        </w:rPr>
        <w:t xml:space="preserve">, L., </w:t>
      </w:r>
      <w:r w:rsidR="00590DA1" w:rsidRPr="00590DA1">
        <w:rPr>
          <w:rFonts w:cs="Times New Roman"/>
          <w:sz w:val="22"/>
          <w:szCs w:val="22"/>
        </w:rPr>
        <w:t>Paseková</w:t>
      </w:r>
      <w:r w:rsidR="00590DA1">
        <w:rPr>
          <w:rFonts w:cs="Times New Roman"/>
          <w:sz w:val="22"/>
          <w:szCs w:val="22"/>
        </w:rPr>
        <w:t>, M, Arsov, A.P., Sipahi, B.</w:t>
      </w:r>
      <w:r>
        <w:rPr>
          <w:rFonts w:cs="Times New Roman"/>
          <w:sz w:val="22"/>
          <w:szCs w:val="22"/>
        </w:rPr>
        <w:t xml:space="preserve"> </w:t>
      </w:r>
      <w:r w:rsidR="008E2543">
        <w:rPr>
          <w:rFonts w:cs="Times New Roman"/>
          <w:sz w:val="22"/>
          <w:szCs w:val="22"/>
        </w:rPr>
        <w:t xml:space="preserve">and </w:t>
      </w:r>
      <w:r w:rsidRPr="00D215FE">
        <w:rPr>
          <w:rFonts w:cs="Times New Roman"/>
          <w:sz w:val="22"/>
          <w:szCs w:val="22"/>
        </w:rPr>
        <w:t>Strouhal, J. (2013)</w:t>
      </w:r>
      <w:r w:rsidR="008E1A54">
        <w:rPr>
          <w:rFonts w:cs="Times New Roman"/>
          <w:sz w:val="22"/>
          <w:szCs w:val="22"/>
        </w:rPr>
        <w:t>,</w:t>
      </w:r>
      <w:r w:rsidRPr="00D215FE">
        <w:rPr>
          <w:rFonts w:cs="Times New Roman"/>
          <w:sz w:val="22"/>
          <w:szCs w:val="22"/>
        </w:rPr>
        <w:t xml:space="preserve"> </w:t>
      </w:r>
      <w:r w:rsidR="00BE53C3">
        <w:rPr>
          <w:rFonts w:cs="Times New Roman"/>
          <w:sz w:val="22"/>
          <w:szCs w:val="22"/>
        </w:rPr>
        <w:t>“</w:t>
      </w:r>
      <w:r w:rsidRPr="00D215FE">
        <w:rPr>
          <w:rFonts w:cs="Times New Roman"/>
          <w:sz w:val="22"/>
          <w:szCs w:val="22"/>
        </w:rPr>
        <w:t xml:space="preserve">Implementation of IFRS for SMEs in </w:t>
      </w:r>
      <w:r>
        <w:rPr>
          <w:rFonts w:cs="Times New Roman"/>
          <w:sz w:val="22"/>
          <w:szCs w:val="22"/>
        </w:rPr>
        <w:t xml:space="preserve">Emerging Economies: Stakeholder </w:t>
      </w:r>
      <w:r w:rsidRPr="00D215FE">
        <w:rPr>
          <w:rFonts w:cs="Times New Roman"/>
          <w:sz w:val="22"/>
          <w:szCs w:val="22"/>
        </w:rPr>
        <w:t>Perceptions in the Czech Republic, Hungary, Romania and T</w:t>
      </w:r>
      <w:r>
        <w:rPr>
          <w:rFonts w:cs="Times New Roman"/>
          <w:sz w:val="22"/>
          <w:szCs w:val="22"/>
        </w:rPr>
        <w:t>urkey</w:t>
      </w:r>
      <w:r w:rsidR="00BE53C3">
        <w:rPr>
          <w:rFonts w:cs="Times New Roman"/>
          <w:sz w:val="22"/>
          <w:szCs w:val="22"/>
        </w:rPr>
        <w:t>”</w:t>
      </w:r>
      <w:r>
        <w:rPr>
          <w:rFonts w:cs="Times New Roman"/>
          <w:sz w:val="22"/>
          <w:szCs w:val="22"/>
        </w:rPr>
        <w:t xml:space="preserve">. </w:t>
      </w:r>
      <w:r w:rsidRPr="00C75A13">
        <w:rPr>
          <w:rFonts w:cs="Times New Roman"/>
          <w:i/>
          <w:sz w:val="22"/>
          <w:szCs w:val="22"/>
        </w:rPr>
        <w:t xml:space="preserve">Journal of International Financial Management </w:t>
      </w:r>
      <w:r w:rsidR="008E2543">
        <w:rPr>
          <w:rFonts w:cs="Times New Roman"/>
          <w:i/>
          <w:sz w:val="22"/>
          <w:szCs w:val="22"/>
        </w:rPr>
        <w:t>and</w:t>
      </w:r>
      <w:r w:rsidR="008E2543" w:rsidRPr="00C75A13">
        <w:rPr>
          <w:rFonts w:cs="Times New Roman"/>
          <w:i/>
          <w:sz w:val="22"/>
          <w:szCs w:val="22"/>
        </w:rPr>
        <w:t xml:space="preserve"> </w:t>
      </w:r>
      <w:r w:rsidRPr="00C75A13">
        <w:rPr>
          <w:rFonts w:cs="Times New Roman"/>
          <w:i/>
          <w:sz w:val="22"/>
          <w:szCs w:val="22"/>
        </w:rPr>
        <w:t>Accounting</w:t>
      </w:r>
      <w:r w:rsidRPr="00D215FE">
        <w:rPr>
          <w:rFonts w:cs="Times New Roman"/>
          <w:sz w:val="22"/>
          <w:szCs w:val="22"/>
        </w:rPr>
        <w:t xml:space="preserve">, </w:t>
      </w:r>
      <w:r w:rsidR="00BE53C3">
        <w:rPr>
          <w:rFonts w:cs="Times New Roman"/>
          <w:sz w:val="22"/>
          <w:szCs w:val="22"/>
        </w:rPr>
        <w:t xml:space="preserve">Vol. </w:t>
      </w:r>
      <w:r w:rsidRPr="00D215FE">
        <w:rPr>
          <w:rFonts w:cs="Times New Roman"/>
          <w:sz w:val="22"/>
          <w:szCs w:val="22"/>
        </w:rPr>
        <w:t>24</w:t>
      </w:r>
      <w:r w:rsidR="00BE53C3">
        <w:rPr>
          <w:rFonts w:cs="Times New Roman"/>
          <w:sz w:val="22"/>
          <w:szCs w:val="22"/>
        </w:rPr>
        <w:t xml:space="preserve"> No. 2, pp.</w:t>
      </w:r>
      <w:r w:rsidRPr="00D215FE">
        <w:rPr>
          <w:rFonts w:cs="Times New Roman"/>
          <w:sz w:val="22"/>
          <w:szCs w:val="22"/>
        </w:rPr>
        <w:t xml:space="preserve"> 140-175.</w:t>
      </w:r>
    </w:p>
    <w:p w14:paraId="7F4550ED" w14:textId="62DD3650" w:rsidR="003608F0" w:rsidRDefault="003608F0" w:rsidP="00276A73">
      <w:pPr>
        <w:spacing w:afterLines="80" w:after="192"/>
        <w:jc w:val="both"/>
        <w:rPr>
          <w:rFonts w:cs="Times New Roman"/>
          <w:sz w:val="22"/>
          <w:szCs w:val="22"/>
        </w:rPr>
      </w:pPr>
      <w:r w:rsidRPr="00074670">
        <w:rPr>
          <w:rFonts w:cs="Times New Roman"/>
          <w:sz w:val="22"/>
          <w:szCs w:val="22"/>
        </w:rPr>
        <w:t>Bellefleur, D</w:t>
      </w:r>
      <w:r w:rsidR="009C5F26">
        <w:rPr>
          <w:rFonts w:cs="Times New Roman"/>
          <w:sz w:val="22"/>
          <w:szCs w:val="22"/>
        </w:rPr>
        <w:t>.,</w:t>
      </w:r>
      <w:r w:rsidR="00276A73">
        <w:rPr>
          <w:rFonts w:cs="Times New Roman"/>
          <w:sz w:val="22"/>
          <w:szCs w:val="22"/>
        </w:rPr>
        <w:t xml:space="preserve"> Murad, Z.</w:t>
      </w:r>
      <w:r w:rsidR="00BE53C3">
        <w:rPr>
          <w:rFonts w:cs="Times New Roman"/>
          <w:sz w:val="22"/>
          <w:szCs w:val="22"/>
        </w:rPr>
        <w:t xml:space="preserve"> </w:t>
      </w:r>
      <w:r w:rsidR="008E1A54">
        <w:rPr>
          <w:rFonts w:cs="Times New Roman"/>
          <w:sz w:val="22"/>
          <w:szCs w:val="22"/>
        </w:rPr>
        <w:t>and</w:t>
      </w:r>
      <w:r w:rsidR="00BE53C3">
        <w:rPr>
          <w:rFonts w:cs="Times New Roman"/>
          <w:sz w:val="22"/>
          <w:szCs w:val="22"/>
        </w:rPr>
        <w:t xml:space="preserve"> </w:t>
      </w:r>
      <w:r w:rsidR="00276A73">
        <w:rPr>
          <w:rFonts w:cs="Times New Roman"/>
          <w:sz w:val="22"/>
          <w:szCs w:val="22"/>
        </w:rPr>
        <w:t xml:space="preserve">Tangkau P. (2012), </w:t>
      </w:r>
      <w:r w:rsidRPr="00074670">
        <w:rPr>
          <w:rFonts w:cs="Times New Roman"/>
          <w:sz w:val="22"/>
          <w:szCs w:val="22"/>
        </w:rPr>
        <w:t xml:space="preserve">“A Snapshot of Indonesian Entrepreneurship and Micro, Small, and Medium Sized Enterprise Development”, </w:t>
      </w:r>
      <w:r w:rsidRPr="00074670">
        <w:rPr>
          <w:rFonts w:cs="Times New Roman"/>
          <w:i/>
          <w:sz w:val="22"/>
          <w:szCs w:val="22"/>
        </w:rPr>
        <w:t>USAID: United States Agency International Development</w:t>
      </w:r>
      <w:r w:rsidRPr="00074670">
        <w:rPr>
          <w:rFonts w:cs="Times New Roman"/>
          <w:sz w:val="22"/>
          <w:szCs w:val="22"/>
        </w:rPr>
        <w:t>, available online: https://crawford.anu.edu.au/acde/ip/pdf/lpem/2012/20120507-SMERU-Dan-Thomson-Bellefleur.pdf (accessed 26 March 2018).</w:t>
      </w:r>
    </w:p>
    <w:p w14:paraId="69A6454D" w14:textId="25D66B6E" w:rsidR="00D215FE" w:rsidRDefault="00D215FE" w:rsidP="00D215FE">
      <w:pPr>
        <w:spacing w:afterLines="80" w:after="192"/>
        <w:jc w:val="both"/>
        <w:rPr>
          <w:rFonts w:cs="Times New Roman"/>
          <w:sz w:val="22"/>
          <w:szCs w:val="22"/>
        </w:rPr>
      </w:pPr>
      <w:r w:rsidRPr="00D215FE">
        <w:rPr>
          <w:rFonts w:cs="Times New Roman"/>
          <w:sz w:val="22"/>
          <w:szCs w:val="22"/>
        </w:rPr>
        <w:t>Bengtsson, E. (2011)</w:t>
      </w:r>
      <w:r w:rsidR="008E1A54">
        <w:rPr>
          <w:rFonts w:cs="Times New Roman"/>
          <w:sz w:val="22"/>
          <w:szCs w:val="22"/>
        </w:rPr>
        <w:t>,</w:t>
      </w:r>
      <w:r w:rsidRPr="00D215FE">
        <w:rPr>
          <w:rFonts w:cs="Times New Roman"/>
          <w:sz w:val="22"/>
          <w:szCs w:val="22"/>
        </w:rPr>
        <w:t xml:space="preserve"> Repoliticalization of accounting standard setting—The IASB, the EU and</w:t>
      </w:r>
      <w:r>
        <w:rPr>
          <w:rFonts w:cs="Times New Roman"/>
          <w:sz w:val="22"/>
          <w:szCs w:val="22"/>
        </w:rPr>
        <w:t xml:space="preserve"> </w:t>
      </w:r>
      <w:r w:rsidRPr="00D215FE">
        <w:rPr>
          <w:rFonts w:cs="Times New Roman"/>
          <w:sz w:val="22"/>
          <w:szCs w:val="22"/>
        </w:rPr>
        <w:t xml:space="preserve">the global financial crisis. </w:t>
      </w:r>
      <w:r w:rsidRPr="00CB0B22">
        <w:rPr>
          <w:rFonts w:cs="Times New Roman"/>
          <w:i/>
          <w:sz w:val="22"/>
          <w:szCs w:val="22"/>
        </w:rPr>
        <w:t>Critical Perspectives on Accounting</w:t>
      </w:r>
      <w:r w:rsidRPr="00D215FE">
        <w:rPr>
          <w:rFonts w:cs="Times New Roman"/>
          <w:sz w:val="22"/>
          <w:szCs w:val="22"/>
        </w:rPr>
        <w:t xml:space="preserve">, </w:t>
      </w:r>
      <w:r w:rsidR="00BE53C3">
        <w:rPr>
          <w:rFonts w:cs="Times New Roman"/>
          <w:sz w:val="22"/>
          <w:szCs w:val="22"/>
        </w:rPr>
        <w:t xml:space="preserve">Vol. </w:t>
      </w:r>
      <w:r w:rsidRPr="00D215FE">
        <w:rPr>
          <w:rFonts w:cs="Times New Roman"/>
          <w:sz w:val="22"/>
          <w:szCs w:val="22"/>
        </w:rPr>
        <w:t xml:space="preserve">22 </w:t>
      </w:r>
      <w:r w:rsidR="00BE53C3">
        <w:rPr>
          <w:rFonts w:cs="Times New Roman"/>
          <w:sz w:val="22"/>
          <w:szCs w:val="22"/>
        </w:rPr>
        <w:t xml:space="preserve">No. </w:t>
      </w:r>
      <w:r w:rsidRPr="00D215FE">
        <w:rPr>
          <w:rFonts w:cs="Times New Roman"/>
          <w:sz w:val="22"/>
          <w:szCs w:val="22"/>
        </w:rPr>
        <w:t>6</w:t>
      </w:r>
      <w:r w:rsidR="00BE53C3">
        <w:rPr>
          <w:rFonts w:cs="Times New Roman"/>
          <w:sz w:val="22"/>
          <w:szCs w:val="22"/>
        </w:rPr>
        <w:t>, pp.</w:t>
      </w:r>
      <w:r w:rsidRPr="00D215FE">
        <w:rPr>
          <w:rFonts w:cs="Times New Roman"/>
          <w:sz w:val="22"/>
          <w:szCs w:val="22"/>
        </w:rPr>
        <w:t xml:space="preserve"> 567-580.</w:t>
      </w:r>
    </w:p>
    <w:p w14:paraId="213E81B8" w14:textId="2881986B" w:rsidR="003608F0" w:rsidRPr="00EB4DCF" w:rsidRDefault="003608F0" w:rsidP="00276A73">
      <w:pPr>
        <w:spacing w:afterLines="80" w:after="192"/>
        <w:jc w:val="both"/>
        <w:rPr>
          <w:rFonts w:cs="Times New Roman"/>
          <w:sz w:val="22"/>
          <w:szCs w:val="22"/>
        </w:rPr>
      </w:pPr>
      <w:r>
        <w:rPr>
          <w:rFonts w:cs="Times New Roman"/>
          <w:sz w:val="22"/>
          <w:szCs w:val="22"/>
        </w:rPr>
        <w:t>Black, J. (2002a)</w:t>
      </w:r>
      <w:r w:rsidR="008E1A54">
        <w:rPr>
          <w:rFonts w:cs="Times New Roman"/>
          <w:sz w:val="22"/>
          <w:szCs w:val="22"/>
        </w:rPr>
        <w:t>,</w:t>
      </w:r>
      <w:r w:rsidRPr="00EB4DCF">
        <w:rPr>
          <w:rFonts w:cs="Times New Roman"/>
          <w:sz w:val="22"/>
          <w:szCs w:val="22"/>
        </w:rPr>
        <w:t xml:space="preserve"> </w:t>
      </w:r>
      <w:r>
        <w:rPr>
          <w:rFonts w:cs="Times New Roman"/>
          <w:sz w:val="22"/>
          <w:szCs w:val="22"/>
        </w:rPr>
        <w:t>“</w:t>
      </w:r>
      <w:r w:rsidRPr="00EB4DCF">
        <w:rPr>
          <w:rFonts w:cs="Times New Roman"/>
          <w:sz w:val="22"/>
          <w:szCs w:val="22"/>
        </w:rPr>
        <w:t>Critical reflections on regulation</w:t>
      </w:r>
      <w:r>
        <w:rPr>
          <w:rFonts w:cs="Times New Roman"/>
          <w:sz w:val="22"/>
          <w:szCs w:val="22"/>
        </w:rPr>
        <w:t xml:space="preserve">”, </w:t>
      </w:r>
      <w:r w:rsidRPr="00B172D0">
        <w:rPr>
          <w:rFonts w:cs="Times New Roman"/>
          <w:i/>
          <w:sz w:val="22"/>
          <w:szCs w:val="22"/>
        </w:rPr>
        <w:t>Aust</w:t>
      </w:r>
      <w:r w:rsidR="00C75A13">
        <w:rPr>
          <w:rFonts w:cs="Times New Roman"/>
          <w:i/>
          <w:sz w:val="22"/>
          <w:szCs w:val="22"/>
        </w:rPr>
        <w:t>ralian</w:t>
      </w:r>
      <w:r w:rsidRPr="00B172D0">
        <w:rPr>
          <w:rFonts w:cs="Times New Roman"/>
          <w:i/>
          <w:sz w:val="22"/>
          <w:szCs w:val="22"/>
        </w:rPr>
        <w:t xml:space="preserve"> J</w:t>
      </w:r>
      <w:r w:rsidR="00C75A13">
        <w:rPr>
          <w:rFonts w:cs="Times New Roman"/>
          <w:i/>
          <w:sz w:val="22"/>
          <w:szCs w:val="22"/>
        </w:rPr>
        <w:t>ournal of</w:t>
      </w:r>
      <w:r w:rsidRPr="00B172D0">
        <w:rPr>
          <w:rFonts w:cs="Times New Roman"/>
          <w:i/>
          <w:sz w:val="22"/>
          <w:szCs w:val="22"/>
        </w:rPr>
        <w:t xml:space="preserve"> Leg</w:t>
      </w:r>
      <w:r w:rsidR="00C75A13">
        <w:rPr>
          <w:rFonts w:cs="Times New Roman"/>
          <w:i/>
          <w:sz w:val="22"/>
          <w:szCs w:val="22"/>
        </w:rPr>
        <w:t>al</w:t>
      </w:r>
      <w:r w:rsidRPr="00B172D0">
        <w:rPr>
          <w:rFonts w:cs="Times New Roman"/>
          <w:i/>
          <w:sz w:val="22"/>
          <w:szCs w:val="22"/>
        </w:rPr>
        <w:t xml:space="preserve"> Phil</w:t>
      </w:r>
      <w:r w:rsidR="00C75A13">
        <w:rPr>
          <w:rFonts w:cs="Times New Roman"/>
          <w:i/>
          <w:sz w:val="22"/>
          <w:szCs w:val="22"/>
        </w:rPr>
        <w:t>osophy</w:t>
      </w:r>
      <w:r w:rsidR="00C47D16">
        <w:rPr>
          <w:rFonts w:cs="Times New Roman"/>
          <w:sz w:val="22"/>
          <w:szCs w:val="22"/>
        </w:rPr>
        <w:t>,</w:t>
      </w:r>
      <w:r w:rsidRPr="00A7079A">
        <w:rPr>
          <w:rFonts w:cs="Times New Roman"/>
          <w:sz w:val="22"/>
          <w:szCs w:val="22"/>
        </w:rPr>
        <w:t xml:space="preserve"> Vol. 27</w:t>
      </w:r>
      <w:r w:rsidR="00C47D16">
        <w:rPr>
          <w:rFonts w:cs="Times New Roman"/>
          <w:sz w:val="22"/>
          <w:szCs w:val="22"/>
        </w:rPr>
        <w:t>, pp. 1-36.</w:t>
      </w:r>
      <w:r w:rsidRPr="00A7079A">
        <w:rPr>
          <w:rFonts w:cs="Times New Roman"/>
          <w:sz w:val="22"/>
          <w:szCs w:val="22"/>
        </w:rPr>
        <w:t xml:space="preserve"> </w:t>
      </w:r>
    </w:p>
    <w:p w14:paraId="76033FCA" w14:textId="231E7870" w:rsidR="003608F0" w:rsidRDefault="003608F0" w:rsidP="00276A73">
      <w:pPr>
        <w:spacing w:afterLines="80" w:after="192"/>
        <w:jc w:val="both"/>
        <w:rPr>
          <w:rFonts w:cs="Times New Roman"/>
          <w:sz w:val="22"/>
          <w:szCs w:val="22"/>
        </w:rPr>
      </w:pPr>
      <w:r>
        <w:rPr>
          <w:rFonts w:cs="Times New Roman"/>
          <w:sz w:val="22"/>
          <w:szCs w:val="22"/>
        </w:rPr>
        <w:t>Black, J. (2002b)</w:t>
      </w:r>
      <w:r w:rsidR="008E1A54">
        <w:rPr>
          <w:rFonts w:cs="Times New Roman"/>
          <w:sz w:val="22"/>
          <w:szCs w:val="22"/>
        </w:rPr>
        <w:t>,</w:t>
      </w:r>
      <w:r w:rsidRPr="00EB4DCF">
        <w:rPr>
          <w:rFonts w:cs="Times New Roman"/>
          <w:sz w:val="22"/>
          <w:szCs w:val="22"/>
        </w:rPr>
        <w:t xml:space="preserve"> </w:t>
      </w:r>
      <w:r>
        <w:rPr>
          <w:rFonts w:cs="Times New Roman"/>
          <w:sz w:val="22"/>
          <w:szCs w:val="22"/>
        </w:rPr>
        <w:t>“</w:t>
      </w:r>
      <w:r w:rsidRPr="00EB4DCF">
        <w:rPr>
          <w:rFonts w:cs="Times New Roman"/>
          <w:sz w:val="22"/>
          <w:szCs w:val="22"/>
        </w:rPr>
        <w:t>R</w:t>
      </w:r>
      <w:r>
        <w:rPr>
          <w:rFonts w:cs="Times New Roman"/>
          <w:sz w:val="22"/>
          <w:szCs w:val="22"/>
        </w:rPr>
        <w:t>egulatory conversations”,</w:t>
      </w:r>
      <w:r w:rsidRPr="00EB4DCF">
        <w:rPr>
          <w:rFonts w:cs="Times New Roman"/>
          <w:sz w:val="22"/>
          <w:szCs w:val="22"/>
        </w:rPr>
        <w:t xml:space="preserve"> </w:t>
      </w:r>
      <w:r w:rsidRPr="00B172D0">
        <w:rPr>
          <w:rFonts w:cs="Times New Roman"/>
          <w:i/>
          <w:sz w:val="22"/>
          <w:szCs w:val="22"/>
        </w:rPr>
        <w:t>Journal of Law and Society</w:t>
      </w:r>
      <w:r w:rsidRPr="00EB4DCF">
        <w:rPr>
          <w:rFonts w:cs="Times New Roman"/>
          <w:sz w:val="22"/>
          <w:szCs w:val="22"/>
        </w:rPr>
        <w:t xml:space="preserve">, </w:t>
      </w:r>
      <w:r>
        <w:rPr>
          <w:rFonts w:cs="Times New Roman"/>
          <w:sz w:val="22"/>
          <w:szCs w:val="22"/>
        </w:rPr>
        <w:t>Vol. 29 No. 1, pp.</w:t>
      </w:r>
      <w:r w:rsidRPr="00EB4DCF">
        <w:rPr>
          <w:rFonts w:cs="Times New Roman"/>
          <w:sz w:val="22"/>
          <w:szCs w:val="22"/>
        </w:rPr>
        <w:t xml:space="preserve"> 163-196.</w:t>
      </w:r>
    </w:p>
    <w:p w14:paraId="75B32150" w14:textId="6F5EF94C" w:rsidR="006A7087" w:rsidRPr="00B832B0" w:rsidRDefault="006A7087" w:rsidP="00276A73">
      <w:pPr>
        <w:spacing w:afterLines="80" w:after="192"/>
        <w:jc w:val="both"/>
        <w:rPr>
          <w:rFonts w:cs="Times New Roman"/>
          <w:sz w:val="22"/>
          <w:szCs w:val="22"/>
          <w:highlight w:val="cyan"/>
        </w:rPr>
      </w:pPr>
      <w:r w:rsidRPr="006A7087">
        <w:rPr>
          <w:rFonts w:cs="Times New Roman"/>
          <w:sz w:val="22"/>
          <w:szCs w:val="22"/>
        </w:rPr>
        <w:t>Black, J. (2008)</w:t>
      </w:r>
      <w:r w:rsidR="008E1A54">
        <w:rPr>
          <w:rFonts w:cs="Times New Roman"/>
          <w:sz w:val="22"/>
          <w:szCs w:val="22"/>
        </w:rPr>
        <w:t>,</w:t>
      </w:r>
      <w:r w:rsidRPr="006A7087">
        <w:rPr>
          <w:rFonts w:cs="Times New Roman"/>
          <w:sz w:val="22"/>
          <w:szCs w:val="22"/>
        </w:rPr>
        <w:t xml:space="preserve"> </w:t>
      </w:r>
      <w:r w:rsidR="00BE53C3">
        <w:rPr>
          <w:rFonts w:cs="Times New Roman"/>
          <w:sz w:val="22"/>
          <w:szCs w:val="22"/>
        </w:rPr>
        <w:t>“</w:t>
      </w:r>
      <w:r w:rsidRPr="006A7087">
        <w:rPr>
          <w:rFonts w:cs="Times New Roman"/>
          <w:sz w:val="22"/>
          <w:szCs w:val="22"/>
        </w:rPr>
        <w:t>Constructing and contesting legitimacy and accountability in polycentric regulatory regimes</w:t>
      </w:r>
      <w:r w:rsidR="00056188">
        <w:rPr>
          <w:rFonts w:cs="Times New Roman"/>
          <w:sz w:val="22"/>
          <w:szCs w:val="22"/>
        </w:rPr>
        <w:t>”,</w:t>
      </w:r>
      <w:r w:rsidRPr="006A7087">
        <w:rPr>
          <w:rFonts w:cs="Times New Roman"/>
          <w:sz w:val="22"/>
          <w:szCs w:val="22"/>
        </w:rPr>
        <w:t xml:space="preserve"> </w:t>
      </w:r>
      <w:r w:rsidRPr="006A7087">
        <w:rPr>
          <w:rFonts w:cs="Times New Roman"/>
          <w:i/>
          <w:sz w:val="22"/>
          <w:szCs w:val="22"/>
        </w:rPr>
        <w:t xml:space="preserve">Regulation </w:t>
      </w:r>
      <w:r w:rsidR="008E2543">
        <w:rPr>
          <w:rFonts w:cs="Times New Roman"/>
          <w:i/>
          <w:sz w:val="22"/>
          <w:szCs w:val="22"/>
        </w:rPr>
        <w:t>and</w:t>
      </w:r>
      <w:r w:rsidR="008E2543" w:rsidRPr="006A7087">
        <w:rPr>
          <w:rFonts w:cs="Times New Roman"/>
          <w:i/>
          <w:sz w:val="22"/>
          <w:szCs w:val="22"/>
        </w:rPr>
        <w:t xml:space="preserve"> </w:t>
      </w:r>
      <w:r w:rsidRPr="006A7087">
        <w:rPr>
          <w:rFonts w:cs="Times New Roman"/>
          <w:i/>
          <w:sz w:val="22"/>
          <w:szCs w:val="22"/>
        </w:rPr>
        <w:t>Governance</w:t>
      </w:r>
      <w:r w:rsidRPr="006A7087">
        <w:rPr>
          <w:rFonts w:cs="Times New Roman"/>
          <w:sz w:val="22"/>
          <w:szCs w:val="22"/>
        </w:rPr>
        <w:t xml:space="preserve">, </w:t>
      </w:r>
      <w:r w:rsidR="00056188">
        <w:rPr>
          <w:rFonts w:cs="Times New Roman"/>
          <w:sz w:val="22"/>
          <w:szCs w:val="22"/>
        </w:rPr>
        <w:t xml:space="preserve">Vol. </w:t>
      </w:r>
      <w:r w:rsidRPr="006A7087">
        <w:rPr>
          <w:rFonts w:cs="Times New Roman"/>
          <w:sz w:val="22"/>
          <w:szCs w:val="22"/>
        </w:rPr>
        <w:t xml:space="preserve">2 </w:t>
      </w:r>
      <w:r w:rsidR="00056188">
        <w:rPr>
          <w:rFonts w:cs="Times New Roman"/>
          <w:sz w:val="22"/>
          <w:szCs w:val="22"/>
        </w:rPr>
        <w:t xml:space="preserve">No. </w:t>
      </w:r>
      <w:r w:rsidRPr="006A7087">
        <w:rPr>
          <w:rFonts w:cs="Times New Roman"/>
          <w:sz w:val="22"/>
          <w:szCs w:val="22"/>
        </w:rPr>
        <w:t>2</w:t>
      </w:r>
      <w:r w:rsidR="00056188">
        <w:rPr>
          <w:rFonts w:cs="Times New Roman"/>
          <w:sz w:val="22"/>
          <w:szCs w:val="22"/>
        </w:rPr>
        <w:t>, pp.</w:t>
      </w:r>
      <w:r w:rsidRPr="006A7087">
        <w:rPr>
          <w:rFonts w:cs="Times New Roman"/>
          <w:sz w:val="22"/>
          <w:szCs w:val="22"/>
        </w:rPr>
        <w:t xml:space="preserve"> 137-164.</w:t>
      </w:r>
    </w:p>
    <w:p w14:paraId="741200DB" w14:textId="298ECB67" w:rsidR="003608F0" w:rsidRPr="00EB4DCF" w:rsidRDefault="003608F0" w:rsidP="00276A73">
      <w:pPr>
        <w:spacing w:afterLines="80" w:after="192"/>
        <w:jc w:val="both"/>
        <w:rPr>
          <w:rFonts w:cs="Times New Roman"/>
          <w:sz w:val="22"/>
          <w:szCs w:val="22"/>
        </w:rPr>
      </w:pPr>
      <w:r w:rsidRPr="00EB4DCF">
        <w:rPr>
          <w:rFonts w:cs="Times New Roman"/>
          <w:sz w:val="22"/>
          <w:szCs w:val="22"/>
        </w:rPr>
        <w:t>Botzem, S. (2012)</w:t>
      </w:r>
      <w:r w:rsidR="008E1A54">
        <w:rPr>
          <w:rFonts w:cs="Times New Roman"/>
          <w:sz w:val="22"/>
          <w:szCs w:val="22"/>
        </w:rPr>
        <w:t>,</w:t>
      </w:r>
      <w:r w:rsidRPr="00EB4DCF">
        <w:rPr>
          <w:rFonts w:cs="Times New Roman"/>
          <w:sz w:val="22"/>
          <w:szCs w:val="22"/>
        </w:rPr>
        <w:t xml:space="preserve"> </w:t>
      </w:r>
      <w:r w:rsidRPr="00EB4DCF">
        <w:rPr>
          <w:rFonts w:cs="Times New Roman"/>
          <w:i/>
          <w:sz w:val="22"/>
          <w:szCs w:val="22"/>
        </w:rPr>
        <w:t>The politics of accounting regulation: Organizing transnational standard setting in financial reporting</w:t>
      </w:r>
      <w:r w:rsidRPr="00EB4DCF">
        <w:rPr>
          <w:rFonts w:cs="Times New Roman"/>
          <w:sz w:val="22"/>
          <w:szCs w:val="22"/>
        </w:rPr>
        <w:t>, Edward Elgar Publishing, Cheltenham.</w:t>
      </w:r>
    </w:p>
    <w:p w14:paraId="71B7C911" w14:textId="0EC10356" w:rsidR="003608F0" w:rsidRPr="00EB4DCF" w:rsidRDefault="003608F0" w:rsidP="00276A73">
      <w:pPr>
        <w:spacing w:afterLines="80" w:after="192"/>
        <w:jc w:val="both"/>
        <w:rPr>
          <w:rFonts w:cs="Times New Roman"/>
          <w:sz w:val="22"/>
          <w:szCs w:val="22"/>
        </w:rPr>
      </w:pPr>
      <w:r w:rsidRPr="00EB4DCF">
        <w:rPr>
          <w:rFonts w:cs="Times New Roman"/>
          <w:sz w:val="22"/>
          <w:szCs w:val="22"/>
        </w:rPr>
        <w:t>Botzem, S. (2014)</w:t>
      </w:r>
      <w:r w:rsidR="008E1A54">
        <w:rPr>
          <w:rFonts w:cs="Times New Roman"/>
          <w:sz w:val="22"/>
          <w:szCs w:val="22"/>
        </w:rPr>
        <w:t>,</w:t>
      </w:r>
      <w:r w:rsidRPr="00EB4DCF">
        <w:rPr>
          <w:rFonts w:cs="Times New Roman"/>
          <w:sz w:val="22"/>
          <w:szCs w:val="22"/>
        </w:rPr>
        <w:t xml:space="preserve"> “Transnational standard setting in accounting: Organizing expertise-based self-regulation in times of crises”, </w:t>
      </w:r>
      <w:r w:rsidRPr="00EB4DCF">
        <w:rPr>
          <w:rFonts w:cs="Times New Roman"/>
          <w:i/>
          <w:sz w:val="22"/>
          <w:szCs w:val="22"/>
        </w:rPr>
        <w:t xml:space="preserve">Accounting, Auditing </w:t>
      </w:r>
      <w:r w:rsidR="0068074D">
        <w:rPr>
          <w:rFonts w:cs="Times New Roman"/>
          <w:i/>
          <w:sz w:val="22"/>
          <w:szCs w:val="22"/>
        </w:rPr>
        <w:t>&amp;</w:t>
      </w:r>
      <w:r w:rsidR="008E2543" w:rsidRPr="00EB4DCF">
        <w:rPr>
          <w:rFonts w:cs="Times New Roman"/>
          <w:i/>
          <w:sz w:val="22"/>
          <w:szCs w:val="22"/>
        </w:rPr>
        <w:t xml:space="preserve"> </w:t>
      </w:r>
      <w:r w:rsidRPr="00EB4DCF">
        <w:rPr>
          <w:rFonts w:cs="Times New Roman"/>
          <w:i/>
          <w:sz w:val="22"/>
          <w:szCs w:val="22"/>
        </w:rPr>
        <w:t>Accountability Journal</w:t>
      </w:r>
      <w:r w:rsidRPr="00EB4DCF">
        <w:rPr>
          <w:rFonts w:cs="Times New Roman"/>
          <w:sz w:val="22"/>
          <w:szCs w:val="22"/>
        </w:rPr>
        <w:t>, Vol. 27 No. 6, pp. 933-955.</w:t>
      </w:r>
    </w:p>
    <w:p w14:paraId="32A98697" w14:textId="646DE35E" w:rsidR="003608F0" w:rsidRPr="00EB4DCF" w:rsidRDefault="003608F0" w:rsidP="00276A73">
      <w:pPr>
        <w:spacing w:afterLines="80" w:after="192"/>
        <w:jc w:val="both"/>
        <w:rPr>
          <w:rFonts w:cs="Times New Roman"/>
          <w:sz w:val="22"/>
          <w:szCs w:val="22"/>
        </w:rPr>
      </w:pPr>
      <w:r w:rsidRPr="00EB4DCF">
        <w:rPr>
          <w:rFonts w:cs="Times New Roman"/>
          <w:sz w:val="22"/>
          <w:szCs w:val="22"/>
        </w:rPr>
        <w:t>Botzem, S. and Quack, S. (2009)</w:t>
      </w:r>
      <w:r w:rsidR="008E1A54">
        <w:rPr>
          <w:rFonts w:cs="Times New Roman"/>
          <w:sz w:val="22"/>
          <w:szCs w:val="22"/>
        </w:rPr>
        <w:t>,</w:t>
      </w:r>
      <w:r w:rsidRPr="00EB4DCF">
        <w:rPr>
          <w:rFonts w:cs="Times New Roman"/>
          <w:sz w:val="22"/>
          <w:szCs w:val="22"/>
        </w:rPr>
        <w:t xml:space="preserve"> “(No) limits to Anglo-American accounting? Reconstructing the history of the International Accounting Standards Committee: a review article”, </w:t>
      </w:r>
      <w:r w:rsidRPr="00EB4DCF">
        <w:rPr>
          <w:rFonts w:cs="Times New Roman"/>
          <w:i/>
          <w:sz w:val="22"/>
          <w:szCs w:val="22"/>
        </w:rPr>
        <w:t>Accounting, Organizations and Society</w:t>
      </w:r>
      <w:r w:rsidRPr="00EB4DCF">
        <w:rPr>
          <w:rFonts w:cs="Times New Roman"/>
          <w:sz w:val="22"/>
          <w:szCs w:val="22"/>
        </w:rPr>
        <w:t>, Vol. 34 No. 8, pp. 988-998.</w:t>
      </w:r>
    </w:p>
    <w:p w14:paraId="2C9D1A9C" w14:textId="795D85F7" w:rsidR="003608F0" w:rsidRDefault="003608F0" w:rsidP="00276A73">
      <w:pPr>
        <w:spacing w:afterLines="80" w:after="192"/>
        <w:jc w:val="both"/>
        <w:rPr>
          <w:rFonts w:cs="Times New Roman"/>
          <w:sz w:val="22"/>
          <w:szCs w:val="22"/>
        </w:rPr>
      </w:pPr>
      <w:r w:rsidRPr="00074670">
        <w:rPr>
          <w:rFonts w:cs="Times New Roman"/>
          <w:sz w:val="22"/>
          <w:szCs w:val="22"/>
        </w:rPr>
        <w:t>Bromwich, M. (1980)</w:t>
      </w:r>
      <w:r w:rsidR="008E1A54">
        <w:rPr>
          <w:rFonts w:cs="Times New Roman"/>
          <w:sz w:val="22"/>
          <w:szCs w:val="22"/>
        </w:rPr>
        <w:t>,</w:t>
      </w:r>
      <w:r w:rsidRPr="00074670">
        <w:rPr>
          <w:rFonts w:cs="Times New Roman"/>
          <w:sz w:val="22"/>
          <w:szCs w:val="22"/>
        </w:rPr>
        <w:t xml:space="preserve"> “The possibility of partial accounting standards”, </w:t>
      </w:r>
      <w:r w:rsidRPr="001404BA">
        <w:rPr>
          <w:rFonts w:cs="Times New Roman"/>
          <w:i/>
          <w:sz w:val="22"/>
          <w:szCs w:val="22"/>
        </w:rPr>
        <w:t>Accounting Review</w:t>
      </w:r>
      <w:r w:rsidRPr="00074670">
        <w:rPr>
          <w:rFonts w:cs="Times New Roman"/>
          <w:sz w:val="22"/>
          <w:szCs w:val="22"/>
        </w:rPr>
        <w:t xml:space="preserve">, </w:t>
      </w:r>
      <w:r w:rsidR="00C75A13">
        <w:rPr>
          <w:rFonts w:cs="Times New Roman"/>
          <w:sz w:val="22"/>
          <w:szCs w:val="22"/>
        </w:rPr>
        <w:t xml:space="preserve">Vol. 55 No. 2, </w:t>
      </w:r>
      <w:r w:rsidRPr="00074670">
        <w:rPr>
          <w:rFonts w:cs="Times New Roman"/>
          <w:sz w:val="22"/>
          <w:szCs w:val="22"/>
        </w:rPr>
        <w:t>pp. 288-300.</w:t>
      </w:r>
    </w:p>
    <w:p w14:paraId="22129EA7" w14:textId="1DA9B224" w:rsidR="00276A73" w:rsidRPr="00074670" w:rsidRDefault="00276A73" w:rsidP="00276A73">
      <w:pPr>
        <w:spacing w:afterLines="80" w:after="192"/>
        <w:jc w:val="both"/>
        <w:rPr>
          <w:rFonts w:cs="Times New Roman"/>
          <w:sz w:val="22"/>
          <w:szCs w:val="22"/>
        </w:rPr>
      </w:pPr>
      <w:r w:rsidRPr="00276A73">
        <w:rPr>
          <w:rFonts w:cs="Times New Roman"/>
          <w:sz w:val="22"/>
          <w:szCs w:val="22"/>
        </w:rPr>
        <w:t>Brown, J. (2009)</w:t>
      </w:r>
      <w:r w:rsidR="008E1A54">
        <w:rPr>
          <w:rFonts w:cs="Times New Roman"/>
          <w:sz w:val="22"/>
          <w:szCs w:val="22"/>
        </w:rPr>
        <w:t>,</w:t>
      </w:r>
      <w:r w:rsidRPr="00276A73">
        <w:rPr>
          <w:rFonts w:cs="Times New Roman"/>
          <w:sz w:val="22"/>
          <w:szCs w:val="22"/>
        </w:rPr>
        <w:t xml:space="preserve"> </w:t>
      </w:r>
      <w:r w:rsidR="00BE53C3">
        <w:rPr>
          <w:rFonts w:cs="Times New Roman"/>
          <w:sz w:val="22"/>
          <w:szCs w:val="22"/>
        </w:rPr>
        <w:t>“</w:t>
      </w:r>
      <w:r w:rsidRPr="00276A73">
        <w:rPr>
          <w:rFonts w:cs="Times New Roman"/>
          <w:sz w:val="22"/>
          <w:szCs w:val="22"/>
        </w:rPr>
        <w:t>Democracy, sustainability and dialogic accounting</w:t>
      </w:r>
      <w:r>
        <w:rPr>
          <w:rFonts w:cs="Times New Roman"/>
          <w:sz w:val="22"/>
          <w:szCs w:val="22"/>
        </w:rPr>
        <w:t xml:space="preserve"> technologies: Taking pluralism </w:t>
      </w:r>
      <w:r w:rsidRPr="00276A73">
        <w:rPr>
          <w:rFonts w:cs="Times New Roman"/>
          <w:sz w:val="22"/>
          <w:szCs w:val="22"/>
        </w:rPr>
        <w:t>seriously</w:t>
      </w:r>
      <w:r w:rsidR="00BE53C3">
        <w:rPr>
          <w:rFonts w:cs="Times New Roman"/>
          <w:sz w:val="22"/>
          <w:szCs w:val="22"/>
        </w:rPr>
        <w:t>”</w:t>
      </w:r>
      <w:r w:rsidRPr="00276A73">
        <w:rPr>
          <w:rFonts w:cs="Times New Roman"/>
          <w:sz w:val="22"/>
          <w:szCs w:val="22"/>
        </w:rPr>
        <w:t xml:space="preserve">. </w:t>
      </w:r>
      <w:r w:rsidRPr="00276A73">
        <w:rPr>
          <w:rFonts w:cs="Times New Roman"/>
          <w:i/>
          <w:sz w:val="22"/>
          <w:szCs w:val="22"/>
        </w:rPr>
        <w:t>Critical Perspectives on Accounting</w:t>
      </w:r>
      <w:r w:rsidRPr="00276A73">
        <w:rPr>
          <w:rFonts w:cs="Times New Roman"/>
          <w:sz w:val="22"/>
          <w:szCs w:val="22"/>
        </w:rPr>
        <w:t xml:space="preserve">, </w:t>
      </w:r>
      <w:r w:rsidR="00056188">
        <w:rPr>
          <w:rFonts w:cs="Times New Roman"/>
          <w:sz w:val="22"/>
          <w:szCs w:val="22"/>
        </w:rPr>
        <w:t xml:space="preserve">Vol. </w:t>
      </w:r>
      <w:r w:rsidRPr="00276A73">
        <w:rPr>
          <w:rFonts w:cs="Times New Roman"/>
          <w:sz w:val="22"/>
          <w:szCs w:val="22"/>
        </w:rPr>
        <w:t>20</w:t>
      </w:r>
      <w:r w:rsidR="00056188">
        <w:rPr>
          <w:rFonts w:cs="Times New Roman"/>
          <w:sz w:val="22"/>
          <w:szCs w:val="22"/>
        </w:rPr>
        <w:t xml:space="preserve"> No. </w:t>
      </w:r>
      <w:r w:rsidRPr="00276A73">
        <w:rPr>
          <w:rFonts w:cs="Times New Roman"/>
          <w:sz w:val="22"/>
          <w:szCs w:val="22"/>
        </w:rPr>
        <w:t xml:space="preserve">3, </w:t>
      </w:r>
      <w:r w:rsidR="00056188">
        <w:rPr>
          <w:rFonts w:cs="Times New Roman"/>
          <w:sz w:val="22"/>
          <w:szCs w:val="22"/>
        </w:rPr>
        <w:t xml:space="preserve">pp. </w:t>
      </w:r>
      <w:r w:rsidRPr="00276A73">
        <w:rPr>
          <w:rFonts w:cs="Times New Roman"/>
          <w:sz w:val="22"/>
          <w:szCs w:val="22"/>
        </w:rPr>
        <w:t>313-342.</w:t>
      </w:r>
    </w:p>
    <w:p w14:paraId="3F5D2730" w14:textId="139A3D3C" w:rsidR="003608F0" w:rsidRDefault="003608F0" w:rsidP="00276A73">
      <w:pPr>
        <w:spacing w:afterLines="80" w:after="192"/>
        <w:jc w:val="both"/>
        <w:rPr>
          <w:rFonts w:cs="Times New Roman"/>
          <w:sz w:val="22"/>
          <w:szCs w:val="22"/>
        </w:rPr>
      </w:pPr>
      <w:r w:rsidRPr="001404BA">
        <w:rPr>
          <w:rFonts w:cs="Times New Roman"/>
          <w:sz w:val="22"/>
          <w:szCs w:val="22"/>
        </w:rPr>
        <w:t>Brunsson, N. (1989)</w:t>
      </w:r>
      <w:r w:rsidR="008E1A54">
        <w:rPr>
          <w:rFonts w:cs="Times New Roman"/>
          <w:sz w:val="22"/>
          <w:szCs w:val="22"/>
        </w:rPr>
        <w:t>,</w:t>
      </w:r>
      <w:r w:rsidRPr="001404BA">
        <w:rPr>
          <w:rFonts w:cs="Times New Roman"/>
          <w:sz w:val="22"/>
          <w:szCs w:val="22"/>
        </w:rPr>
        <w:t xml:space="preserve"> </w:t>
      </w:r>
      <w:r w:rsidRPr="001404BA">
        <w:rPr>
          <w:rFonts w:cs="Times New Roman"/>
          <w:i/>
          <w:sz w:val="22"/>
          <w:szCs w:val="22"/>
        </w:rPr>
        <w:t>The Organization of Hypocrisy: Talk, Decisions and Actions in Organizations</w:t>
      </w:r>
      <w:r w:rsidRPr="001404BA">
        <w:rPr>
          <w:rFonts w:cs="Times New Roman"/>
          <w:sz w:val="22"/>
          <w:szCs w:val="22"/>
        </w:rPr>
        <w:t xml:space="preserve">, John Wiley </w:t>
      </w:r>
      <w:r w:rsidR="008E2543">
        <w:rPr>
          <w:rFonts w:cs="Times New Roman"/>
          <w:sz w:val="22"/>
          <w:szCs w:val="22"/>
        </w:rPr>
        <w:t>and</w:t>
      </w:r>
      <w:r w:rsidR="008E2543" w:rsidRPr="001404BA">
        <w:rPr>
          <w:rFonts w:cs="Times New Roman"/>
          <w:sz w:val="22"/>
          <w:szCs w:val="22"/>
        </w:rPr>
        <w:t xml:space="preserve"> </w:t>
      </w:r>
      <w:r w:rsidRPr="001404BA">
        <w:rPr>
          <w:rFonts w:cs="Times New Roman"/>
          <w:sz w:val="22"/>
          <w:szCs w:val="22"/>
        </w:rPr>
        <w:t>Sons, Chichester.</w:t>
      </w:r>
    </w:p>
    <w:p w14:paraId="13518096" w14:textId="38BB8CEB" w:rsidR="00731B92" w:rsidRDefault="00731B92" w:rsidP="00731B92">
      <w:pPr>
        <w:spacing w:afterLines="80" w:after="192"/>
        <w:jc w:val="both"/>
        <w:rPr>
          <w:rFonts w:cs="Times New Roman"/>
          <w:sz w:val="22"/>
          <w:szCs w:val="22"/>
        </w:rPr>
      </w:pPr>
      <w:r w:rsidRPr="00731B92">
        <w:rPr>
          <w:rFonts w:cs="Times New Roman"/>
          <w:sz w:val="22"/>
          <w:szCs w:val="22"/>
        </w:rPr>
        <w:t>B</w:t>
      </w:r>
      <w:r>
        <w:rPr>
          <w:rFonts w:cs="Times New Roman"/>
          <w:sz w:val="22"/>
          <w:szCs w:val="22"/>
        </w:rPr>
        <w:t>urlaud, A. and Colasse, B. (2011),</w:t>
      </w:r>
      <w:r w:rsidRPr="00731B92">
        <w:rPr>
          <w:rFonts w:cs="Times New Roman"/>
          <w:sz w:val="22"/>
          <w:szCs w:val="22"/>
        </w:rPr>
        <w:t xml:space="preserve"> </w:t>
      </w:r>
      <w:r w:rsidRPr="00731B92">
        <w:rPr>
          <w:rFonts w:cs="Times New Roman"/>
          <w:i/>
          <w:sz w:val="22"/>
          <w:szCs w:val="22"/>
        </w:rPr>
        <w:t>International Accounting Standardisation: is politics back?</w:t>
      </w:r>
      <w:r>
        <w:rPr>
          <w:rFonts w:cs="Times New Roman"/>
          <w:i/>
          <w:sz w:val="22"/>
          <w:szCs w:val="22"/>
        </w:rPr>
        <w:t>,</w:t>
      </w:r>
      <w:r>
        <w:rPr>
          <w:rFonts w:cs="Times New Roman"/>
          <w:sz w:val="22"/>
          <w:szCs w:val="22"/>
        </w:rPr>
        <w:t xml:space="preserve"> </w:t>
      </w:r>
      <w:r w:rsidRPr="00731B92">
        <w:rPr>
          <w:rFonts w:cs="Times New Roman"/>
          <w:i/>
          <w:sz w:val="22"/>
          <w:szCs w:val="22"/>
        </w:rPr>
        <w:t>Accounting in Europe,</w:t>
      </w:r>
      <w:r w:rsidRPr="00731B92">
        <w:rPr>
          <w:rFonts w:cs="Times New Roman"/>
          <w:sz w:val="22"/>
          <w:szCs w:val="22"/>
        </w:rPr>
        <w:t xml:space="preserve"> </w:t>
      </w:r>
      <w:r>
        <w:rPr>
          <w:rFonts w:cs="Times New Roman"/>
          <w:sz w:val="22"/>
          <w:szCs w:val="22"/>
        </w:rPr>
        <w:t>Vol. 8, pp.</w:t>
      </w:r>
      <w:r w:rsidRPr="00731B92">
        <w:rPr>
          <w:rFonts w:cs="Times New Roman"/>
          <w:sz w:val="22"/>
          <w:szCs w:val="22"/>
        </w:rPr>
        <w:t xml:space="preserve"> 23-47</w:t>
      </w:r>
    </w:p>
    <w:p w14:paraId="2F4C401E" w14:textId="2A044CA8" w:rsidR="006E683F" w:rsidRPr="001404BA" w:rsidRDefault="006E683F" w:rsidP="006E683F">
      <w:pPr>
        <w:spacing w:afterLines="80" w:after="192"/>
        <w:jc w:val="both"/>
        <w:rPr>
          <w:rFonts w:cs="Times New Roman"/>
          <w:sz w:val="22"/>
          <w:szCs w:val="22"/>
        </w:rPr>
      </w:pPr>
      <w:r w:rsidRPr="006E683F">
        <w:rPr>
          <w:rFonts w:cs="Times New Roman"/>
          <w:sz w:val="22"/>
          <w:szCs w:val="22"/>
        </w:rPr>
        <w:t>Camfferman, K. and S. A. Zeff (2015), Aiming for Global Accounting Standards: The International Accounting Standards Board</w:t>
      </w:r>
      <w:r>
        <w:rPr>
          <w:rFonts w:cs="Times New Roman"/>
          <w:sz w:val="22"/>
          <w:szCs w:val="22"/>
        </w:rPr>
        <w:t xml:space="preserve"> </w:t>
      </w:r>
      <w:r w:rsidRPr="006E683F">
        <w:rPr>
          <w:rFonts w:cs="Times New Roman"/>
          <w:sz w:val="22"/>
          <w:szCs w:val="22"/>
        </w:rPr>
        <w:t>2001–2011, Oxford University Press, Oxford.</w:t>
      </w:r>
    </w:p>
    <w:p w14:paraId="44A03775" w14:textId="48CC6956" w:rsidR="003608F0" w:rsidRPr="001404BA" w:rsidRDefault="003608F0" w:rsidP="00276A73">
      <w:pPr>
        <w:spacing w:afterLines="80" w:after="192"/>
        <w:jc w:val="both"/>
        <w:rPr>
          <w:rFonts w:cstheme="minorHAnsi"/>
          <w:sz w:val="22"/>
          <w:szCs w:val="22"/>
        </w:rPr>
      </w:pPr>
      <w:r w:rsidRPr="001404BA">
        <w:rPr>
          <w:rFonts w:eastAsia="Times New Roman" w:cstheme="minorHAnsi"/>
          <w:color w:val="222222"/>
          <w:sz w:val="22"/>
          <w:szCs w:val="22"/>
          <w:shd w:val="clear" w:color="auto" w:fill="FFFFFF"/>
          <w:lang w:val="en-GB" w:eastAsia="en-GB"/>
        </w:rPr>
        <w:t xml:space="preserve">Carter, D., </w:t>
      </w:r>
      <w:r w:rsidR="00A272D9">
        <w:rPr>
          <w:rFonts w:eastAsia="Times New Roman" w:cstheme="minorHAnsi"/>
          <w:color w:val="222222"/>
          <w:sz w:val="22"/>
          <w:szCs w:val="22"/>
          <w:shd w:val="clear" w:color="auto" w:fill="FFFFFF"/>
          <w:lang w:val="en-GB" w:eastAsia="en-GB"/>
        </w:rPr>
        <w:t>and</w:t>
      </w:r>
      <w:r w:rsidRPr="001404BA">
        <w:rPr>
          <w:rFonts w:eastAsia="Times New Roman" w:cstheme="minorHAnsi"/>
          <w:color w:val="222222"/>
          <w:sz w:val="22"/>
          <w:szCs w:val="22"/>
          <w:shd w:val="clear" w:color="auto" w:fill="FFFFFF"/>
          <w:lang w:val="en-GB" w:eastAsia="en-GB"/>
        </w:rPr>
        <w:t xml:space="preserve"> Warren, R. (2018</w:t>
      </w:r>
      <w:r w:rsidRPr="001404BA">
        <w:rPr>
          <w:rFonts w:eastAsia="Times New Roman" w:cstheme="minorHAnsi"/>
          <w:noProof/>
          <w:color w:val="222222"/>
          <w:sz w:val="22"/>
          <w:szCs w:val="22"/>
          <w:shd w:val="clear" w:color="auto" w:fill="FFFFFF"/>
          <w:lang w:val="en-GB" w:eastAsia="en-GB"/>
        </w:rPr>
        <w:t>a</w:t>
      </w:r>
      <w:r>
        <w:rPr>
          <w:rFonts w:eastAsia="Times New Roman" w:cstheme="minorHAnsi"/>
          <w:color w:val="222222"/>
          <w:sz w:val="22"/>
          <w:szCs w:val="22"/>
          <w:shd w:val="clear" w:color="auto" w:fill="FFFFFF"/>
          <w:lang w:val="en-GB" w:eastAsia="en-GB"/>
        </w:rPr>
        <w:t>), “</w:t>
      </w:r>
      <w:r w:rsidRPr="001404BA">
        <w:rPr>
          <w:rFonts w:eastAsia="Times New Roman" w:cstheme="minorHAnsi"/>
          <w:color w:val="222222"/>
          <w:sz w:val="22"/>
          <w:szCs w:val="22"/>
          <w:shd w:val="clear" w:color="auto" w:fill="FFFFFF"/>
          <w:lang w:val="en-GB" w:eastAsia="en-GB"/>
        </w:rPr>
        <w:t>Accounting for indebtedness: geopolitics, technocracy and advanced financial capital</w:t>
      </w:r>
      <w:r>
        <w:rPr>
          <w:rFonts w:eastAsia="Times New Roman" w:cstheme="minorHAnsi"/>
          <w:color w:val="222222"/>
          <w:sz w:val="22"/>
          <w:szCs w:val="22"/>
          <w:shd w:val="clear" w:color="auto" w:fill="FFFFFF"/>
          <w:lang w:val="en-GB" w:eastAsia="en-GB"/>
        </w:rPr>
        <w:t>”</w:t>
      </w:r>
      <w:r w:rsidRPr="001404BA">
        <w:rPr>
          <w:rFonts w:eastAsia="Times New Roman" w:cstheme="minorHAnsi"/>
          <w:color w:val="222222"/>
          <w:sz w:val="22"/>
          <w:szCs w:val="22"/>
          <w:shd w:val="clear" w:color="auto" w:fill="FFFFFF"/>
          <w:lang w:val="en-GB" w:eastAsia="en-GB"/>
        </w:rPr>
        <w:t>. </w:t>
      </w:r>
      <w:r w:rsidRPr="001404BA">
        <w:rPr>
          <w:rFonts w:eastAsia="Times New Roman" w:cstheme="minorHAnsi"/>
          <w:i/>
          <w:iCs/>
          <w:color w:val="222222"/>
          <w:sz w:val="22"/>
          <w:szCs w:val="22"/>
          <w:shd w:val="clear" w:color="auto" w:fill="FFFFFF"/>
          <w:lang w:val="en-GB" w:eastAsia="en-GB"/>
        </w:rPr>
        <w:t>Innovation: The European Journal of Social Science Research</w:t>
      </w:r>
      <w:r w:rsidRPr="001404BA">
        <w:rPr>
          <w:rFonts w:eastAsia="Times New Roman" w:cstheme="minorHAnsi"/>
          <w:color w:val="222222"/>
          <w:sz w:val="22"/>
          <w:szCs w:val="22"/>
          <w:shd w:val="clear" w:color="auto" w:fill="FFFFFF"/>
          <w:lang w:val="en-GB" w:eastAsia="en-GB"/>
        </w:rPr>
        <w:t>, </w:t>
      </w:r>
      <w:r>
        <w:rPr>
          <w:rFonts w:eastAsia="Times New Roman" w:cstheme="minorHAnsi"/>
          <w:color w:val="222222"/>
          <w:sz w:val="22"/>
          <w:szCs w:val="22"/>
          <w:shd w:val="clear" w:color="auto" w:fill="FFFFFF"/>
          <w:lang w:val="en-GB" w:eastAsia="en-GB"/>
        </w:rPr>
        <w:t xml:space="preserve">Vol. </w:t>
      </w:r>
      <w:r w:rsidRPr="00B172D0">
        <w:rPr>
          <w:rFonts w:eastAsia="Times New Roman" w:cstheme="minorHAnsi"/>
          <w:iCs/>
          <w:color w:val="222222"/>
          <w:sz w:val="22"/>
          <w:szCs w:val="22"/>
          <w:shd w:val="clear" w:color="auto" w:fill="FFFFFF"/>
          <w:lang w:val="en-GB" w:eastAsia="en-GB"/>
        </w:rPr>
        <w:t>31</w:t>
      </w:r>
      <w:r>
        <w:rPr>
          <w:rFonts w:eastAsia="Times New Roman" w:cstheme="minorHAnsi"/>
          <w:color w:val="222222"/>
          <w:sz w:val="22"/>
          <w:szCs w:val="22"/>
          <w:shd w:val="clear" w:color="auto" w:fill="FFFFFF"/>
          <w:lang w:val="en-GB" w:eastAsia="en-GB"/>
        </w:rPr>
        <w:t xml:space="preserve"> No. 1</w:t>
      </w:r>
      <w:r w:rsidRPr="001404BA">
        <w:rPr>
          <w:rFonts w:eastAsia="Times New Roman" w:cstheme="minorHAnsi"/>
          <w:color w:val="222222"/>
          <w:sz w:val="22"/>
          <w:szCs w:val="22"/>
          <w:shd w:val="clear" w:color="auto" w:fill="FFFFFF"/>
          <w:lang w:val="en-GB" w:eastAsia="en-GB"/>
        </w:rPr>
        <w:t>,</w:t>
      </w:r>
      <w:r>
        <w:rPr>
          <w:rFonts w:eastAsia="Times New Roman" w:cstheme="minorHAnsi"/>
          <w:color w:val="222222"/>
          <w:sz w:val="22"/>
          <w:szCs w:val="22"/>
          <w:shd w:val="clear" w:color="auto" w:fill="FFFFFF"/>
          <w:lang w:val="en-GB" w:eastAsia="en-GB"/>
        </w:rPr>
        <w:t xml:space="preserve"> pp.</w:t>
      </w:r>
      <w:r w:rsidRPr="001404BA">
        <w:rPr>
          <w:rFonts w:eastAsia="Times New Roman" w:cstheme="minorHAnsi"/>
          <w:color w:val="222222"/>
          <w:sz w:val="22"/>
          <w:szCs w:val="22"/>
          <w:shd w:val="clear" w:color="auto" w:fill="FFFFFF"/>
          <w:lang w:val="en-GB" w:eastAsia="en-GB"/>
        </w:rPr>
        <w:t xml:space="preserve"> 83-104.</w:t>
      </w:r>
    </w:p>
    <w:p w14:paraId="517C6476" w14:textId="161E1555" w:rsidR="003608F0" w:rsidRDefault="003608F0" w:rsidP="00276A73">
      <w:pPr>
        <w:spacing w:afterLines="80" w:after="192"/>
        <w:jc w:val="both"/>
        <w:rPr>
          <w:rFonts w:eastAsia="Times New Roman" w:cstheme="minorHAnsi"/>
          <w:color w:val="222222"/>
          <w:sz w:val="22"/>
          <w:szCs w:val="22"/>
          <w:shd w:val="clear" w:color="auto" w:fill="FFFFFF"/>
          <w:lang w:val="en-GB" w:eastAsia="en-GB"/>
        </w:rPr>
      </w:pPr>
      <w:r w:rsidRPr="001404BA">
        <w:rPr>
          <w:rFonts w:eastAsia="Times New Roman" w:cstheme="minorHAnsi"/>
          <w:color w:val="222222"/>
          <w:sz w:val="22"/>
          <w:szCs w:val="22"/>
          <w:shd w:val="clear" w:color="auto" w:fill="FFFFFF"/>
          <w:lang w:val="en-GB" w:eastAsia="en-GB"/>
        </w:rPr>
        <w:t xml:space="preserve">Carter, D., </w:t>
      </w:r>
      <w:r w:rsidR="00A272D9">
        <w:rPr>
          <w:rFonts w:eastAsia="Times New Roman" w:cstheme="minorHAnsi"/>
          <w:color w:val="222222"/>
          <w:sz w:val="22"/>
          <w:szCs w:val="22"/>
          <w:shd w:val="clear" w:color="auto" w:fill="FFFFFF"/>
          <w:lang w:val="en-GB" w:eastAsia="en-GB"/>
        </w:rPr>
        <w:t>and</w:t>
      </w:r>
      <w:r w:rsidRPr="001404BA">
        <w:rPr>
          <w:rFonts w:eastAsia="Times New Roman" w:cstheme="minorHAnsi"/>
          <w:color w:val="222222"/>
          <w:sz w:val="22"/>
          <w:szCs w:val="22"/>
          <w:shd w:val="clear" w:color="auto" w:fill="FFFFFF"/>
          <w:lang w:val="en-GB" w:eastAsia="en-GB"/>
        </w:rPr>
        <w:t xml:space="preserve"> Warren, R. (2018</w:t>
      </w:r>
      <w:r w:rsidRPr="001404BA">
        <w:rPr>
          <w:rFonts w:eastAsia="Times New Roman" w:cstheme="minorHAnsi"/>
          <w:noProof/>
          <w:color w:val="222222"/>
          <w:sz w:val="22"/>
          <w:szCs w:val="22"/>
          <w:shd w:val="clear" w:color="auto" w:fill="FFFFFF"/>
          <w:lang w:val="en-GB" w:eastAsia="en-GB"/>
        </w:rPr>
        <w:t>b</w:t>
      </w:r>
      <w:r>
        <w:rPr>
          <w:rFonts w:eastAsia="Times New Roman" w:cstheme="minorHAnsi"/>
          <w:color w:val="222222"/>
          <w:sz w:val="22"/>
          <w:szCs w:val="22"/>
          <w:shd w:val="clear" w:color="auto" w:fill="FFFFFF"/>
          <w:lang w:val="en-GB" w:eastAsia="en-GB"/>
        </w:rPr>
        <w:t>), “</w:t>
      </w:r>
      <w:r w:rsidRPr="001404BA">
        <w:rPr>
          <w:rFonts w:eastAsia="Times New Roman" w:cstheme="minorHAnsi"/>
          <w:color w:val="222222"/>
          <w:sz w:val="22"/>
          <w:szCs w:val="22"/>
          <w:shd w:val="clear" w:color="auto" w:fill="FFFFFF"/>
          <w:lang w:val="en-GB" w:eastAsia="en-GB"/>
        </w:rPr>
        <w:t>Metonyms and metaphor: the rhetorical redescription of public interest for the international accounting standards board</w:t>
      </w:r>
      <w:r>
        <w:rPr>
          <w:rFonts w:eastAsia="Times New Roman" w:cstheme="minorHAnsi"/>
          <w:color w:val="222222"/>
          <w:sz w:val="22"/>
          <w:szCs w:val="22"/>
          <w:shd w:val="clear" w:color="auto" w:fill="FFFFFF"/>
          <w:lang w:val="en-GB" w:eastAsia="en-GB"/>
        </w:rPr>
        <w:t>”,</w:t>
      </w:r>
      <w:r w:rsidRPr="001404BA">
        <w:rPr>
          <w:rFonts w:eastAsia="Times New Roman" w:cstheme="minorHAnsi"/>
          <w:color w:val="222222"/>
          <w:sz w:val="22"/>
          <w:szCs w:val="22"/>
          <w:shd w:val="clear" w:color="auto" w:fill="FFFFFF"/>
          <w:lang w:val="en-GB" w:eastAsia="en-GB"/>
        </w:rPr>
        <w:t> </w:t>
      </w:r>
      <w:r w:rsidRPr="001404BA">
        <w:rPr>
          <w:rFonts w:eastAsia="Times New Roman" w:cstheme="minorHAnsi"/>
          <w:i/>
          <w:iCs/>
          <w:color w:val="222222"/>
          <w:sz w:val="22"/>
          <w:szCs w:val="22"/>
          <w:shd w:val="clear" w:color="auto" w:fill="FFFFFF"/>
          <w:lang w:val="en-GB" w:eastAsia="en-GB"/>
        </w:rPr>
        <w:t>Critical Policy Studies</w:t>
      </w:r>
      <w:r w:rsidRPr="001404BA">
        <w:rPr>
          <w:rFonts w:eastAsia="Times New Roman" w:cstheme="minorHAnsi"/>
          <w:color w:val="222222"/>
          <w:sz w:val="22"/>
          <w:szCs w:val="22"/>
          <w:shd w:val="clear" w:color="auto" w:fill="FFFFFF"/>
          <w:lang w:val="en-GB" w:eastAsia="en-GB"/>
        </w:rPr>
        <w:t>,</w:t>
      </w:r>
      <w:r>
        <w:rPr>
          <w:rFonts w:eastAsia="Times New Roman" w:cstheme="minorHAnsi"/>
          <w:color w:val="222222"/>
          <w:sz w:val="22"/>
          <w:szCs w:val="22"/>
          <w:shd w:val="clear" w:color="auto" w:fill="FFFFFF"/>
          <w:lang w:val="en-GB" w:eastAsia="en-GB"/>
        </w:rPr>
        <w:t xml:space="preserve"> pp.</w:t>
      </w:r>
      <w:r w:rsidRPr="001404BA">
        <w:rPr>
          <w:rFonts w:eastAsia="Times New Roman" w:cstheme="minorHAnsi"/>
          <w:color w:val="222222"/>
          <w:sz w:val="22"/>
          <w:szCs w:val="22"/>
          <w:shd w:val="clear" w:color="auto" w:fill="FFFFFF"/>
          <w:lang w:val="en-GB" w:eastAsia="en-GB"/>
        </w:rPr>
        <w:t xml:space="preserve"> 1-26.</w:t>
      </w:r>
    </w:p>
    <w:p w14:paraId="0ECEA7B4" w14:textId="7CEF1F9F" w:rsidR="00731B92" w:rsidRPr="00731B92" w:rsidRDefault="006A7087" w:rsidP="00731B92">
      <w:pPr>
        <w:spacing w:afterLines="80" w:after="192"/>
        <w:jc w:val="both"/>
        <w:rPr>
          <w:rFonts w:eastAsia="Times New Roman" w:cstheme="minorHAnsi"/>
          <w:sz w:val="22"/>
          <w:szCs w:val="22"/>
          <w:lang w:val="en-GB" w:eastAsia="en-GB"/>
        </w:rPr>
      </w:pPr>
      <w:r w:rsidRPr="006A7087">
        <w:rPr>
          <w:rFonts w:eastAsia="Times New Roman" w:cstheme="minorHAnsi"/>
          <w:sz w:val="22"/>
          <w:szCs w:val="22"/>
          <w:lang w:val="en-GB" w:eastAsia="en-GB"/>
        </w:rPr>
        <w:lastRenderedPageBreak/>
        <w:t>Catlett, G. R. (1960)</w:t>
      </w:r>
      <w:r w:rsidR="00A313B8">
        <w:rPr>
          <w:rFonts w:eastAsia="Times New Roman" w:cstheme="minorHAnsi"/>
          <w:sz w:val="22"/>
          <w:szCs w:val="22"/>
          <w:lang w:val="en-GB" w:eastAsia="en-GB"/>
        </w:rPr>
        <w:t>,</w:t>
      </w:r>
      <w:r w:rsidRPr="006A7087">
        <w:rPr>
          <w:rFonts w:eastAsia="Times New Roman" w:cstheme="minorHAnsi"/>
          <w:sz w:val="22"/>
          <w:szCs w:val="22"/>
          <w:lang w:val="en-GB" w:eastAsia="en-GB"/>
        </w:rPr>
        <w:t xml:space="preserve"> Factors that influence accounting principles. </w:t>
      </w:r>
      <w:r w:rsidRPr="006A7087">
        <w:rPr>
          <w:rFonts w:eastAsia="Times New Roman" w:cstheme="minorHAnsi"/>
          <w:i/>
          <w:sz w:val="22"/>
          <w:szCs w:val="22"/>
          <w:lang w:val="en-GB" w:eastAsia="en-GB"/>
        </w:rPr>
        <w:t>Journal of Accountancy</w:t>
      </w:r>
      <w:r w:rsidRPr="006A7087">
        <w:rPr>
          <w:rFonts w:eastAsia="Times New Roman" w:cstheme="minorHAnsi"/>
          <w:sz w:val="22"/>
          <w:szCs w:val="22"/>
          <w:lang w:val="en-GB" w:eastAsia="en-GB"/>
        </w:rPr>
        <w:t xml:space="preserve">, </w:t>
      </w:r>
      <w:r w:rsidR="00056188">
        <w:rPr>
          <w:rFonts w:eastAsia="Times New Roman" w:cstheme="minorHAnsi"/>
          <w:sz w:val="22"/>
          <w:szCs w:val="22"/>
          <w:lang w:val="en-GB" w:eastAsia="en-GB"/>
        </w:rPr>
        <w:t xml:space="preserve">Vol. </w:t>
      </w:r>
      <w:r w:rsidRPr="006A7087">
        <w:rPr>
          <w:rFonts w:eastAsia="Times New Roman" w:cstheme="minorHAnsi"/>
          <w:sz w:val="22"/>
          <w:szCs w:val="22"/>
          <w:lang w:val="en-GB" w:eastAsia="en-GB"/>
        </w:rPr>
        <w:t>110</w:t>
      </w:r>
      <w:r w:rsidR="00056188">
        <w:rPr>
          <w:rFonts w:eastAsia="Times New Roman" w:cstheme="minorHAnsi"/>
          <w:sz w:val="22"/>
          <w:szCs w:val="22"/>
          <w:lang w:val="en-GB" w:eastAsia="en-GB"/>
        </w:rPr>
        <w:t xml:space="preserve"> No. </w:t>
      </w:r>
      <w:r w:rsidRPr="006A7087">
        <w:rPr>
          <w:rFonts w:eastAsia="Times New Roman" w:cstheme="minorHAnsi"/>
          <w:sz w:val="22"/>
          <w:szCs w:val="22"/>
          <w:lang w:val="en-GB" w:eastAsia="en-GB"/>
        </w:rPr>
        <w:t xml:space="preserve"> 4</w:t>
      </w:r>
      <w:r w:rsidR="00056188">
        <w:rPr>
          <w:rFonts w:eastAsia="Times New Roman" w:cstheme="minorHAnsi"/>
          <w:sz w:val="22"/>
          <w:szCs w:val="22"/>
          <w:lang w:val="en-GB" w:eastAsia="en-GB"/>
        </w:rPr>
        <w:t>, pp.</w:t>
      </w:r>
      <w:r w:rsidRPr="006A7087">
        <w:rPr>
          <w:rFonts w:eastAsia="Times New Roman" w:cstheme="minorHAnsi"/>
          <w:sz w:val="22"/>
          <w:szCs w:val="22"/>
          <w:lang w:val="en-GB" w:eastAsia="en-GB"/>
        </w:rPr>
        <w:t xml:space="preserve"> 44</w:t>
      </w:r>
      <w:r w:rsidR="002D0A8F">
        <w:rPr>
          <w:rFonts w:eastAsia="Times New Roman" w:cstheme="minorHAnsi"/>
          <w:sz w:val="22"/>
          <w:szCs w:val="22"/>
          <w:lang w:val="en-GB" w:eastAsia="en-GB"/>
        </w:rPr>
        <w:t>-50</w:t>
      </w:r>
      <w:r w:rsidRPr="006A7087">
        <w:rPr>
          <w:rFonts w:eastAsia="Times New Roman" w:cstheme="minorHAnsi"/>
          <w:sz w:val="22"/>
          <w:szCs w:val="22"/>
          <w:lang w:val="en-GB" w:eastAsia="en-GB"/>
        </w:rPr>
        <w:t>.</w:t>
      </w:r>
    </w:p>
    <w:p w14:paraId="74FA8A4B" w14:textId="41D47E85" w:rsidR="00731B92" w:rsidRDefault="00731B92" w:rsidP="00731B92">
      <w:pPr>
        <w:spacing w:afterLines="80" w:after="192"/>
        <w:jc w:val="both"/>
        <w:rPr>
          <w:rFonts w:eastAsia="Times New Roman" w:cstheme="minorHAnsi"/>
          <w:sz w:val="22"/>
          <w:szCs w:val="22"/>
          <w:lang w:val="en-GB" w:eastAsia="en-GB"/>
        </w:rPr>
      </w:pPr>
      <w:r w:rsidRPr="00731B92">
        <w:rPr>
          <w:rFonts w:eastAsia="Times New Roman" w:cstheme="minorHAnsi"/>
          <w:sz w:val="22"/>
          <w:szCs w:val="22"/>
          <w:lang w:val="en-GB" w:eastAsia="en-GB"/>
        </w:rPr>
        <w:t>Ch</w:t>
      </w:r>
      <w:r>
        <w:rPr>
          <w:rFonts w:eastAsia="Times New Roman" w:cstheme="minorHAnsi"/>
          <w:sz w:val="22"/>
          <w:szCs w:val="22"/>
          <w:lang w:val="en-GB" w:eastAsia="en-GB"/>
        </w:rPr>
        <w:t>iapello, E. and Medjad, K. (2009),</w:t>
      </w:r>
      <w:r w:rsidRPr="00731B92">
        <w:rPr>
          <w:rFonts w:eastAsia="Times New Roman" w:cstheme="minorHAnsi"/>
          <w:sz w:val="22"/>
          <w:szCs w:val="22"/>
          <w:lang w:val="en-GB" w:eastAsia="en-GB"/>
        </w:rPr>
        <w:t xml:space="preserve"> </w:t>
      </w:r>
      <w:r>
        <w:rPr>
          <w:rFonts w:eastAsia="Times New Roman" w:cstheme="minorHAnsi"/>
          <w:sz w:val="22"/>
          <w:szCs w:val="22"/>
          <w:lang w:val="en-GB" w:eastAsia="en-GB"/>
        </w:rPr>
        <w:t>“</w:t>
      </w:r>
      <w:r w:rsidRPr="00731B92">
        <w:rPr>
          <w:rFonts w:eastAsia="Times New Roman" w:cstheme="minorHAnsi"/>
          <w:sz w:val="22"/>
          <w:szCs w:val="22"/>
          <w:lang w:val="en-GB" w:eastAsia="en-GB"/>
        </w:rPr>
        <w:t>An unprecedented privatisatio</w:t>
      </w:r>
      <w:r>
        <w:rPr>
          <w:rFonts w:eastAsia="Times New Roman" w:cstheme="minorHAnsi"/>
          <w:sz w:val="22"/>
          <w:szCs w:val="22"/>
          <w:lang w:val="en-GB" w:eastAsia="en-GB"/>
        </w:rPr>
        <w:t xml:space="preserve">n of mandatory standard setting: </w:t>
      </w:r>
      <w:r w:rsidRPr="00731B92">
        <w:rPr>
          <w:rFonts w:eastAsia="Times New Roman" w:cstheme="minorHAnsi"/>
          <w:sz w:val="22"/>
          <w:szCs w:val="22"/>
          <w:lang w:val="en-GB" w:eastAsia="en-GB"/>
        </w:rPr>
        <w:t>The case of European accounting policy</w:t>
      </w:r>
      <w:r>
        <w:rPr>
          <w:rFonts w:eastAsia="Times New Roman" w:cstheme="minorHAnsi"/>
          <w:sz w:val="22"/>
          <w:szCs w:val="22"/>
          <w:lang w:val="en-GB" w:eastAsia="en-GB"/>
        </w:rPr>
        <w:t>”</w:t>
      </w:r>
      <w:r w:rsidRPr="00731B92">
        <w:rPr>
          <w:rFonts w:eastAsia="Times New Roman" w:cstheme="minorHAnsi"/>
          <w:sz w:val="22"/>
          <w:szCs w:val="22"/>
          <w:lang w:val="en-GB" w:eastAsia="en-GB"/>
        </w:rPr>
        <w:t xml:space="preserve">. </w:t>
      </w:r>
      <w:r w:rsidRPr="00731B92">
        <w:rPr>
          <w:rFonts w:eastAsia="Times New Roman" w:cstheme="minorHAnsi"/>
          <w:i/>
          <w:sz w:val="22"/>
          <w:szCs w:val="22"/>
          <w:lang w:val="en-GB" w:eastAsia="en-GB"/>
        </w:rPr>
        <w:t>Critical Perspectives on Accounting</w:t>
      </w:r>
      <w:r>
        <w:rPr>
          <w:rFonts w:eastAsia="Times New Roman" w:cstheme="minorHAnsi"/>
          <w:sz w:val="22"/>
          <w:szCs w:val="22"/>
          <w:lang w:val="en-GB" w:eastAsia="en-GB"/>
        </w:rPr>
        <w:t xml:space="preserve">, Vol. 20, No. 4, pp. </w:t>
      </w:r>
      <w:r w:rsidRPr="00731B92">
        <w:rPr>
          <w:rFonts w:eastAsia="Times New Roman" w:cstheme="minorHAnsi"/>
          <w:sz w:val="22"/>
          <w:szCs w:val="22"/>
          <w:lang w:val="en-GB" w:eastAsia="en-GB"/>
        </w:rPr>
        <w:t>448-468.</w:t>
      </w:r>
    </w:p>
    <w:p w14:paraId="6A2D1A94" w14:textId="5F5DFDC5" w:rsidR="00276A73" w:rsidRPr="001404BA" w:rsidRDefault="00276A73" w:rsidP="00276A73">
      <w:pPr>
        <w:spacing w:afterLines="80" w:after="192"/>
        <w:jc w:val="both"/>
        <w:rPr>
          <w:rFonts w:eastAsia="Times New Roman" w:cstheme="minorHAnsi"/>
          <w:sz w:val="22"/>
          <w:szCs w:val="22"/>
          <w:lang w:val="en-GB" w:eastAsia="en-GB"/>
        </w:rPr>
      </w:pPr>
      <w:r w:rsidRPr="00276A73">
        <w:rPr>
          <w:rFonts w:eastAsia="Times New Roman" w:cstheme="minorHAnsi"/>
          <w:sz w:val="22"/>
          <w:szCs w:val="22"/>
          <w:lang w:val="en-GB" w:eastAsia="en-GB"/>
        </w:rPr>
        <w:t xml:space="preserve">Cortese, C.L., Irvine, H.J. </w:t>
      </w:r>
      <w:r w:rsidR="00A272D9">
        <w:rPr>
          <w:rFonts w:eastAsia="Times New Roman" w:cstheme="minorHAnsi"/>
          <w:sz w:val="22"/>
          <w:szCs w:val="22"/>
          <w:lang w:val="en-GB" w:eastAsia="en-GB"/>
        </w:rPr>
        <w:t>and</w:t>
      </w:r>
      <w:r w:rsidRPr="00276A73">
        <w:rPr>
          <w:rFonts w:eastAsia="Times New Roman" w:cstheme="minorHAnsi"/>
          <w:sz w:val="22"/>
          <w:szCs w:val="22"/>
          <w:lang w:val="en-GB" w:eastAsia="en-GB"/>
        </w:rPr>
        <w:t xml:space="preserve"> Kaidonis, M.A. (2010)</w:t>
      </w:r>
      <w:r w:rsidR="00A313B8">
        <w:rPr>
          <w:rFonts w:eastAsia="Times New Roman" w:cstheme="minorHAnsi"/>
          <w:sz w:val="22"/>
          <w:szCs w:val="22"/>
          <w:lang w:val="en-GB" w:eastAsia="en-GB"/>
        </w:rPr>
        <w:t>,</w:t>
      </w:r>
      <w:r w:rsidRPr="00276A73">
        <w:rPr>
          <w:rFonts w:eastAsia="Times New Roman" w:cstheme="minorHAnsi"/>
          <w:sz w:val="22"/>
          <w:szCs w:val="22"/>
          <w:lang w:val="en-GB" w:eastAsia="en-GB"/>
        </w:rPr>
        <w:t xml:space="preserve"> Powerful players: How constituents captured the setting of IFRS 6, an accounting standard for the extractive industries. </w:t>
      </w:r>
      <w:r w:rsidRPr="00276A73">
        <w:rPr>
          <w:rFonts w:eastAsia="Times New Roman" w:cstheme="minorHAnsi"/>
          <w:i/>
          <w:sz w:val="22"/>
          <w:szCs w:val="22"/>
          <w:lang w:val="en-GB" w:eastAsia="en-GB"/>
        </w:rPr>
        <w:t>Accounting Forum</w:t>
      </w:r>
      <w:r w:rsidRPr="00276A73">
        <w:rPr>
          <w:rFonts w:eastAsia="Times New Roman" w:cstheme="minorHAnsi"/>
          <w:sz w:val="22"/>
          <w:szCs w:val="22"/>
          <w:lang w:val="en-GB" w:eastAsia="en-GB"/>
        </w:rPr>
        <w:t xml:space="preserve">, </w:t>
      </w:r>
      <w:r w:rsidR="00056188">
        <w:rPr>
          <w:rFonts w:eastAsia="Times New Roman" w:cstheme="minorHAnsi"/>
          <w:sz w:val="22"/>
          <w:szCs w:val="22"/>
          <w:lang w:val="en-GB" w:eastAsia="en-GB"/>
        </w:rPr>
        <w:t xml:space="preserve">Vol. </w:t>
      </w:r>
      <w:r w:rsidRPr="00276A73">
        <w:rPr>
          <w:rFonts w:eastAsia="Times New Roman" w:cstheme="minorHAnsi"/>
          <w:sz w:val="22"/>
          <w:szCs w:val="22"/>
          <w:lang w:val="en-GB" w:eastAsia="en-GB"/>
        </w:rPr>
        <w:t>34</w:t>
      </w:r>
      <w:r w:rsidR="00056188">
        <w:rPr>
          <w:rFonts w:eastAsia="Times New Roman" w:cstheme="minorHAnsi"/>
          <w:sz w:val="22"/>
          <w:szCs w:val="22"/>
          <w:lang w:val="en-GB" w:eastAsia="en-GB"/>
        </w:rPr>
        <w:t xml:space="preserve">, No. </w:t>
      </w:r>
      <w:r w:rsidRPr="00276A73">
        <w:rPr>
          <w:rFonts w:eastAsia="Times New Roman" w:cstheme="minorHAnsi"/>
          <w:sz w:val="22"/>
          <w:szCs w:val="22"/>
          <w:lang w:val="en-GB" w:eastAsia="en-GB"/>
        </w:rPr>
        <w:t xml:space="preserve"> 2</w:t>
      </w:r>
      <w:r w:rsidR="00056188">
        <w:rPr>
          <w:rFonts w:eastAsia="Times New Roman" w:cstheme="minorHAnsi"/>
          <w:sz w:val="22"/>
          <w:szCs w:val="22"/>
          <w:lang w:val="en-GB" w:eastAsia="en-GB"/>
        </w:rPr>
        <w:t>, pp.</w:t>
      </w:r>
      <w:r w:rsidRPr="00276A73">
        <w:rPr>
          <w:rFonts w:eastAsia="Times New Roman" w:cstheme="minorHAnsi"/>
          <w:sz w:val="22"/>
          <w:szCs w:val="22"/>
          <w:lang w:val="en-GB" w:eastAsia="en-GB"/>
        </w:rPr>
        <w:t xml:space="preserve"> 76-88.</w:t>
      </w:r>
    </w:p>
    <w:p w14:paraId="5F619195" w14:textId="77777777" w:rsidR="003608F0" w:rsidRDefault="003608F0" w:rsidP="00276A73">
      <w:pPr>
        <w:spacing w:afterLines="80" w:after="192"/>
        <w:jc w:val="both"/>
        <w:rPr>
          <w:rFonts w:cs="Times New Roman"/>
          <w:sz w:val="22"/>
          <w:szCs w:val="22"/>
        </w:rPr>
      </w:pPr>
      <w:r w:rsidRPr="001404BA">
        <w:rPr>
          <w:rFonts w:cstheme="minorHAnsi"/>
          <w:sz w:val="22"/>
          <w:szCs w:val="22"/>
        </w:rPr>
        <w:t>Cotter, J., Tarca, A. and</w:t>
      </w:r>
      <w:r w:rsidRPr="001404BA">
        <w:rPr>
          <w:rFonts w:cs="Times New Roman"/>
          <w:sz w:val="22"/>
          <w:szCs w:val="22"/>
        </w:rPr>
        <w:t xml:space="preserve"> Wee, M. (2012), “IFRS adoption and analysts' earnings forecasts: Australian evidence”, </w:t>
      </w:r>
      <w:r w:rsidRPr="001404BA">
        <w:rPr>
          <w:rFonts w:cs="Times New Roman"/>
          <w:i/>
          <w:sz w:val="22"/>
          <w:szCs w:val="22"/>
        </w:rPr>
        <w:t>Accounting and Finance</w:t>
      </w:r>
      <w:r w:rsidRPr="00EB4DCF">
        <w:rPr>
          <w:rFonts w:cs="Times New Roman"/>
          <w:sz w:val="22"/>
          <w:szCs w:val="22"/>
        </w:rPr>
        <w:t>, Vol. 52 No. 2, pp. 395</w:t>
      </w:r>
      <w:r w:rsidRPr="00EB4DCF">
        <w:rPr>
          <w:rFonts w:eastAsia="Calibri" w:cs="Calibri"/>
          <w:sz w:val="22"/>
          <w:szCs w:val="22"/>
        </w:rPr>
        <w:t>‐</w:t>
      </w:r>
      <w:r w:rsidRPr="00EB4DCF">
        <w:rPr>
          <w:rFonts w:cs="Times New Roman"/>
          <w:sz w:val="22"/>
          <w:szCs w:val="22"/>
        </w:rPr>
        <w:t>419.</w:t>
      </w:r>
    </w:p>
    <w:p w14:paraId="290F0107" w14:textId="492F07EA" w:rsidR="008E1F58" w:rsidRPr="00EB4DCF" w:rsidRDefault="008E1F58" w:rsidP="00276A73">
      <w:pPr>
        <w:spacing w:afterLines="80" w:after="192"/>
        <w:jc w:val="both"/>
        <w:rPr>
          <w:rFonts w:cs="Times New Roman"/>
          <w:sz w:val="22"/>
          <w:szCs w:val="22"/>
        </w:rPr>
      </w:pPr>
      <w:r w:rsidRPr="008E1F58">
        <w:rPr>
          <w:rFonts w:cs="Times New Roman"/>
          <w:sz w:val="22"/>
          <w:szCs w:val="22"/>
        </w:rPr>
        <w:t>Crawford, L., Ferguson, J., Hellia</w:t>
      </w:r>
      <w:r w:rsidR="00347A75">
        <w:rPr>
          <w:rFonts w:cs="Times New Roman"/>
          <w:sz w:val="22"/>
          <w:szCs w:val="22"/>
        </w:rPr>
        <w:t>r, C. V., and Power, D. M. (2014),</w:t>
      </w:r>
      <w:r w:rsidRPr="008E1F58">
        <w:rPr>
          <w:rFonts w:cs="Times New Roman"/>
          <w:sz w:val="22"/>
          <w:szCs w:val="22"/>
        </w:rPr>
        <w:t xml:space="preserve"> </w:t>
      </w:r>
      <w:r w:rsidR="00347A75">
        <w:rPr>
          <w:rFonts w:cs="Times New Roman"/>
          <w:sz w:val="22"/>
          <w:szCs w:val="22"/>
        </w:rPr>
        <w:t>“</w:t>
      </w:r>
      <w:r w:rsidRPr="008E1F58">
        <w:rPr>
          <w:rFonts w:cs="Times New Roman"/>
          <w:sz w:val="22"/>
          <w:szCs w:val="22"/>
        </w:rPr>
        <w:t>Control over accounting standards within the European Union: the political controversy sur</w:t>
      </w:r>
      <w:r w:rsidR="00347A75">
        <w:rPr>
          <w:rFonts w:cs="Times New Roman"/>
          <w:sz w:val="22"/>
          <w:szCs w:val="22"/>
        </w:rPr>
        <w:t>rounding the adoption of IFRS 8”,</w:t>
      </w:r>
      <w:r w:rsidRPr="008E1F58">
        <w:rPr>
          <w:rFonts w:cs="Times New Roman"/>
          <w:sz w:val="22"/>
          <w:szCs w:val="22"/>
        </w:rPr>
        <w:t xml:space="preserve"> </w:t>
      </w:r>
      <w:r w:rsidRPr="00347A75">
        <w:rPr>
          <w:rFonts w:cs="Times New Roman"/>
          <w:i/>
          <w:sz w:val="22"/>
          <w:szCs w:val="22"/>
        </w:rPr>
        <w:t>Critical Perspectives on Accounting</w:t>
      </w:r>
      <w:r w:rsidRPr="008E1F58">
        <w:rPr>
          <w:rFonts w:cs="Times New Roman"/>
          <w:sz w:val="22"/>
          <w:szCs w:val="22"/>
        </w:rPr>
        <w:t xml:space="preserve">, </w:t>
      </w:r>
      <w:r w:rsidR="00347A75">
        <w:rPr>
          <w:rFonts w:cs="Times New Roman"/>
          <w:sz w:val="22"/>
          <w:szCs w:val="22"/>
        </w:rPr>
        <w:t>Vo. 25 No. 4, pp.</w:t>
      </w:r>
      <w:r w:rsidRPr="008E1F58">
        <w:rPr>
          <w:rFonts w:cs="Times New Roman"/>
          <w:sz w:val="22"/>
          <w:szCs w:val="22"/>
        </w:rPr>
        <w:t xml:space="preserve"> 304-318.</w:t>
      </w:r>
    </w:p>
    <w:p w14:paraId="3D1AD799" w14:textId="77777777" w:rsidR="003608F0" w:rsidRPr="00EB4DCF" w:rsidRDefault="003608F0" w:rsidP="00276A73">
      <w:pPr>
        <w:spacing w:afterLines="80" w:after="192"/>
        <w:jc w:val="both"/>
        <w:rPr>
          <w:rFonts w:cs="Times New Roman"/>
          <w:sz w:val="22"/>
          <w:szCs w:val="22"/>
        </w:rPr>
      </w:pPr>
      <w:r w:rsidRPr="00AE3861">
        <w:rPr>
          <w:rFonts w:cs="Times New Roman"/>
          <w:sz w:val="22"/>
          <w:szCs w:val="22"/>
        </w:rPr>
        <w:t>Czarniawska, B. (2000), “The uses of narrative in organization research”, GRI Report, available at: http//gupeaubguse/handle/2077/2997.</w:t>
      </w:r>
      <w:r w:rsidRPr="00EB4DCF">
        <w:rPr>
          <w:rFonts w:cs="Times New Roman"/>
          <w:sz w:val="22"/>
          <w:szCs w:val="22"/>
        </w:rPr>
        <w:t xml:space="preserve"> </w:t>
      </w:r>
    </w:p>
    <w:p w14:paraId="49CDD396" w14:textId="77777777" w:rsidR="003608F0" w:rsidRPr="00EB4DCF" w:rsidRDefault="003608F0" w:rsidP="00276A73">
      <w:pPr>
        <w:spacing w:afterLines="80" w:after="192"/>
        <w:jc w:val="both"/>
        <w:rPr>
          <w:rFonts w:eastAsia="Times New Roman" w:cs="Times New Roman"/>
          <w:color w:val="222222"/>
          <w:sz w:val="22"/>
          <w:szCs w:val="22"/>
          <w:shd w:val="clear" w:color="auto" w:fill="FFFFFF"/>
        </w:rPr>
      </w:pPr>
      <w:r w:rsidRPr="00EB4DCF">
        <w:rPr>
          <w:rFonts w:eastAsia="Times New Roman" w:cs="Times New Roman"/>
          <w:color w:val="222222"/>
          <w:sz w:val="22"/>
          <w:szCs w:val="22"/>
          <w:shd w:val="clear" w:color="auto" w:fill="FFFFFF"/>
        </w:rPr>
        <w:t>Devi, S. and Samujh, H. R. (2015), “The Political Economy of Convergence: The Case of IFRS for SMEs”,</w:t>
      </w:r>
      <w:r w:rsidRPr="00EB4DCF">
        <w:rPr>
          <w:rStyle w:val="apple-converted-space"/>
          <w:rFonts w:eastAsia="Times New Roman" w:cs="Times New Roman"/>
          <w:color w:val="222222"/>
          <w:sz w:val="22"/>
          <w:szCs w:val="22"/>
          <w:shd w:val="clear" w:color="auto" w:fill="FFFFFF"/>
        </w:rPr>
        <w:t> </w:t>
      </w:r>
      <w:r w:rsidRPr="00EB4DCF">
        <w:rPr>
          <w:rFonts w:eastAsia="Times New Roman" w:cs="Times New Roman"/>
          <w:i/>
          <w:iCs/>
          <w:color w:val="222222"/>
          <w:sz w:val="22"/>
          <w:szCs w:val="22"/>
          <w:shd w:val="clear" w:color="auto" w:fill="FFFFFF"/>
        </w:rPr>
        <w:t>Australian Accounting Review</w:t>
      </w:r>
      <w:r w:rsidRPr="00EB4DCF">
        <w:rPr>
          <w:rFonts w:eastAsia="Times New Roman" w:cs="Times New Roman"/>
          <w:color w:val="222222"/>
          <w:sz w:val="22"/>
          <w:szCs w:val="22"/>
          <w:shd w:val="clear" w:color="auto" w:fill="FFFFFF"/>
        </w:rPr>
        <w:t xml:space="preserve">, Vol. </w:t>
      </w:r>
      <w:r w:rsidRPr="00EB4DCF">
        <w:rPr>
          <w:rFonts w:eastAsia="Times New Roman" w:cs="Times New Roman"/>
          <w:iCs/>
          <w:color w:val="222222"/>
          <w:sz w:val="22"/>
          <w:szCs w:val="22"/>
          <w:shd w:val="clear" w:color="auto" w:fill="FFFFFF"/>
        </w:rPr>
        <w:t>25</w:t>
      </w:r>
      <w:r w:rsidRPr="00EB4DCF">
        <w:rPr>
          <w:rFonts w:eastAsia="Times New Roman" w:cs="Times New Roman"/>
          <w:color w:val="222222"/>
          <w:sz w:val="22"/>
          <w:szCs w:val="22"/>
          <w:shd w:val="clear" w:color="auto" w:fill="FFFFFF"/>
        </w:rPr>
        <w:t xml:space="preserve"> No. 2, pp. 124-138.</w:t>
      </w:r>
    </w:p>
    <w:p w14:paraId="783AF482" w14:textId="0D0125E7" w:rsidR="003608F0" w:rsidRPr="00EB4DCF" w:rsidRDefault="003608F0" w:rsidP="00276A73">
      <w:pPr>
        <w:spacing w:afterLines="80" w:after="192"/>
        <w:jc w:val="both"/>
        <w:rPr>
          <w:rFonts w:eastAsia="Times New Roman" w:cs="Times New Roman"/>
          <w:sz w:val="22"/>
          <w:szCs w:val="22"/>
        </w:rPr>
      </w:pPr>
      <w:r w:rsidRPr="00EB4DCF">
        <w:rPr>
          <w:rFonts w:eastAsia="Times New Roman" w:cs="Times New Roman"/>
          <w:sz w:val="22"/>
          <w:szCs w:val="22"/>
        </w:rPr>
        <w:t xml:space="preserve">Devenney, M. (2002), </w:t>
      </w:r>
      <w:r w:rsidR="00403A08">
        <w:rPr>
          <w:rFonts w:eastAsia="Times New Roman" w:cs="Times New Roman"/>
          <w:sz w:val="22"/>
          <w:szCs w:val="22"/>
        </w:rPr>
        <w:t>“</w:t>
      </w:r>
      <w:r w:rsidRPr="00EE504B">
        <w:rPr>
          <w:rFonts w:eastAsia="Times New Roman" w:cs="Times New Roman"/>
          <w:sz w:val="22"/>
          <w:szCs w:val="22"/>
        </w:rPr>
        <w:t>Critical Theory and Democracy</w:t>
      </w:r>
      <w:r w:rsidR="00403A08">
        <w:rPr>
          <w:rFonts w:eastAsia="Times New Roman" w:cs="Times New Roman"/>
          <w:sz w:val="22"/>
          <w:szCs w:val="22"/>
        </w:rPr>
        <w:t>”</w:t>
      </w:r>
      <w:r w:rsidRPr="00EB4DCF">
        <w:rPr>
          <w:rFonts w:eastAsia="Times New Roman" w:cs="Times New Roman"/>
          <w:sz w:val="22"/>
          <w:szCs w:val="22"/>
        </w:rPr>
        <w:t xml:space="preserve">, In </w:t>
      </w:r>
      <w:r w:rsidR="00403A08">
        <w:rPr>
          <w:rFonts w:eastAsia="Times New Roman" w:cs="Times New Roman"/>
          <w:sz w:val="22"/>
          <w:szCs w:val="22"/>
        </w:rPr>
        <w:t xml:space="preserve">A. Finlayson and J. Valentine (eds.) </w:t>
      </w:r>
      <w:r w:rsidRPr="00EE504B">
        <w:rPr>
          <w:rFonts w:eastAsia="Times New Roman" w:cs="Times New Roman"/>
          <w:i/>
          <w:sz w:val="22"/>
          <w:szCs w:val="22"/>
        </w:rPr>
        <w:t xml:space="preserve">Politics and Post-Structuralism: </w:t>
      </w:r>
      <w:r w:rsidR="00190316" w:rsidRPr="00EE504B">
        <w:rPr>
          <w:rFonts w:eastAsia="Times New Roman" w:cs="Times New Roman"/>
          <w:i/>
          <w:sz w:val="22"/>
          <w:szCs w:val="22"/>
        </w:rPr>
        <w:t>An</w:t>
      </w:r>
      <w:r w:rsidRPr="00EE504B">
        <w:rPr>
          <w:rFonts w:eastAsia="Times New Roman" w:cs="Times New Roman"/>
          <w:i/>
          <w:sz w:val="22"/>
          <w:szCs w:val="22"/>
        </w:rPr>
        <w:t xml:space="preserve"> Introduction</w:t>
      </w:r>
      <w:r w:rsidRPr="00EB4DCF">
        <w:rPr>
          <w:rFonts w:eastAsia="Times New Roman" w:cs="Times New Roman"/>
          <w:sz w:val="22"/>
          <w:szCs w:val="22"/>
        </w:rPr>
        <w:t xml:space="preserve">, Edinburgh University Press, Edinburgh. </w:t>
      </w:r>
    </w:p>
    <w:p w14:paraId="08C32953" w14:textId="6540BAD4" w:rsidR="003608F0" w:rsidRDefault="003608F0" w:rsidP="00276A73">
      <w:pPr>
        <w:spacing w:afterLines="80" w:after="192"/>
        <w:jc w:val="both"/>
        <w:rPr>
          <w:rFonts w:eastAsia="Times New Roman" w:cs="Times New Roman"/>
          <w:color w:val="222222"/>
          <w:sz w:val="22"/>
          <w:szCs w:val="22"/>
          <w:shd w:val="clear" w:color="auto" w:fill="FFFFFF"/>
        </w:rPr>
      </w:pPr>
      <w:r w:rsidRPr="00631844">
        <w:rPr>
          <w:rFonts w:eastAsia="Times New Roman" w:cs="Times New Roman"/>
          <w:color w:val="222222"/>
          <w:sz w:val="22"/>
          <w:szCs w:val="22"/>
          <w:shd w:val="clear" w:color="auto" w:fill="FFFFFF"/>
        </w:rPr>
        <w:t>Di Pietra, R., Evans, L., Chevy, J., Cisi, M., Eierle, B., Jarvis, R., and European Accounting Association's Financial Reporting Standards Committee. (2008), “Comment on the IASB's Exposure Draft ‘IFRS for Small and Medium-Sized Entities’”, </w:t>
      </w:r>
      <w:r w:rsidRPr="00631844">
        <w:rPr>
          <w:rFonts w:eastAsia="Times New Roman" w:cs="Times New Roman"/>
          <w:i/>
          <w:iCs/>
          <w:color w:val="222222"/>
          <w:sz w:val="22"/>
          <w:szCs w:val="22"/>
          <w:shd w:val="clear" w:color="auto" w:fill="FFFFFF"/>
        </w:rPr>
        <w:t>Accounting in Europe</w:t>
      </w:r>
      <w:r w:rsidRPr="00631844">
        <w:rPr>
          <w:rFonts w:eastAsia="Times New Roman" w:cs="Times New Roman"/>
          <w:color w:val="222222"/>
          <w:sz w:val="22"/>
          <w:szCs w:val="22"/>
          <w:shd w:val="clear" w:color="auto" w:fill="FFFFFF"/>
        </w:rPr>
        <w:t xml:space="preserve">, Vol. </w:t>
      </w:r>
      <w:r w:rsidRPr="00631844">
        <w:rPr>
          <w:rFonts w:eastAsia="Times New Roman" w:cs="Times New Roman"/>
          <w:iCs/>
          <w:color w:val="222222"/>
          <w:sz w:val="22"/>
          <w:szCs w:val="22"/>
          <w:shd w:val="clear" w:color="auto" w:fill="FFFFFF"/>
        </w:rPr>
        <w:t>5</w:t>
      </w:r>
      <w:r w:rsidRPr="00631844">
        <w:rPr>
          <w:rFonts w:eastAsia="Times New Roman" w:cs="Times New Roman"/>
          <w:color w:val="222222"/>
          <w:sz w:val="22"/>
          <w:szCs w:val="22"/>
          <w:shd w:val="clear" w:color="auto" w:fill="FFFFFF"/>
        </w:rPr>
        <w:t xml:space="preserve"> No. 1, pp. 27-47.</w:t>
      </w:r>
    </w:p>
    <w:p w14:paraId="7F4C4A8D" w14:textId="33DD609C" w:rsidR="00143673" w:rsidRDefault="00143673" w:rsidP="00276A73">
      <w:pPr>
        <w:spacing w:afterLines="80" w:after="192"/>
        <w:jc w:val="both"/>
        <w:rPr>
          <w:rFonts w:eastAsia="Times New Roman" w:cs="Times New Roman"/>
          <w:color w:val="222222"/>
          <w:sz w:val="22"/>
          <w:szCs w:val="22"/>
          <w:shd w:val="clear" w:color="auto" w:fill="FFFFFF"/>
        </w:rPr>
      </w:pPr>
      <w:r w:rsidRPr="00143673">
        <w:rPr>
          <w:rFonts w:eastAsia="Times New Roman" w:cs="Times New Roman"/>
          <w:color w:val="222222"/>
          <w:sz w:val="22"/>
          <w:szCs w:val="22"/>
          <w:shd w:val="clear" w:color="auto" w:fill="FFFFFF"/>
        </w:rPr>
        <w:t>Djelic, M-L, and Quack, S. (2011)</w:t>
      </w:r>
      <w:r w:rsidR="00A313B8">
        <w:rPr>
          <w:rFonts w:eastAsia="Times New Roman" w:cs="Times New Roman"/>
          <w:color w:val="222222"/>
          <w:sz w:val="22"/>
          <w:szCs w:val="22"/>
          <w:shd w:val="clear" w:color="auto" w:fill="FFFFFF"/>
        </w:rPr>
        <w:t>,</w:t>
      </w:r>
      <w:r w:rsidRPr="00143673">
        <w:rPr>
          <w:rFonts w:eastAsia="Times New Roman" w:cs="Times New Roman"/>
          <w:color w:val="222222"/>
          <w:sz w:val="22"/>
          <w:szCs w:val="22"/>
          <w:shd w:val="clear" w:color="auto" w:fill="FFFFFF"/>
        </w:rPr>
        <w:t xml:space="preserve"> Transnational governance through standard setting. The role of transnational communities in G. Morgan (ed). </w:t>
      </w:r>
      <w:r w:rsidRPr="00143673">
        <w:rPr>
          <w:rFonts w:eastAsia="Times New Roman" w:cs="Times New Roman"/>
          <w:i/>
          <w:color w:val="222222"/>
          <w:sz w:val="22"/>
          <w:szCs w:val="22"/>
          <w:shd w:val="clear" w:color="auto" w:fill="FFFFFF"/>
        </w:rPr>
        <w:t>Twenty-First Century Capitalism</w:t>
      </w:r>
      <w:r w:rsidRPr="00143673">
        <w:rPr>
          <w:rFonts w:eastAsia="Times New Roman" w:cs="Times New Roman"/>
          <w:color w:val="222222"/>
          <w:sz w:val="22"/>
          <w:szCs w:val="22"/>
          <w:shd w:val="clear" w:color="auto" w:fill="FFFFFF"/>
        </w:rPr>
        <w:t>. Oxford University Press</w:t>
      </w:r>
      <w:r>
        <w:rPr>
          <w:rFonts w:eastAsia="Times New Roman" w:cs="Times New Roman"/>
          <w:color w:val="222222"/>
          <w:sz w:val="22"/>
          <w:szCs w:val="22"/>
          <w:shd w:val="clear" w:color="auto" w:fill="FFFFFF"/>
        </w:rPr>
        <w:t xml:space="preserve">, Oxford. </w:t>
      </w:r>
    </w:p>
    <w:p w14:paraId="6FCD2643" w14:textId="4ED01CAF" w:rsidR="00143673" w:rsidRDefault="00143673" w:rsidP="00276A73">
      <w:pPr>
        <w:spacing w:afterLines="80" w:after="192"/>
        <w:jc w:val="both"/>
        <w:rPr>
          <w:rFonts w:eastAsia="Times New Roman" w:cs="Times New Roman"/>
          <w:color w:val="222222"/>
          <w:sz w:val="22"/>
          <w:szCs w:val="22"/>
          <w:shd w:val="clear" w:color="auto" w:fill="FFFFFF"/>
        </w:rPr>
      </w:pPr>
      <w:r w:rsidRPr="00143673">
        <w:rPr>
          <w:rFonts w:eastAsia="Times New Roman" w:cs="Times New Roman"/>
          <w:color w:val="222222"/>
          <w:sz w:val="22"/>
          <w:szCs w:val="22"/>
          <w:shd w:val="clear" w:color="auto" w:fill="FFFFFF"/>
        </w:rPr>
        <w:t xml:space="preserve">Durand, R., </w:t>
      </w:r>
      <w:r>
        <w:rPr>
          <w:rFonts w:eastAsia="Times New Roman" w:cs="Times New Roman"/>
          <w:color w:val="222222"/>
          <w:sz w:val="22"/>
          <w:szCs w:val="22"/>
          <w:shd w:val="clear" w:color="auto" w:fill="FFFFFF"/>
        </w:rPr>
        <w:t>and</w:t>
      </w:r>
      <w:r w:rsidRPr="00143673">
        <w:rPr>
          <w:rFonts w:eastAsia="Times New Roman" w:cs="Times New Roman"/>
          <w:color w:val="222222"/>
          <w:sz w:val="22"/>
          <w:szCs w:val="22"/>
          <w:shd w:val="clear" w:color="auto" w:fill="FFFFFF"/>
        </w:rPr>
        <w:t xml:space="preserve"> McGuire, J. (2005)</w:t>
      </w:r>
      <w:r w:rsidR="00A313B8">
        <w:rPr>
          <w:rFonts w:eastAsia="Times New Roman" w:cs="Times New Roman"/>
          <w:color w:val="222222"/>
          <w:sz w:val="22"/>
          <w:szCs w:val="22"/>
          <w:shd w:val="clear" w:color="auto" w:fill="FFFFFF"/>
        </w:rPr>
        <w:t>.</w:t>
      </w:r>
      <w:r w:rsidRPr="00143673">
        <w:rPr>
          <w:rFonts w:eastAsia="Times New Roman" w:cs="Times New Roman"/>
          <w:color w:val="222222"/>
          <w:sz w:val="22"/>
          <w:szCs w:val="22"/>
          <w:shd w:val="clear" w:color="auto" w:fill="FFFFFF"/>
        </w:rPr>
        <w:t xml:space="preserve"> Legitimating Agencies in the Face of Selection: The Case of AACSB. </w:t>
      </w:r>
      <w:r w:rsidRPr="00143673">
        <w:rPr>
          <w:rFonts w:eastAsia="Times New Roman" w:cs="Times New Roman"/>
          <w:i/>
          <w:color w:val="222222"/>
          <w:sz w:val="22"/>
          <w:szCs w:val="22"/>
          <w:shd w:val="clear" w:color="auto" w:fill="FFFFFF"/>
        </w:rPr>
        <w:t>Organization Studies</w:t>
      </w:r>
      <w:r w:rsidRPr="00143673">
        <w:rPr>
          <w:rFonts w:eastAsia="Times New Roman" w:cs="Times New Roman"/>
          <w:color w:val="222222"/>
          <w:sz w:val="22"/>
          <w:szCs w:val="22"/>
          <w:shd w:val="clear" w:color="auto" w:fill="FFFFFF"/>
        </w:rPr>
        <w:t xml:space="preserve">, </w:t>
      </w:r>
      <w:r>
        <w:rPr>
          <w:rFonts w:eastAsia="Times New Roman" w:cs="Times New Roman"/>
          <w:color w:val="222222"/>
          <w:sz w:val="22"/>
          <w:szCs w:val="22"/>
          <w:shd w:val="clear" w:color="auto" w:fill="FFFFFF"/>
        </w:rPr>
        <w:t xml:space="preserve">Vol. </w:t>
      </w:r>
      <w:r w:rsidRPr="00143673">
        <w:rPr>
          <w:rFonts w:eastAsia="Times New Roman" w:cs="Times New Roman"/>
          <w:color w:val="222222"/>
          <w:sz w:val="22"/>
          <w:szCs w:val="22"/>
          <w:shd w:val="clear" w:color="auto" w:fill="FFFFFF"/>
        </w:rPr>
        <w:t>26</w:t>
      </w:r>
      <w:r>
        <w:rPr>
          <w:rFonts w:eastAsia="Times New Roman" w:cs="Times New Roman"/>
          <w:color w:val="222222"/>
          <w:sz w:val="22"/>
          <w:szCs w:val="22"/>
          <w:shd w:val="clear" w:color="auto" w:fill="FFFFFF"/>
        </w:rPr>
        <w:t xml:space="preserve"> No. </w:t>
      </w:r>
      <w:r w:rsidRPr="00143673">
        <w:rPr>
          <w:rFonts w:eastAsia="Times New Roman" w:cs="Times New Roman"/>
          <w:color w:val="222222"/>
          <w:sz w:val="22"/>
          <w:szCs w:val="22"/>
          <w:shd w:val="clear" w:color="auto" w:fill="FFFFFF"/>
        </w:rPr>
        <w:t>2,</w:t>
      </w:r>
      <w:r>
        <w:rPr>
          <w:rFonts w:eastAsia="Times New Roman" w:cs="Times New Roman"/>
          <w:color w:val="222222"/>
          <w:sz w:val="22"/>
          <w:szCs w:val="22"/>
          <w:shd w:val="clear" w:color="auto" w:fill="FFFFFF"/>
        </w:rPr>
        <w:t xml:space="preserve"> pp.</w:t>
      </w:r>
      <w:r w:rsidRPr="00143673">
        <w:rPr>
          <w:rFonts w:eastAsia="Times New Roman" w:cs="Times New Roman"/>
          <w:color w:val="222222"/>
          <w:sz w:val="22"/>
          <w:szCs w:val="22"/>
          <w:shd w:val="clear" w:color="auto" w:fill="FFFFFF"/>
        </w:rPr>
        <w:t xml:space="preserve"> 165–196.</w:t>
      </w:r>
    </w:p>
    <w:p w14:paraId="76AE53E5" w14:textId="36D2FBD2" w:rsidR="00143673" w:rsidRDefault="00143673" w:rsidP="00276A73">
      <w:pPr>
        <w:spacing w:afterLines="80" w:after="192"/>
        <w:jc w:val="both"/>
        <w:rPr>
          <w:rFonts w:eastAsia="Times New Roman" w:cs="Times New Roman"/>
          <w:color w:val="222222"/>
          <w:sz w:val="22"/>
          <w:szCs w:val="22"/>
          <w:shd w:val="clear" w:color="auto" w:fill="FFFFFF"/>
        </w:rPr>
      </w:pPr>
      <w:r w:rsidRPr="00143673">
        <w:rPr>
          <w:rFonts w:eastAsia="Times New Roman" w:cs="Times New Roman"/>
          <w:color w:val="222222"/>
          <w:sz w:val="22"/>
          <w:szCs w:val="22"/>
          <w:shd w:val="clear" w:color="auto" w:fill="FFFFFF"/>
        </w:rPr>
        <w:t>Durand, R., and Thornton, P. (2018)</w:t>
      </w:r>
      <w:r w:rsidR="00A313B8">
        <w:rPr>
          <w:rFonts w:eastAsia="Times New Roman" w:cs="Times New Roman"/>
          <w:color w:val="222222"/>
          <w:sz w:val="22"/>
          <w:szCs w:val="22"/>
          <w:shd w:val="clear" w:color="auto" w:fill="FFFFFF"/>
        </w:rPr>
        <w:t>,</w:t>
      </w:r>
      <w:r w:rsidRPr="00143673">
        <w:rPr>
          <w:rFonts w:eastAsia="Times New Roman" w:cs="Times New Roman"/>
          <w:color w:val="222222"/>
          <w:sz w:val="22"/>
          <w:szCs w:val="22"/>
          <w:shd w:val="clear" w:color="auto" w:fill="FFFFFF"/>
        </w:rPr>
        <w:t xml:space="preserve"> Categorizing Institutional Logics, Institutionalizing Categories: A Review of Two Literatures. </w:t>
      </w:r>
      <w:r w:rsidRPr="00143673">
        <w:rPr>
          <w:rFonts w:eastAsia="Times New Roman" w:cs="Times New Roman"/>
          <w:i/>
          <w:color w:val="222222"/>
          <w:sz w:val="22"/>
          <w:szCs w:val="22"/>
          <w:shd w:val="clear" w:color="auto" w:fill="FFFFFF"/>
        </w:rPr>
        <w:t>Academy of Management Annals</w:t>
      </w:r>
      <w:r w:rsidRPr="00143673">
        <w:rPr>
          <w:rFonts w:eastAsia="Times New Roman" w:cs="Times New Roman"/>
          <w:color w:val="222222"/>
          <w:sz w:val="22"/>
          <w:szCs w:val="22"/>
          <w:shd w:val="clear" w:color="auto" w:fill="FFFFFF"/>
        </w:rPr>
        <w:t>, Vol. 12 No. 2</w:t>
      </w:r>
      <w:r w:rsidR="00403A08">
        <w:rPr>
          <w:rFonts w:eastAsia="Times New Roman" w:cs="Times New Roman"/>
          <w:color w:val="222222"/>
          <w:sz w:val="22"/>
          <w:szCs w:val="22"/>
          <w:shd w:val="clear" w:color="auto" w:fill="FFFFFF"/>
        </w:rPr>
        <w:t>, pp. 631-658.</w:t>
      </w:r>
    </w:p>
    <w:p w14:paraId="4214FFA3" w14:textId="1E374FBD" w:rsidR="003608F0" w:rsidRPr="00631844" w:rsidRDefault="003608F0" w:rsidP="00276A73">
      <w:pPr>
        <w:spacing w:afterLines="80" w:after="192"/>
        <w:jc w:val="both"/>
        <w:rPr>
          <w:rFonts w:eastAsia="Times New Roman" w:cs="Times New Roman"/>
          <w:color w:val="222222"/>
          <w:sz w:val="22"/>
          <w:szCs w:val="22"/>
          <w:shd w:val="clear" w:color="auto" w:fill="FFFFFF"/>
        </w:rPr>
      </w:pPr>
      <w:r>
        <w:rPr>
          <w:sz w:val="22"/>
          <w:szCs w:val="22"/>
        </w:rPr>
        <w:t xml:space="preserve">Erb, C., </w:t>
      </w:r>
      <w:r w:rsidR="00143673">
        <w:rPr>
          <w:sz w:val="22"/>
          <w:szCs w:val="22"/>
        </w:rPr>
        <w:t>and</w:t>
      </w:r>
      <w:r>
        <w:rPr>
          <w:sz w:val="22"/>
          <w:szCs w:val="22"/>
        </w:rPr>
        <w:t xml:space="preserve"> Pelger, C. (2015), “</w:t>
      </w:r>
      <w:r w:rsidR="00403A08">
        <w:rPr>
          <w:sz w:val="22"/>
          <w:szCs w:val="22"/>
        </w:rPr>
        <w:t>’</w:t>
      </w:r>
      <w:r w:rsidRPr="00EC75EA">
        <w:rPr>
          <w:sz w:val="22"/>
          <w:szCs w:val="22"/>
        </w:rPr>
        <w:t>Twisting words</w:t>
      </w:r>
      <w:r w:rsidR="00403A08">
        <w:rPr>
          <w:sz w:val="22"/>
          <w:szCs w:val="22"/>
        </w:rPr>
        <w:t>’</w:t>
      </w:r>
      <w:r w:rsidRPr="00EC75EA">
        <w:rPr>
          <w:sz w:val="22"/>
          <w:szCs w:val="22"/>
        </w:rPr>
        <w:t>? A study of the construction and reconstruction of reliability in financial reporting standard-setting</w:t>
      </w:r>
      <w:r>
        <w:rPr>
          <w:sz w:val="22"/>
          <w:szCs w:val="22"/>
        </w:rPr>
        <w:t>”,</w:t>
      </w:r>
      <w:r w:rsidRPr="00EC75EA">
        <w:rPr>
          <w:sz w:val="22"/>
          <w:szCs w:val="22"/>
        </w:rPr>
        <w:t xml:space="preserve"> </w:t>
      </w:r>
      <w:r w:rsidRPr="00EC75EA">
        <w:rPr>
          <w:i/>
          <w:sz w:val="22"/>
          <w:szCs w:val="22"/>
        </w:rPr>
        <w:t xml:space="preserve">Accounting, Organizations </w:t>
      </w:r>
      <w:r w:rsidRPr="00A7079A">
        <w:rPr>
          <w:i/>
          <w:sz w:val="22"/>
          <w:szCs w:val="22"/>
        </w:rPr>
        <w:t>and Society</w:t>
      </w:r>
      <w:r w:rsidRPr="00A7079A">
        <w:rPr>
          <w:sz w:val="22"/>
          <w:szCs w:val="22"/>
        </w:rPr>
        <w:t>, Vol. 40, pp.</w:t>
      </w:r>
      <w:r>
        <w:rPr>
          <w:sz w:val="22"/>
          <w:szCs w:val="22"/>
        </w:rPr>
        <w:t xml:space="preserve"> </w:t>
      </w:r>
      <w:r w:rsidRPr="005D3C33">
        <w:rPr>
          <w:sz w:val="22"/>
          <w:szCs w:val="22"/>
        </w:rPr>
        <w:t>13-40.</w:t>
      </w:r>
    </w:p>
    <w:p w14:paraId="23D48D68" w14:textId="77777777" w:rsidR="003608F0" w:rsidRPr="00EB4DCF" w:rsidRDefault="003608F0" w:rsidP="00276A73">
      <w:pPr>
        <w:spacing w:afterLines="80" w:after="192"/>
        <w:jc w:val="both"/>
        <w:rPr>
          <w:rFonts w:eastAsia="Times New Roman" w:cs="Times New Roman"/>
          <w:sz w:val="22"/>
          <w:szCs w:val="22"/>
        </w:rPr>
      </w:pPr>
      <w:r w:rsidRPr="00EB4DCF">
        <w:rPr>
          <w:rFonts w:eastAsia="Times New Roman" w:cs="Times New Roman"/>
          <w:sz w:val="22"/>
          <w:szCs w:val="22"/>
          <w:shd w:val="clear" w:color="auto" w:fill="FFFFFF"/>
        </w:rPr>
        <w:t>Fearn</w:t>
      </w:r>
      <w:r w:rsidRPr="00EB4DCF">
        <w:rPr>
          <w:rFonts w:eastAsia="Times New Roman" w:cs="Times New Roman"/>
          <w:color w:val="222222"/>
          <w:sz w:val="22"/>
          <w:szCs w:val="22"/>
          <w:shd w:val="clear" w:color="auto" w:fill="FFFFFF"/>
        </w:rPr>
        <w:t>ley, S. and Hines, T. (2007), “How IFRS has destabilised financial reporting for UK non-listed entities”, </w:t>
      </w:r>
      <w:r w:rsidRPr="00EB4DCF">
        <w:rPr>
          <w:rFonts w:eastAsia="Times New Roman" w:cs="Times New Roman"/>
          <w:i/>
          <w:iCs/>
          <w:color w:val="222222"/>
          <w:sz w:val="22"/>
          <w:szCs w:val="22"/>
          <w:shd w:val="clear" w:color="auto" w:fill="FFFFFF"/>
        </w:rPr>
        <w:t>Journal of financial regulation and compliance</w:t>
      </w:r>
      <w:r w:rsidRPr="00EB4DCF">
        <w:rPr>
          <w:rFonts w:eastAsia="Times New Roman" w:cs="Times New Roman"/>
          <w:color w:val="222222"/>
          <w:sz w:val="22"/>
          <w:szCs w:val="22"/>
          <w:shd w:val="clear" w:color="auto" w:fill="FFFFFF"/>
        </w:rPr>
        <w:t xml:space="preserve">, Vol. </w:t>
      </w:r>
      <w:r w:rsidRPr="00EB4DCF">
        <w:rPr>
          <w:rFonts w:eastAsia="Times New Roman" w:cs="Times New Roman"/>
          <w:iCs/>
          <w:color w:val="222222"/>
          <w:sz w:val="22"/>
          <w:szCs w:val="22"/>
          <w:shd w:val="clear" w:color="auto" w:fill="FFFFFF"/>
        </w:rPr>
        <w:t>15</w:t>
      </w:r>
      <w:r w:rsidRPr="00EB4DCF">
        <w:rPr>
          <w:rFonts w:eastAsia="Times New Roman" w:cs="Times New Roman"/>
          <w:color w:val="222222"/>
          <w:sz w:val="22"/>
          <w:szCs w:val="22"/>
          <w:shd w:val="clear" w:color="auto" w:fill="FFFFFF"/>
        </w:rPr>
        <w:t xml:space="preserve"> No. 4, pp. 394-408.</w:t>
      </w:r>
    </w:p>
    <w:p w14:paraId="2C41966A" w14:textId="78A36B19" w:rsidR="003608F0" w:rsidRPr="00631844" w:rsidRDefault="003608F0" w:rsidP="00276A73">
      <w:pPr>
        <w:spacing w:afterLines="80" w:after="192"/>
        <w:jc w:val="both"/>
        <w:rPr>
          <w:rFonts w:cs="Times New Roman"/>
          <w:sz w:val="22"/>
          <w:szCs w:val="22"/>
        </w:rPr>
      </w:pPr>
      <w:r w:rsidRPr="00631844">
        <w:rPr>
          <w:rFonts w:cs="Times New Roman"/>
          <w:sz w:val="22"/>
          <w:szCs w:val="22"/>
        </w:rPr>
        <w:t xml:space="preserve">Freud, S. (1900), </w:t>
      </w:r>
      <w:r w:rsidRPr="00631844">
        <w:rPr>
          <w:rFonts w:cs="Times New Roman"/>
          <w:i/>
          <w:sz w:val="22"/>
          <w:szCs w:val="22"/>
        </w:rPr>
        <w:t xml:space="preserve">The Interpretation of Dreams </w:t>
      </w:r>
      <w:r w:rsidRPr="00705FD7">
        <w:rPr>
          <w:rFonts w:cs="Times New Roman"/>
          <w:sz w:val="22"/>
          <w:szCs w:val="22"/>
        </w:rPr>
        <w:t>(trans</w:t>
      </w:r>
      <w:r w:rsidR="00056188">
        <w:rPr>
          <w:rFonts w:cs="Times New Roman"/>
          <w:sz w:val="22"/>
          <w:szCs w:val="22"/>
        </w:rPr>
        <w:t>.</w:t>
      </w:r>
      <w:r w:rsidRPr="00705FD7">
        <w:rPr>
          <w:rFonts w:cs="Times New Roman"/>
          <w:sz w:val="22"/>
          <w:szCs w:val="22"/>
        </w:rPr>
        <w:t xml:space="preserve"> J Strac</w:t>
      </w:r>
      <w:r w:rsidR="00056188" w:rsidRPr="00705FD7">
        <w:rPr>
          <w:rFonts w:cs="Times New Roman"/>
          <w:sz w:val="22"/>
          <w:szCs w:val="22"/>
        </w:rPr>
        <w:t>h</w:t>
      </w:r>
      <w:r w:rsidRPr="00705FD7">
        <w:rPr>
          <w:rFonts w:cs="Times New Roman"/>
          <w:sz w:val="22"/>
          <w:szCs w:val="22"/>
        </w:rPr>
        <w:t>ey),</w:t>
      </w:r>
      <w:r w:rsidRPr="00631844">
        <w:rPr>
          <w:rFonts w:cs="Times New Roman"/>
          <w:sz w:val="22"/>
          <w:szCs w:val="22"/>
        </w:rPr>
        <w:t xml:space="preserve"> Penguin, London. </w:t>
      </w:r>
    </w:p>
    <w:p w14:paraId="6B342CDC" w14:textId="4AFABC95" w:rsidR="003608F0" w:rsidRPr="00AE3861" w:rsidRDefault="003608F0" w:rsidP="00276A73">
      <w:pPr>
        <w:spacing w:afterLines="80" w:after="192"/>
        <w:jc w:val="both"/>
        <w:rPr>
          <w:rFonts w:cs="Times New Roman"/>
          <w:sz w:val="22"/>
          <w:szCs w:val="22"/>
        </w:rPr>
      </w:pPr>
      <w:r w:rsidRPr="00AE3861">
        <w:rPr>
          <w:rFonts w:cs="Times New Roman"/>
          <w:sz w:val="22"/>
          <w:szCs w:val="22"/>
        </w:rPr>
        <w:t>Frezatti, F. B., Carter, D. and Barroso, M.F.G. (2014), “Accounting without accounting: Informational proxies and the construction of organisational discourses”, </w:t>
      </w:r>
      <w:r w:rsidRPr="00AE3861">
        <w:rPr>
          <w:rFonts w:cs="Times New Roman"/>
          <w:i/>
          <w:iCs/>
          <w:sz w:val="22"/>
          <w:szCs w:val="22"/>
        </w:rPr>
        <w:t xml:space="preserve">Accounting, Auditing </w:t>
      </w:r>
      <w:r w:rsidR="00403A08">
        <w:rPr>
          <w:rFonts w:cs="Times New Roman"/>
          <w:i/>
          <w:iCs/>
          <w:sz w:val="22"/>
          <w:szCs w:val="22"/>
        </w:rPr>
        <w:t>&amp;</w:t>
      </w:r>
      <w:r w:rsidR="008E2543" w:rsidRPr="00AE3861">
        <w:rPr>
          <w:rFonts w:cs="Times New Roman"/>
          <w:i/>
          <w:iCs/>
          <w:sz w:val="22"/>
          <w:szCs w:val="22"/>
        </w:rPr>
        <w:t xml:space="preserve"> </w:t>
      </w:r>
      <w:r w:rsidRPr="00AE3861">
        <w:rPr>
          <w:rFonts w:cs="Times New Roman"/>
          <w:i/>
          <w:iCs/>
          <w:sz w:val="22"/>
          <w:szCs w:val="22"/>
        </w:rPr>
        <w:t>Accountability Journal</w:t>
      </w:r>
      <w:r w:rsidRPr="00AE3861">
        <w:rPr>
          <w:rFonts w:cs="Times New Roman"/>
          <w:sz w:val="22"/>
          <w:szCs w:val="22"/>
        </w:rPr>
        <w:t>, Vol. 2</w:t>
      </w:r>
      <w:r w:rsidRPr="00AE3861">
        <w:rPr>
          <w:rFonts w:cs="Times New Roman"/>
          <w:iCs/>
          <w:sz w:val="22"/>
          <w:szCs w:val="22"/>
        </w:rPr>
        <w:t xml:space="preserve">7 No. </w:t>
      </w:r>
      <w:r w:rsidRPr="00AE3861">
        <w:rPr>
          <w:rFonts w:cs="Times New Roman"/>
          <w:sz w:val="22"/>
          <w:szCs w:val="22"/>
        </w:rPr>
        <w:t>3, pp. 426-464.</w:t>
      </w:r>
    </w:p>
    <w:p w14:paraId="4BA9D148" w14:textId="77777777" w:rsidR="003608F0" w:rsidRPr="00EB4DCF" w:rsidRDefault="003608F0" w:rsidP="00276A73">
      <w:pPr>
        <w:spacing w:afterLines="80" w:after="192"/>
        <w:jc w:val="both"/>
        <w:rPr>
          <w:rFonts w:cs="Times New Roman"/>
          <w:sz w:val="22"/>
          <w:szCs w:val="22"/>
          <w:lang w:val="en-GB"/>
        </w:rPr>
      </w:pPr>
      <w:r w:rsidRPr="00EB4DCF">
        <w:rPr>
          <w:rFonts w:cs="Times New Roman"/>
          <w:sz w:val="22"/>
          <w:szCs w:val="22"/>
          <w:lang w:val="en-GB"/>
        </w:rPr>
        <w:lastRenderedPageBreak/>
        <w:t>Gallhofer, S. and Haslam, J. (2007), “Exploring social, political and economic dimensions of accounting in the global context: the International Accounting Standards Board and accounting disaggregation”, </w:t>
      </w:r>
      <w:r w:rsidRPr="00705FD7">
        <w:rPr>
          <w:rFonts w:cs="Times New Roman"/>
          <w:i/>
          <w:iCs/>
          <w:sz w:val="22"/>
          <w:szCs w:val="22"/>
          <w:lang w:val="en-GB"/>
        </w:rPr>
        <w:t>Socio-Economic Review</w:t>
      </w:r>
      <w:r w:rsidRPr="00EB4DCF">
        <w:rPr>
          <w:rFonts w:cs="Times New Roman"/>
          <w:iCs/>
          <w:sz w:val="22"/>
          <w:szCs w:val="22"/>
          <w:lang w:val="en-GB"/>
        </w:rPr>
        <w:t xml:space="preserve">, Vol. </w:t>
      </w:r>
      <w:r w:rsidRPr="00EB4DCF">
        <w:rPr>
          <w:rFonts w:cs="Times New Roman"/>
          <w:bCs/>
          <w:sz w:val="22"/>
          <w:szCs w:val="22"/>
          <w:lang w:val="en-GB"/>
        </w:rPr>
        <w:t>5</w:t>
      </w:r>
      <w:r w:rsidRPr="00EB4DCF">
        <w:rPr>
          <w:rFonts w:cs="Times New Roman"/>
          <w:sz w:val="22"/>
          <w:szCs w:val="22"/>
          <w:lang w:val="en-GB"/>
        </w:rPr>
        <w:t xml:space="preserve"> No. 4, pp. 633-664.</w:t>
      </w:r>
    </w:p>
    <w:p w14:paraId="4CCE9D95" w14:textId="77777777" w:rsidR="003608F0" w:rsidRPr="00AE3861" w:rsidRDefault="003608F0" w:rsidP="00276A73">
      <w:pPr>
        <w:spacing w:afterLines="80" w:after="192"/>
        <w:jc w:val="both"/>
        <w:rPr>
          <w:rFonts w:eastAsia="Times New Roman" w:cs="Times New Roman"/>
          <w:sz w:val="22"/>
          <w:szCs w:val="22"/>
          <w:shd w:val="clear" w:color="auto" w:fill="FFFFFF"/>
        </w:rPr>
      </w:pPr>
      <w:r w:rsidRPr="00AE3861">
        <w:rPr>
          <w:rFonts w:eastAsia="Times New Roman" w:cs="Times New Roman"/>
          <w:sz w:val="22"/>
          <w:szCs w:val="22"/>
          <w:shd w:val="clear" w:color="auto" w:fill="FFFFFF"/>
        </w:rPr>
        <w:t xml:space="preserve">Glynos, J. and Howarth, D. (2007), </w:t>
      </w:r>
      <w:r w:rsidRPr="00AE3861">
        <w:rPr>
          <w:rFonts w:eastAsia="Times New Roman" w:cs="Times New Roman"/>
          <w:i/>
          <w:iCs/>
          <w:sz w:val="22"/>
          <w:szCs w:val="22"/>
          <w:shd w:val="clear" w:color="auto" w:fill="FFFFFF"/>
        </w:rPr>
        <w:t>Logics of critical explanation in social and political theory</w:t>
      </w:r>
      <w:r w:rsidRPr="00AE3861">
        <w:rPr>
          <w:rFonts w:eastAsia="Times New Roman" w:cs="Times New Roman"/>
          <w:sz w:val="22"/>
          <w:szCs w:val="22"/>
          <w:shd w:val="clear" w:color="auto" w:fill="FFFFFF"/>
        </w:rPr>
        <w:t>, Routledge, New York.</w:t>
      </w:r>
    </w:p>
    <w:p w14:paraId="2D804295" w14:textId="77777777" w:rsidR="003608F0" w:rsidRPr="00AE3861" w:rsidRDefault="003608F0" w:rsidP="00276A73">
      <w:pPr>
        <w:spacing w:afterLines="80" w:after="192"/>
        <w:jc w:val="both"/>
        <w:rPr>
          <w:rFonts w:eastAsia="Times New Roman" w:cs="Times New Roman"/>
          <w:sz w:val="22"/>
          <w:szCs w:val="22"/>
        </w:rPr>
      </w:pPr>
      <w:r w:rsidRPr="00AE3861">
        <w:rPr>
          <w:rFonts w:eastAsia="Times New Roman" w:cs="Times New Roman"/>
          <w:color w:val="222222"/>
          <w:sz w:val="22"/>
          <w:szCs w:val="22"/>
          <w:shd w:val="clear" w:color="auto" w:fill="FFFFFF"/>
        </w:rPr>
        <w:t>Glynos, J., Klimecki, R. and Willmott, H. (2015), “Logics in policy and practice: A critical nodal analysis of the UK banking reform process”. </w:t>
      </w:r>
      <w:r w:rsidRPr="00AE3861">
        <w:rPr>
          <w:rFonts w:eastAsia="Times New Roman" w:cs="Times New Roman"/>
          <w:i/>
          <w:iCs/>
          <w:color w:val="222222"/>
          <w:sz w:val="22"/>
          <w:szCs w:val="22"/>
          <w:shd w:val="clear" w:color="auto" w:fill="FFFFFF"/>
        </w:rPr>
        <w:t>Critical Policy Studies</w:t>
      </w:r>
      <w:r w:rsidRPr="00AE3861">
        <w:rPr>
          <w:rFonts w:eastAsia="Times New Roman" w:cs="Times New Roman"/>
          <w:color w:val="222222"/>
          <w:sz w:val="22"/>
          <w:szCs w:val="22"/>
          <w:shd w:val="clear" w:color="auto" w:fill="FFFFFF"/>
        </w:rPr>
        <w:t xml:space="preserve">, Vol. </w:t>
      </w:r>
      <w:r w:rsidRPr="00AE3861">
        <w:rPr>
          <w:rFonts w:eastAsia="Times New Roman" w:cs="Times New Roman"/>
          <w:iCs/>
          <w:color w:val="222222"/>
          <w:sz w:val="22"/>
          <w:szCs w:val="22"/>
          <w:shd w:val="clear" w:color="auto" w:fill="FFFFFF"/>
        </w:rPr>
        <w:t>9</w:t>
      </w:r>
      <w:r w:rsidRPr="00AE3861">
        <w:rPr>
          <w:rFonts w:eastAsia="Times New Roman" w:cs="Times New Roman"/>
          <w:color w:val="222222"/>
          <w:sz w:val="22"/>
          <w:szCs w:val="22"/>
          <w:shd w:val="clear" w:color="auto" w:fill="FFFFFF"/>
        </w:rPr>
        <w:t xml:space="preserve"> No. 4, pp. 393-415.</w:t>
      </w:r>
    </w:p>
    <w:p w14:paraId="2C8725B9" w14:textId="77777777" w:rsidR="003608F0" w:rsidRPr="00631844" w:rsidRDefault="003608F0" w:rsidP="00276A73">
      <w:pPr>
        <w:spacing w:afterLines="80" w:after="192"/>
        <w:jc w:val="both"/>
        <w:rPr>
          <w:rFonts w:cs="Times New Roman"/>
          <w:sz w:val="22"/>
          <w:szCs w:val="22"/>
        </w:rPr>
      </w:pPr>
      <w:r w:rsidRPr="00AE3861">
        <w:rPr>
          <w:rFonts w:cs="Times New Roman"/>
          <w:sz w:val="22"/>
          <w:szCs w:val="22"/>
        </w:rPr>
        <w:t xml:space="preserve">Griggs, S. and Howarth, D.R. (2006), “Metaphor, catachresis and equivalence: the rhetoric of freedom to fly in the struggle over aviation policy in the United Kingdom”, </w:t>
      </w:r>
      <w:r w:rsidRPr="00AE3861">
        <w:rPr>
          <w:rFonts w:cs="Times New Roman"/>
          <w:i/>
          <w:sz w:val="22"/>
          <w:szCs w:val="22"/>
        </w:rPr>
        <w:t>Policy and Society</w:t>
      </w:r>
      <w:r w:rsidRPr="00AE3861">
        <w:rPr>
          <w:rFonts w:cs="Times New Roman"/>
          <w:sz w:val="22"/>
          <w:szCs w:val="22"/>
        </w:rPr>
        <w:t>, Vol. 25 No. 2, 23-</w:t>
      </w:r>
      <w:r w:rsidRPr="00631844">
        <w:rPr>
          <w:rFonts w:cs="Times New Roman"/>
          <w:sz w:val="22"/>
          <w:szCs w:val="22"/>
        </w:rPr>
        <w:t>46.</w:t>
      </w:r>
    </w:p>
    <w:p w14:paraId="6D62F7F7" w14:textId="52DFC011" w:rsidR="003205DA" w:rsidRPr="00631844" w:rsidRDefault="003205DA" w:rsidP="00FF20F2">
      <w:pPr>
        <w:spacing w:afterLines="80" w:after="192"/>
        <w:jc w:val="both"/>
        <w:rPr>
          <w:rFonts w:cs="Times New Roman"/>
          <w:sz w:val="22"/>
          <w:szCs w:val="22"/>
        </w:rPr>
      </w:pPr>
      <w:r>
        <w:rPr>
          <w:rFonts w:cs="Times New Roman"/>
          <w:sz w:val="22"/>
          <w:szCs w:val="22"/>
        </w:rPr>
        <w:t>Harun, H., Carter, D., Khan</w:t>
      </w:r>
      <w:r w:rsidR="00FF20F2">
        <w:rPr>
          <w:rFonts w:cs="Times New Roman"/>
          <w:sz w:val="22"/>
          <w:szCs w:val="22"/>
        </w:rPr>
        <w:t>, H. and MacLennan, M. (2018)</w:t>
      </w:r>
      <w:r w:rsidR="005B34E5">
        <w:rPr>
          <w:rFonts w:cs="Times New Roman"/>
          <w:sz w:val="22"/>
          <w:szCs w:val="22"/>
        </w:rPr>
        <w:t xml:space="preserve">, </w:t>
      </w:r>
      <w:r w:rsidR="00FF20F2" w:rsidRPr="00FF20F2">
        <w:rPr>
          <w:rFonts w:cs="Times New Roman"/>
          <w:i/>
          <w:sz w:val="22"/>
          <w:szCs w:val="22"/>
        </w:rPr>
        <w:t>The Institutional Environment for Small and Medium Enterprises (SMEs) and</w:t>
      </w:r>
      <w:r w:rsidR="00FF20F2" w:rsidRPr="00FF20F2">
        <w:rPr>
          <w:rFonts w:cs="Times New Roman"/>
          <w:i/>
          <w:sz w:val="22"/>
          <w:szCs w:val="22"/>
        </w:rPr>
        <w:tab/>
        <w:t>Roles for the Accounting Profession</w:t>
      </w:r>
      <w:r w:rsidR="00FF20F2">
        <w:rPr>
          <w:rFonts w:cs="Times New Roman"/>
          <w:i/>
          <w:sz w:val="22"/>
          <w:szCs w:val="22"/>
        </w:rPr>
        <w:t>:</w:t>
      </w:r>
      <w:r w:rsidR="00FF20F2" w:rsidRPr="00FF20F2">
        <w:rPr>
          <w:rFonts w:cs="Times New Roman"/>
          <w:i/>
          <w:sz w:val="22"/>
          <w:szCs w:val="22"/>
        </w:rPr>
        <w:t xml:space="preserve"> ASEAN Perspectives</w:t>
      </w:r>
      <w:r w:rsidR="00FF20F2">
        <w:rPr>
          <w:rFonts w:cs="Times New Roman"/>
          <w:sz w:val="22"/>
          <w:szCs w:val="22"/>
        </w:rPr>
        <w:t xml:space="preserve">. University of Canberra, Nexus Research Centre, Canberra. </w:t>
      </w:r>
    </w:p>
    <w:p w14:paraId="55A905B3" w14:textId="77777777" w:rsidR="00731B92" w:rsidRPr="00074670" w:rsidRDefault="00731B92" w:rsidP="00731B92">
      <w:pPr>
        <w:spacing w:afterLines="80" w:after="192"/>
        <w:jc w:val="both"/>
        <w:rPr>
          <w:rFonts w:cs="Times New Roman"/>
          <w:sz w:val="22"/>
          <w:szCs w:val="22"/>
        </w:rPr>
      </w:pPr>
      <w:r w:rsidRPr="00143673">
        <w:rPr>
          <w:rFonts w:cs="Times New Roman"/>
          <w:sz w:val="22"/>
          <w:szCs w:val="22"/>
        </w:rPr>
        <w:t xml:space="preserve">Hirsch, P., </w:t>
      </w:r>
      <w:r>
        <w:rPr>
          <w:rFonts w:cs="Times New Roman"/>
          <w:sz w:val="22"/>
          <w:szCs w:val="22"/>
        </w:rPr>
        <w:t>and</w:t>
      </w:r>
      <w:r w:rsidRPr="00143673">
        <w:rPr>
          <w:rFonts w:cs="Times New Roman"/>
          <w:sz w:val="22"/>
          <w:szCs w:val="22"/>
        </w:rPr>
        <w:t xml:space="preserve"> Lounsbury, M. (2015)</w:t>
      </w:r>
      <w:r>
        <w:rPr>
          <w:rFonts w:cs="Times New Roman"/>
          <w:sz w:val="22"/>
          <w:szCs w:val="22"/>
        </w:rPr>
        <w:t>,</w:t>
      </w:r>
      <w:r w:rsidRPr="00143673">
        <w:rPr>
          <w:rFonts w:cs="Times New Roman"/>
          <w:sz w:val="22"/>
          <w:szCs w:val="22"/>
        </w:rPr>
        <w:t xml:space="preserve"> </w:t>
      </w:r>
      <w:r>
        <w:rPr>
          <w:rFonts w:cs="Times New Roman"/>
          <w:sz w:val="22"/>
          <w:szCs w:val="22"/>
        </w:rPr>
        <w:t>“</w:t>
      </w:r>
      <w:r w:rsidRPr="00143673">
        <w:rPr>
          <w:rFonts w:cs="Times New Roman"/>
          <w:sz w:val="22"/>
          <w:szCs w:val="22"/>
        </w:rPr>
        <w:t xml:space="preserve">Toward a More Critical and </w:t>
      </w:r>
      <w:r>
        <w:rPr>
          <w:rFonts w:cs="Times New Roman"/>
          <w:sz w:val="22"/>
          <w:szCs w:val="22"/>
        </w:rPr>
        <w:t>‘</w:t>
      </w:r>
      <w:r w:rsidRPr="00143673">
        <w:rPr>
          <w:rFonts w:cs="Times New Roman"/>
          <w:sz w:val="22"/>
          <w:szCs w:val="22"/>
        </w:rPr>
        <w:t>Powerful</w:t>
      </w:r>
      <w:r>
        <w:rPr>
          <w:rFonts w:cs="Times New Roman"/>
          <w:sz w:val="22"/>
          <w:szCs w:val="22"/>
        </w:rPr>
        <w:t>’</w:t>
      </w:r>
      <w:r w:rsidRPr="00143673">
        <w:rPr>
          <w:rFonts w:cs="Times New Roman"/>
          <w:sz w:val="22"/>
          <w:szCs w:val="22"/>
        </w:rPr>
        <w:t xml:space="preserve"> Institutionalism</w:t>
      </w:r>
      <w:r>
        <w:rPr>
          <w:rFonts w:cs="Times New Roman"/>
          <w:sz w:val="22"/>
          <w:szCs w:val="22"/>
        </w:rPr>
        <w:t>”</w:t>
      </w:r>
      <w:r w:rsidRPr="00143673">
        <w:rPr>
          <w:rFonts w:cs="Times New Roman"/>
          <w:sz w:val="22"/>
          <w:szCs w:val="22"/>
        </w:rPr>
        <w:t xml:space="preserve">. </w:t>
      </w:r>
      <w:r w:rsidRPr="00143673">
        <w:rPr>
          <w:rFonts w:cs="Times New Roman"/>
          <w:i/>
          <w:sz w:val="22"/>
          <w:szCs w:val="22"/>
        </w:rPr>
        <w:t>Journal of Management Inquiry</w:t>
      </w:r>
      <w:r w:rsidRPr="00143673">
        <w:rPr>
          <w:rFonts w:cs="Times New Roman"/>
          <w:sz w:val="22"/>
          <w:szCs w:val="22"/>
        </w:rPr>
        <w:t>,</w:t>
      </w:r>
      <w:r>
        <w:rPr>
          <w:rFonts w:cs="Times New Roman"/>
          <w:sz w:val="22"/>
          <w:szCs w:val="22"/>
        </w:rPr>
        <w:t xml:space="preserve"> Vol.</w:t>
      </w:r>
      <w:r w:rsidRPr="00143673">
        <w:rPr>
          <w:rFonts w:cs="Times New Roman"/>
          <w:sz w:val="22"/>
          <w:szCs w:val="22"/>
        </w:rPr>
        <w:t xml:space="preserve"> 24</w:t>
      </w:r>
      <w:r>
        <w:rPr>
          <w:rFonts w:cs="Times New Roman"/>
          <w:sz w:val="22"/>
          <w:szCs w:val="22"/>
        </w:rPr>
        <w:t xml:space="preserve"> No. </w:t>
      </w:r>
      <w:r w:rsidRPr="00143673">
        <w:rPr>
          <w:rFonts w:cs="Times New Roman"/>
          <w:sz w:val="22"/>
          <w:szCs w:val="22"/>
        </w:rPr>
        <w:t>1,</w:t>
      </w:r>
      <w:r>
        <w:rPr>
          <w:rFonts w:cs="Times New Roman"/>
          <w:sz w:val="22"/>
          <w:szCs w:val="22"/>
        </w:rPr>
        <w:t xml:space="preserve"> pp. </w:t>
      </w:r>
      <w:r w:rsidRPr="00143673">
        <w:rPr>
          <w:rFonts w:cs="Times New Roman"/>
          <w:sz w:val="22"/>
          <w:szCs w:val="22"/>
        </w:rPr>
        <w:t>96–99.</w:t>
      </w:r>
    </w:p>
    <w:p w14:paraId="7E6A3E7A" w14:textId="77777777" w:rsidR="003608F0" w:rsidRPr="00AE3861" w:rsidRDefault="003608F0" w:rsidP="00276A73">
      <w:pPr>
        <w:spacing w:afterLines="80" w:after="192"/>
        <w:jc w:val="both"/>
        <w:rPr>
          <w:rFonts w:cs="Times New Roman"/>
          <w:sz w:val="22"/>
          <w:szCs w:val="22"/>
        </w:rPr>
      </w:pPr>
      <w:r w:rsidRPr="00AE3861">
        <w:rPr>
          <w:rFonts w:cs="Times New Roman"/>
          <w:sz w:val="22"/>
          <w:szCs w:val="22"/>
        </w:rPr>
        <w:t xml:space="preserve">Hopper, T., Lassou, P. and Soobaroyen, T. (2017), “Globalisation, Accounting and Developing Countries”, </w:t>
      </w:r>
      <w:r w:rsidRPr="00AE3861">
        <w:rPr>
          <w:rFonts w:cs="Times New Roman"/>
          <w:i/>
          <w:sz w:val="22"/>
          <w:szCs w:val="22"/>
        </w:rPr>
        <w:t>Critical Perspectives on Accounting</w:t>
      </w:r>
      <w:r w:rsidRPr="00AE3861">
        <w:rPr>
          <w:rFonts w:cs="Times New Roman"/>
          <w:sz w:val="22"/>
          <w:szCs w:val="22"/>
        </w:rPr>
        <w:t xml:space="preserve">, Vol. 43, pp. 125-148. </w:t>
      </w:r>
    </w:p>
    <w:p w14:paraId="4CEBCAB3" w14:textId="7EA02FDD" w:rsidR="006A7087" w:rsidRDefault="003608F0" w:rsidP="00276A73">
      <w:pPr>
        <w:spacing w:afterLines="80" w:after="192"/>
        <w:jc w:val="both"/>
        <w:rPr>
          <w:rFonts w:cs="Times New Roman"/>
          <w:sz w:val="22"/>
          <w:szCs w:val="22"/>
        </w:rPr>
      </w:pPr>
      <w:r w:rsidRPr="00074670">
        <w:rPr>
          <w:rFonts w:cs="Times New Roman"/>
          <w:sz w:val="22"/>
          <w:szCs w:val="22"/>
        </w:rPr>
        <w:t xml:space="preserve">Horngren, C. T. (1981), “Uses and limitations of a conceptual framework”, </w:t>
      </w:r>
      <w:r w:rsidRPr="00074670">
        <w:rPr>
          <w:rFonts w:cs="Times New Roman"/>
          <w:i/>
          <w:sz w:val="22"/>
          <w:szCs w:val="22"/>
        </w:rPr>
        <w:t>Journal of Accountancy (pre-1986)</w:t>
      </w:r>
      <w:r w:rsidRPr="00074670">
        <w:rPr>
          <w:rFonts w:cs="Times New Roman"/>
          <w:sz w:val="22"/>
          <w:szCs w:val="22"/>
        </w:rPr>
        <w:t>, 151(000004), 86.</w:t>
      </w:r>
    </w:p>
    <w:p w14:paraId="0CCC22F3" w14:textId="77777777" w:rsidR="003608F0" w:rsidRDefault="003608F0" w:rsidP="00276A73">
      <w:pPr>
        <w:spacing w:afterLines="80" w:after="192"/>
        <w:jc w:val="both"/>
        <w:rPr>
          <w:rFonts w:cs="Times New Roman"/>
          <w:sz w:val="22"/>
          <w:szCs w:val="22"/>
        </w:rPr>
      </w:pPr>
      <w:r w:rsidRPr="00AE3861">
        <w:rPr>
          <w:rFonts w:cs="Times New Roman"/>
          <w:sz w:val="22"/>
          <w:szCs w:val="22"/>
        </w:rPr>
        <w:t xml:space="preserve">Howarth, D., Norval, A. and Stavrakakis, Y. (2000), </w:t>
      </w:r>
      <w:r w:rsidRPr="00AE3861">
        <w:rPr>
          <w:rFonts w:cs="Times New Roman"/>
          <w:i/>
          <w:sz w:val="22"/>
          <w:szCs w:val="22"/>
        </w:rPr>
        <w:t>Discourse Theory and Political Analysis: Identities, Hegemonies, and Social Change</w:t>
      </w:r>
      <w:r w:rsidRPr="00AE3861">
        <w:rPr>
          <w:rFonts w:cs="Times New Roman"/>
          <w:sz w:val="22"/>
          <w:szCs w:val="22"/>
        </w:rPr>
        <w:t xml:space="preserve">, University Press, Manchester. </w:t>
      </w:r>
    </w:p>
    <w:p w14:paraId="0E6589AA" w14:textId="66493C65" w:rsidR="006A7087" w:rsidRDefault="006A7087" w:rsidP="00276A73">
      <w:pPr>
        <w:spacing w:afterLines="80" w:after="192"/>
        <w:jc w:val="both"/>
        <w:rPr>
          <w:rFonts w:cs="Times New Roman"/>
          <w:sz w:val="22"/>
          <w:szCs w:val="22"/>
        </w:rPr>
      </w:pPr>
      <w:r w:rsidRPr="006A7087">
        <w:rPr>
          <w:rFonts w:cs="Times New Roman"/>
          <w:sz w:val="22"/>
          <w:szCs w:val="22"/>
        </w:rPr>
        <w:t xml:space="preserve">Howarth, D. </w:t>
      </w:r>
      <w:r w:rsidR="00A272D9">
        <w:rPr>
          <w:rFonts w:cs="Times New Roman"/>
          <w:sz w:val="22"/>
          <w:szCs w:val="22"/>
        </w:rPr>
        <w:t>and</w:t>
      </w:r>
      <w:r w:rsidRPr="006A7087">
        <w:rPr>
          <w:rFonts w:cs="Times New Roman"/>
          <w:sz w:val="22"/>
          <w:szCs w:val="22"/>
        </w:rPr>
        <w:t xml:space="preserve"> Torfing. J. (2005)</w:t>
      </w:r>
      <w:r w:rsidR="00A313B8">
        <w:rPr>
          <w:rFonts w:cs="Times New Roman"/>
          <w:sz w:val="22"/>
          <w:szCs w:val="22"/>
        </w:rPr>
        <w:t>,</w:t>
      </w:r>
      <w:r w:rsidRPr="006A7087">
        <w:rPr>
          <w:rFonts w:cs="Times New Roman"/>
          <w:sz w:val="22"/>
          <w:szCs w:val="22"/>
        </w:rPr>
        <w:t xml:space="preserve"> </w:t>
      </w:r>
      <w:r w:rsidRPr="006A7087">
        <w:rPr>
          <w:rFonts w:cs="Times New Roman"/>
          <w:i/>
          <w:sz w:val="22"/>
          <w:szCs w:val="22"/>
        </w:rPr>
        <w:t>Discourse Theory in European Politics: Identity, Policy and Governance</w:t>
      </w:r>
      <w:r w:rsidRPr="006A7087">
        <w:rPr>
          <w:rFonts w:cs="Times New Roman"/>
          <w:sz w:val="22"/>
          <w:szCs w:val="22"/>
        </w:rPr>
        <w:t>. Palgrave Macmillan</w:t>
      </w:r>
      <w:r w:rsidR="00403A08">
        <w:rPr>
          <w:rFonts w:cs="Times New Roman"/>
          <w:sz w:val="22"/>
          <w:szCs w:val="22"/>
        </w:rPr>
        <w:t>, London</w:t>
      </w:r>
      <w:r w:rsidRPr="006A7087">
        <w:rPr>
          <w:rFonts w:cs="Times New Roman"/>
          <w:sz w:val="22"/>
          <w:szCs w:val="22"/>
        </w:rPr>
        <w:t>.</w:t>
      </w:r>
    </w:p>
    <w:p w14:paraId="4DB2D9E5" w14:textId="02304025" w:rsidR="00731B92" w:rsidRDefault="00731B92" w:rsidP="00276A73">
      <w:pPr>
        <w:spacing w:afterLines="80" w:after="192"/>
        <w:jc w:val="both"/>
        <w:rPr>
          <w:rFonts w:cs="Times New Roman"/>
          <w:sz w:val="22"/>
          <w:szCs w:val="22"/>
        </w:rPr>
      </w:pPr>
      <w:r>
        <w:rPr>
          <w:rFonts w:cs="Times New Roman"/>
          <w:sz w:val="22"/>
          <w:szCs w:val="22"/>
        </w:rPr>
        <w:t>Howieson, B. A. (2009),</w:t>
      </w:r>
      <w:r w:rsidRPr="00731B92">
        <w:rPr>
          <w:rFonts w:cs="Times New Roman"/>
          <w:sz w:val="22"/>
          <w:szCs w:val="22"/>
        </w:rPr>
        <w:t xml:space="preserve"> </w:t>
      </w:r>
      <w:r>
        <w:rPr>
          <w:rFonts w:cs="Times New Roman"/>
          <w:sz w:val="22"/>
          <w:szCs w:val="22"/>
        </w:rPr>
        <w:t>“</w:t>
      </w:r>
      <w:r w:rsidRPr="00731B92">
        <w:rPr>
          <w:rFonts w:cs="Times New Roman"/>
          <w:sz w:val="22"/>
          <w:szCs w:val="22"/>
        </w:rPr>
        <w:t>Agenda formation and accounting standards setting: les</w:t>
      </w:r>
      <w:r>
        <w:rPr>
          <w:rFonts w:cs="Times New Roman"/>
          <w:sz w:val="22"/>
          <w:szCs w:val="22"/>
        </w:rPr>
        <w:t>sons from the standards setters”,</w:t>
      </w:r>
      <w:r w:rsidRPr="00731B92">
        <w:rPr>
          <w:rFonts w:cs="Times New Roman"/>
          <w:sz w:val="22"/>
          <w:szCs w:val="22"/>
        </w:rPr>
        <w:t xml:space="preserve"> </w:t>
      </w:r>
      <w:r w:rsidRPr="00731B92">
        <w:rPr>
          <w:rFonts w:cs="Times New Roman"/>
          <w:i/>
          <w:sz w:val="22"/>
          <w:szCs w:val="22"/>
        </w:rPr>
        <w:t>Accounting &amp; Finance</w:t>
      </w:r>
      <w:r w:rsidRPr="00731B92">
        <w:rPr>
          <w:rFonts w:cs="Times New Roman"/>
          <w:sz w:val="22"/>
          <w:szCs w:val="22"/>
        </w:rPr>
        <w:t xml:space="preserve">, </w:t>
      </w:r>
      <w:r>
        <w:rPr>
          <w:rFonts w:cs="Times New Roman"/>
          <w:sz w:val="22"/>
          <w:szCs w:val="22"/>
        </w:rPr>
        <w:t>Vol. 49 No. 3</w:t>
      </w:r>
      <w:r w:rsidRPr="00731B92">
        <w:rPr>
          <w:rFonts w:cs="Times New Roman"/>
          <w:sz w:val="22"/>
          <w:szCs w:val="22"/>
        </w:rPr>
        <w:t>,</w:t>
      </w:r>
      <w:r>
        <w:rPr>
          <w:rFonts w:cs="Times New Roman"/>
          <w:sz w:val="22"/>
          <w:szCs w:val="22"/>
        </w:rPr>
        <w:t xml:space="preserve"> pp.</w:t>
      </w:r>
      <w:r w:rsidRPr="00731B92">
        <w:rPr>
          <w:rFonts w:cs="Times New Roman"/>
          <w:sz w:val="22"/>
          <w:szCs w:val="22"/>
        </w:rPr>
        <w:t xml:space="preserve"> 577-598.</w:t>
      </w:r>
    </w:p>
    <w:p w14:paraId="685EF9E0" w14:textId="4231F304" w:rsidR="00276A73" w:rsidRDefault="00276A73" w:rsidP="00276A73">
      <w:pPr>
        <w:spacing w:afterLines="80" w:after="192"/>
        <w:jc w:val="both"/>
        <w:rPr>
          <w:rFonts w:cs="Times New Roman"/>
          <w:sz w:val="22"/>
          <w:szCs w:val="22"/>
        </w:rPr>
      </w:pPr>
      <w:r w:rsidRPr="00276A73">
        <w:rPr>
          <w:rFonts w:cs="Times New Roman"/>
          <w:sz w:val="22"/>
          <w:szCs w:val="22"/>
        </w:rPr>
        <w:t>Howieson, B. (2011)</w:t>
      </w:r>
      <w:r w:rsidR="00A313B8">
        <w:rPr>
          <w:rFonts w:cs="Times New Roman"/>
          <w:sz w:val="22"/>
          <w:szCs w:val="22"/>
        </w:rPr>
        <w:t>,</w:t>
      </w:r>
      <w:r w:rsidRPr="00276A73">
        <w:rPr>
          <w:rFonts w:cs="Times New Roman"/>
          <w:sz w:val="22"/>
          <w:szCs w:val="22"/>
        </w:rPr>
        <w:t xml:space="preserve"> </w:t>
      </w:r>
      <w:r w:rsidR="00E06414">
        <w:rPr>
          <w:rFonts w:cs="Times New Roman"/>
          <w:sz w:val="22"/>
          <w:szCs w:val="22"/>
        </w:rPr>
        <w:t>“</w:t>
      </w:r>
      <w:r w:rsidRPr="00276A73">
        <w:rPr>
          <w:rFonts w:cs="Times New Roman"/>
          <w:sz w:val="22"/>
          <w:szCs w:val="22"/>
        </w:rPr>
        <w:t>GFC or KFC?: How standard setters were battered and fried</w:t>
      </w:r>
      <w:r w:rsidR="00E06414">
        <w:rPr>
          <w:rFonts w:cs="Times New Roman"/>
          <w:sz w:val="22"/>
          <w:szCs w:val="22"/>
        </w:rPr>
        <w:t>”,</w:t>
      </w:r>
      <w:r w:rsidRPr="00276A73">
        <w:rPr>
          <w:rFonts w:cs="Times New Roman"/>
          <w:sz w:val="22"/>
          <w:szCs w:val="22"/>
        </w:rPr>
        <w:t xml:space="preserve"> </w:t>
      </w:r>
      <w:r w:rsidRPr="00276A73">
        <w:rPr>
          <w:rFonts w:cs="Times New Roman"/>
          <w:i/>
          <w:sz w:val="22"/>
          <w:szCs w:val="22"/>
        </w:rPr>
        <w:t xml:space="preserve">Australian </w:t>
      </w:r>
      <w:r w:rsidR="00403A08">
        <w:rPr>
          <w:rFonts w:cs="Times New Roman"/>
          <w:i/>
          <w:sz w:val="22"/>
          <w:szCs w:val="22"/>
        </w:rPr>
        <w:t>A</w:t>
      </w:r>
      <w:r w:rsidRPr="00276A73">
        <w:rPr>
          <w:rFonts w:cs="Times New Roman"/>
          <w:i/>
          <w:sz w:val="22"/>
          <w:szCs w:val="22"/>
        </w:rPr>
        <w:t xml:space="preserve">ccounting </w:t>
      </w:r>
      <w:r w:rsidR="00403A08">
        <w:rPr>
          <w:rFonts w:cs="Times New Roman"/>
          <w:i/>
          <w:sz w:val="22"/>
          <w:szCs w:val="22"/>
        </w:rPr>
        <w:t>R</w:t>
      </w:r>
      <w:r w:rsidRPr="00276A73">
        <w:rPr>
          <w:rFonts w:cs="Times New Roman"/>
          <w:i/>
          <w:sz w:val="22"/>
          <w:szCs w:val="22"/>
        </w:rPr>
        <w:t>eview</w:t>
      </w:r>
      <w:r w:rsidRPr="00276A73">
        <w:rPr>
          <w:rFonts w:cs="Times New Roman"/>
          <w:sz w:val="22"/>
          <w:szCs w:val="22"/>
        </w:rPr>
        <w:t xml:space="preserve">, </w:t>
      </w:r>
      <w:r w:rsidR="00E06414">
        <w:rPr>
          <w:rFonts w:cs="Times New Roman"/>
          <w:sz w:val="22"/>
          <w:szCs w:val="22"/>
        </w:rPr>
        <w:t xml:space="preserve">Vol. </w:t>
      </w:r>
      <w:r w:rsidRPr="00276A73">
        <w:rPr>
          <w:rFonts w:cs="Times New Roman"/>
          <w:sz w:val="22"/>
          <w:szCs w:val="22"/>
        </w:rPr>
        <w:t>21</w:t>
      </w:r>
      <w:r w:rsidR="00403A08">
        <w:rPr>
          <w:rFonts w:cs="Times New Roman"/>
          <w:sz w:val="22"/>
          <w:szCs w:val="22"/>
        </w:rPr>
        <w:t xml:space="preserve"> </w:t>
      </w:r>
      <w:r w:rsidR="00E06414">
        <w:rPr>
          <w:rFonts w:cs="Times New Roman"/>
          <w:sz w:val="22"/>
          <w:szCs w:val="22"/>
        </w:rPr>
        <w:t xml:space="preserve">No. </w:t>
      </w:r>
      <w:r w:rsidRPr="00276A73">
        <w:rPr>
          <w:rFonts w:cs="Times New Roman"/>
          <w:sz w:val="22"/>
          <w:szCs w:val="22"/>
        </w:rPr>
        <w:t xml:space="preserve">1, </w:t>
      </w:r>
      <w:r w:rsidR="00E06414">
        <w:rPr>
          <w:rFonts w:cs="Times New Roman"/>
          <w:sz w:val="22"/>
          <w:szCs w:val="22"/>
        </w:rPr>
        <w:t xml:space="preserve">pp. </w:t>
      </w:r>
      <w:r w:rsidRPr="00276A73">
        <w:rPr>
          <w:rFonts w:cs="Times New Roman"/>
          <w:sz w:val="22"/>
          <w:szCs w:val="22"/>
        </w:rPr>
        <w:t>3-13.</w:t>
      </w:r>
    </w:p>
    <w:p w14:paraId="5F4B6F74" w14:textId="1221FE26" w:rsidR="00D215FE" w:rsidRDefault="00D215FE" w:rsidP="00D215FE">
      <w:pPr>
        <w:spacing w:afterLines="80" w:after="192"/>
        <w:jc w:val="both"/>
        <w:rPr>
          <w:rFonts w:cs="Times New Roman"/>
          <w:sz w:val="22"/>
          <w:szCs w:val="22"/>
        </w:rPr>
      </w:pPr>
      <w:r w:rsidRPr="00D215FE">
        <w:rPr>
          <w:rFonts w:cs="Times New Roman"/>
          <w:sz w:val="22"/>
          <w:szCs w:val="22"/>
        </w:rPr>
        <w:t xml:space="preserve">Jennings, B. </w:t>
      </w:r>
      <w:r w:rsidR="00BE53C3">
        <w:rPr>
          <w:rFonts w:cs="Times New Roman"/>
          <w:sz w:val="22"/>
          <w:szCs w:val="22"/>
        </w:rPr>
        <w:t>(</w:t>
      </w:r>
      <w:r w:rsidRPr="00D215FE">
        <w:rPr>
          <w:rFonts w:cs="Times New Roman"/>
          <w:sz w:val="22"/>
          <w:szCs w:val="22"/>
        </w:rPr>
        <w:t>2011</w:t>
      </w:r>
      <w:r w:rsidR="00BE53C3">
        <w:rPr>
          <w:rFonts w:cs="Times New Roman"/>
          <w:sz w:val="22"/>
          <w:szCs w:val="22"/>
        </w:rPr>
        <w:t>)</w:t>
      </w:r>
      <w:r w:rsidR="00A313B8">
        <w:rPr>
          <w:rFonts w:cs="Times New Roman"/>
          <w:sz w:val="22"/>
          <w:szCs w:val="22"/>
        </w:rPr>
        <w:t>,</w:t>
      </w:r>
      <w:r w:rsidRPr="00D215FE">
        <w:rPr>
          <w:rFonts w:cs="Times New Roman"/>
          <w:sz w:val="22"/>
          <w:szCs w:val="22"/>
        </w:rPr>
        <w:t xml:space="preserve"> “Poets of the Common Good: Experts, Citizens, Public Policy.” </w:t>
      </w:r>
      <w:r w:rsidRPr="00EE504B">
        <w:rPr>
          <w:rFonts w:cs="Times New Roman"/>
          <w:i/>
          <w:sz w:val="22"/>
          <w:szCs w:val="22"/>
        </w:rPr>
        <w:t>Critical Policy Studies</w:t>
      </w:r>
      <w:r w:rsidR="00403A08">
        <w:rPr>
          <w:rFonts w:cs="Times New Roman"/>
          <w:sz w:val="22"/>
          <w:szCs w:val="22"/>
        </w:rPr>
        <w:t>, Vol. 5 No. 3, pp.</w:t>
      </w:r>
      <w:r w:rsidRPr="00D215FE">
        <w:rPr>
          <w:rFonts w:cs="Times New Roman"/>
          <w:sz w:val="22"/>
          <w:szCs w:val="22"/>
        </w:rPr>
        <w:t xml:space="preserve"> 334–339.</w:t>
      </w:r>
    </w:p>
    <w:p w14:paraId="34984E94" w14:textId="7A40386D" w:rsidR="006E683F" w:rsidRDefault="003608F0" w:rsidP="006E683F">
      <w:pPr>
        <w:spacing w:afterLines="80" w:after="192"/>
        <w:jc w:val="both"/>
        <w:rPr>
          <w:rFonts w:cs="Times New Roman"/>
          <w:sz w:val="22"/>
          <w:szCs w:val="22"/>
        </w:rPr>
      </w:pPr>
      <w:r w:rsidRPr="00631844">
        <w:rPr>
          <w:rFonts w:cs="Times New Roman"/>
          <w:sz w:val="22"/>
          <w:szCs w:val="22"/>
        </w:rPr>
        <w:t>Johnson, P. (1995)</w:t>
      </w:r>
      <w:r w:rsidR="00A313B8">
        <w:rPr>
          <w:rFonts w:cs="Times New Roman"/>
          <w:sz w:val="22"/>
          <w:szCs w:val="22"/>
        </w:rPr>
        <w:t>,</w:t>
      </w:r>
      <w:r w:rsidRPr="00631844">
        <w:rPr>
          <w:rFonts w:cs="Times New Roman"/>
          <w:sz w:val="22"/>
          <w:szCs w:val="22"/>
        </w:rPr>
        <w:t xml:space="preserve"> “Towards an epistemology for radical accounting: beyond objectivism and relativism”, </w:t>
      </w:r>
      <w:r w:rsidRPr="00631844">
        <w:rPr>
          <w:rFonts w:cs="Times New Roman"/>
          <w:i/>
          <w:sz w:val="22"/>
          <w:szCs w:val="22"/>
        </w:rPr>
        <w:t>Critical Perspectives on Accounting</w:t>
      </w:r>
      <w:r w:rsidRPr="00631844">
        <w:rPr>
          <w:rFonts w:cs="Times New Roman"/>
          <w:sz w:val="22"/>
          <w:szCs w:val="22"/>
        </w:rPr>
        <w:t>, Vol. 6 No. 6, pp. 485-509.</w:t>
      </w:r>
    </w:p>
    <w:p w14:paraId="795B62BB" w14:textId="12E72EB1" w:rsidR="00D215FE" w:rsidRDefault="00D215FE" w:rsidP="00D215FE">
      <w:pPr>
        <w:spacing w:afterLines="80" w:after="192"/>
        <w:jc w:val="both"/>
        <w:rPr>
          <w:rFonts w:cs="Times New Roman"/>
          <w:sz w:val="22"/>
          <w:szCs w:val="22"/>
        </w:rPr>
      </w:pPr>
      <w:r w:rsidRPr="00D215FE">
        <w:rPr>
          <w:rFonts w:cs="Times New Roman"/>
          <w:sz w:val="22"/>
          <w:szCs w:val="22"/>
        </w:rPr>
        <w:t xml:space="preserve">Johnson, L. T. </w:t>
      </w:r>
      <w:r w:rsidR="008E1A54">
        <w:rPr>
          <w:rFonts w:cs="Times New Roman"/>
          <w:sz w:val="22"/>
          <w:szCs w:val="22"/>
        </w:rPr>
        <w:t>and</w:t>
      </w:r>
      <w:r w:rsidR="00BE53C3" w:rsidRPr="00D215FE">
        <w:rPr>
          <w:rFonts w:cs="Times New Roman"/>
          <w:sz w:val="22"/>
          <w:szCs w:val="22"/>
        </w:rPr>
        <w:t xml:space="preserve"> </w:t>
      </w:r>
      <w:r w:rsidRPr="00D215FE">
        <w:rPr>
          <w:rFonts w:cs="Times New Roman"/>
          <w:sz w:val="22"/>
          <w:szCs w:val="22"/>
        </w:rPr>
        <w:t>Swieringa</w:t>
      </w:r>
      <w:r w:rsidR="00BE53C3">
        <w:rPr>
          <w:rFonts w:cs="Times New Roman"/>
          <w:sz w:val="22"/>
          <w:szCs w:val="22"/>
        </w:rPr>
        <w:t>, R. J.</w:t>
      </w:r>
      <w:r w:rsidRPr="00D215FE">
        <w:rPr>
          <w:rFonts w:cs="Times New Roman"/>
          <w:sz w:val="22"/>
          <w:szCs w:val="22"/>
        </w:rPr>
        <w:t xml:space="preserve"> (1996)</w:t>
      </w:r>
      <w:r w:rsidR="00A313B8">
        <w:rPr>
          <w:rFonts w:cs="Times New Roman"/>
          <w:sz w:val="22"/>
          <w:szCs w:val="22"/>
        </w:rPr>
        <w:t>,</w:t>
      </w:r>
      <w:r w:rsidRPr="00D215FE">
        <w:rPr>
          <w:rFonts w:cs="Times New Roman"/>
          <w:sz w:val="22"/>
          <w:szCs w:val="22"/>
        </w:rPr>
        <w:t xml:space="preserve"> </w:t>
      </w:r>
      <w:r w:rsidR="00A313B8">
        <w:rPr>
          <w:rFonts w:cs="Times New Roman"/>
          <w:sz w:val="22"/>
          <w:szCs w:val="22"/>
        </w:rPr>
        <w:t>“</w:t>
      </w:r>
      <w:r w:rsidRPr="00D215FE">
        <w:rPr>
          <w:rFonts w:cs="Times New Roman"/>
          <w:sz w:val="22"/>
          <w:szCs w:val="22"/>
        </w:rPr>
        <w:t>Anatomy of an Agenda Decision: Statement No. 115</w:t>
      </w:r>
      <w:r w:rsidR="00A313B8">
        <w:rPr>
          <w:rFonts w:cs="Times New Roman"/>
          <w:sz w:val="22"/>
          <w:szCs w:val="22"/>
        </w:rPr>
        <w:t>”</w:t>
      </w:r>
      <w:r w:rsidRPr="00D215FE">
        <w:rPr>
          <w:rFonts w:cs="Times New Roman"/>
          <w:sz w:val="22"/>
          <w:szCs w:val="22"/>
        </w:rPr>
        <w:t>,</w:t>
      </w:r>
      <w:r>
        <w:rPr>
          <w:rFonts w:cs="Times New Roman"/>
          <w:sz w:val="22"/>
          <w:szCs w:val="22"/>
        </w:rPr>
        <w:t xml:space="preserve"> </w:t>
      </w:r>
      <w:r w:rsidRPr="00C75A13">
        <w:rPr>
          <w:rFonts w:cs="Times New Roman"/>
          <w:i/>
          <w:sz w:val="22"/>
          <w:szCs w:val="22"/>
        </w:rPr>
        <w:t>Accounting Horizons</w:t>
      </w:r>
      <w:r w:rsidRPr="00D215FE">
        <w:rPr>
          <w:rFonts w:cs="Times New Roman"/>
          <w:sz w:val="22"/>
          <w:szCs w:val="22"/>
        </w:rPr>
        <w:t>, Vol. 10, No. 2, pp. 149–79.</w:t>
      </w:r>
    </w:p>
    <w:p w14:paraId="29E959DC" w14:textId="0696F786" w:rsidR="00D215FE" w:rsidRPr="006E683F" w:rsidRDefault="00D215FE" w:rsidP="00D215FE">
      <w:pPr>
        <w:spacing w:afterLines="80" w:after="192"/>
        <w:jc w:val="both"/>
        <w:rPr>
          <w:rFonts w:cs="Times New Roman"/>
          <w:sz w:val="22"/>
          <w:szCs w:val="22"/>
        </w:rPr>
      </w:pPr>
      <w:r w:rsidRPr="00D215FE">
        <w:rPr>
          <w:rFonts w:cs="Times New Roman"/>
          <w:sz w:val="22"/>
          <w:szCs w:val="22"/>
        </w:rPr>
        <w:t>Jones, S., S. F. Rahman</w:t>
      </w:r>
      <w:r w:rsidR="00BE53C3">
        <w:rPr>
          <w:rFonts w:cs="Times New Roman"/>
          <w:sz w:val="22"/>
          <w:szCs w:val="22"/>
        </w:rPr>
        <w:t xml:space="preserve"> </w:t>
      </w:r>
      <w:r w:rsidR="008E1A54">
        <w:rPr>
          <w:rFonts w:cs="Times New Roman"/>
          <w:sz w:val="22"/>
          <w:szCs w:val="22"/>
        </w:rPr>
        <w:t>and</w:t>
      </w:r>
      <w:r w:rsidR="00BE53C3">
        <w:rPr>
          <w:rFonts w:cs="Times New Roman"/>
          <w:sz w:val="22"/>
          <w:szCs w:val="22"/>
        </w:rPr>
        <w:t xml:space="preserve"> </w:t>
      </w:r>
      <w:r w:rsidRPr="00D215FE">
        <w:rPr>
          <w:rFonts w:cs="Times New Roman"/>
          <w:sz w:val="22"/>
          <w:szCs w:val="22"/>
        </w:rPr>
        <w:t>Wolnizer</w:t>
      </w:r>
      <w:r w:rsidR="00BE53C3">
        <w:rPr>
          <w:rFonts w:cs="Times New Roman"/>
          <w:sz w:val="22"/>
          <w:szCs w:val="22"/>
        </w:rPr>
        <w:t>, P.</w:t>
      </w:r>
      <w:r w:rsidRPr="00D215FE">
        <w:rPr>
          <w:rFonts w:cs="Times New Roman"/>
          <w:sz w:val="22"/>
          <w:szCs w:val="22"/>
        </w:rPr>
        <w:t xml:space="preserve"> (2004)</w:t>
      </w:r>
      <w:r w:rsidR="00A313B8">
        <w:rPr>
          <w:rFonts w:cs="Times New Roman"/>
          <w:sz w:val="22"/>
          <w:szCs w:val="22"/>
        </w:rPr>
        <w:t>, “</w:t>
      </w:r>
      <w:r w:rsidRPr="00D215FE">
        <w:rPr>
          <w:rFonts w:cs="Times New Roman"/>
          <w:sz w:val="22"/>
          <w:szCs w:val="22"/>
        </w:rPr>
        <w:t xml:space="preserve">Accounting Reform </w:t>
      </w:r>
      <w:r>
        <w:rPr>
          <w:rFonts w:cs="Times New Roman"/>
          <w:sz w:val="22"/>
          <w:szCs w:val="22"/>
        </w:rPr>
        <w:t xml:space="preserve">in Australia: Contrasting Cases </w:t>
      </w:r>
      <w:r w:rsidRPr="00D215FE">
        <w:rPr>
          <w:rFonts w:cs="Times New Roman"/>
          <w:sz w:val="22"/>
          <w:szCs w:val="22"/>
        </w:rPr>
        <w:t>of Agenda Building</w:t>
      </w:r>
      <w:r w:rsidR="00A313B8">
        <w:rPr>
          <w:rFonts w:cs="Times New Roman"/>
          <w:sz w:val="22"/>
          <w:szCs w:val="22"/>
        </w:rPr>
        <w:t>”</w:t>
      </w:r>
      <w:r w:rsidRPr="00D215FE">
        <w:rPr>
          <w:rFonts w:cs="Times New Roman"/>
          <w:sz w:val="22"/>
          <w:szCs w:val="22"/>
        </w:rPr>
        <w:t xml:space="preserve">, </w:t>
      </w:r>
      <w:r w:rsidRPr="00C75A13">
        <w:rPr>
          <w:rFonts w:cs="Times New Roman"/>
          <w:i/>
          <w:sz w:val="22"/>
          <w:szCs w:val="22"/>
        </w:rPr>
        <w:t>Abacus</w:t>
      </w:r>
      <w:r w:rsidRPr="00D215FE">
        <w:rPr>
          <w:rFonts w:cs="Times New Roman"/>
          <w:sz w:val="22"/>
          <w:szCs w:val="22"/>
        </w:rPr>
        <w:t>, Vol. 40, No. 3, pp. 379–404.</w:t>
      </w:r>
    </w:p>
    <w:p w14:paraId="43CE6C3F" w14:textId="3EFE56A6" w:rsidR="006E683F" w:rsidRPr="00631844" w:rsidRDefault="006E683F" w:rsidP="006E683F">
      <w:pPr>
        <w:spacing w:afterLines="80" w:after="192"/>
        <w:jc w:val="both"/>
        <w:rPr>
          <w:rFonts w:cs="Times New Roman"/>
          <w:sz w:val="22"/>
          <w:szCs w:val="22"/>
        </w:rPr>
      </w:pPr>
      <w:r w:rsidRPr="006E683F">
        <w:rPr>
          <w:rFonts w:cs="Times New Roman"/>
          <w:sz w:val="22"/>
          <w:szCs w:val="22"/>
        </w:rPr>
        <w:t xml:space="preserve">Klumpes, P. J. M. (1994), </w:t>
      </w:r>
      <w:r w:rsidR="00A313B8">
        <w:rPr>
          <w:rFonts w:cs="Times New Roman"/>
          <w:sz w:val="22"/>
          <w:szCs w:val="22"/>
        </w:rPr>
        <w:t>“</w:t>
      </w:r>
      <w:r w:rsidRPr="006E683F">
        <w:rPr>
          <w:rFonts w:cs="Times New Roman"/>
          <w:sz w:val="22"/>
          <w:szCs w:val="22"/>
        </w:rPr>
        <w:t>The Politics of Rule Development: A C</w:t>
      </w:r>
      <w:r>
        <w:rPr>
          <w:rFonts w:cs="Times New Roman"/>
          <w:sz w:val="22"/>
          <w:szCs w:val="22"/>
        </w:rPr>
        <w:t xml:space="preserve">ase Study of Australian Pension </w:t>
      </w:r>
      <w:r w:rsidRPr="006E683F">
        <w:rPr>
          <w:rFonts w:cs="Times New Roman"/>
          <w:sz w:val="22"/>
          <w:szCs w:val="22"/>
        </w:rPr>
        <w:t>Fund Accounting Rule-making</w:t>
      </w:r>
      <w:r w:rsidR="00A313B8">
        <w:rPr>
          <w:rFonts w:cs="Times New Roman"/>
          <w:sz w:val="22"/>
          <w:szCs w:val="22"/>
        </w:rPr>
        <w:t>”</w:t>
      </w:r>
      <w:r w:rsidRPr="006E683F">
        <w:rPr>
          <w:rFonts w:cs="Times New Roman"/>
          <w:sz w:val="22"/>
          <w:szCs w:val="22"/>
        </w:rPr>
        <w:t xml:space="preserve">, </w:t>
      </w:r>
      <w:r w:rsidRPr="00C75A13">
        <w:rPr>
          <w:rFonts w:cs="Times New Roman"/>
          <w:i/>
          <w:sz w:val="22"/>
          <w:szCs w:val="22"/>
        </w:rPr>
        <w:t>Abacus</w:t>
      </w:r>
      <w:r w:rsidRPr="006E683F">
        <w:rPr>
          <w:rFonts w:cs="Times New Roman"/>
          <w:sz w:val="22"/>
          <w:szCs w:val="22"/>
        </w:rPr>
        <w:t>, Vol. 30, No. 2, pp. 140–59.</w:t>
      </w:r>
    </w:p>
    <w:p w14:paraId="5522CB74" w14:textId="2D0B742F" w:rsidR="003608F0" w:rsidRPr="00631844" w:rsidRDefault="003608F0" w:rsidP="00276A73">
      <w:pPr>
        <w:spacing w:afterLines="80" w:after="192"/>
        <w:jc w:val="both"/>
        <w:rPr>
          <w:rFonts w:cs="Times New Roman"/>
          <w:sz w:val="22"/>
          <w:szCs w:val="22"/>
        </w:rPr>
      </w:pPr>
      <w:r w:rsidRPr="00631844">
        <w:rPr>
          <w:rFonts w:cs="Times New Roman"/>
          <w:sz w:val="22"/>
          <w:szCs w:val="22"/>
        </w:rPr>
        <w:t xml:space="preserve">Lacan, J. (1988), </w:t>
      </w:r>
      <w:r w:rsidRPr="00631844">
        <w:rPr>
          <w:rFonts w:cs="Times New Roman"/>
          <w:i/>
          <w:sz w:val="22"/>
          <w:szCs w:val="22"/>
        </w:rPr>
        <w:t>The Seminar of Jacques Lacan, Book II</w:t>
      </w:r>
      <w:r w:rsidRPr="00631844">
        <w:rPr>
          <w:rFonts w:cs="Times New Roman"/>
          <w:sz w:val="22"/>
          <w:szCs w:val="22"/>
        </w:rPr>
        <w:t xml:space="preserve"> (trans</w:t>
      </w:r>
      <w:r w:rsidR="00E06414">
        <w:rPr>
          <w:rFonts w:cs="Times New Roman"/>
          <w:sz w:val="22"/>
          <w:szCs w:val="22"/>
        </w:rPr>
        <w:t>.</w:t>
      </w:r>
      <w:r w:rsidRPr="00631844">
        <w:rPr>
          <w:rFonts w:cs="Times New Roman"/>
          <w:sz w:val="22"/>
          <w:szCs w:val="22"/>
        </w:rPr>
        <w:t xml:space="preserve"> Sylvana Tomaselli, Jacques- Alain Miller, ed</w:t>
      </w:r>
      <w:r w:rsidR="00403A08">
        <w:rPr>
          <w:rFonts w:cs="Times New Roman"/>
          <w:sz w:val="22"/>
          <w:szCs w:val="22"/>
        </w:rPr>
        <w:t>.</w:t>
      </w:r>
      <w:r w:rsidRPr="00631844">
        <w:rPr>
          <w:rFonts w:cs="Times New Roman"/>
          <w:sz w:val="22"/>
          <w:szCs w:val="22"/>
        </w:rPr>
        <w:t xml:space="preserve">), Cambridge University Press, Cambridge. </w:t>
      </w:r>
    </w:p>
    <w:p w14:paraId="32E40552" w14:textId="77777777" w:rsidR="003608F0" w:rsidRPr="00AE3861" w:rsidRDefault="003608F0" w:rsidP="00276A73">
      <w:pPr>
        <w:spacing w:afterLines="80" w:after="192"/>
        <w:jc w:val="both"/>
        <w:rPr>
          <w:rFonts w:cs="Times New Roman"/>
          <w:sz w:val="22"/>
          <w:szCs w:val="22"/>
        </w:rPr>
      </w:pPr>
      <w:r w:rsidRPr="00AE3861">
        <w:rPr>
          <w:rFonts w:cs="Times New Roman"/>
          <w:sz w:val="22"/>
          <w:szCs w:val="22"/>
        </w:rPr>
        <w:lastRenderedPageBreak/>
        <w:t xml:space="preserve">Laclau E. and Mouffe C. (2001 [1985]), </w:t>
      </w:r>
      <w:r w:rsidRPr="00AE3861">
        <w:rPr>
          <w:rFonts w:cs="Times New Roman"/>
          <w:i/>
          <w:sz w:val="22"/>
          <w:szCs w:val="22"/>
        </w:rPr>
        <w:t>Hegemony and Socialist Strategy: Towards a Radical Democratic Politics</w:t>
      </w:r>
      <w:r w:rsidRPr="00AE3861">
        <w:rPr>
          <w:rFonts w:cs="Times New Roman"/>
          <w:sz w:val="22"/>
          <w:szCs w:val="22"/>
        </w:rPr>
        <w:t xml:space="preserve">, Verso, London. </w:t>
      </w:r>
    </w:p>
    <w:p w14:paraId="70ACEF01" w14:textId="77777777" w:rsidR="003608F0" w:rsidRPr="00631844" w:rsidRDefault="003608F0" w:rsidP="00276A73">
      <w:pPr>
        <w:spacing w:afterLines="80" w:after="192"/>
        <w:jc w:val="both"/>
        <w:rPr>
          <w:rFonts w:cs="Times New Roman"/>
          <w:sz w:val="22"/>
          <w:szCs w:val="22"/>
        </w:rPr>
      </w:pPr>
      <w:r w:rsidRPr="00631844">
        <w:rPr>
          <w:rFonts w:cs="Times New Roman"/>
          <w:sz w:val="22"/>
          <w:szCs w:val="22"/>
        </w:rPr>
        <w:t xml:space="preserve">Laclau, E. (1996), </w:t>
      </w:r>
      <w:r w:rsidRPr="00631844">
        <w:rPr>
          <w:rFonts w:cs="Times New Roman"/>
          <w:i/>
          <w:sz w:val="22"/>
          <w:szCs w:val="22"/>
        </w:rPr>
        <w:t xml:space="preserve">Emancipation(s), </w:t>
      </w:r>
      <w:r w:rsidRPr="00631844">
        <w:rPr>
          <w:rFonts w:cs="Times New Roman"/>
          <w:sz w:val="22"/>
          <w:szCs w:val="22"/>
        </w:rPr>
        <w:t xml:space="preserve">Verso, London. </w:t>
      </w:r>
    </w:p>
    <w:p w14:paraId="3559FFDC" w14:textId="77777777" w:rsidR="003608F0" w:rsidRPr="00631844" w:rsidRDefault="003608F0" w:rsidP="00276A73">
      <w:pPr>
        <w:spacing w:afterLines="80" w:after="192"/>
        <w:rPr>
          <w:rFonts w:cs="Times New Roman"/>
          <w:sz w:val="22"/>
          <w:szCs w:val="22"/>
        </w:rPr>
      </w:pPr>
      <w:r w:rsidRPr="00631844">
        <w:rPr>
          <w:rFonts w:cs="Times New Roman"/>
          <w:sz w:val="22"/>
          <w:szCs w:val="22"/>
          <w:shd w:val="clear" w:color="auto" w:fill="FFFFFF"/>
        </w:rPr>
        <w:t>Laclau, E. (2001), “Democracy and the Question of Power”.</w:t>
      </w:r>
      <w:r w:rsidRPr="00631844">
        <w:rPr>
          <w:rStyle w:val="apple-converted-space"/>
          <w:rFonts w:eastAsia="Times New Roman" w:cs="Times New Roman"/>
          <w:color w:val="222222"/>
          <w:sz w:val="22"/>
          <w:szCs w:val="22"/>
          <w:shd w:val="clear" w:color="auto" w:fill="FFFFFF"/>
        </w:rPr>
        <w:t> </w:t>
      </w:r>
      <w:r w:rsidRPr="00631844">
        <w:rPr>
          <w:rFonts w:cs="Times New Roman"/>
          <w:i/>
          <w:iCs/>
          <w:sz w:val="22"/>
          <w:szCs w:val="22"/>
          <w:shd w:val="clear" w:color="auto" w:fill="FFFFFF"/>
        </w:rPr>
        <w:t>Constellations</w:t>
      </w:r>
      <w:r w:rsidRPr="00631844">
        <w:rPr>
          <w:rFonts w:cs="Times New Roman"/>
          <w:sz w:val="22"/>
          <w:szCs w:val="22"/>
          <w:shd w:val="clear" w:color="auto" w:fill="FFFFFF"/>
        </w:rPr>
        <w:t>,</w:t>
      </w:r>
      <w:r w:rsidRPr="00631844">
        <w:rPr>
          <w:rStyle w:val="apple-converted-space"/>
          <w:rFonts w:eastAsia="Times New Roman" w:cs="Times New Roman"/>
          <w:color w:val="222222"/>
          <w:sz w:val="22"/>
          <w:szCs w:val="22"/>
          <w:shd w:val="clear" w:color="auto" w:fill="FFFFFF"/>
        </w:rPr>
        <w:t xml:space="preserve"> Vol. </w:t>
      </w:r>
      <w:r w:rsidRPr="00631844">
        <w:rPr>
          <w:rFonts w:cs="Times New Roman"/>
          <w:iCs/>
          <w:sz w:val="22"/>
          <w:szCs w:val="22"/>
          <w:shd w:val="clear" w:color="auto" w:fill="FFFFFF"/>
        </w:rPr>
        <w:t>8</w:t>
      </w:r>
      <w:r w:rsidRPr="00631844">
        <w:rPr>
          <w:rFonts w:cs="Times New Roman"/>
          <w:sz w:val="22"/>
          <w:szCs w:val="22"/>
          <w:shd w:val="clear" w:color="auto" w:fill="FFFFFF"/>
        </w:rPr>
        <w:t xml:space="preserve"> No. 1, pp. 3-14.</w:t>
      </w:r>
    </w:p>
    <w:p w14:paraId="58B9768F" w14:textId="3E4F0149" w:rsidR="003608F0" w:rsidRDefault="003608F0" w:rsidP="00276A73">
      <w:pPr>
        <w:spacing w:afterLines="80" w:after="192"/>
        <w:jc w:val="both"/>
        <w:rPr>
          <w:rFonts w:cs="Times New Roman"/>
          <w:sz w:val="22"/>
          <w:szCs w:val="22"/>
        </w:rPr>
      </w:pPr>
      <w:r w:rsidRPr="00631844">
        <w:rPr>
          <w:rFonts w:cs="Times New Roman"/>
          <w:sz w:val="22"/>
          <w:szCs w:val="22"/>
        </w:rPr>
        <w:t xml:space="preserve">Lapping, C. (2011), </w:t>
      </w:r>
      <w:r w:rsidRPr="00631844">
        <w:rPr>
          <w:rFonts w:cs="Times New Roman"/>
          <w:i/>
          <w:sz w:val="22"/>
          <w:szCs w:val="22"/>
        </w:rPr>
        <w:t>Psychoanalytic Theory and Sociological Method</w:t>
      </w:r>
      <w:r w:rsidR="00E06414">
        <w:rPr>
          <w:rFonts w:cs="Times New Roman"/>
          <w:sz w:val="22"/>
          <w:szCs w:val="22"/>
        </w:rPr>
        <w:t>.</w:t>
      </w:r>
      <w:r w:rsidRPr="00631844">
        <w:rPr>
          <w:rFonts w:cs="Times New Roman"/>
          <w:sz w:val="22"/>
          <w:szCs w:val="22"/>
        </w:rPr>
        <w:t xml:space="preserve"> Taylor </w:t>
      </w:r>
      <w:r w:rsidR="008E2543">
        <w:rPr>
          <w:rFonts w:cs="Times New Roman"/>
          <w:sz w:val="22"/>
          <w:szCs w:val="22"/>
        </w:rPr>
        <w:t>and</w:t>
      </w:r>
      <w:r w:rsidR="008E2543" w:rsidRPr="00631844">
        <w:rPr>
          <w:rFonts w:cs="Times New Roman"/>
          <w:sz w:val="22"/>
          <w:szCs w:val="22"/>
        </w:rPr>
        <w:t xml:space="preserve"> </w:t>
      </w:r>
      <w:r w:rsidRPr="00631844">
        <w:rPr>
          <w:rFonts w:cs="Times New Roman"/>
          <w:sz w:val="22"/>
          <w:szCs w:val="22"/>
        </w:rPr>
        <w:t>Francis</w:t>
      </w:r>
      <w:r w:rsidR="00E06414">
        <w:rPr>
          <w:rFonts w:cs="Times New Roman"/>
          <w:sz w:val="22"/>
          <w:szCs w:val="22"/>
        </w:rPr>
        <w:t>, Abindgon</w:t>
      </w:r>
      <w:r w:rsidRPr="00631844">
        <w:rPr>
          <w:rFonts w:cs="Times New Roman"/>
          <w:sz w:val="22"/>
          <w:szCs w:val="22"/>
        </w:rPr>
        <w:t>.</w:t>
      </w:r>
    </w:p>
    <w:p w14:paraId="4576A317" w14:textId="46CA7D3C" w:rsidR="00D215FE" w:rsidRDefault="00D215FE" w:rsidP="00D215FE">
      <w:pPr>
        <w:spacing w:afterLines="80" w:after="192"/>
        <w:jc w:val="both"/>
        <w:rPr>
          <w:rFonts w:cs="Times New Roman"/>
          <w:sz w:val="22"/>
          <w:szCs w:val="22"/>
        </w:rPr>
      </w:pPr>
      <w:r w:rsidRPr="00D215FE">
        <w:rPr>
          <w:rFonts w:cs="Times New Roman"/>
          <w:sz w:val="22"/>
          <w:szCs w:val="22"/>
        </w:rPr>
        <w:t>Lövbrand, E.</w:t>
      </w:r>
      <w:r w:rsidR="00BE53C3">
        <w:rPr>
          <w:rFonts w:cs="Times New Roman"/>
          <w:sz w:val="22"/>
          <w:szCs w:val="22"/>
        </w:rPr>
        <w:t xml:space="preserve"> </w:t>
      </w:r>
      <w:r w:rsidR="008E1A54">
        <w:rPr>
          <w:rFonts w:cs="Times New Roman"/>
          <w:sz w:val="22"/>
          <w:szCs w:val="22"/>
        </w:rPr>
        <w:t>and</w:t>
      </w:r>
      <w:r w:rsidR="00BE53C3">
        <w:rPr>
          <w:rFonts w:cs="Times New Roman"/>
          <w:sz w:val="22"/>
          <w:szCs w:val="22"/>
        </w:rPr>
        <w:t xml:space="preserve"> </w:t>
      </w:r>
      <w:r w:rsidRPr="00D215FE">
        <w:rPr>
          <w:rFonts w:cs="Times New Roman"/>
          <w:sz w:val="22"/>
          <w:szCs w:val="22"/>
        </w:rPr>
        <w:t>Stripple</w:t>
      </w:r>
      <w:r w:rsidR="00BE53C3">
        <w:rPr>
          <w:rFonts w:cs="Times New Roman"/>
          <w:sz w:val="22"/>
          <w:szCs w:val="22"/>
        </w:rPr>
        <w:t>, J.</w:t>
      </w:r>
      <w:r w:rsidRPr="00D215FE">
        <w:rPr>
          <w:rFonts w:cs="Times New Roman"/>
          <w:sz w:val="22"/>
          <w:szCs w:val="22"/>
        </w:rPr>
        <w:t xml:space="preserve"> </w:t>
      </w:r>
      <w:r w:rsidR="00BE53C3">
        <w:rPr>
          <w:rFonts w:cs="Times New Roman"/>
          <w:sz w:val="22"/>
          <w:szCs w:val="22"/>
        </w:rPr>
        <w:t>(</w:t>
      </w:r>
      <w:r w:rsidRPr="00D215FE">
        <w:rPr>
          <w:rFonts w:cs="Times New Roman"/>
          <w:sz w:val="22"/>
          <w:szCs w:val="22"/>
        </w:rPr>
        <w:t>2011</w:t>
      </w:r>
      <w:r w:rsidR="00BE53C3">
        <w:rPr>
          <w:rFonts w:cs="Times New Roman"/>
          <w:sz w:val="22"/>
          <w:szCs w:val="22"/>
        </w:rPr>
        <w:t>)</w:t>
      </w:r>
      <w:r w:rsidR="00A313B8">
        <w:rPr>
          <w:rFonts w:cs="Times New Roman"/>
          <w:sz w:val="22"/>
          <w:szCs w:val="22"/>
        </w:rPr>
        <w:t>,</w:t>
      </w:r>
      <w:r w:rsidRPr="00D215FE">
        <w:rPr>
          <w:rFonts w:cs="Times New Roman"/>
          <w:sz w:val="22"/>
          <w:szCs w:val="22"/>
        </w:rPr>
        <w:t xml:space="preserve"> “Making Climate Change Governable: Accounting for Carbon</w:t>
      </w:r>
      <w:r>
        <w:rPr>
          <w:rFonts w:cs="Times New Roman"/>
          <w:sz w:val="22"/>
          <w:szCs w:val="22"/>
        </w:rPr>
        <w:t xml:space="preserve"> </w:t>
      </w:r>
      <w:r w:rsidRPr="00D215FE">
        <w:rPr>
          <w:rFonts w:cs="Times New Roman"/>
          <w:sz w:val="22"/>
          <w:szCs w:val="22"/>
        </w:rPr>
        <w:t xml:space="preserve">as Sinks, Credits and Personal Budgets.” </w:t>
      </w:r>
      <w:r w:rsidRPr="00C75A13">
        <w:rPr>
          <w:rFonts w:cs="Times New Roman"/>
          <w:i/>
          <w:sz w:val="22"/>
          <w:szCs w:val="22"/>
        </w:rPr>
        <w:t>Critical Policy Studies</w:t>
      </w:r>
      <w:r w:rsidRPr="00D215FE">
        <w:rPr>
          <w:rFonts w:cs="Times New Roman"/>
          <w:sz w:val="22"/>
          <w:szCs w:val="22"/>
        </w:rPr>
        <w:t xml:space="preserve"> </w:t>
      </w:r>
      <w:r w:rsidR="00A313B8">
        <w:rPr>
          <w:rFonts w:cs="Times New Roman"/>
          <w:sz w:val="22"/>
          <w:szCs w:val="22"/>
        </w:rPr>
        <w:t xml:space="preserve">Vol, </w:t>
      </w:r>
      <w:r w:rsidRPr="00D215FE">
        <w:rPr>
          <w:rFonts w:cs="Times New Roman"/>
          <w:sz w:val="22"/>
          <w:szCs w:val="22"/>
        </w:rPr>
        <w:t>5</w:t>
      </w:r>
      <w:r w:rsidR="00A313B8">
        <w:rPr>
          <w:rFonts w:cs="Times New Roman"/>
          <w:sz w:val="22"/>
          <w:szCs w:val="22"/>
        </w:rPr>
        <w:t xml:space="preserve"> No. </w:t>
      </w:r>
      <w:r w:rsidRPr="00D215FE">
        <w:rPr>
          <w:rFonts w:cs="Times New Roman"/>
          <w:sz w:val="22"/>
          <w:szCs w:val="22"/>
        </w:rPr>
        <w:t>2</w:t>
      </w:r>
      <w:r w:rsidR="00A313B8">
        <w:rPr>
          <w:rFonts w:cs="Times New Roman"/>
          <w:sz w:val="22"/>
          <w:szCs w:val="22"/>
        </w:rPr>
        <w:t>, pp.</w:t>
      </w:r>
      <w:r w:rsidRPr="00D215FE">
        <w:rPr>
          <w:rFonts w:cs="Times New Roman"/>
          <w:sz w:val="22"/>
          <w:szCs w:val="22"/>
        </w:rPr>
        <w:t xml:space="preserve"> 187–200. </w:t>
      </w:r>
    </w:p>
    <w:p w14:paraId="5E062B68" w14:textId="61334BF3" w:rsidR="003608F0" w:rsidRPr="00B172D0" w:rsidRDefault="003608F0" w:rsidP="00276A73">
      <w:pPr>
        <w:spacing w:afterLines="80" w:after="192"/>
        <w:jc w:val="both"/>
        <w:rPr>
          <w:rFonts w:eastAsia="Times New Roman"/>
          <w:sz w:val="22"/>
          <w:szCs w:val="22"/>
        </w:rPr>
      </w:pPr>
      <w:r>
        <w:rPr>
          <w:rFonts w:eastAsia="Times New Roman"/>
          <w:sz w:val="22"/>
          <w:szCs w:val="22"/>
        </w:rPr>
        <w:t>May, T. (1997)</w:t>
      </w:r>
      <w:r w:rsidR="00A313B8">
        <w:rPr>
          <w:rFonts w:eastAsia="Times New Roman"/>
          <w:sz w:val="22"/>
          <w:szCs w:val="22"/>
        </w:rPr>
        <w:t>,</w:t>
      </w:r>
      <w:r w:rsidRPr="00EC75EA">
        <w:rPr>
          <w:rFonts w:eastAsia="Times New Roman"/>
          <w:sz w:val="22"/>
          <w:szCs w:val="22"/>
        </w:rPr>
        <w:t xml:space="preserve"> </w:t>
      </w:r>
      <w:r w:rsidRPr="00EC75EA">
        <w:rPr>
          <w:rFonts w:eastAsia="Times New Roman"/>
          <w:i/>
          <w:sz w:val="22"/>
          <w:szCs w:val="22"/>
        </w:rPr>
        <w:t>Social Research: Issues, Methods, and Process</w:t>
      </w:r>
      <w:r>
        <w:rPr>
          <w:rFonts w:eastAsia="Times New Roman"/>
          <w:sz w:val="22"/>
          <w:szCs w:val="22"/>
        </w:rPr>
        <w:t xml:space="preserve">, Open University Press, </w:t>
      </w:r>
      <w:r w:rsidRPr="00EC75EA">
        <w:rPr>
          <w:rFonts w:eastAsia="Times New Roman"/>
          <w:sz w:val="22"/>
          <w:szCs w:val="22"/>
        </w:rPr>
        <w:t>Bu</w:t>
      </w:r>
      <w:r>
        <w:rPr>
          <w:rFonts w:eastAsia="Times New Roman"/>
          <w:sz w:val="22"/>
          <w:szCs w:val="22"/>
        </w:rPr>
        <w:t xml:space="preserve">ckingham. </w:t>
      </w:r>
    </w:p>
    <w:p w14:paraId="24E56047" w14:textId="71F01957" w:rsidR="003E6A2D" w:rsidRPr="00B172D0" w:rsidRDefault="003E6A2D" w:rsidP="00276A73">
      <w:pPr>
        <w:spacing w:afterLines="80" w:after="192"/>
        <w:jc w:val="both"/>
        <w:rPr>
          <w:rFonts w:cs="Times New Roman"/>
          <w:sz w:val="22"/>
          <w:szCs w:val="22"/>
        </w:rPr>
      </w:pPr>
      <w:r w:rsidRPr="003E6A2D">
        <w:rPr>
          <w:rFonts w:cs="Times New Roman"/>
          <w:sz w:val="22"/>
          <w:szCs w:val="22"/>
        </w:rPr>
        <w:t>Merriam, S. B. (1998)</w:t>
      </w:r>
      <w:r w:rsidR="00A313B8">
        <w:rPr>
          <w:rFonts w:cs="Times New Roman"/>
          <w:sz w:val="22"/>
          <w:szCs w:val="22"/>
        </w:rPr>
        <w:t>,</w:t>
      </w:r>
      <w:r w:rsidRPr="003E6A2D">
        <w:rPr>
          <w:rFonts w:cs="Times New Roman"/>
          <w:sz w:val="22"/>
          <w:szCs w:val="22"/>
        </w:rPr>
        <w:t xml:space="preserve"> </w:t>
      </w:r>
      <w:r w:rsidRPr="003E6A2D">
        <w:rPr>
          <w:rFonts w:cs="Times New Roman"/>
          <w:i/>
          <w:sz w:val="22"/>
          <w:szCs w:val="22"/>
        </w:rPr>
        <w:t>Qualitative research and case study applications in education.</w:t>
      </w:r>
      <w:r w:rsidRPr="003E6A2D">
        <w:rPr>
          <w:rFonts w:cs="Times New Roman"/>
          <w:sz w:val="22"/>
          <w:szCs w:val="22"/>
        </w:rPr>
        <w:t xml:space="preserve"> San Francisco, CA: Jossey-Bass.</w:t>
      </w:r>
    </w:p>
    <w:p w14:paraId="0EAB47C2" w14:textId="23092567" w:rsidR="003608F0" w:rsidRDefault="003608F0" w:rsidP="00276A73">
      <w:pPr>
        <w:spacing w:afterLines="80" w:after="192"/>
        <w:jc w:val="both"/>
        <w:rPr>
          <w:rFonts w:cs="Times New Roman"/>
          <w:sz w:val="22"/>
          <w:szCs w:val="22"/>
        </w:rPr>
      </w:pPr>
      <w:r w:rsidRPr="00B172D0">
        <w:rPr>
          <w:rFonts w:cs="Times New Roman"/>
          <w:sz w:val="22"/>
          <w:szCs w:val="22"/>
        </w:rPr>
        <w:t>Morley, J. (2</w:t>
      </w:r>
      <w:r>
        <w:rPr>
          <w:rFonts w:cs="Times New Roman"/>
          <w:sz w:val="22"/>
          <w:szCs w:val="22"/>
        </w:rPr>
        <w:t>016)</w:t>
      </w:r>
      <w:r w:rsidR="00A313B8">
        <w:rPr>
          <w:rFonts w:cs="Times New Roman"/>
          <w:sz w:val="22"/>
          <w:szCs w:val="22"/>
        </w:rPr>
        <w:t>,</w:t>
      </w:r>
      <w:r w:rsidRPr="00B172D0">
        <w:rPr>
          <w:rFonts w:cs="Times New Roman"/>
          <w:sz w:val="22"/>
          <w:szCs w:val="22"/>
        </w:rPr>
        <w:t xml:space="preserve"> </w:t>
      </w:r>
      <w:r>
        <w:rPr>
          <w:rFonts w:cs="Times New Roman"/>
          <w:sz w:val="22"/>
          <w:szCs w:val="22"/>
        </w:rPr>
        <w:t>“</w:t>
      </w:r>
      <w:r w:rsidRPr="00B172D0">
        <w:rPr>
          <w:rFonts w:cs="Times New Roman"/>
          <w:sz w:val="22"/>
          <w:szCs w:val="22"/>
        </w:rPr>
        <w:t>Internal lobbying at the IASB</w:t>
      </w:r>
      <w:r>
        <w:rPr>
          <w:rFonts w:cs="Times New Roman"/>
          <w:sz w:val="22"/>
          <w:szCs w:val="22"/>
        </w:rPr>
        <w:t>”,</w:t>
      </w:r>
      <w:r w:rsidRPr="00B172D0">
        <w:rPr>
          <w:rFonts w:cs="Times New Roman"/>
          <w:sz w:val="22"/>
          <w:szCs w:val="22"/>
        </w:rPr>
        <w:t xml:space="preserve"> </w:t>
      </w:r>
      <w:r w:rsidRPr="00B172D0">
        <w:rPr>
          <w:rFonts w:cs="Times New Roman"/>
          <w:i/>
          <w:sz w:val="22"/>
          <w:szCs w:val="22"/>
        </w:rPr>
        <w:t>Journal of Accounting and Public Policy</w:t>
      </w:r>
      <w:r>
        <w:rPr>
          <w:rFonts w:cs="Times New Roman"/>
          <w:sz w:val="22"/>
          <w:szCs w:val="22"/>
        </w:rPr>
        <w:t>, Vol. 35 No. 3, pp.</w:t>
      </w:r>
      <w:r w:rsidRPr="00B172D0">
        <w:rPr>
          <w:rFonts w:cs="Times New Roman"/>
          <w:sz w:val="22"/>
          <w:szCs w:val="22"/>
        </w:rPr>
        <w:t xml:space="preserve"> 224-255.</w:t>
      </w:r>
    </w:p>
    <w:p w14:paraId="5BEC8749" w14:textId="30ECB191" w:rsidR="00276A73" w:rsidRPr="00AE3861" w:rsidRDefault="00276A73" w:rsidP="00276A73">
      <w:pPr>
        <w:spacing w:afterLines="80" w:after="192"/>
        <w:jc w:val="both"/>
        <w:rPr>
          <w:rFonts w:cs="Times New Roman"/>
          <w:sz w:val="22"/>
          <w:szCs w:val="22"/>
        </w:rPr>
      </w:pPr>
      <w:r w:rsidRPr="00276A73">
        <w:rPr>
          <w:rFonts w:cs="Times New Roman"/>
          <w:sz w:val="22"/>
          <w:szCs w:val="22"/>
        </w:rPr>
        <w:t>Mouck, T. (1995)</w:t>
      </w:r>
      <w:r w:rsidR="00A313B8">
        <w:rPr>
          <w:rFonts w:cs="Times New Roman"/>
          <w:sz w:val="22"/>
          <w:szCs w:val="22"/>
        </w:rPr>
        <w:t>,</w:t>
      </w:r>
      <w:r w:rsidRPr="00276A73">
        <w:rPr>
          <w:rFonts w:cs="Times New Roman"/>
          <w:sz w:val="22"/>
          <w:szCs w:val="22"/>
        </w:rPr>
        <w:t xml:space="preserve"> </w:t>
      </w:r>
      <w:r w:rsidR="00E06414">
        <w:rPr>
          <w:rFonts w:cs="Times New Roman"/>
          <w:sz w:val="22"/>
          <w:szCs w:val="22"/>
        </w:rPr>
        <w:t>“</w:t>
      </w:r>
      <w:r w:rsidRPr="00276A73">
        <w:rPr>
          <w:rFonts w:cs="Times New Roman"/>
          <w:sz w:val="22"/>
          <w:szCs w:val="22"/>
        </w:rPr>
        <w:t>Financial reporting, democracy and environmentalism: a critique of the commodification of information</w:t>
      </w:r>
      <w:r w:rsidR="00E06414">
        <w:rPr>
          <w:rFonts w:cs="Times New Roman"/>
          <w:sz w:val="22"/>
          <w:szCs w:val="22"/>
        </w:rPr>
        <w:t>”,</w:t>
      </w:r>
      <w:r w:rsidRPr="00276A73">
        <w:rPr>
          <w:rFonts w:cs="Times New Roman"/>
          <w:sz w:val="22"/>
          <w:szCs w:val="22"/>
        </w:rPr>
        <w:t xml:space="preserve"> </w:t>
      </w:r>
      <w:r w:rsidRPr="00276A73">
        <w:rPr>
          <w:rFonts w:cs="Times New Roman"/>
          <w:i/>
          <w:sz w:val="22"/>
          <w:szCs w:val="22"/>
        </w:rPr>
        <w:t>Critical Perspectives on Accounting</w:t>
      </w:r>
      <w:r w:rsidRPr="00276A73">
        <w:rPr>
          <w:rFonts w:cs="Times New Roman"/>
          <w:sz w:val="22"/>
          <w:szCs w:val="22"/>
        </w:rPr>
        <w:t xml:space="preserve">, </w:t>
      </w:r>
      <w:r w:rsidR="00E06414">
        <w:rPr>
          <w:rFonts w:cs="Times New Roman"/>
          <w:sz w:val="22"/>
          <w:szCs w:val="22"/>
        </w:rPr>
        <w:t xml:space="preserve">Vol. </w:t>
      </w:r>
      <w:r w:rsidRPr="00276A73">
        <w:rPr>
          <w:rFonts w:cs="Times New Roman"/>
          <w:sz w:val="22"/>
          <w:szCs w:val="22"/>
        </w:rPr>
        <w:t>6</w:t>
      </w:r>
      <w:r w:rsidR="00E06414">
        <w:rPr>
          <w:rFonts w:cs="Times New Roman"/>
          <w:sz w:val="22"/>
          <w:szCs w:val="22"/>
        </w:rPr>
        <w:t xml:space="preserve"> No. </w:t>
      </w:r>
      <w:r w:rsidRPr="00276A73">
        <w:rPr>
          <w:rFonts w:cs="Times New Roman"/>
          <w:sz w:val="22"/>
          <w:szCs w:val="22"/>
        </w:rPr>
        <w:t xml:space="preserve">6, </w:t>
      </w:r>
      <w:r w:rsidR="00E06414">
        <w:rPr>
          <w:rFonts w:cs="Times New Roman"/>
          <w:sz w:val="22"/>
          <w:szCs w:val="22"/>
        </w:rPr>
        <w:t xml:space="preserve">pp. </w:t>
      </w:r>
      <w:r w:rsidRPr="00276A73">
        <w:rPr>
          <w:rFonts w:cs="Times New Roman"/>
          <w:sz w:val="22"/>
          <w:szCs w:val="22"/>
        </w:rPr>
        <w:t>535-553.</w:t>
      </w:r>
    </w:p>
    <w:p w14:paraId="1C0EE2FF" w14:textId="3FF897D1" w:rsidR="003608F0" w:rsidRPr="00EB4DCF" w:rsidRDefault="003608F0" w:rsidP="00276A73">
      <w:pPr>
        <w:spacing w:afterLines="80" w:after="192"/>
        <w:jc w:val="both"/>
        <w:rPr>
          <w:rFonts w:cs="Times New Roman"/>
          <w:color w:val="000000"/>
          <w:sz w:val="22"/>
          <w:szCs w:val="22"/>
        </w:rPr>
      </w:pPr>
      <w:r w:rsidRPr="00EB4DCF">
        <w:rPr>
          <w:rFonts w:cs="Times New Roman"/>
          <w:color w:val="000000"/>
          <w:sz w:val="22"/>
          <w:szCs w:val="22"/>
        </w:rPr>
        <w:t>Pacter, P. (2013)</w:t>
      </w:r>
      <w:r w:rsidR="00A313B8">
        <w:rPr>
          <w:rFonts w:cs="Times New Roman"/>
          <w:color w:val="000000"/>
          <w:sz w:val="22"/>
          <w:szCs w:val="22"/>
        </w:rPr>
        <w:t>,</w:t>
      </w:r>
      <w:r w:rsidRPr="00EB4DCF">
        <w:rPr>
          <w:rFonts w:cs="Times New Roman"/>
          <w:color w:val="000000"/>
          <w:sz w:val="22"/>
          <w:szCs w:val="22"/>
        </w:rPr>
        <w:t xml:space="preserve"> “A Place for the IFRS for SMEs </w:t>
      </w:r>
      <w:r w:rsidR="006210A1" w:rsidRPr="00EB4DCF">
        <w:rPr>
          <w:rFonts w:cs="Times New Roman"/>
          <w:color w:val="000000"/>
          <w:sz w:val="22"/>
          <w:szCs w:val="22"/>
        </w:rPr>
        <w:t>in</w:t>
      </w:r>
      <w:r w:rsidRPr="00EB4DCF">
        <w:rPr>
          <w:rFonts w:cs="Times New Roman"/>
          <w:color w:val="000000"/>
          <w:sz w:val="22"/>
          <w:szCs w:val="22"/>
        </w:rPr>
        <w:t xml:space="preserve"> the US?”, </w:t>
      </w:r>
      <w:r w:rsidRPr="00EB4DCF">
        <w:rPr>
          <w:rFonts w:cs="Times New Roman"/>
          <w:i/>
          <w:iCs/>
          <w:color w:val="000000"/>
          <w:sz w:val="22"/>
          <w:szCs w:val="22"/>
        </w:rPr>
        <w:t xml:space="preserve">Research in </w:t>
      </w:r>
      <w:r w:rsidR="00E06414">
        <w:rPr>
          <w:rFonts w:cs="Times New Roman"/>
          <w:i/>
          <w:iCs/>
          <w:color w:val="000000"/>
          <w:sz w:val="22"/>
          <w:szCs w:val="22"/>
        </w:rPr>
        <w:t>A</w:t>
      </w:r>
      <w:r w:rsidRPr="00EB4DCF">
        <w:rPr>
          <w:rFonts w:cs="Times New Roman"/>
          <w:i/>
          <w:iCs/>
          <w:color w:val="000000"/>
          <w:sz w:val="22"/>
          <w:szCs w:val="22"/>
        </w:rPr>
        <w:t xml:space="preserve">ccounting </w:t>
      </w:r>
      <w:r w:rsidR="00E06414">
        <w:rPr>
          <w:rFonts w:cs="Times New Roman"/>
          <w:i/>
          <w:iCs/>
          <w:color w:val="000000"/>
          <w:sz w:val="22"/>
          <w:szCs w:val="22"/>
        </w:rPr>
        <w:t>R</w:t>
      </w:r>
      <w:r w:rsidRPr="00EB4DCF">
        <w:rPr>
          <w:rFonts w:cs="Times New Roman"/>
          <w:i/>
          <w:iCs/>
          <w:color w:val="000000"/>
          <w:sz w:val="22"/>
          <w:szCs w:val="22"/>
        </w:rPr>
        <w:t xml:space="preserve">egulation, </w:t>
      </w:r>
      <w:r w:rsidRPr="00EB4DCF">
        <w:rPr>
          <w:rFonts w:cs="Times New Roman"/>
          <w:iCs/>
          <w:color w:val="000000"/>
          <w:sz w:val="22"/>
          <w:szCs w:val="22"/>
        </w:rPr>
        <w:t xml:space="preserve">Vol. </w:t>
      </w:r>
      <w:r w:rsidRPr="00EB4DCF">
        <w:rPr>
          <w:rFonts w:cs="Times New Roman"/>
          <w:color w:val="000000"/>
          <w:sz w:val="22"/>
          <w:szCs w:val="22"/>
        </w:rPr>
        <w:t>26 No. 2, pp. 239-241</w:t>
      </w:r>
    </w:p>
    <w:p w14:paraId="0227248F" w14:textId="4E8B8960" w:rsidR="003608F0" w:rsidRPr="00074670" w:rsidRDefault="003608F0" w:rsidP="00276A73">
      <w:pPr>
        <w:spacing w:afterLines="80" w:after="192"/>
        <w:jc w:val="both"/>
        <w:rPr>
          <w:rFonts w:cs="Times New Roman"/>
          <w:sz w:val="22"/>
          <w:szCs w:val="22"/>
        </w:rPr>
      </w:pPr>
      <w:r w:rsidRPr="00074670">
        <w:rPr>
          <w:rFonts w:cs="Times New Roman"/>
          <w:sz w:val="22"/>
          <w:szCs w:val="22"/>
        </w:rPr>
        <w:t>Peasnell, K. V. (1982)</w:t>
      </w:r>
      <w:r w:rsidR="00A313B8">
        <w:rPr>
          <w:rFonts w:cs="Times New Roman"/>
          <w:sz w:val="22"/>
          <w:szCs w:val="22"/>
        </w:rPr>
        <w:t>,</w:t>
      </w:r>
      <w:r w:rsidRPr="00074670">
        <w:rPr>
          <w:rFonts w:cs="Times New Roman"/>
          <w:sz w:val="22"/>
          <w:szCs w:val="22"/>
        </w:rPr>
        <w:t xml:space="preserve"> “The function of a conceptual framework for corporate financial reporting”, </w:t>
      </w:r>
      <w:r w:rsidRPr="00074670">
        <w:rPr>
          <w:rFonts w:cs="Times New Roman"/>
          <w:i/>
          <w:sz w:val="22"/>
          <w:szCs w:val="22"/>
        </w:rPr>
        <w:t>Accounting and Business Research</w:t>
      </w:r>
      <w:r w:rsidRPr="00074670">
        <w:rPr>
          <w:rFonts w:cs="Times New Roman"/>
          <w:sz w:val="22"/>
          <w:szCs w:val="22"/>
        </w:rPr>
        <w:t>, Vol. 12 No. 48, pp. 243-256.</w:t>
      </w:r>
    </w:p>
    <w:p w14:paraId="32B24636" w14:textId="77777777" w:rsidR="003608F0" w:rsidRDefault="003608F0" w:rsidP="00276A73">
      <w:pPr>
        <w:spacing w:afterLines="80" w:after="192"/>
        <w:jc w:val="both"/>
        <w:rPr>
          <w:rFonts w:eastAsia="Times New Roman" w:cs="Times New Roman"/>
          <w:color w:val="222222"/>
          <w:sz w:val="22"/>
          <w:szCs w:val="22"/>
          <w:shd w:val="clear" w:color="auto" w:fill="FFFFFF"/>
        </w:rPr>
      </w:pPr>
      <w:r w:rsidRPr="00EB4DCF">
        <w:rPr>
          <w:rFonts w:eastAsia="Times New Roman" w:cs="Times New Roman"/>
          <w:color w:val="222222"/>
          <w:sz w:val="22"/>
          <w:szCs w:val="22"/>
          <w:shd w:val="clear" w:color="auto" w:fill="FFFFFF"/>
        </w:rPr>
        <w:t xml:space="preserve">Perera, D. and Chand, P. (2015), “Issues in the adoption of international financial reporting standards (IFRS) for small and medium-sized enterprises (SMES)”, </w:t>
      </w:r>
      <w:r w:rsidRPr="00EB4DCF">
        <w:rPr>
          <w:rFonts w:eastAsia="Times New Roman" w:cs="Times New Roman"/>
          <w:i/>
          <w:color w:val="222222"/>
          <w:sz w:val="22"/>
          <w:szCs w:val="22"/>
          <w:shd w:val="clear" w:color="auto" w:fill="FFFFFF"/>
        </w:rPr>
        <w:t>Advances in Accounting</w:t>
      </w:r>
      <w:r w:rsidRPr="00EB4DCF">
        <w:rPr>
          <w:rFonts w:eastAsia="Times New Roman" w:cs="Times New Roman"/>
          <w:color w:val="222222"/>
          <w:sz w:val="22"/>
          <w:szCs w:val="22"/>
          <w:shd w:val="clear" w:color="auto" w:fill="FFFFFF"/>
        </w:rPr>
        <w:t xml:space="preserve">, Vol. 31 No. 1, pp. 165-178. </w:t>
      </w:r>
    </w:p>
    <w:p w14:paraId="7C3C4B4D" w14:textId="5A22175E" w:rsidR="003608F0" w:rsidRPr="00B172D0" w:rsidRDefault="003608F0" w:rsidP="00276A73">
      <w:pPr>
        <w:spacing w:afterLines="80" w:after="192"/>
        <w:jc w:val="both"/>
        <w:rPr>
          <w:rFonts w:eastAsia="Times New Roman" w:cs="Times New Roman"/>
          <w:color w:val="222222"/>
          <w:sz w:val="22"/>
          <w:szCs w:val="22"/>
          <w:shd w:val="clear" w:color="auto" w:fill="FFFFFF"/>
        </w:rPr>
      </w:pPr>
      <w:r>
        <w:rPr>
          <w:rFonts w:eastAsia="Times New Roman" w:cs="Times New Roman"/>
          <w:color w:val="222222"/>
          <w:sz w:val="22"/>
          <w:szCs w:val="22"/>
          <w:shd w:val="clear" w:color="auto" w:fill="FFFFFF"/>
        </w:rPr>
        <w:t xml:space="preserve">Perry, J., </w:t>
      </w:r>
      <w:r w:rsidR="00A272D9">
        <w:rPr>
          <w:rFonts w:eastAsia="Times New Roman" w:cs="Times New Roman"/>
          <w:color w:val="222222"/>
          <w:sz w:val="22"/>
          <w:szCs w:val="22"/>
          <w:shd w:val="clear" w:color="auto" w:fill="FFFFFF"/>
        </w:rPr>
        <w:t>and</w:t>
      </w:r>
      <w:r>
        <w:rPr>
          <w:rFonts w:eastAsia="Times New Roman" w:cs="Times New Roman"/>
          <w:color w:val="222222"/>
          <w:sz w:val="22"/>
          <w:szCs w:val="22"/>
          <w:shd w:val="clear" w:color="auto" w:fill="FFFFFF"/>
        </w:rPr>
        <w:t xml:space="preserve"> Nölke, A. (2006)</w:t>
      </w:r>
      <w:r w:rsidR="00A313B8">
        <w:rPr>
          <w:rFonts w:eastAsia="Times New Roman" w:cs="Times New Roman"/>
          <w:color w:val="222222"/>
          <w:sz w:val="22"/>
          <w:szCs w:val="22"/>
          <w:shd w:val="clear" w:color="auto" w:fill="FFFFFF"/>
        </w:rPr>
        <w:t>,</w:t>
      </w:r>
      <w:r>
        <w:rPr>
          <w:rFonts w:eastAsia="Times New Roman" w:cs="Times New Roman"/>
          <w:color w:val="222222"/>
          <w:sz w:val="22"/>
          <w:szCs w:val="22"/>
          <w:shd w:val="clear" w:color="auto" w:fill="FFFFFF"/>
        </w:rPr>
        <w:t xml:space="preserve"> “</w:t>
      </w:r>
      <w:r w:rsidRPr="00B172D0">
        <w:rPr>
          <w:rFonts w:eastAsia="Times New Roman" w:cs="Times New Roman"/>
          <w:color w:val="222222"/>
          <w:sz w:val="22"/>
          <w:szCs w:val="22"/>
          <w:shd w:val="clear" w:color="auto" w:fill="FFFFFF"/>
        </w:rPr>
        <w:t>The political economy of international accounting standards</w:t>
      </w:r>
      <w:r>
        <w:rPr>
          <w:rFonts w:eastAsia="Times New Roman" w:cs="Times New Roman"/>
          <w:color w:val="222222"/>
          <w:sz w:val="22"/>
          <w:szCs w:val="22"/>
          <w:shd w:val="clear" w:color="auto" w:fill="FFFFFF"/>
        </w:rPr>
        <w:t>”,</w:t>
      </w:r>
      <w:r w:rsidRPr="00B172D0">
        <w:rPr>
          <w:rFonts w:eastAsia="Times New Roman" w:cs="Times New Roman"/>
          <w:color w:val="222222"/>
          <w:sz w:val="22"/>
          <w:szCs w:val="22"/>
          <w:shd w:val="clear" w:color="auto" w:fill="FFFFFF"/>
        </w:rPr>
        <w:t xml:space="preserve"> </w:t>
      </w:r>
      <w:r w:rsidRPr="00705FD7">
        <w:rPr>
          <w:rFonts w:eastAsia="Times New Roman" w:cs="Times New Roman"/>
          <w:i/>
          <w:color w:val="222222"/>
          <w:sz w:val="22"/>
          <w:szCs w:val="22"/>
          <w:shd w:val="clear" w:color="auto" w:fill="FFFFFF"/>
        </w:rPr>
        <w:t xml:space="preserve">Review of </w:t>
      </w:r>
      <w:r w:rsidR="00E06414">
        <w:rPr>
          <w:rFonts w:eastAsia="Times New Roman" w:cs="Times New Roman"/>
          <w:i/>
          <w:color w:val="222222"/>
          <w:sz w:val="22"/>
          <w:szCs w:val="22"/>
          <w:shd w:val="clear" w:color="auto" w:fill="FFFFFF"/>
        </w:rPr>
        <w:t>I</w:t>
      </w:r>
      <w:r w:rsidRPr="00705FD7">
        <w:rPr>
          <w:rFonts w:eastAsia="Times New Roman" w:cs="Times New Roman"/>
          <w:i/>
          <w:color w:val="222222"/>
          <w:sz w:val="22"/>
          <w:szCs w:val="22"/>
          <w:shd w:val="clear" w:color="auto" w:fill="FFFFFF"/>
        </w:rPr>
        <w:t xml:space="preserve">nternational </w:t>
      </w:r>
      <w:r w:rsidR="00E06414">
        <w:rPr>
          <w:rFonts w:eastAsia="Times New Roman" w:cs="Times New Roman"/>
          <w:i/>
          <w:color w:val="222222"/>
          <w:sz w:val="22"/>
          <w:szCs w:val="22"/>
          <w:shd w:val="clear" w:color="auto" w:fill="FFFFFF"/>
        </w:rPr>
        <w:t>P</w:t>
      </w:r>
      <w:r w:rsidRPr="00705FD7">
        <w:rPr>
          <w:rFonts w:eastAsia="Times New Roman" w:cs="Times New Roman"/>
          <w:i/>
          <w:color w:val="222222"/>
          <w:sz w:val="22"/>
          <w:szCs w:val="22"/>
          <w:shd w:val="clear" w:color="auto" w:fill="FFFFFF"/>
        </w:rPr>
        <w:t xml:space="preserve">olitical </w:t>
      </w:r>
      <w:r w:rsidR="00E06414">
        <w:rPr>
          <w:rFonts w:eastAsia="Times New Roman" w:cs="Times New Roman"/>
          <w:i/>
          <w:color w:val="222222"/>
          <w:sz w:val="22"/>
          <w:szCs w:val="22"/>
          <w:shd w:val="clear" w:color="auto" w:fill="FFFFFF"/>
        </w:rPr>
        <w:t>E</w:t>
      </w:r>
      <w:r w:rsidRPr="00705FD7">
        <w:rPr>
          <w:rFonts w:eastAsia="Times New Roman" w:cs="Times New Roman"/>
          <w:i/>
          <w:color w:val="222222"/>
          <w:sz w:val="22"/>
          <w:szCs w:val="22"/>
          <w:shd w:val="clear" w:color="auto" w:fill="FFFFFF"/>
        </w:rPr>
        <w:t>conomy</w:t>
      </w:r>
      <w:r w:rsidRPr="00B172D0">
        <w:rPr>
          <w:rFonts w:eastAsia="Times New Roman" w:cs="Times New Roman"/>
          <w:color w:val="222222"/>
          <w:sz w:val="22"/>
          <w:szCs w:val="22"/>
          <w:shd w:val="clear" w:color="auto" w:fill="FFFFFF"/>
        </w:rPr>
        <w:t xml:space="preserve">, </w:t>
      </w:r>
      <w:r>
        <w:rPr>
          <w:rFonts w:eastAsia="Times New Roman" w:cs="Times New Roman"/>
          <w:color w:val="222222"/>
          <w:sz w:val="22"/>
          <w:szCs w:val="22"/>
          <w:shd w:val="clear" w:color="auto" w:fill="FFFFFF"/>
        </w:rPr>
        <w:t>Vol. 13 No. 4, pp.</w:t>
      </w:r>
      <w:r w:rsidRPr="00B172D0">
        <w:rPr>
          <w:rFonts w:eastAsia="Times New Roman" w:cs="Times New Roman"/>
          <w:color w:val="222222"/>
          <w:sz w:val="22"/>
          <w:szCs w:val="22"/>
          <w:shd w:val="clear" w:color="auto" w:fill="FFFFFF"/>
        </w:rPr>
        <w:t xml:space="preserve"> 559-586.</w:t>
      </w:r>
    </w:p>
    <w:p w14:paraId="3021B6F8" w14:textId="68E755C6" w:rsidR="003608F0" w:rsidRPr="00EB4DCF" w:rsidRDefault="003608F0" w:rsidP="00276A73">
      <w:pPr>
        <w:spacing w:afterLines="80" w:after="192"/>
        <w:jc w:val="both"/>
        <w:rPr>
          <w:rFonts w:eastAsia="Times New Roman" w:cs="Times New Roman"/>
          <w:color w:val="222222"/>
          <w:sz w:val="22"/>
          <w:szCs w:val="22"/>
          <w:shd w:val="clear" w:color="auto" w:fill="FFFFFF"/>
        </w:rPr>
      </w:pPr>
      <w:r w:rsidRPr="00B172D0">
        <w:rPr>
          <w:rFonts w:eastAsia="Times New Roman" w:cs="Times New Roman"/>
          <w:color w:val="222222"/>
          <w:sz w:val="22"/>
          <w:szCs w:val="22"/>
          <w:shd w:val="clear" w:color="auto" w:fill="FFFFFF"/>
        </w:rPr>
        <w:t xml:space="preserve">Porter, T. </w:t>
      </w:r>
      <w:r>
        <w:rPr>
          <w:rFonts w:eastAsia="Times New Roman" w:cs="Times New Roman"/>
          <w:color w:val="222222"/>
          <w:sz w:val="22"/>
          <w:szCs w:val="22"/>
          <w:shd w:val="clear" w:color="auto" w:fill="FFFFFF"/>
        </w:rPr>
        <w:t>(</w:t>
      </w:r>
      <w:r w:rsidRPr="00B172D0">
        <w:rPr>
          <w:rFonts w:eastAsia="Times New Roman" w:cs="Times New Roman"/>
          <w:color w:val="222222"/>
          <w:sz w:val="22"/>
          <w:szCs w:val="22"/>
          <w:shd w:val="clear" w:color="auto" w:fill="FFFFFF"/>
        </w:rPr>
        <w:t>2014</w:t>
      </w:r>
      <w:r>
        <w:rPr>
          <w:rFonts w:eastAsia="Times New Roman" w:cs="Times New Roman"/>
          <w:color w:val="222222"/>
          <w:sz w:val="22"/>
          <w:szCs w:val="22"/>
          <w:shd w:val="clear" w:color="auto" w:fill="FFFFFF"/>
        </w:rPr>
        <w:t>)</w:t>
      </w:r>
      <w:r w:rsidR="00A313B8">
        <w:rPr>
          <w:rFonts w:eastAsia="Times New Roman" w:cs="Times New Roman"/>
          <w:color w:val="222222"/>
          <w:sz w:val="22"/>
          <w:szCs w:val="22"/>
          <w:shd w:val="clear" w:color="auto" w:fill="FFFFFF"/>
        </w:rPr>
        <w:t>,</w:t>
      </w:r>
      <w:r w:rsidRPr="00B172D0">
        <w:rPr>
          <w:rFonts w:eastAsia="Times New Roman" w:cs="Times New Roman"/>
          <w:color w:val="222222"/>
          <w:sz w:val="22"/>
          <w:szCs w:val="22"/>
          <w:shd w:val="clear" w:color="auto" w:fill="FFFFFF"/>
        </w:rPr>
        <w:t xml:space="preserve"> </w:t>
      </w:r>
      <w:r w:rsidRPr="00B172D0">
        <w:rPr>
          <w:rFonts w:eastAsia="Times New Roman" w:cs="Times New Roman"/>
          <w:i/>
          <w:color w:val="222222"/>
          <w:sz w:val="22"/>
          <w:szCs w:val="22"/>
          <w:shd w:val="clear" w:color="auto" w:fill="FFFFFF"/>
        </w:rPr>
        <w:t>Transnational Financial Regulation after the Crisis</w:t>
      </w:r>
      <w:r>
        <w:rPr>
          <w:rFonts w:eastAsia="Times New Roman" w:cs="Times New Roman"/>
          <w:i/>
          <w:color w:val="222222"/>
          <w:sz w:val="22"/>
          <w:szCs w:val="22"/>
          <w:shd w:val="clear" w:color="auto" w:fill="FFFFFF"/>
        </w:rPr>
        <w:t>,</w:t>
      </w:r>
      <w:r>
        <w:rPr>
          <w:rFonts w:eastAsia="Times New Roman" w:cs="Times New Roman"/>
          <w:color w:val="222222"/>
          <w:sz w:val="22"/>
          <w:szCs w:val="22"/>
          <w:shd w:val="clear" w:color="auto" w:fill="FFFFFF"/>
        </w:rPr>
        <w:t xml:space="preserve"> Routledge, </w:t>
      </w:r>
      <w:r w:rsidRPr="00B172D0">
        <w:rPr>
          <w:rFonts w:eastAsia="Times New Roman" w:cs="Times New Roman"/>
          <w:color w:val="222222"/>
          <w:sz w:val="22"/>
          <w:szCs w:val="22"/>
          <w:shd w:val="clear" w:color="auto" w:fill="FFFFFF"/>
        </w:rPr>
        <w:t>London</w:t>
      </w:r>
      <w:r>
        <w:rPr>
          <w:rFonts w:eastAsia="Times New Roman" w:cs="Times New Roman"/>
          <w:color w:val="222222"/>
          <w:sz w:val="22"/>
          <w:szCs w:val="22"/>
          <w:shd w:val="clear" w:color="auto" w:fill="FFFFFF"/>
        </w:rPr>
        <w:t xml:space="preserve">. </w:t>
      </w:r>
    </w:p>
    <w:p w14:paraId="18751473" w14:textId="0DD28AF6" w:rsidR="003608F0" w:rsidRDefault="003608F0" w:rsidP="00276A73">
      <w:pPr>
        <w:spacing w:afterLines="80" w:after="192"/>
        <w:jc w:val="both"/>
        <w:rPr>
          <w:rFonts w:cs="Times New Roman"/>
          <w:sz w:val="22"/>
          <w:szCs w:val="22"/>
        </w:rPr>
      </w:pPr>
      <w:r w:rsidRPr="00074670">
        <w:rPr>
          <w:rFonts w:cs="Times New Roman"/>
          <w:sz w:val="22"/>
          <w:szCs w:val="22"/>
        </w:rPr>
        <w:t>Quack, S. (2010)</w:t>
      </w:r>
      <w:r w:rsidR="00A313B8">
        <w:rPr>
          <w:rFonts w:cs="Times New Roman"/>
          <w:sz w:val="22"/>
          <w:szCs w:val="22"/>
        </w:rPr>
        <w:t>,</w:t>
      </w:r>
      <w:r w:rsidRPr="00074670">
        <w:rPr>
          <w:rFonts w:cs="Times New Roman"/>
          <w:sz w:val="22"/>
          <w:szCs w:val="22"/>
        </w:rPr>
        <w:t xml:space="preserve"> “Law, expertise and legitimacy in transnational economic governance: an introduction”. </w:t>
      </w:r>
      <w:r w:rsidRPr="00074670">
        <w:rPr>
          <w:rFonts w:cs="Times New Roman"/>
          <w:i/>
          <w:sz w:val="22"/>
          <w:szCs w:val="22"/>
        </w:rPr>
        <w:t>Socio-Economic Review</w:t>
      </w:r>
      <w:r w:rsidRPr="00074670">
        <w:rPr>
          <w:rFonts w:cs="Times New Roman"/>
          <w:sz w:val="22"/>
          <w:szCs w:val="22"/>
        </w:rPr>
        <w:t xml:space="preserve">, Vol. 8 No. 1, pp. 3-16. </w:t>
      </w:r>
    </w:p>
    <w:p w14:paraId="4C11346A" w14:textId="24740132" w:rsidR="00D215FE" w:rsidRPr="00074670" w:rsidRDefault="00D215FE" w:rsidP="00D215FE">
      <w:pPr>
        <w:spacing w:afterLines="80" w:after="192"/>
        <w:jc w:val="both"/>
        <w:rPr>
          <w:rFonts w:cs="Times New Roman"/>
          <w:sz w:val="22"/>
          <w:szCs w:val="22"/>
        </w:rPr>
      </w:pPr>
      <w:r w:rsidRPr="00D215FE">
        <w:rPr>
          <w:rFonts w:cs="Times New Roman"/>
          <w:sz w:val="22"/>
          <w:szCs w:val="22"/>
        </w:rPr>
        <w:t xml:space="preserve">Quagli, A., </w:t>
      </w:r>
      <w:r w:rsidR="008E1A54">
        <w:rPr>
          <w:rFonts w:cs="Times New Roman"/>
          <w:sz w:val="22"/>
          <w:szCs w:val="22"/>
        </w:rPr>
        <w:t>and</w:t>
      </w:r>
      <w:r w:rsidR="008E1A54" w:rsidRPr="00D215FE">
        <w:rPr>
          <w:rFonts w:cs="Times New Roman"/>
          <w:sz w:val="22"/>
          <w:szCs w:val="22"/>
        </w:rPr>
        <w:t xml:space="preserve"> </w:t>
      </w:r>
      <w:r w:rsidRPr="00D215FE">
        <w:rPr>
          <w:rFonts w:cs="Times New Roman"/>
          <w:sz w:val="22"/>
          <w:szCs w:val="22"/>
        </w:rPr>
        <w:t>Paoloni, P. (2012)</w:t>
      </w:r>
      <w:r w:rsidR="00A313B8">
        <w:rPr>
          <w:rFonts w:cs="Times New Roman"/>
          <w:sz w:val="22"/>
          <w:szCs w:val="22"/>
        </w:rPr>
        <w:t>,</w:t>
      </w:r>
      <w:r w:rsidRPr="00D215FE">
        <w:rPr>
          <w:rFonts w:cs="Times New Roman"/>
          <w:sz w:val="22"/>
          <w:szCs w:val="22"/>
        </w:rPr>
        <w:t xml:space="preserve"> </w:t>
      </w:r>
      <w:r w:rsidR="004C4DC9">
        <w:rPr>
          <w:rFonts w:cs="Times New Roman"/>
          <w:sz w:val="22"/>
          <w:szCs w:val="22"/>
        </w:rPr>
        <w:t>“</w:t>
      </w:r>
      <w:r w:rsidRPr="00D215FE">
        <w:rPr>
          <w:rFonts w:cs="Times New Roman"/>
          <w:sz w:val="22"/>
          <w:szCs w:val="22"/>
        </w:rPr>
        <w:t>How is the IFRS for SME accepted in</w:t>
      </w:r>
      <w:r>
        <w:rPr>
          <w:rFonts w:cs="Times New Roman"/>
          <w:sz w:val="22"/>
          <w:szCs w:val="22"/>
        </w:rPr>
        <w:t xml:space="preserve"> the European context? </w:t>
      </w:r>
      <w:r w:rsidRPr="00D215FE">
        <w:rPr>
          <w:rFonts w:cs="Times New Roman"/>
          <w:sz w:val="22"/>
          <w:szCs w:val="22"/>
        </w:rPr>
        <w:t>An analysis of the homogeneity among European countries, user</w:t>
      </w:r>
      <w:r>
        <w:rPr>
          <w:rFonts w:cs="Times New Roman"/>
          <w:sz w:val="22"/>
          <w:szCs w:val="22"/>
        </w:rPr>
        <w:t xml:space="preserve">s and preparers in the European </w:t>
      </w:r>
      <w:r w:rsidRPr="00D215FE">
        <w:rPr>
          <w:rFonts w:cs="Times New Roman"/>
          <w:sz w:val="22"/>
          <w:szCs w:val="22"/>
        </w:rPr>
        <w:t>commission questionnaire</w:t>
      </w:r>
      <w:r w:rsidR="004C4DC9">
        <w:rPr>
          <w:rFonts w:cs="Times New Roman"/>
          <w:sz w:val="22"/>
          <w:szCs w:val="22"/>
        </w:rPr>
        <w:t>”</w:t>
      </w:r>
      <w:r w:rsidRPr="00D215FE">
        <w:rPr>
          <w:rFonts w:cs="Times New Roman"/>
          <w:sz w:val="22"/>
          <w:szCs w:val="22"/>
        </w:rPr>
        <w:t xml:space="preserve">. </w:t>
      </w:r>
      <w:r w:rsidRPr="00C75A13">
        <w:rPr>
          <w:rFonts w:cs="Times New Roman"/>
          <w:i/>
          <w:sz w:val="22"/>
          <w:szCs w:val="22"/>
        </w:rPr>
        <w:t>Advances in Accounting,</w:t>
      </w:r>
      <w:r w:rsidRPr="00D215FE">
        <w:rPr>
          <w:rFonts w:cs="Times New Roman"/>
          <w:sz w:val="22"/>
          <w:szCs w:val="22"/>
        </w:rPr>
        <w:t xml:space="preserve"> </w:t>
      </w:r>
      <w:r w:rsidR="004C4DC9">
        <w:rPr>
          <w:rFonts w:cs="Times New Roman"/>
          <w:sz w:val="22"/>
          <w:szCs w:val="22"/>
        </w:rPr>
        <w:t xml:space="preserve">Vol. </w:t>
      </w:r>
      <w:r w:rsidRPr="00D215FE">
        <w:rPr>
          <w:rFonts w:cs="Times New Roman"/>
          <w:sz w:val="22"/>
          <w:szCs w:val="22"/>
        </w:rPr>
        <w:t xml:space="preserve">28 </w:t>
      </w:r>
      <w:r w:rsidR="004C4DC9">
        <w:rPr>
          <w:rFonts w:cs="Times New Roman"/>
          <w:sz w:val="22"/>
          <w:szCs w:val="22"/>
        </w:rPr>
        <w:t xml:space="preserve">No. </w:t>
      </w:r>
      <w:r w:rsidRPr="00D215FE">
        <w:rPr>
          <w:rFonts w:cs="Times New Roman"/>
          <w:sz w:val="22"/>
          <w:szCs w:val="22"/>
        </w:rPr>
        <w:t>1</w:t>
      </w:r>
      <w:r w:rsidR="004C4DC9">
        <w:rPr>
          <w:rFonts w:cs="Times New Roman"/>
          <w:sz w:val="22"/>
          <w:szCs w:val="22"/>
        </w:rPr>
        <w:t>, pp.</w:t>
      </w:r>
      <w:r w:rsidRPr="00D215FE">
        <w:rPr>
          <w:rFonts w:cs="Times New Roman"/>
          <w:sz w:val="22"/>
          <w:szCs w:val="22"/>
        </w:rPr>
        <w:t xml:space="preserve"> 147-156.</w:t>
      </w:r>
    </w:p>
    <w:p w14:paraId="76A83034" w14:textId="77FCA86C" w:rsidR="003608F0" w:rsidRPr="00D215FE" w:rsidRDefault="003608F0" w:rsidP="00D215FE">
      <w:pPr>
        <w:spacing w:afterLines="80" w:after="192"/>
        <w:jc w:val="both"/>
        <w:rPr>
          <w:rFonts w:cstheme="minorHAnsi"/>
          <w:sz w:val="22"/>
          <w:szCs w:val="22"/>
        </w:rPr>
      </w:pPr>
      <w:r w:rsidRPr="00D215FE">
        <w:rPr>
          <w:rFonts w:cstheme="minorHAnsi"/>
          <w:sz w:val="22"/>
          <w:szCs w:val="22"/>
        </w:rPr>
        <w:t>Ram, R., and Newberry, S. (2013)</w:t>
      </w:r>
      <w:r w:rsidR="004C4DC9">
        <w:rPr>
          <w:rFonts w:cstheme="minorHAnsi"/>
          <w:sz w:val="22"/>
          <w:szCs w:val="22"/>
        </w:rPr>
        <w:t>. “</w:t>
      </w:r>
      <w:r w:rsidRPr="00D215FE">
        <w:rPr>
          <w:rFonts w:cstheme="minorHAnsi"/>
          <w:sz w:val="22"/>
          <w:szCs w:val="22"/>
        </w:rPr>
        <w:t xml:space="preserve">IFRS for SMEs: The IASB'S due process”, </w:t>
      </w:r>
      <w:r w:rsidRPr="00D215FE">
        <w:rPr>
          <w:rFonts w:cstheme="minorHAnsi"/>
          <w:i/>
          <w:iCs/>
          <w:sz w:val="22"/>
          <w:szCs w:val="22"/>
        </w:rPr>
        <w:t>Australian Accounting Review</w:t>
      </w:r>
      <w:r w:rsidRPr="00D215FE">
        <w:rPr>
          <w:rFonts w:cstheme="minorHAnsi"/>
          <w:sz w:val="22"/>
          <w:szCs w:val="22"/>
        </w:rPr>
        <w:t xml:space="preserve">, Vol. </w:t>
      </w:r>
      <w:r w:rsidRPr="00D215FE">
        <w:rPr>
          <w:rFonts w:cstheme="minorHAnsi"/>
          <w:iCs/>
          <w:sz w:val="22"/>
          <w:szCs w:val="22"/>
        </w:rPr>
        <w:t xml:space="preserve">23 </w:t>
      </w:r>
      <w:r w:rsidRPr="00D215FE">
        <w:rPr>
          <w:rFonts w:cstheme="minorHAnsi"/>
          <w:sz w:val="22"/>
          <w:szCs w:val="22"/>
        </w:rPr>
        <w:t>No. 1, pp. 3-17.</w:t>
      </w:r>
    </w:p>
    <w:p w14:paraId="2D3AAC12" w14:textId="7BA7FCD8" w:rsidR="006E683F" w:rsidRPr="00CB0B22" w:rsidRDefault="006E683F" w:rsidP="00CB0B22">
      <w:pPr>
        <w:jc w:val="both"/>
        <w:rPr>
          <w:rFonts w:eastAsia="Times New Roman" w:cstheme="minorHAnsi"/>
          <w:color w:val="222222"/>
          <w:sz w:val="22"/>
          <w:szCs w:val="22"/>
          <w:shd w:val="clear" w:color="auto" w:fill="FFFFFF"/>
          <w:lang w:val="en-GB"/>
        </w:rPr>
      </w:pPr>
      <w:r w:rsidRPr="00CB0B22">
        <w:rPr>
          <w:rFonts w:eastAsia="Times New Roman" w:cstheme="minorHAnsi"/>
          <w:color w:val="222222"/>
          <w:sz w:val="22"/>
          <w:szCs w:val="22"/>
          <w:shd w:val="clear" w:color="auto" w:fill="FFFFFF"/>
          <w:lang w:val="en-GB"/>
        </w:rPr>
        <w:t xml:space="preserve">Ram, R., </w:t>
      </w:r>
      <w:r w:rsidR="008E1A54">
        <w:rPr>
          <w:rFonts w:eastAsia="Times New Roman" w:cstheme="minorHAnsi"/>
          <w:color w:val="222222"/>
          <w:sz w:val="22"/>
          <w:szCs w:val="22"/>
          <w:shd w:val="clear" w:color="auto" w:fill="FFFFFF"/>
          <w:lang w:val="en-GB"/>
        </w:rPr>
        <w:t>and</w:t>
      </w:r>
      <w:r w:rsidR="008E1A54" w:rsidRPr="00CB0B22">
        <w:rPr>
          <w:rFonts w:eastAsia="Times New Roman" w:cstheme="minorHAnsi"/>
          <w:color w:val="222222"/>
          <w:sz w:val="22"/>
          <w:szCs w:val="22"/>
          <w:shd w:val="clear" w:color="auto" w:fill="FFFFFF"/>
          <w:lang w:val="en-GB"/>
        </w:rPr>
        <w:t xml:space="preserve"> </w:t>
      </w:r>
      <w:r w:rsidRPr="00CB0B22">
        <w:rPr>
          <w:rFonts w:eastAsia="Times New Roman" w:cstheme="minorHAnsi"/>
          <w:color w:val="222222"/>
          <w:sz w:val="22"/>
          <w:szCs w:val="22"/>
          <w:shd w:val="clear" w:color="auto" w:fill="FFFFFF"/>
          <w:lang w:val="en-GB"/>
        </w:rPr>
        <w:t>Newberry, S. (2017)</w:t>
      </w:r>
      <w:r w:rsidR="00A313B8">
        <w:rPr>
          <w:rFonts w:eastAsia="Times New Roman" w:cstheme="minorHAnsi"/>
          <w:color w:val="222222"/>
          <w:sz w:val="22"/>
          <w:szCs w:val="22"/>
          <w:shd w:val="clear" w:color="auto" w:fill="FFFFFF"/>
          <w:lang w:val="en-GB"/>
        </w:rPr>
        <w:t>,</w:t>
      </w:r>
      <w:r w:rsidRPr="00CB0B22">
        <w:rPr>
          <w:rFonts w:eastAsia="Times New Roman" w:cstheme="minorHAnsi"/>
          <w:color w:val="222222"/>
          <w:sz w:val="22"/>
          <w:szCs w:val="22"/>
          <w:shd w:val="clear" w:color="auto" w:fill="FFFFFF"/>
          <w:lang w:val="en-GB"/>
        </w:rPr>
        <w:t xml:space="preserve"> </w:t>
      </w:r>
      <w:r w:rsidR="004C4DC9">
        <w:rPr>
          <w:rFonts w:eastAsia="Times New Roman" w:cstheme="minorHAnsi"/>
          <w:color w:val="222222"/>
          <w:sz w:val="22"/>
          <w:szCs w:val="22"/>
          <w:shd w:val="clear" w:color="auto" w:fill="FFFFFF"/>
          <w:lang w:val="en-GB"/>
        </w:rPr>
        <w:t>“</w:t>
      </w:r>
      <w:r w:rsidRPr="00CB0B22">
        <w:rPr>
          <w:rFonts w:eastAsia="Times New Roman" w:cstheme="minorHAnsi"/>
          <w:color w:val="222222"/>
          <w:sz w:val="22"/>
          <w:szCs w:val="22"/>
          <w:shd w:val="clear" w:color="auto" w:fill="FFFFFF"/>
          <w:lang w:val="en-GB"/>
        </w:rPr>
        <w:t>Agenda entrance complexity in international accounting standard setting: The case of IFRS for SMEs</w:t>
      </w:r>
      <w:r w:rsidR="004C4DC9">
        <w:rPr>
          <w:rFonts w:eastAsia="Times New Roman" w:cstheme="minorHAnsi"/>
          <w:color w:val="222222"/>
          <w:sz w:val="22"/>
          <w:szCs w:val="22"/>
          <w:shd w:val="clear" w:color="auto" w:fill="FFFFFF"/>
          <w:lang w:val="en-GB"/>
        </w:rPr>
        <w:t>”</w:t>
      </w:r>
      <w:r w:rsidRPr="00CB0B22">
        <w:rPr>
          <w:rFonts w:eastAsia="Times New Roman" w:cstheme="minorHAnsi"/>
          <w:color w:val="222222"/>
          <w:sz w:val="22"/>
          <w:szCs w:val="22"/>
          <w:shd w:val="clear" w:color="auto" w:fill="FFFFFF"/>
          <w:lang w:val="en-GB"/>
        </w:rPr>
        <w:t>. </w:t>
      </w:r>
      <w:r w:rsidRPr="00CB0B22">
        <w:rPr>
          <w:rFonts w:eastAsia="Times New Roman" w:cstheme="minorHAnsi"/>
          <w:i/>
          <w:iCs/>
          <w:color w:val="222222"/>
          <w:sz w:val="22"/>
          <w:szCs w:val="22"/>
          <w:shd w:val="clear" w:color="auto" w:fill="FFFFFF"/>
          <w:lang w:val="en-GB"/>
        </w:rPr>
        <w:t>Abacus</w:t>
      </w:r>
      <w:r w:rsidRPr="00CB0B22">
        <w:rPr>
          <w:rFonts w:eastAsia="Times New Roman" w:cstheme="minorHAnsi"/>
          <w:color w:val="222222"/>
          <w:sz w:val="22"/>
          <w:szCs w:val="22"/>
          <w:shd w:val="clear" w:color="auto" w:fill="FFFFFF"/>
          <w:lang w:val="en-GB"/>
        </w:rPr>
        <w:t>, </w:t>
      </w:r>
      <w:r w:rsidR="004C4DC9">
        <w:rPr>
          <w:rFonts w:eastAsia="Times New Roman" w:cstheme="minorHAnsi"/>
          <w:color w:val="222222"/>
          <w:sz w:val="22"/>
          <w:szCs w:val="22"/>
          <w:shd w:val="clear" w:color="auto" w:fill="FFFFFF"/>
          <w:lang w:val="en-GB"/>
        </w:rPr>
        <w:t xml:space="preserve">Vol. </w:t>
      </w:r>
      <w:r w:rsidRPr="00C75A13">
        <w:rPr>
          <w:rFonts w:eastAsia="Times New Roman" w:cstheme="minorHAnsi"/>
          <w:iCs/>
          <w:color w:val="222222"/>
          <w:sz w:val="22"/>
          <w:szCs w:val="22"/>
          <w:shd w:val="clear" w:color="auto" w:fill="FFFFFF"/>
          <w:lang w:val="en-GB"/>
        </w:rPr>
        <w:t>53</w:t>
      </w:r>
      <w:r w:rsidR="004C4DC9">
        <w:rPr>
          <w:rFonts w:eastAsia="Times New Roman" w:cstheme="minorHAnsi"/>
          <w:color w:val="222222"/>
          <w:sz w:val="22"/>
          <w:szCs w:val="22"/>
          <w:shd w:val="clear" w:color="auto" w:fill="FFFFFF"/>
          <w:lang w:val="en-GB"/>
        </w:rPr>
        <w:t xml:space="preserve"> No. 4</w:t>
      </w:r>
      <w:r w:rsidRPr="00CB0B22">
        <w:rPr>
          <w:rFonts w:eastAsia="Times New Roman" w:cstheme="minorHAnsi"/>
          <w:color w:val="222222"/>
          <w:sz w:val="22"/>
          <w:szCs w:val="22"/>
          <w:shd w:val="clear" w:color="auto" w:fill="FFFFFF"/>
          <w:lang w:val="en-GB"/>
        </w:rPr>
        <w:t xml:space="preserve">, </w:t>
      </w:r>
      <w:r w:rsidR="004C4DC9">
        <w:rPr>
          <w:rFonts w:eastAsia="Times New Roman" w:cstheme="minorHAnsi"/>
          <w:color w:val="222222"/>
          <w:sz w:val="22"/>
          <w:szCs w:val="22"/>
          <w:shd w:val="clear" w:color="auto" w:fill="FFFFFF"/>
          <w:lang w:val="en-GB"/>
        </w:rPr>
        <w:t xml:space="preserve">pp. </w:t>
      </w:r>
      <w:r w:rsidRPr="00CB0B22">
        <w:rPr>
          <w:rFonts w:eastAsia="Times New Roman" w:cstheme="minorHAnsi"/>
          <w:color w:val="222222"/>
          <w:sz w:val="22"/>
          <w:szCs w:val="22"/>
          <w:shd w:val="clear" w:color="auto" w:fill="FFFFFF"/>
          <w:lang w:val="en-GB"/>
        </w:rPr>
        <w:t>485-512</w:t>
      </w:r>
    </w:p>
    <w:p w14:paraId="1FB0D8E8" w14:textId="77777777" w:rsidR="00D215FE" w:rsidRPr="00CB0B22" w:rsidRDefault="00D215FE" w:rsidP="00CB0B22">
      <w:pPr>
        <w:jc w:val="both"/>
        <w:rPr>
          <w:rFonts w:eastAsia="Times New Roman" w:cstheme="minorHAnsi"/>
          <w:sz w:val="22"/>
          <w:szCs w:val="22"/>
          <w:lang w:val="en-GB"/>
        </w:rPr>
      </w:pPr>
    </w:p>
    <w:p w14:paraId="4CBD082D" w14:textId="7D467188" w:rsidR="00D215FE" w:rsidRPr="00CB0B22" w:rsidRDefault="00D215FE" w:rsidP="00CB0B22">
      <w:pPr>
        <w:jc w:val="both"/>
        <w:rPr>
          <w:rFonts w:eastAsia="Times New Roman" w:cstheme="minorHAnsi"/>
          <w:sz w:val="22"/>
          <w:szCs w:val="22"/>
          <w:lang w:val="en-GB"/>
        </w:rPr>
      </w:pPr>
      <w:r w:rsidRPr="00CB0B22">
        <w:rPr>
          <w:rFonts w:eastAsia="Times New Roman" w:cstheme="minorHAnsi"/>
          <w:sz w:val="22"/>
          <w:szCs w:val="22"/>
          <w:lang w:val="en-GB"/>
        </w:rPr>
        <w:t xml:space="preserve">Ryan, C. (1998), </w:t>
      </w:r>
      <w:r w:rsidR="004C4DC9">
        <w:rPr>
          <w:rFonts w:eastAsia="Times New Roman" w:cstheme="minorHAnsi"/>
          <w:sz w:val="22"/>
          <w:szCs w:val="22"/>
          <w:lang w:val="en-GB"/>
        </w:rPr>
        <w:t>“</w:t>
      </w:r>
      <w:r w:rsidRPr="00CB0B22">
        <w:rPr>
          <w:rFonts w:eastAsia="Times New Roman" w:cstheme="minorHAnsi"/>
          <w:sz w:val="22"/>
          <w:szCs w:val="22"/>
          <w:lang w:val="en-GB"/>
        </w:rPr>
        <w:t>The Introduction of Accrual Reporting Policy in the Australian Public Sector: An Agenda Setting Explanation</w:t>
      </w:r>
      <w:r w:rsidR="004C4DC9">
        <w:rPr>
          <w:rFonts w:eastAsia="Times New Roman" w:cstheme="minorHAnsi"/>
          <w:sz w:val="22"/>
          <w:szCs w:val="22"/>
          <w:lang w:val="en-GB"/>
        </w:rPr>
        <w:t>”</w:t>
      </w:r>
      <w:r w:rsidRPr="00CB0B22">
        <w:rPr>
          <w:rFonts w:eastAsia="Times New Roman" w:cstheme="minorHAnsi"/>
          <w:sz w:val="22"/>
          <w:szCs w:val="22"/>
          <w:lang w:val="en-GB"/>
        </w:rPr>
        <w:t xml:space="preserve">, </w:t>
      </w:r>
      <w:r w:rsidRPr="00C75A13">
        <w:rPr>
          <w:rFonts w:eastAsia="Times New Roman" w:cstheme="minorHAnsi"/>
          <w:i/>
          <w:sz w:val="22"/>
          <w:szCs w:val="22"/>
          <w:lang w:val="en-GB"/>
        </w:rPr>
        <w:t xml:space="preserve">Accounting, Auditing </w:t>
      </w:r>
      <w:r w:rsidR="00403A08">
        <w:rPr>
          <w:rFonts w:eastAsia="Times New Roman" w:cstheme="minorHAnsi"/>
          <w:i/>
          <w:sz w:val="22"/>
          <w:szCs w:val="22"/>
          <w:lang w:val="en-GB"/>
        </w:rPr>
        <w:t>&amp;</w:t>
      </w:r>
      <w:r w:rsidRPr="00C75A13">
        <w:rPr>
          <w:rFonts w:eastAsia="Times New Roman" w:cstheme="minorHAnsi"/>
          <w:i/>
          <w:sz w:val="22"/>
          <w:szCs w:val="22"/>
          <w:lang w:val="en-GB"/>
        </w:rPr>
        <w:t xml:space="preserve"> Accountability Journal</w:t>
      </w:r>
      <w:r w:rsidRPr="00CB0B22">
        <w:rPr>
          <w:rFonts w:eastAsia="Times New Roman" w:cstheme="minorHAnsi"/>
          <w:sz w:val="22"/>
          <w:szCs w:val="22"/>
          <w:lang w:val="en-GB"/>
        </w:rPr>
        <w:t>, Vol. 11 No. 5, pp. 518–</w:t>
      </w:r>
      <w:r w:rsidR="00403A08">
        <w:rPr>
          <w:rFonts w:eastAsia="Times New Roman" w:cstheme="minorHAnsi"/>
          <w:sz w:val="22"/>
          <w:szCs w:val="22"/>
          <w:lang w:val="en-GB"/>
        </w:rPr>
        <w:t>5</w:t>
      </w:r>
      <w:r w:rsidRPr="00CB0B22">
        <w:rPr>
          <w:rFonts w:eastAsia="Times New Roman" w:cstheme="minorHAnsi"/>
          <w:sz w:val="22"/>
          <w:szCs w:val="22"/>
          <w:lang w:val="en-GB"/>
        </w:rPr>
        <w:t>39.</w:t>
      </w:r>
    </w:p>
    <w:p w14:paraId="3B80F865" w14:textId="77777777" w:rsidR="006E683F" w:rsidRPr="00C75A13" w:rsidRDefault="006E683F" w:rsidP="00CB0B22">
      <w:pPr>
        <w:rPr>
          <w:rFonts w:ascii="Times New Roman" w:eastAsia="Times New Roman" w:hAnsi="Times New Roman" w:cs="Times New Roman"/>
          <w:sz w:val="22"/>
          <w:szCs w:val="22"/>
          <w:lang w:val="en-GB"/>
        </w:rPr>
      </w:pPr>
    </w:p>
    <w:p w14:paraId="2D4E38C6" w14:textId="70A0A1C4" w:rsidR="006A7087" w:rsidRDefault="006A7087" w:rsidP="00276A73">
      <w:pPr>
        <w:spacing w:afterLines="80" w:after="192"/>
        <w:jc w:val="both"/>
        <w:rPr>
          <w:rFonts w:cs="Times New Roman"/>
          <w:sz w:val="22"/>
          <w:szCs w:val="22"/>
        </w:rPr>
      </w:pPr>
      <w:r w:rsidRPr="006A7087">
        <w:rPr>
          <w:rFonts w:cs="Times New Roman"/>
          <w:sz w:val="22"/>
          <w:szCs w:val="22"/>
        </w:rPr>
        <w:lastRenderedPageBreak/>
        <w:t>Solomons, D. (1978)</w:t>
      </w:r>
      <w:r w:rsidR="00A313B8">
        <w:rPr>
          <w:rFonts w:cs="Times New Roman"/>
          <w:sz w:val="22"/>
          <w:szCs w:val="22"/>
        </w:rPr>
        <w:t>,</w:t>
      </w:r>
      <w:r w:rsidRPr="006A7087">
        <w:rPr>
          <w:rFonts w:cs="Times New Roman"/>
          <w:sz w:val="22"/>
          <w:szCs w:val="22"/>
        </w:rPr>
        <w:t xml:space="preserve"> </w:t>
      </w:r>
      <w:r w:rsidR="004C4DC9">
        <w:rPr>
          <w:rFonts w:cs="Times New Roman"/>
          <w:sz w:val="22"/>
          <w:szCs w:val="22"/>
        </w:rPr>
        <w:t>“</w:t>
      </w:r>
      <w:r w:rsidRPr="006A7087">
        <w:rPr>
          <w:rFonts w:cs="Times New Roman"/>
          <w:sz w:val="22"/>
          <w:szCs w:val="22"/>
        </w:rPr>
        <w:t>The politicization of accounting</w:t>
      </w:r>
      <w:r w:rsidR="004C4DC9">
        <w:rPr>
          <w:rFonts w:cs="Times New Roman"/>
          <w:sz w:val="22"/>
          <w:szCs w:val="22"/>
        </w:rPr>
        <w:t>”</w:t>
      </w:r>
      <w:r w:rsidRPr="006A7087">
        <w:rPr>
          <w:rFonts w:cs="Times New Roman"/>
          <w:sz w:val="22"/>
          <w:szCs w:val="22"/>
        </w:rPr>
        <w:t xml:space="preserve">. </w:t>
      </w:r>
      <w:r w:rsidRPr="006A7087">
        <w:rPr>
          <w:rFonts w:cs="Times New Roman"/>
          <w:i/>
          <w:sz w:val="22"/>
          <w:szCs w:val="22"/>
        </w:rPr>
        <w:t>Journal of Accountancy</w:t>
      </w:r>
      <w:r w:rsidRPr="006A7087">
        <w:rPr>
          <w:rFonts w:cs="Times New Roman"/>
          <w:sz w:val="22"/>
          <w:szCs w:val="22"/>
        </w:rPr>
        <w:t xml:space="preserve"> (pre-1986), 146(000005), 65.</w:t>
      </w:r>
    </w:p>
    <w:p w14:paraId="38C32C56" w14:textId="4F2356B5" w:rsidR="006E683F" w:rsidRDefault="006E683F" w:rsidP="006E683F">
      <w:pPr>
        <w:spacing w:afterLines="80" w:after="192"/>
        <w:jc w:val="both"/>
        <w:rPr>
          <w:rFonts w:cs="Times New Roman"/>
          <w:sz w:val="22"/>
          <w:szCs w:val="22"/>
        </w:rPr>
      </w:pPr>
      <w:r w:rsidRPr="006E683F">
        <w:rPr>
          <w:rFonts w:cs="Times New Roman"/>
          <w:sz w:val="22"/>
          <w:szCs w:val="22"/>
        </w:rPr>
        <w:t>Solomons, D. (1983)</w:t>
      </w:r>
      <w:r w:rsidR="00A313B8">
        <w:rPr>
          <w:rFonts w:cs="Times New Roman"/>
          <w:sz w:val="22"/>
          <w:szCs w:val="22"/>
        </w:rPr>
        <w:t>,</w:t>
      </w:r>
      <w:r w:rsidRPr="006E683F">
        <w:rPr>
          <w:rFonts w:cs="Times New Roman"/>
          <w:sz w:val="22"/>
          <w:szCs w:val="22"/>
        </w:rPr>
        <w:t xml:space="preserve"> </w:t>
      </w:r>
      <w:r w:rsidR="004C4DC9">
        <w:rPr>
          <w:rFonts w:cs="Times New Roman"/>
          <w:sz w:val="22"/>
          <w:szCs w:val="22"/>
        </w:rPr>
        <w:t>“</w:t>
      </w:r>
      <w:r w:rsidRPr="006E683F">
        <w:rPr>
          <w:rFonts w:cs="Times New Roman"/>
          <w:sz w:val="22"/>
          <w:szCs w:val="22"/>
        </w:rPr>
        <w:t>The Political Implications of Accounting and Accounting Standard Setting</w:t>
      </w:r>
      <w:r w:rsidR="004C4DC9">
        <w:rPr>
          <w:rFonts w:cs="Times New Roman"/>
          <w:sz w:val="22"/>
          <w:szCs w:val="22"/>
        </w:rPr>
        <w:t>”</w:t>
      </w:r>
      <w:r w:rsidRPr="006E683F">
        <w:rPr>
          <w:rFonts w:cs="Times New Roman"/>
          <w:sz w:val="22"/>
          <w:szCs w:val="22"/>
        </w:rPr>
        <w:t>,</w:t>
      </w:r>
      <w:r>
        <w:rPr>
          <w:rFonts w:cs="Times New Roman"/>
          <w:sz w:val="22"/>
          <w:szCs w:val="22"/>
        </w:rPr>
        <w:t xml:space="preserve"> </w:t>
      </w:r>
      <w:r w:rsidRPr="00C75A13">
        <w:rPr>
          <w:rFonts w:cs="Times New Roman"/>
          <w:i/>
          <w:sz w:val="22"/>
          <w:szCs w:val="22"/>
        </w:rPr>
        <w:t>Accounting and Business Research</w:t>
      </w:r>
      <w:r w:rsidRPr="006E683F">
        <w:rPr>
          <w:rFonts w:cs="Times New Roman"/>
          <w:sz w:val="22"/>
          <w:szCs w:val="22"/>
        </w:rPr>
        <w:t>, Vol. 13, No. 50, pp. 107–</w:t>
      </w:r>
      <w:r w:rsidR="0068074D">
        <w:rPr>
          <w:rFonts w:cs="Times New Roman"/>
          <w:sz w:val="22"/>
          <w:szCs w:val="22"/>
        </w:rPr>
        <w:t>1</w:t>
      </w:r>
      <w:r w:rsidRPr="006E683F">
        <w:rPr>
          <w:rFonts w:cs="Times New Roman"/>
          <w:sz w:val="22"/>
          <w:szCs w:val="22"/>
        </w:rPr>
        <w:t>18.</w:t>
      </w:r>
    </w:p>
    <w:p w14:paraId="7A68445A" w14:textId="1E835749" w:rsidR="00501783" w:rsidRDefault="00501783" w:rsidP="00276A73">
      <w:pPr>
        <w:spacing w:afterLines="80" w:after="192"/>
        <w:jc w:val="both"/>
        <w:rPr>
          <w:rFonts w:cs="Times New Roman"/>
          <w:sz w:val="22"/>
          <w:szCs w:val="22"/>
        </w:rPr>
      </w:pPr>
      <w:r w:rsidRPr="00501783">
        <w:rPr>
          <w:rFonts w:cs="Times New Roman"/>
          <w:sz w:val="22"/>
          <w:szCs w:val="22"/>
        </w:rPr>
        <w:t>Spence, C. (2007)</w:t>
      </w:r>
      <w:r w:rsidR="00A313B8">
        <w:rPr>
          <w:rFonts w:cs="Times New Roman"/>
          <w:sz w:val="22"/>
          <w:szCs w:val="22"/>
        </w:rPr>
        <w:t>,</w:t>
      </w:r>
      <w:r w:rsidRPr="00501783">
        <w:rPr>
          <w:rFonts w:cs="Times New Roman"/>
          <w:sz w:val="22"/>
          <w:szCs w:val="22"/>
        </w:rPr>
        <w:t xml:space="preserve"> </w:t>
      </w:r>
      <w:r w:rsidR="004C4DC9">
        <w:rPr>
          <w:rFonts w:cs="Times New Roman"/>
          <w:sz w:val="22"/>
          <w:szCs w:val="22"/>
        </w:rPr>
        <w:t>“</w:t>
      </w:r>
      <w:r w:rsidRPr="00501783">
        <w:rPr>
          <w:rFonts w:cs="Times New Roman"/>
          <w:sz w:val="22"/>
          <w:szCs w:val="22"/>
        </w:rPr>
        <w:t>Social and environmental reporting and hegemonic discourse</w:t>
      </w:r>
      <w:r w:rsidR="004C4DC9">
        <w:rPr>
          <w:rFonts w:cs="Times New Roman"/>
          <w:sz w:val="22"/>
          <w:szCs w:val="22"/>
        </w:rPr>
        <w:t>”</w:t>
      </w:r>
      <w:r w:rsidRPr="00501783">
        <w:rPr>
          <w:rFonts w:cs="Times New Roman"/>
          <w:sz w:val="22"/>
          <w:szCs w:val="22"/>
        </w:rPr>
        <w:t xml:space="preserve">. </w:t>
      </w:r>
      <w:r w:rsidRPr="00E87E44">
        <w:rPr>
          <w:rFonts w:cs="Times New Roman"/>
          <w:i/>
          <w:sz w:val="22"/>
          <w:szCs w:val="22"/>
        </w:rPr>
        <w:t xml:space="preserve">Accounting, Auditing </w:t>
      </w:r>
      <w:r w:rsidR="00403A08">
        <w:rPr>
          <w:rFonts w:cs="Times New Roman"/>
          <w:i/>
          <w:sz w:val="22"/>
          <w:szCs w:val="22"/>
        </w:rPr>
        <w:t>&amp;</w:t>
      </w:r>
      <w:r w:rsidR="00EE504B">
        <w:rPr>
          <w:rFonts w:cs="Times New Roman"/>
          <w:i/>
          <w:sz w:val="22"/>
          <w:szCs w:val="22"/>
        </w:rPr>
        <w:t xml:space="preserve"> </w:t>
      </w:r>
      <w:r w:rsidRPr="00E87E44">
        <w:rPr>
          <w:rFonts w:cs="Times New Roman"/>
          <w:i/>
          <w:sz w:val="22"/>
          <w:szCs w:val="22"/>
        </w:rPr>
        <w:t>Accountability Journal,</w:t>
      </w:r>
      <w:r w:rsidRPr="00501783">
        <w:rPr>
          <w:rFonts w:cs="Times New Roman"/>
          <w:sz w:val="22"/>
          <w:szCs w:val="22"/>
        </w:rPr>
        <w:t xml:space="preserve"> </w:t>
      </w:r>
      <w:r w:rsidR="00E06414">
        <w:rPr>
          <w:rFonts w:cs="Times New Roman"/>
          <w:sz w:val="22"/>
          <w:szCs w:val="22"/>
        </w:rPr>
        <w:t xml:space="preserve">Vol. </w:t>
      </w:r>
      <w:r w:rsidRPr="00501783">
        <w:rPr>
          <w:rFonts w:cs="Times New Roman"/>
          <w:sz w:val="22"/>
          <w:szCs w:val="22"/>
        </w:rPr>
        <w:t>20</w:t>
      </w:r>
      <w:r w:rsidR="00E06414">
        <w:rPr>
          <w:rFonts w:cs="Times New Roman"/>
          <w:sz w:val="22"/>
          <w:szCs w:val="22"/>
        </w:rPr>
        <w:t xml:space="preserve"> No. </w:t>
      </w:r>
      <w:r w:rsidRPr="00501783">
        <w:rPr>
          <w:rFonts w:cs="Times New Roman"/>
          <w:sz w:val="22"/>
          <w:szCs w:val="22"/>
        </w:rPr>
        <w:t xml:space="preserve">6, </w:t>
      </w:r>
      <w:r w:rsidR="00E06414">
        <w:rPr>
          <w:rFonts w:cs="Times New Roman"/>
          <w:sz w:val="22"/>
          <w:szCs w:val="22"/>
        </w:rPr>
        <w:t xml:space="preserve">pp. </w:t>
      </w:r>
      <w:r w:rsidRPr="00501783">
        <w:rPr>
          <w:rFonts w:cs="Times New Roman"/>
          <w:sz w:val="22"/>
          <w:szCs w:val="22"/>
        </w:rPr>
        <w:t>855-882.</w:t>
      </w:r>
    </w:p>
    <w:p w14:paraId="2CE4BD67" w14:textId="2FB84FDB" w:rsidR="003608F0" w:rsidRDefault="003608F0" w:rsidP="00276A73">
      <w:pPr>
        <w:spacing w:afterLines="80" w:after="192"/>
        <w:jc w:val="both"/>
        <w:rPr>
          <w:rFonts w:eastAsia="Times New Roman"/>
          <w:color w:val="222222"/>
          <w:sz w:val="22"/>
          <w:szCs w:val="22"/>
          <w:shd w:val="clear" w:color="auto" w:fill="FFFFFF"/>
        </w:rPr>
      </w:pPr>
      <w:r w:rsidRPr="00EC75EA">
        <w:rPr>
          <w:rFonts w:eastAsia="Times New Roman"/>
          <w:color w:val="222222"/>
          <w:sz w:val="22"/>
          <w:szCs w:val="22"/>
          <w:shd w:val="clear" w:color="auto" w:fill="FFFFFF"/>
        </w:rPr>
        <w:t>Sudd</w:t>
      </w:r>
      <w:r>
        <w:rPr>
          <w:rFonts w:eastAsia="Times New Roman"/>
          <w:color w:val="222222"/>
          <w:sz w:val="22"/>
          <w:szCs w:val="22"/>
          <w:shd w:val="clear" w:color="auto" w:fill="FFFFFF"/>
        </w:rPr>
        <w:t xml:space="preserve">aby, R., </w:t>
      </w:r>
      <w:r w:rsidR="00A272D9">
        <w:rPr>
          <w:rFonts w:eastAsia="Times New Roman"/>
          <w:color w:val="222222"/>
          <w:sz w:val="22"/>
          <w:szCs w:val="22"/>
          <w:shd w:val="clear" w:color="auto" w:fill="FFFFFF"/>
        </w:rPr>
        <w:t>and</w:t>
      </w:r>
      <w:r>
        <w:rPr>
          <w:rFonts w:eastAsia="Times New Roman"/>
          <w:color w:val="222222"/>
          <w:sz w:val="22"/>
          <w:szCs w:val="22"/>
          <w:shd w:val="clear" w:color="auto" w:fill="FFFFFF"/>
        </w:rPr>
        <w:t xml:space="preserve"> Greenwood, R. (2005)</w:t>
      </w:r>
      <w:r w:rsidR="00A313B8">
        <w:rPr>
          <w:rFonts w:eastAsia="Times New Roman"/>
          <w:color w:val="222222"/>
          <w:sz w:val="22"/>
          <w:szCs w:val="22"/>
          <w:shd w:val="clear" w:color="auto" w:fill="FFFFFF"/>
        </w:rPr>
        <w:t>,</w:t>
      </w:r>
      <w:r w:rsidRPr="00EC75EA">
        <w:rPr>
          <w:rFonts w:eastAsia="Times New Roman"/>
          <w:color w:val="222222"/>
          <w:sz w:val="22"/>
          <w:szCs w:val="22"/>
          <w:shd w:val="clear" w:color="auto" w:fill="FFFFFF"/>
        </w:rPr>
        <w:t xml:space="preserve"> </w:t>
      </w:r>
      <w:r>
        <w:rPr>
          <w:rFonts w:eastAsia="Times New Roman"/>
          <w:color w:val="222222"/>
          <w:sz w:val="22"/>
          <w:szCs w:val="22"/>
          <w:shd w:val="clear" w:color="auto" w:fill="FFFFFF"/>
        </w:rPr>
        <w:t>“</w:t>
      </w:r>
      <w:r w:rsidRPr="00EC75EA">
        <w:rPr>
          <w:rFonts w:eastAsia="Times New Roman"/>
          <w:color w:val="222222"/>
          <w:sz w:val="22"/>
          <w:szCs w:val="22"/>
          <w:shd w:val="clear" w:color="auto" w:fill="FFFFFF"/>
        </w:rPr>
        <w:t>Rhetorical strategies of legitimacy</w:t>
      </w:r>
      <w:r>
        <w:rPr>
          <w:rFonts w:eastAsia="Times New Roman"/>
          <w:color w:val="222222"/>
          <w:sz w:val="22"/>
          <w:szCs w:val="22"/>
          <w:shd w:val="clear" w:color="auto" w:fill="FFFFFF"/>
        </w:rPr>
        <w:t>”,</w:t>
      </w:r>
      <w:r w:rsidRPr="00EC75EA">
        <w:rPr>
          <w:rFonts w:eastAsia="Times New Roman"/>
          <w:color w:val="222222"/>
          <w:sz w:val="22"/>
          <w:szCs w:val="22"/>
          <w:shd w:val="clear" w:color="auto" w:fill="FFFFFF"/>
        </w:rPr>
        <w:t xml:space="preserve"> </w:t>
      </w:r>
      <w:r w:rsidRPr="00EC75EA">
        <w:rPr>
          <w:rFonts w:eastAsia="Times New Roman"/>
          <w:i/>
          <w:iCs/>
          <w:color w:val="222222"/>
          <w:sz w:val="22"/>
          <w:szCs w:val="22"/>
          <w:shd w:val="clear" w:color="auto" w:fill="FFFFFF"/>
        </w:rPr>
        <w:t xml:space="preserve">Administrative </w:t>
      </w:r>
      <w:r w:rsidR="00403A08">
        <w:rPr>
          <w:rFonts w:eastAsia="Times New Roman"/>
          <w:i/>
          <w:iCs/>
          <w:color w:val="222222"/>
          <w:sz w:val="22"/>
          <w:szCs w:val="22"/>
          <w:shd w:val="clear" w:color="auto" w:fill="FFFFFF"/>
        </w:rPr>
        <w:t>S</w:t>
      </w:r>
      <w:r w:rsidRPr="00EC75EA">
        <w:rPr>
          <w:rFonts w:eastAsia="Times New Roman"/>
          <w:i/>
          <w:iCs/>
          <w:color w:val="222222"/>
          <w:sz w:val="22"/>
          <w:szCs w:val="22"/>
          <w:shd w:val="clear" w:color="auto" w:fill="FFFFFF"/>
        </w:rPr>
        <w:t xml:space="preserve">cience </w:t>
      </w:r>
      <w:r w:rsidR="00403A08">
        <w:rPr>
          <w:rFonts w:eastAsia="Times New Roman"/>
          <w:i/>
          <w:iCs/>
          <w:color w:val="222222"/>
          <w:sz w:val="22"/>
          <w:szCs w:val="22"/>
          <w:shd w:val="clear" w:color="auto" w:fill="FFFFFF"/>
        </w:rPr>
        <w:t>Q</w:t>
      </w:r>
      <w:r w:rsidRPr="00EC75EA">
        <w:rPr>
          <w:rFonts w:eastAsia="Times New Roman"/>
          <w:i/>
          <w:iCs/>
          <w:color w:val="222222"/>
          <w:sz w:val="22"/>
          <w:szCs w:val="22"/>
          <w:shd w:val="clear" w:color="auto" w:fill="FFFFFF"/>
        </w:rPr>
        <w:t>uarterly</w:t>
      </w:r>
      <w:r w:rsidRPr="00EC75EA">
        <w:rPr>
          <w:rFonts w:eastAsia="Times New Roman"/>
          <w:color w:val="222222"/>
          <w:sz w:val="22"/>
          <w:szCs w:val="22"/>
          <w:shd w:val="clear" w:color="auto" w:fill="FFFFFF"/>
        </w:rPr>
        <w:t>,</w:t>
      </w:r>
      <w:r w:rsidRPr="00EC75EA">
        <w:rPr>
          <w:rStyle w:val="apple-converted-space"/>
          <w:rFonts w:eastAsia="Times New Roman"/>
          <w:color w:val="222222"/>
          <w:sz w:val="22"/>
          <w:szCs w:val="22"/>
          <w:shd w:val="clear" w:color="auto" w:fill="FFFFFF"/>
        </w:rPr>
        <w:t> </w:t>
      </w:r>
      <w:r>
        <w:rPr>
          <w:rStyle w:val="apple-converted-space"/>
          <w:rFonts w:eastAsia="Times New Roman"/>
          <w:color w:val="222222"/>
          <w:sz w:val="22"/>
          <w:szCs w:val="22"/>
          <w:shd w:val="clear" w:color="auto" w:fill="FFFFFF"/>
        </w:rPr>
        <w:t xml:space="preserve">Vol. </w:t>
      </w:r>
      <w:r w:rsidRPr="00EC75EA">
        <w:rPr>
          <w:rFonts w:eastAsia="Times New Roman"/>
          <w:iCs/>
          <w:color w:val="222222"/>
          <w:sz w:val="22"/>
          <w:szCs w:val="22"/>
          <w:shd w:val="clear" w:color="auto" w:fill="FFFFFF"/>
        </w:rPr>
        <w:t>50</w:t>
      </w:r>
      <w:r>
        <w:rPr>
          <w:rFonts w:eastAsia="Times New Roman"/>
          <w:iCs/>
          <w:color w:val="222222"/>
          <w:sz w:val="22"/>
          <w:szCs w:val="22"/>
          <w:shd w:val="clear" w:color="auto" w:fill="FFFFFF"/>
        </w:rPr>
        <w:t xml:space="preserve"> </w:t>
      </w:r>
      <w:r>
        <w:rPr>
          <w:rFonts w:eastAsia="Times New Roman"/>
          <w:color w:val="222222"/>
          <w:sz w:val="22"/>
          <w:szCs w:val="22"/>
          <w:shd w:val="clear" w:color="auto" w:fill="FFFFFF"/>
        </w:rPr>
        <w:t xml:space="preserve">No. 1, pp. </w:t>
      </w:r>
      <w:r w:rsidRPr="00EC75EA">
        <w:rPr>
          <w:rFonts w:eastAsia="Times New Roman"/>
          <w:color w:val="222222"/>
          <w:sz w:val="22"/>
          <w:szCs w:val="22"/>
          <w:shd w:val="clear" w:color="auto" w:fill="FFFFFF"/>
        </w:rPr>
        <w:t>35-67.</w:t>
      </w:r>
    </w:p>
    <w:p w14:paraId="5E42D81B" w14:textId="7041E167" w:rsidR="003608F0" w:rsidRPr="00EB4DCF" w:rsidRDefault="003608F0" w:rsidP="00276A73">
      <w:pPr>
        <w:spacing w:afterLines="80" w:after="192"/>
        <w:jc w:val="both"/>
        <w:rPr>
          <w:rFonts w:cs="Times New Roman"/>
          <w:sz w:val="22"/>
          <w:szCs w:val="22"/>
        </w:rPr>
      </w:pPr>
      <w:r>
        <w:rPr>
          <w:rFonts w:eastAsia="Times New Roman"/>
          <w:color w:val="222222"/>
          <w:sz w:val="22"/>
          <w:szCs w:val="22"/>
          <w:shd w:val="clear" w:color="auto" w:fill="FFFFFF"/>
        </w:rPr>
        <w:t>Sunder, S. (2011)</w:t>
      </w:r>
      <w:r w:rsidR="00A313B8">
        <w:rPr>
          <w:rFonts w:eastAsia="Times New Roman"/>
          <w:color w:val="222222"/>
          <w:sz w:val="22"/>
          <w:szCs w:val="22"/>
          <w:shd w:val="clear" w:color="auto" w:fill="FFFFFF"/>
        </w:rPr>
        <w:t>,</w:t>
      </w:r>
      <w:r>
        <w:rPr>
          <w:rFonts w:eastAsia="Times New Roman"/>
          <w:color w:val="222222"/>
          <w:sz w:val="22"/>
          <w:szCs w:val="22"/>
          <w:shd w:val="clear" w:color="auto" w:fill="FFFFFF"/>
        </w:rPr>
        <w:t xml:space="preserve"> “</w:t>
      </w:r>
      <w:r w:rsidRPr="00EC75EA">
        <w:rPr>
          <w:rFonts w:eastAsia="Times New Roman"/>
          <w:color w:val="222222"/>
          <w:sz w:val="22"/>
          <w:szCs w:val="22"/>
          <w:shd w:val="clear" w:color="auto" w:fill="FFFFFF"/>
        </w:rPr>
        <w:t xml:space="preserve">IFRS monopoly: </w:t>
      </w:r>
      <w:r w:rsidR="006210A1" w:rsidRPr="00EC75EA">
        <w:rPr>
          <w:rFonts w:eastAsia="Times New Roman"/>
          <w:color w:val="222222"/>
          <w:sz w:val="22"/>
          <w:szCs w:val="22"/>
          <w:shd w:val="clear" w:color="auto" w:fill="FFFFFF"/>
        </w:rPr>
        <w:t>The</w:t>
      </w:r>
      <w:r w:rsidRPr="00EC75EA">
        <w:rPr>
          <w:rFonts w:eastAsia="Times New Roman"/>
          <w:color w:val="222222"/>
          <w:sz w:val="22"/>
          <w:szCs w:val="22"/>
          <w:shd w:val="clear" w:color="auto" w:fill="FFFFFF"/>
        </w:rPr>
        <w:t xml:space="preserve"> Pied Piper of financial reporting</w:t>
      </w:r>
      <w:r>
        <w:rPr>
          <w:rFonts w:eastAsia="Times New Roman"/>
          <w:color w:val="222222"/>
          <w:sz w:val="22"/>
          <w:szCs w:val="22"/>
          <w:shd w:val="clear" w:color="auto" w:fill="FFFFFF"/>
        </w:rPr>
        <w:t>”,</w:t>
      </w:r>
      <w:r w:rsidRPr="00EC75EA">
        <w:rPr>
          <w:rStyle w:val="apple-converted-space"/>
          <w:rFonts w:eastAsia="Times New Roman"/>
          <w:color w:val="222222"/>
          <w:sz w:val="22"/>
          <w:szCs w:val="22"/>
          <w:shd w:val="clear" w:color="auto" w:fill="FFFFFF"/>
        </w:rPr>
        <w:t> </w:t>
      </w:r>
      <w:r w:rsidRPr="00EC75EA">
        <w:rPr>
          <w:rFonts w:eastAsia="Times New Roman"/>
          <w:i/>
          <w:iCs/>
          <w:color w:val="222222"/>
          <w:sz w:val="22"/>
          <w:szCs w:val="22"/>
          <w:shd w:val="clear" w:color="auto" w:fill="FFFFFF"/>
        </w:rPr>
        <w:t>Accounting and Business Research</w:t>
      </w:r>
      <w:r w:rsidRPr="00EC75EA">
        <w:rPr>
          <w:rFonts w:eastAsia="Times New Roman"/>
          <w:color w:val="222222"/>
          <w:sz w:val="22"/>
          <w:szCs w:val="22"/>
          <w:shd w:val="clear" w:color="auto" w:fill="FFFFFF"/>
        </w:rPr>
        <w:t>,</w:t>
      </w:r>
      <w:r w:rsidRPr="00EC75EA">
        <w:rPr>
          <w:rStyle w:val="apple-converted-space"/>
          <w:rFonts w:eastAsia="Times New Roman"/>
          <w:color w:val="222222"/>
          <w:sz w:val="22"/>
          <w:szCs w:val="22"/>
          <w:shd w:val="clear" w:color="auto" w:fill="FFFFFF"/>
        </w:rPr>
        <w:t> </w:t>
      </w:r>
      <w:r>
        <w:rPr>
          <w:rStyle w:val="apple-converted-space"/>
          <w:rFonts w:eastAsia="Times New Roman"/>
          <w:color w:val="222222"/>
          <w:sz w:val="22"/>
          <w:szCs w:val="22"/>
          <w:shd w:val="clear" w:color="auto" w:fill="FFFFFF"/>
        </w:rPr>
        <w:t xml:space="preserve">Vol. </w:t>
      </w:r>
      <w:r w:rsidRPr="00EC75EA">
        <w:rPr>
          <w:rFonts w:eastAsia="Times New Roman"/>
          <w:iCs/>
          <w:color w:val="222222"/>
          <w:sz w:val="22"/>
          <w:szCs w:val="22"/>
          <w:shd w:val="clear" w:color="auto" w:fill="FFFFFF"/>
        </w:rPr>
        <w:t>41</w:t>
      </w:r>
      <w:r>
        <w:rPr>
          <w:rFonts w:eastAsia="Times New Roman"/>
          <w:iCs/>
          <w:color w:val="222222"/>
          <w:sz w:val="22"/>
          <w:szCs w:val="22"/>
          <w:shd w:val="clear" w:color="auto" w:fill="FFFFFF"/>
        </w:rPr>
        <w:t xml:space="preserve"> </w:t>
      </w:r>
      <w:r>
        <w:rPr>
          <w:rFonts w:eastAsia="Times New Roman"/>
          <w:color w:val="222222"/>
          <w:sz w:val="22"/>
          <w:szCs w:val="22"/>
          <w:shd w:val="clear" w:color="auto" w:fill="FFFFFF"/>
        </w:rPr>
        <w:t xml:space="preserve">No. 3, pp. </w:t>
      </w:r>
      <w:r w:rsidRPr="00EC75EA">
        <w:rPr>
          <w:rFonts w:eastAsia="Times New Roman"/>
          <w:color w:val="222222"/>
          <w:sz w:val="22"/>
          <w:szCs w:val="22"/>
          <w:shd w:val="clear" w:color="auto" w:fill="FFFFFF"/>
        </w:rPr>
        <w:t>291-306.</w:t>
      </w:r>
    </w:p>
    <w:p w14:paraId="45696CC8" w14:textId="4CDC5136" w:rsidR="003608F0" w:rsidRDefault="003608F0" w:rsidP="00276A73">
      <w:pPr>
        <w:spacing w:afterLines="80" w:after="192"/>
        <w:jc w:val="both"/>
        <w:rPr>
          <w:rFonts w:cs="Times New Roman"/>
          <w:sz w:val="22"/>
          <w:szCs w:val="22"/>
        </w:rPr>
      </w:pPr>
      <w:r w:rsidRPr="00631844">
        <w:rPr>
          <w:rFonts w:cs="Times New Roman"/>
          <w:sz w:val="22"/>
          <w:szCs w:val="22"/>
        </w:rPr>
        <w:t xml:space="preserve">Torfing, J. (2005), </w:t>
      </w:r>
      <w:r w:rsidRPr="00705FD7">
        <w:rPr>
          <w:rFonts w:cs="Times New Roman"/>
          <w:sz w:val="22"/>
          <w:szCs w:val="22"/>
        </w:rPr>
        <w:t>“Discourse Theory: Achievements, Arguments, and Challenges”,</w:t>
      </w:r>
      <w:r w:rsidRPr="00631844">
        <w:rPr>
          <w:rFonts w:cs="Times New Roman"/>
          <w:sz w:val="22"/>
          <w:szCs w:val="22"/>
        </w:rPr>
        <w:t xml:space="preserve"> in </w:t>
      </w:r>
      <w:r w:rsidR="00403A08">
        <w:rPr>
          <w:rFonts w:cs="Times New Roman"/>
          <w:sz w:val="22"/>
          <w:szCs w:val="22"/>
        </w:rPr>
        <w:t xml:space="preserve">D. </w:t>
      </w:r>
      <w:r w:rsidRPr="00631844">
        <w:rPr>
          <w:rFonts w:cs="Times New Roman"/>
          <w:sz w:val="22"/>
          <w:szCs w:val="22"/>
        </w:rPr>
        <w:t xml:space="preserve">Howarth and </w:t>
      </w:r>
      <w:r w:rsidR="00403A08">
        <w:rPr>
          <w:rFonts w:cs="Times New Roman"/>
          <w:sz w:val="22"/>
          <w:szCs w:val="22"/>
        </w:rPr>
        <w:t xml:space="preserve">J. </w:t>
      </w:r>
      <w:r w:rsidRPr="00631844">
        <w:rPr>
          <w:rFonts w:cs="Times New Roman"/>
          <w:sz w:val="22"/>
          <w:szCs w:val="22"/>
        </w:rPr>
        <w:t>Torfing, J. (eds</w:t>
      </w:r>
      <w:r w:rsidR="00403A08">
        <w:rPr>
          <w:rFonts w:cs="Times New Roman"/>
          <w:sz w:val="22"/>
          <w:szCs w:val="22"/>
        </w:rPr>
        <w:t>.</w:t>
      </w:r>
      <w:r w:rsidRPr="00631844">
        <w:rPr>
          <w:rFonts w:cs="Times New Roman"/>
          <w:sz w:val="22"/>
          <w:szCs w:val="22"/>
        </w:rPr>
        <w:t xml:space="preserve">) </w:t>
      </w:r>
      <w:r w:rsidRPr="00631844">
        <w:rPr>
          <w:rFonts w:cs="Times New Roman"/>
          <w:i/>
          <w:sz w:val="22"/>
          <w:szCs w:val="22"/>
        </w:rPr>
        <w:t>Discourse Theory in European Politics</w:t>
      </w:r>
      <w:r w:rsidRPr="00631844">
        <w:rPr>
          <w:rFonts w:cs="Times New Roman"/>
          <w:sz w:val="22"/>
          <w:szCs w:val="22"/>
        </w:rPr>
        <w:t>, Palgrave, London.</w:t>
      </w:r>
    </w:p>
    <w:p w14:paraId="787F20D9" w14:textId="7C6D155E" w:rsidR="00276A73" w:rsidRDefault="00276A73" w:rsidP="00276A73">
      <w:pPr>
        <w:spacing w:afterLines="80" w:after="192"/>
        <w:jc w:val="both"/>
        <w:rPr>
          <w:rFonts w:cs="Times New Roman"/>
          <w:sz w:val="22"/>
          <w:szCs w:val="22"/>
        </w:rPr>
      </w:pPr>
      <w:r w:rsidRPr="00276A73">
        <w:rPr>
          <w:rFonts w:cs="Times New Roman"/>
          <w:sz w:val="22"/>
          <w:szCs w:val="22"/>
        </w:rPr>
        <w:t xml:space="preserve">Tregidga, H., Milne, M., </w:t>
      </w:r>
      <w:r w:rsidR="00A272D9">
        <w:rPr>
          <w:rFonts w:cs="Times New Roman"/>
          <w:sz w:val="22"/>
          <w:szCs w:val="22"/>
        </w:rPr>
        <w:t>and</w:t>
      </w:r>
      <w:r w:rsidRPr="00276A73">
        <w:rPr>
          <w:rFonts w:cs="Times New Roman"/>
          <w:sz w:val="22"/>
          <w:szCs w:val="22"/>
        </w:rPr>
        <w:t xml:space="preserve"> Kearins, K. (2014)</w:t>
      </w:r>
      <w:r w:rsidR="00A313B8">
        <w:rPr>
          <w:rFonts w:cs="Times New Roman"/>
          <w:sz w:val="22"/>
          <w:szCs w:val="22"/>
        </w:rPr>
        <w:t>,</w:t>
      </w:r>
      <w:r w:rsidRPr="00276A73">
        <w:rPr>
          <w:rFonts w:cs="Times New Roman"/>
          <w:sz w:val="22"/>
          <w:szCs w:val="22"/>
        </w:rPr>
        <w:t xml:space="preserve"> </w:t>
      </w:r>
      <w:r w:rsidR="00E06414">
        <w:rPr>
          <w:rFonts w:cs="Times New Roman"/>
          <w:sz w:val="22"/>
          <w:szCs w:val="22"/>
        </w:rPr>
        <w:t>“</w:t>
      </w:r>
      <w:r w:rsidRPr="00276A73">
        <w:rPr>
          <w:rFonts w:cs="Times New Roman"/>
          <w:sz w:val="22"/>
          <w:szCs w:val="22"/>
        </w:rPr>
        <w:t>(Re) presenting ‘sustainable organizations</w:t>
      </w:r>
      <w:r w:rsidR="00E06414">
        <w:rPr>
          <w:rFonts w:cs="Times New Roman"/>
          <w:sz w:val="22"/>
          <w:szCs w:val="22"/>
        </w:rPr>
        <w:t>”,</w:t>
      </w:r>
      <w:r w:rsidRPr="00276A73">
        <w:rPr>
          <w:rFonts w:cs="Times New Roman"/>
          <w:sz w:val="22"/>
          <w:szCs w:val="22"/>
        </w:rPr>
        <w:t xml:space="preserve"> </w:t>
      </w:r>
      <w:r w:rsidRPr="00276A73">
        <w:rPr>
          <w:rFonts w:cs="Times New Roman"/>
          <w:i/>
          <w:sz w:val="22"/>
          <w:szCs w:val="22"/>
        </w:rPr>
        <w:t>Accounting, Organizations and Society</w:t>
      </w:r>
      <w:r w:rsidRPr="00276A73">
        <w:rPr>
          <w:rFonts w:cs="Times New Roman"/>
          <w:sz w:val="22"/>
          <w:szCs w:val="22"/>
        </w:rPr>
        <w:t xml:space="preserve">, </w:t>
      </w:r>
      <w:r w:rsidR="00E06414">
        <w:rPr>
          <w:rFonts w:cs="Times New Roman"/>
          <w:sz w:val="22"/>
          <w:szCs w:val="22"/>
        </w:rPr>
        <w:t xml:space="preserve">Vol. </w:t>
      </w:r>
      <w:r w:rsidRPr="00276A73">
        <w:rPr>
          <w:rFonts w:cs="Times New Roman"/>
          <w:sz w:val="22"/>
          <w:szCs w:val="22"/>
        </w:rPr>
        <w:t>39</w:t>
      </w:r>
      <w:r w:rsidR="00E06414">
        <w:rPr>
          <w:rFonts w:cs="Times New Roman"/>
          <w:sz w:val="22"/>
          <w:szCs w:val="22"/>
        </w:rPr>
        <w:t xml:space="preserve"> No. </w:t>
      </w:r>
      <w:r w:rsidRPr="00276A73">
        <w:rPr>
          <w:rFonts w:cs="Times New Roman"/>
          <w:sz w:val="22"/>
          <w:szCs w:val="22"/>
        </w:rPr>
        <w:t xml:space="preserve">6, </w:t>
      </w:r>
      <w:r w:rsidR="00E06414">
        <w:rPr>
          <w:rFonts w:cs="Times New Roman"/>
          <w:sz w:val="22"/>
          <w:szCs w:val="22"/>
        </w:rPr>
        <w:t xml:space="preserve">pp. </w:t>
      </w:r>
      <w:r w:rsidRPr="00276A73">
        <w:rPr>
          <w:rFonts w:cs="Times New Roman"/>
          <w:sz w:val="22"/>
          <w:szCs w:val="22"/>
        </w:rPr>
        <w:t>477-494.</w:t>
      </w:r>
    </w:p>
    <w:p w14:paraId="382EB7F6" w14:textId="3B24577D" w:rsidR="00D215FE" w:rsidRDefault="00D215FE" w:rsidP="00D215FE">
      <w:pPr>
        <w:spacing w:afterLines="80" w:after="192"/>
        <w:jc w:val="both"/>
        <w:rPr>
          <w:rFonts w:cs="Times New Roman"/>
          <w:sz w:val="22"/>
          <w:szCs w:val="22"/>
        </w:rPr>
      </w:pPr>
      <w:r w:rsidRPr="00D215FE">
        <w:rPr>
          <w:rFonts w:cs="Times New Roman"/>
          <w:sz w:val="22"/>
          <w:szCs w:val="22"/>
        </w:rPr>
        <w:t xml:space="preserve">Uyar, A., </w:t>
      </w:r>
      <w:r w:rsidR="008E1A54">
        <w:rPr>
          <w:rFonts w:cs="Times New Roman"/>
          <w:sz w:val="22"/>
          <w:szCs w:val="22"/>
        </w:rPr>
        <w:t>and</w:t>
      </w:r>
      <w:r w:rsidR="008E1A54" w:rsidRPr="00D215FE">
        <w:rPr>
          <w:rFonts w:cs="Times New Roman"/>
          <w:sz w:val="22"/>
          <w:szCs w:val="22"/>
        </w:rPr>
        <w:t xml:space="preserve"> </w:t>
      </w:r>
      <w:r w:rsidRPr="00D215FE">
        <w:rPr>
          <w:rFonts w:cs="Times New Roman"/>
          <w:sz w:val="22"/>
          <w:szCs w:val="22"/>
        </w:rPr>
        <w:t>Güng</w:t>
      </w:r>
      <w:r w:rsidR="00403A08">
        <w:rPr>
          <w:rFonts w:cs="Times New Roman"/>
          <w:sz w:val="22"/>
          <w:szCs w:val="22"/>
        </w:rPr>
        <w:t>ö</w:t>
      </w:r>
      <w:r w:rsidRPr="00D215FE">
        <w:rPr>
          <w:rFonts w:cs="Times New Roman"/>
          <w:sz w:val="22"/>
          <w:szCs w:val="22"/>
        </w:rPr>
        <w:t>rmüş, A. H. (2013)</w:t>
      </w:r>
      <w:r w:rsidR="00A313B8">
        <w:rPr>
          <w:rFonts w:cs="Times New Roman"/>
          <w:sz w:val="22"/>
          <w:szCs w:val="22"/>
        </w:rPr>
        <w:t>,</w:t>
      </w:r>
      <w:r w:rsidRPr="00D215FE">
        <w:rPr>
          <w:rFonts w:cs="Times New Roman"/>
          <w:sz w:val="22"/>
          <w:szCs w:val="22"/>
        </w:rPr>
        <w:t xml:space="preserve"> </w:t>
      </w:r>
      <w:r w:rsidR="004C4DC9">
        <w:rPr>
          <w:rFonts w:cs="Times New Roman"/>
          <w:sz w:val="22"/>
          <w:szCs w:val="22"/>
        </w:rPr>
        <w:t>“</w:t>
      </w:r>
      <w:r w:rsidRPr="00D215FE">
        <w:rPr>
          <w:rFonts w:cs="Times New Roman"/>
          <w:sz w:val="22"/>
          <w:szCs w:val="22"/>
        </w:rPr>
        <w:t>Perceptions and knowledge of accounting professionals</w:t>
      </w:r>
      <w:r>
        <w:rPr>
          <w:rFonts w:cs="Times New Roman"/>
          <w:sz w:val="22"/>
          <w:szCs w:val="22"/>
        </w:rPr>
        <w:t xml:space="preserve"> </w:t>
      </w:r>
      <w:r w:rsidRPr="00D215FE">
        <w:rPr>
          <w:rFonts w:cs="Times New Roman"/>
          <w:sz w:val="22"/>
          <w:szCs w:val="22"/>
        </w:rPr>
        <w:t>on IFRS for SMEs: Evidence from Turkey</w:t>
      </w:r>
      <w:r w:rsidR="004C4DC9">
        <w:rPr>
          <w:rFonts w:cs="Times New Roman"/>
          <w:sz w:val="22"/>
          <w:szCs w:val="22"/>
        </w:rPr>
        <w:t>”</w:t>
      </w:r>
      <w:r w:rsidRPr="00D215FE">
        <w:rPr>
          <w:rFonts w:cs="Times New Roman"/>
          <w:sz w:val="22"/>
          <w:szCs w:val="22"/>
        </w:rPr>
        <w:t xml:space="preserve">. </w:t>
      </w:r>
      <w:r w:rsidRPr="00C75A13">
        <w:rPr>
          <w:rFonts w:cs="Times New Roman"/>
          <w:i/>
          <w:sz w:val="22"/>
          <w:szCs w:val="22"/>
        </w:rPr>
        <w:t>Research in Accounting Regulation</w:t>
      </w:r>
      <w:r w:rsidRPr="00D215FE">
        <w:rPr>
          <w:rFonts w:cs="Times New Roman"/>
          <w:sz w:val="22"/>
          <w:szCs w:val="22"/>
        </w:rPr>
        <w:t xml:space="preserve">, </w:t>
      </w:r>
      <w:r w:rsidR="004C4DC9">
        <w:rPr>
          <w:rFonts w:cs="Times New Roman"/>
          <w:sz w:val="22"/>
          <w:szCs w:val="22"/>
        </w:rPr>
        <w:t xml:space="preserve">Vol. </w:t>
      </w:r>
      <w:r w:rsidRPr="00D215FE">
        <w:rPr>
          <w:rFonts w:cs="Times New Roman"/>
          <w:sz w:val="22"/>
          <w:szCs w:val="22"/>
        </w:rPr>
        <w:t>25</w:t>
      </w:r>
      <w:r w:rsidR="004C4DC9">
        <w:rPr>
          <w:rFonts w:cs="Times New Roman"/>
          <w:sz w:val="22"/>
          <w:szCs w:val="22"/>
        </w:rPr>
        <w:t xml:space="preserve">, No. </w:t>
      </w:r>
      <w:r w:rsidRPr="00D215FE">
        <w:rPr>
          <w:rFonts w:cs="Times New Roman"/>
          <w:sz w:val="22"/>
          <w:szCs w:val="22"/>
        </w:rPr>
        <w:t>1</w:t>
      </w:r>
      <w:r w:rsidR="004C4DC9">
        <w:rPr>
          <w:rFonts w:cs="Times New Roman"/>
          <w:sz w:val="22"/>
          <w:szCs w:val="22"/>
        </w:rPr>
        <w:t>, pp.</w:t>
      </w:r>
      <w:r w:rsidRPr="00D215FE">
        <w:rPr>
          <w:rFonts w:cs="Times New Roman"/>
          <w:sz w:val="22"/>
          <w:szCs w:val="22"/>
        </w:rPr>
        <w:t xml:space="preserve"> 77-87.</w:t>
      </w:r>
    </w:p>
    <w:p w14:paraId="401C3020" w14:textId="7AC8A10C" w:rsidR="006A7087" w:rsidRDefault="006A7087" w:rsidP="00276A73">
      <w:pPr>
        <w:spacing w:afterLines="80" w:after="192"/>
        <w:jc w:val="both"/>
        <w:rPr>
          <w:rFonts w:cs="Times New Roman"/>
          <w:sz w:val="22"/>
          <w:szCs w:val="22"/>
        </w:rPr>
      </w:pPr>
      <w:r w:rsidRPr="006A7087">
        <w:rPr>
          <w:rFonts w:cs="Times New Roman"/>
          <w:sz w:val="22"/>
          <w:szCs w:val="22"/>
        </w:rPr>
        <w:t>Walker, R. G. (1987)</w:t>
      </w:r>
      <w:r w:rsidR="00AB5C91">
        <w:rPr>
          <w:rFonts w:cs="Times New Roman"/>
          <w:sz w:val="22"/>
          <w:szCs w:val="22"/>
        </w:rPr>
        <w:t>,</w:t>
      </w:r>
      <w:r w:rsidRPr="006A7087">
        <w:rPr>
          <w:rFonts w:cs="Times New Roman"/>
          <w:sz w:val="22"/>
          <w:szCs w:val="22"/>
        </w:rPr>
        <w:t xml:space="preserve"> </w:t>
      </w:r>
      <w:r w:rsidR="00E06414">
        <w:rPr>
          <w:rFonts w:cs="Times New Roman"/>
          <w:sz w:val="22"/>
          <w:szCs w:val="22"/>
        </w:rPr>
        <w:t>“</w:t>
      </w:r>
      <w:r w:rsidRPr="006A7087">
        <w:rPr>
          <w:rFonts w:cs="Times New Roman"/>
          <w:sz w:val="22"/>
          <w:szCs w:val="22"/>
        </w:rPr>
        <w:t>Australia's ASRB. A case study of political activity and regulatory capture</w:t>
      </w:r>
      <w:r w:rsidR="00E06414">
        <w:rPr>
          <w:rFonts w:cs="Times New Roman"/>
          <w:sz w:val="22"/>
          <w:szCs w:val="22"/>
        </w:rPr>
        <w:t>”,</w:t>
      </w:r>
      <w:r w:rsidRPr="006A7087">
        <w:rPr>
          <w:rFonts w:cs="Times New Roman"/>
          <w:sz w:val="22"/>
          <w:szCs w:val="22"/>
        </w:rPr>
        <w:t xml:space="preserve"> </w:t>
      </w:r>
      <w:r w:rsidRPr="006A7087">
        <w:rPr>
          <w:rFonts w:cs="Times New Roman"/>
          <w:i/>
          <w:sz w:val="22"/>
          <w:szCs w:val="22"/>
        </w:rPr>
        <w:t>Accounting and Business Research</w:t>
      </w:r>
      <w:r w:rsidRPr="006A7087">
        <w:rPr>
          <w:rFonts w:cs="Times New Roman"/>
          <w:sz w:val="22"/>
          <w:szCs w:val="22"/>
        </w:rPr>
        <w:t xml:space="preserve">, </w:t>
      </w:r>
      <w:r w:rsidR="00E06414">
        <w:rPr>
          <w:rFonts w:cs="Times New Roman"/>
          <w:sz w:val="22"/>
          <w:szCs w:val="22"/>
        </w:rPr>
        <w:t xml:space="preserve">Vol. </w:t>
      </w:r>
      <w:r w:rsidRPr="006A7087">
        <w:rPr>
          <w:rFonts w:cs="Times New Roman"/>
          <w:sz w:val="22"/>
          <w:szCs w:val="22"/>
        </w:rPr>
        <w:t>17</w:t>
      </w:r>
      <w:r w:rsidR="004C4DC9">
        <w:rPr>
          <w:rFonts w:cs="Times New Roman"/>
          <w:sz w:val="22"/>
          <w:szCs w:val="22"/>
        </w:rPr>
        <w:t>,</w:t>
      </w:r>
      <w:r w:rsidRPr="006A7087">
        <w:rPr>
          <w:rFonts w:cs="Times New Roman"/>
          <w:sz w:val="22"/>
          <w:szCs w:val="22"/>
        </w:rPr>
        <w:t xml:space="preserve"> </w:t>
      </w:r>
      <w:r w:rsidR="00E06414">
        <w:rPr>
          <w:rFonts w:cs="Times New Roman"/>
          <w:sz w:val="22"/>
          <w:szCs w:val="22"/>
        </w:rPr>
        <w:t xml:space="preserve">No. </w:t>
      </w:r>
      <w:r w:rsidRPr="006A7087">
        <w:rPr>
          <w:rFonts w:cs="Times New Roman"/>
          <w:sz w:val="22"/>
          <w:szCs w:val="22"/>
        </w:rPr>
        <w:t>67</w:t>
      </w:r>
      <w:r w:rsidR="00E06414">
        <w:rPr>
          <w:rFonts w:cs="Times New Roman"/>
          <w:sz w:val="22"/>
          <w:szCs w:val="22"/>
        </w:rPr>
        <w:t>, pp.</w:t>
      </w:r>
      <w:r w:rsidRPr="006A7087">
        <w:rPr>
          <w:rFonts w:cs="Times New Roman"/>
          <w:sz w:val="22"/>
          <w:szCs w:val="22"/>
        </w:rPr>
        <w:t xml:space="preserve"> 269-286.</w:t>
      </w:r>
    </w:p>
    <w:p w14:paraId="124B95B9" w14:textId="51D59FE8" w:rsidR="00A05AE3" w:rsidRDefault="00A05AE3" w:rsidP="00276A73">
      <w:pPr>
        <w:spacing w:afterLines="80" w:after="192"/>
        <w:jc w:val="both"/>
        <w:rPr>
          <w:rFonts w:cs="Times New Roman"/>
          <w:sz w:val="22"/>
          <w:szCs w:val="22"/>
        </w:rPr>
      </w:pPr>
      <w:r>
        <w:rPr>
          <w:rFonts w:cs="Times New Roman"/>
          <w:sz w:val="22"/>
          <w:szCs w:val="22"/>
        </w:rPr>
        <w:t>Walker, R. G. (1992)</w:t>
      </w:r>
      <w:r w:rsidR="00AB5C91">
        <w:rPr>
          <w:rFonts w:cs="Times New Roman"/>
          <w:sz w:val="22"/>
          <w:szCs w:val="22"/>
        </w:rPr>
        <w:t>,</w:t>
      </w:r>
      <w:r>
        <w:rPr>
          <w:rFonts w:cs="Times New Roman"/>
          <w:sz w:val="22"/>
          <w:szCs w:val="22"/>
        </w:rPr>
        <w:t xml:space="preserve"> </w:t>
      </w:r>
      <w:r w:rsidR="00E06414">
        <w:rPr>
          <w:rFonts w:cs="Times New Roman"/>
          <w:sz w:val="22"/>
          <w:szCs w:val="22"/>
        </w:rPr>
        <w:t>“</w:t>
      </w:r>
      <w:r>
        <w:rPr>
          <w:rFonts w:cs="Times New Roman"/>
          <w:sz w:val="22"/>
          <w:szCs w:val="22"/>
        </w:rPr>
        <w:t>Interaction between government and the profession in the regulation of financial reporting: The Australian experience</w:t>
      </w:r>
      <w:r w:rsidR="00E06414">
        <w:rPr>
          <w:rFonts w:cs="Times New Roman"/>
          <w:sz w:val="22"/>
          <w:szCs w:val="22"/>
        </w:rPr>
        <w:t>”</w:t>
      </w:r>
      <w:r>
        <w:rPr>
          <w:rFonts w:cs="Times New Roman"/>
          <w:sz w:val="22"/>
          <w:szCs w:val="22"/>
        </w:rPr>
        <w:t xml:space="preserve">, in </w:t>
      </w:r>
      <w:r w:rsidR="00403A08">
        <w:rPr>
          <w:rFonts w:cs="Times New Roman"/>
          <w:sz w:val="22"/>
          <w:szCs w:val="22"/>
        </w:rPr>
        <w:t xml:space="preserve">M. </w:t>
      </w:r>
      <w:r>
        <w:rPr>
          <w:rFonts w:cs="Times New Roman"/>
          <w:sz w:val="22"/>
          <w:szCs w:val="22"/>
        </w:rPr>
        <w:t xml:space="preserve">Bromwich and </w:t>
      </w:r>
      <w:r w:rsidR="00403A08">
        <w:rPr>
          <w:rFonts w:cs="Times New Roman"/>
          <w:sz w:val="22"/>
          <w:szCs w:val="22"/>
        </w:rPr>
        <w:t xml:space="preserve">A. G. </w:t>
      </w:r>
      <w:r>
        <w:rPr>
          <w:rFonts w:cs="Times New Roman"/>
          <w:sz w:val="22"/>
          <w:szCs w:val="22"/>
        </w:rPr>
        <w:t xml:space="preserve">Hopwood (eds.) </w:t>
      </w:r>
      <w:r>
        <w:rPr>
          <w:rFonts w:cs="Times New Roman"/>
          <w:i/>
          <w:sz w:val="22"/>
          <w:szCs w:val="22"/>
        </w:rPr>
        <w:t>Accounting and the Law</w:t>
      </w:r>
      <w:r>
        <w:rPr>
          <w:rFonts w:cs="Times New Roman"/>
          <w:sz w:val="22"/>
          <w:szCs w:val="22"/>
        </w:rPr>
        <w:t>, Prentice Hall, Harlow (pp. 112-129).</w:t>
      </w:r>
    </w:p>
    <w:p w14:paraId="5190C9DA" w14:textId="00E4CE08" w:rsidR="006E683F" w:rsidRDefault="006E683F" w:rsidP="006E683F">
      <w:pPr>
        <w:spacing w:afterLines="80" w:after="192"/>
        <w:jc w:val="both"/>
        <w:rPr>
          <w:rFonts w:cs="Times New Roman"/>
          <w:sz w:val="22"/>
          <w:szCs w:val="22"/>
        </w:rPr>
      </w:pPr>
      <w:r w:rsidRPr="006E683F">
        <w:rPr>
          <w:rFonts w:cs="Times New Roman"/>
          <w:sz w:val="22"/>
          <w:szCs w:val="22"/>
        </w:rPr>
        <w:t>Walker, R. G. and Robinson</w:t>
      </w:r>
      <w:r w:rsidR="00AB5736">
        <w:rPr>
          <w:rFonts w:cs="Times New Roman"/>
          <w:sz w:val="22"/>
          <w:szCs w:val="22"/>
        </w:rPr>
        <w:t>, P.</w:t>
      </w:r>
      <w:r w:rsidRPr="006E683F">
        <w:rPr>
          <w:rFonts w:cs="Times New Roman"/>
          <w:sz w:val="22"/>
          <w:szCs w:val="22"/>
        </w:rPr>
        <w:t xml:space="preserve"> (1993)</w:t>
      </w:r>
      <w:r w:rsidR="00AB5C91">
        <w:rPr>
          <w:rFonts w:cs="Times New Roman"/>
          <w:sz w:val="22"/>
          <w:szCs w:val="22"/>
        </w:rPr>
        <w:t>,</w:t>
      </w:r>
      <w:r w:rsidRPr="006E683F">
        <w:rPr>
          <w:rFonts w:cs="Times New Roman"/>
          <w:sz w:val="22"/>
          <w:szCs w:val="22"/>
        </w:rPr>
        <w:t xml:space="preserve"> </w:t>
      </w:r>
      <w:r w:rsidR="004C4DC9">
        <w:rPr>
          <w:rFonts w:cs="Times New Roman"/>
          <w:sz w:val="22"/>
          <w:szCs w:val="22"/>
        </w:rPr>
        <w:t>“</w:t>
      </w:r>
      <w:r w:rsidRPr="006E683F">
        <w:rPr>
          <w:rFonts w:cs="Times New Roman"/>
          <w:sz w:val="22"/>
          <w:szCs w:val="22"/>
        </w:rPr>
        <w:t>A Critical Assessment of the L</w:t>
      </w:r>
      <w:r>
        <w:rPr>
          <w:rFonts w:cs="Times New Roman"/>
          <w:sz w:val="22"/>
          <w:szCs w:val="22"/>
        </w:rPr>
        <w:t xml:space="preserve">iterature on Political Activity </w:t>
      </w:r>
      <w:r w:rsidRPr="006E683F">
        <w:rPr>
          <w:rFonts w:cs="Times New Roman"/>
          <w:sz w:val="22"/>
          <w:szCs w:val="22"/>
        </w:rPr>
        <w:t>and Accounting Regulation</w:t>
      </w:r>
      <w:r w:rsidR="004C4DC9">
        <w:rPr>
          <w:rFonts w:cs="Times New Roman"/>
          <w:sz w:val="22"/>
          <w:szCs w:val="22"/>
        </w:rPr>
        <w:t>”</w:t>
      </w:r>
      <w:r w:rsidRPr="006E683F">
        <w:rPr>
          <w:rFonts w:cs="Times New Roman"/>
          <w:sz w:val="22"/>
          <w:szCs w:val="22"/>
        </w:rPr>
        <w:t xml:space="preserve">, </w:t>
      </w:r>
      <w:r w:rsidRPr="00C75A13">
        <w:rPr>
          <w:rFonts w:cs="Times New Roman"/>
          <w:i/>
          <w:sz w:val="22"/>
          <w:szCs w:val="22"/>
        </w:rPr>
        <w:t>Research in Accounting Regulation</w:t>
      </w:r>
      <w:r w:rsidRPr="006E683F">
        <w:rPr>
          <w:rFonts w:cs="Times New Roman"/>
          <w:sz w:val="22"/>
          <w:szCs w:val="22"/>
        </w:rPr>
        <w:t>, Vol. 7, pp. 3–40.</w:t>
      </w:r>
    </w:p>
    <w:p w14:paraId="2967FB96" w14:textId="747326BB" w:rsidR="00D215FE" w:rsidRPr="00D215FE" w:rsidRDefault="006E683F" w:rsidP="00D215FE">
      <w:pPr>
        <w:spacing w:afterLines="80" w:after="192"/>
        <w:jc w:val="both"/>
        <w:rPr>
          <w:rFonts w:cs="Times New Roman"/>
          <w:sz w:val="22"/>
          <w:szCs w:val="22"/>
        </w:rPr>
      </w:pPr>
      <w:r>
        <w:rPr>
          <w:rFonts w:cs="Times New Roman"/>
          <w:sz w:val="22"/>
          <w:szCs w:val="22"/>
        </w:rPr>
        <w:t>Walker, R. G. and Robinson</w:t>
      </w:r>
      <w:r w:rsidR="00AB5736">
        <w:rPr>
          <w:rFonts w:cs="Times New Roman"/>
          <w:sz w:val="22"/>
          <w:szCs w:val="22"/>
        </w:rPr>
        <w:t>, P.</w:t>
      </w:r>
      <w:r>
        <w:rPr>
          <w:rFonts w:cs="Times New Roman"/>
          <w:sz w:val="22"/>
          <w:szCs w:val="22"/>
        </w:rPr>
        <w:t xml:space="preserve"> </w:t>
      </w:r>
      <w:r w:rsidRPr="006E683F">
        <w:rPr>
          <w:rFonts w:cs="Times New Roman"/>
          <w:sz w:val="22"/>
          <w:szCs w:val="22"/>
        </w:rPr>
        <w:t>(1994)</w:t>
      </w:r>
      <w:r w:rsidR="00AB5C91">
        <w:rPr>
          <w:rFonts w:cs="Times New Roman"/>
          <w:sz w:val="22"/>
          <w:szCs w:val="22"/>
        </w:rPr>
        <w:t>,</w:t>
      </w:r>
      <w:r w:rsidRPr="006E683F">
        <w:rPr>
          <w:rFonts w:cs="Times New Roman"/>
          <w:sz w:val="22"/>
          <w:szCs w:val="22"/>
        </w:rPr>
        <w:t xml:space="preserve"> </w:t>
      </w:r>
      <w:r w:rsidR="004C4DC9">
        <w:rPr>
          <w:rFonts w:cs="Times New Roman"/>
          <w:sz w:val="22"/>
          <w:szCs w:val="22"/>
        </w:rPr>
        <w:t>“</w:t>
      </w:r>
      <w:r w:rsidRPr="006E683F">
        <w:rPr>
          <w:rFonts w:cs="Times New Roman"/>
          <w:sz w:val="22"/>
          <w:szCs w:val="22"/>
        </w:rPr>
        <w:t>Competing Regulatory Agencies with Conflicting Agendas: Sett</w:t>
      </w:r>
      <w:r>
        <w:rPr>
          <w:rFonts w:cs="Times New Roman"/>
          <w:sz w:val="22"/>
          <w:szCs w:val="22"/>
        </w:rPr>
        <w:t xml:space="preserve">ing Standards for Cash </w:t>
      </w:r>
      <w:r w:rsidRPr="006E683F">
        <w:rPr>
          <w:rFonts w:cs="Times New Roman"/>
          <w:sz w:val="22"/>
          <w:szCs w:val="22"/>
        </w:rPr>
        <w:t>Flow Reporting in Australia</w:t>
      </w:r>
      <w:r w:rsidR="004C4DC9">
        <w:rPr>
          <w:rFonts w:cs="Times New Roman"/>
          <w:sz w:val="22"/>
          <w:szCs w:val="22"/>
        </w:rPr>
        <w:t>”</w:t>
      </w:r>
      <w:r w:rsidRPr="006E683F">
        <w:rPr>
          <w:rFonts w:cs="Times New Roman"/>
          <w:sz w:val="22"/>
          <w:szCs w:val="22"/>
        </w:rPr>
        <w:t xml:space="preserve">, </w:t>
      </w:r>
      <w:r w:rsidRPr="00C75A13">
        <w:rPr>
          <w:rFonts w:cs="Times New Roman"/>
          <w:i/>
          <w:sz w:val="22"/>
          <w:szCs w:val="22"/>
        </w:rPr>
        <w:t>Abacus</w:t>
      </w:r>
      <w:r w:rsidRPr="006E683F">
        <w:rPr>
          <w:rFonts w:cs="Times New Roman"/>
          <w:sz w:val="22"/>
          <w:szCs w:val="22"/>
        </w:rPr>
        <w:t>, Vol. 30 No. 1, pp. 18–43.</w:t>
      </w:r>
    </w:p>
    <w:p w14:paraId="0494AC22" w14:textId="5854DCDF" w:rsidR="00D215FE" w:rsidRPr="00DF3413" w:rsidRDefault="00D215FE" w:rsidP="00D215FE">
      <w:pPr>
        <w:spacing w:afterLines="80" w:after="192"/>
        <w:jc w:val="both"/>
        <w:rPr>
          <w:rFonts w:cs="Times New Roman"/>
          <w:sz w:val="22"/>
          <w:szCs w:val="22"/>
        </w:rPr>
      </w:pPr>
      <w:r w:rsidRPr="00D215FE">
        <w:rPr>
          <w:rFonts w:cs="Times New Roman"/>
          <w:sz w:val="22"/>
          <w:szCs w:val="22"/>
        </w:rPr>
        <w:t>Young, J. J. (1994)</w:t>
      </w:r>
      <w:r w:rsidR="00AB5C91">
        <w:rPr>
          <w:rFonts w:cs="Times New Roman"/>
          <w:sz w:val="22"/>
          <w:szCs w:val="22"/>
        </w:rPr>
        <w:t>,</w:t>
      </w:r>
      <w:r w:rsidRPr="00D215FE">
        <w:rPr>
          <w:rFonts w:cs="Times New Roman"/>
          <w:sz w:val="22"/>
          <w:szCs w:val="22"/>
        </w:rPr>
        <w:t xml:space="preserve"> </w:t>
      </w:r>
      <w:r w:rsidR="004C4DC9">
        <w:rPr>
          <w:rFonts w:cs="Times New Roman"/>
          <w:sz w:val="22"/>
          <w:szCs w:val="22"/>
        </w:rPr>
        <w:t>“</w:t>
      </w:r>
      <w:r w:rsidRPr="00D215FE">
        <w:rPr>
          <w:rFonts w:cs="Times New Roman"/>
          <w:sz w:val="22"/>
          <w:szCs w:val="22"/>
        </w:rPr>
        <w:t>Outlining Regulatory Space: Agenda I</w:t>
      </w:r>
      <w:r>
        <w:rPr>
          <w:rFonts w:cs="Times New Roman"/>
          <w:sz w:val="22"/>
          <w:szCs w:val="22"/>
        </w:rPr>
        <w:t>ssues and the FASB</w:t>
      </w:r>
      <w:r w:rsidR="004C4DC9">
        <w:rPr>
          <w:rFonts w:cs="Times New Roman"/>
          <w:sz w:val="22"/>
          <w:szCs w:val="22"/>
        </w:rPr>
        <w:t>”</w:t>
      </w:r>
      <w:r>
        <w:rPr>
          <w:rFonts w:cs="Times New Roman"/>
          <w:sz w:val="22"/>
          <w:szCs w:val="22"/>
        </w:rPr>
        <w:t xml:space="preserve">, </w:t>
      </w:r>
      <w:r w:rsidRPr="00C75A13">
        <w:rPr>
          <w:rFonts w:cs="Times New Roman"/>
          <w:i/>
          <w:sz w:val="22"/>
          <w:szCs w:val="22"/>
        </w:rPr>
        <w:t>Accounting Organizations and Society</w:t>
      </w:r>
      <w:r w:rsidRPr="00D215FE">
        <w:rPr>
          <w:rFonts w:cs="Times New Roman"/>
          <w:sz w:val="22"/>
          <w:szCs w:val="22"/>
        </w:rPr>
        <w:t>, Vol. 19 No. 1, pp. 83–109.</w:t>
      </w:r>
    </w:p>
    <w:p w14:paraId="146F08E1" w14:textId="2C0F7E59" w:rsidR="003608F0" w:rsidRDefault="003608F0" w:rsidP="00276A73">
      <w:pPr>
        <w:spacing w:afterLines="80" w:after="192"/>
        <w:jc w:val="both"/>
        <w:rPr>
          <w:rFonts w:eastAsia="Times New Roman"/>
          <w:sz w:val="22"/>
          <w:szCs w:val="22"/>
          <w:shd w:val="clear" w:color="auto" w:fill="FFFFFF"/>
        </w:rPr>
      </w:pPr>
      <w:r>
        <w:rPr>
          <w:rFonts w:eastAsia="Times New Roman"/>
          <w:sz w:val="22"/>
          <w:szCs w:val="22"/>
          <w:shd w:val="clear" w:color="auto" w:fill="FFFFFF"/>
        </w:rPr>
        <w:t>Zeff, S. A. (2002)</w:t>
      </w:r>
      <w:r w:rsidR="00AB5C91">
        <w:rPr>
          <w:rFonts w:eastAsia="Times New Roman"/>
          <w:sz w:val="22"/>
          <w:szCs w:val="22"/>
          <w:shd w:val="clear" w:color="auto" w:fill="FFFFFF"/>
        </w:rPr>
        <w:t>,</w:t>
      </w:r>
      <w:r>
        <w:rPr>
          <w:rFonts w:eastAsia="Times New Roman"/>
          <w:sz w:val="22"/>
          <w:szCs w:val="22"/>
          <w:shd w:val="clear" w:color="auto" w:fill="FFFFFF"/>
        </w:rPr>
        <w:t xml:space="preserve"> </w:t>
      </w:r>
      <w:r w:rsidR="004C4DC9">
        <w:rPr>
          <w:rFonts w:eastAsia="Times New Roman"/>
          <w:sz w:val="22"/>
          <w:szCs w:val="22"/>
          <w:shd w:val="clear" w:color="auto" w:fill="FFFFFF"/>
        </w:rPr>
        <w:t>“</w:t>
      </w:r>
      <w:r w:rsidRPr="00EC75EA">
        <w:rPr>
          <w:rFonts w:eastAsia="Times New Roman"/>
          <w:sz w:val="22"/>
          <w:szCs w:val="22"/>
          <w:shd w:val="clear" w:color="auto" w:fill="FFFFFF"/>
        </w:rPr>
        <w:t>‘Political’ lobbying on proposed standards: A challenge to the IASB</w:t>
      </w:r>
      <w:r w:rsidR="004C4DC9">
        <w:rPr>
          <w:rFonts w:eastAsia="Times New Roman"/>
          <w:sz w:val="22"/>
          <w:szCs w:val="22"/>
          <w:shd w:val="clear" w:color="auto" w:fill="FFFFFF"/>
        </w:rPr>
        <w:t>”</w:t>
      </w:r>
      <w:r>
        <w:rPr>
          <w:rFonts w:eastAsia="Times New Roman"/>
          <w:sz w:val="22"/>
          <w:szCs w:val="22"/>
          <w:shd w:val="clear" w:color="auto" w:fill="FFFFFF"/>
        </w:rPr>
        <w:t>,</w:t>
      </w:r>
      <w:r w:rsidRPr="00EC75EA">
        <w:rPr>
          <w:rFonts w:eastAsia="Times New Roman"/>
          <w:sz w:val="22"/>
          <w:szCs w:val="22"/>
          <w:shd w:val="clear" w:color="auto" w:fill="FFFFFF"/>
        </w:rPr>
        <w:t> </w:t>
      </w:r>
      <w:r w:rsidRPr="00EC75EA">
        <w:rPr>
          <w:rFonts w:eastAsia="Times New Roman"/>
          <w:i/>
          <w:iCs/>
          <w:sz w:val="22"/>
          <w:szCs w:val="22"/>
          <w:shd w:val="clear" w:color="auto" w:fill="FFFFFF"/>
        </w:rPr>
        <w:t>Accounting Horizons</w:t>
      </w:r>
      <w:r w:rsidRPr="00EC75EA">
        <w:rPr>
          <w:rFonts w:eastAsia="Times New Roman"/>
          <w:sz w:val="22"/>
          <w:szCs w:val="22"/>
          <w:shd w:val="clear" w:color="auto" w:fill="FFFFFF"/>
        </w:rPr>
        <w:t>, </w:t>
      </w:r>
      <w:r>
        <w:rPr>
          <w:rFonts w:eastAsia="Times New Roman"/>
          <w:sz w:val="22"/>
          <w:szCs w:val="22"/>
          <w:shd w:val="clear" w:color="auto" w:fill="FFFFFF"/>
        </w:rPr>
        <w:t xml:space="preserve">Vol. </w:t>
      </w:r>
      <w:r w:rsidRPr="00EC75EA">
        <w:rPr>
          <w:rFonts w:eastAsia="Times New Roman"/>
          <w:iCs/>
          <w:sz w:val="22"/>
          <w:szCs w:val="22"/>
          <w:shd w:val="clear" w:color="auto" w:fill="FFFFFF"/>
        </w:rPr>
        <w:t>16</w:t>
      </w:r>
      <w:r w:rsidR="004C4DC9">
        <w:rPr>
          <w:rFonts w:eastAsia="Times New Roman"/>
          <w:iCs/>
          <w:sz w:val="22"/>
          <w:szCs w:val="22"/>
          <w:shd w:val="clear" w:color="auto" w:fill="FFFFFF"/>
        </w:rPr>
        <w:t xml:space="preserve"> </w:t>
      </w:r>
      <w:r>
        <w:rPr>
          <w:rFonts w:eastAsia="Times New Roman"/>
          <w:sz w:val="22"/>
          <w:szCs w:val="22"/>
          <w:shd w:val="clear" w:color="auto" w:fill="FFFFFF"/>
        </w:rPr>
        <w:t>No. 1, pp.</w:t>
      </w:r>
      <w:r w:rsidRPr="00EC75EA">
        <w:rPr>
          <w:rFonts w:eastAsia="Times New Roman"/>
          <w:sz w:val="22"/>
          <w:szCs w:val="22"/>
          <w:shd w:val="clear" w:color="auto" w:fill="FFFFFF"/>
        </w:rPr>
        <w:t xml:space="preserve"> 43-54.</w:t>
      </w:r>
    </w:p>
    <w:p w14:paraId="02B45DA2" w14:textId="77777777" w:rsidR="003608F0" w:rsidRPr="00631844" w:rsidRDefault="003608F0" w:rsidP="008456E4">
      <w:pPr>
        <w:spacing w:after="120"/>
        <w:jc w:val="both"/>
        <w:rPr>
          <w:rFonts w:cs="Times New Roman"/>
          <w:sz w:val="22"/>
          <w:szCs w:val="22"/>
        </w:rPr>
      </w:pPr>
    </w:p>
    <w:p w14:paraId="5C78C4AD" w14:textId="77777777" w:rsidR="003608F0" w:rsidRDefault="003608F0" w:rsidP="00276A73">
      <w:pPr>
        <w:pStyle w:val="Heading1"/>
        <w:spacing w:before="0"/>
        <w:rPr>
          <w:noProof/>
        </w:rPr>
      </w:pPr>
      <w:r>
        <w:rPr>
          <w:noProof/>
        </w:rPr>
        <w:t xml:space="preserve">Primary sources </w:t>
      </w:r>
    </w:p>
    <w:p w14:paraId="201DFCDD" w14:textId="77777777" w:rsidR="003608F0" w:rsidRPr="00455DDF" w:rsidRDefault="003608F0" w:rsidP="00276A73"/>
    <w:p w14:paraId="397A76DD" w14:textId="0B645908" w:rsidR="003608F0" w:rsidRPr="008D59EF" w:rsidRDefault="003608F0" w:rsidP="000A036D">
      <w:pPr>
        <w:pStyle w:val="Bibliography"/>
        <w:spacing w:after="80"/>
        <w:jc w:val="both"/>
        <w:rPr>
          <w:rFonts w:cs="Times New Roman"/>
          <w:noProof/>
          <w:sz w:val="22"/>
          <w:szCs w:val="22"/>
        </w:rPr>
      </w:pPr>
      <w:r w:rsidRPr="008D59EF">
        <w:rPr>
          <w:rFonts w:cs="Times New Roman"/>
          <w:noProof/>
          <w:sz w:val="22"/>
          <w:szCs w:val="22"/>
        </w:rPr>
        <w:t xml:space="preserve">IASB (2009), </w:t>
      </w:r>
      <w:r w:rsidRPr="008D59EF">
        <w:rPr>
          <w:rFonts w:cs="Times New Roman"/>
          <w:i/>
          <w:iCs/>
          <w:noProof/>
          <w:sz w:val="22"/>
          <w:szCs w:val="22"/>
        </w:rPr>
        <w:t xml:space="preserve">International Accounting Standard Board Press Release: IASB published IFRS for SMEs, </w:t>
      </w:r>
      <w:r w:rsidRPr="008D59EF">
        <w:rPr>
          <w:rFonts w:cs="Times New Roman"/>
          <w:noProof/>
          <w:sz w:val="22"/>
          <w:szCs w:val="22"/>
        </w:rPr>
        <w:t xml:space="preserve">IASB, London. </w:t>
      </w:r>
    </w:p>
    <w:p w14:paraId="2A2EC830" w14:textId="23B841E7" w:rsidR="003608F0" w:rsidRPr="00074670" w:rsidRDefault="003608F0" w:rsidP="000A036D">
      <w:pPr>
        <w:spacing w:after="80"/>
        <w:jc w:val="both"/>
        <w:rPr>
          <w:rFonts w:eastAsia="Times New Roman" w:cs="Times New Roman"/>
          <w:color w:val="000000"/>
          <w:sz w:val="22"/>
          <w:szCs w:val="22"/>
          <w:shd w:val="clear" w:color="auto" w:fill="FFFFFF"/>
        </w:rPr>
      </w:pPr>
      <w:r w:rsidRPr="00074670">
        <w:rPr>
          <w:rFonts w:eastAsia="Times New Roman" w:cs="Times New Roman"/>
          <w:color w:val="000000"/>
          <w:sz w:val="22"/>
          <w:szCs w:val="22"/>
          <w:shd w:val="clear" w:color="auto" w:fill="FFFFFF"/>
        </w:rPr>
        <w:t>IASB (2013), “</w:t>
      </w:r>
      <w:r w:rsidRPr="00074670">
        <w:rPr>
          <w:rFonts w:eastAsia="Times New Roman" w:cs="Times New Roman"/>
          <w:i/>
          <w:iCs/>
          <w:color w:val="000000"/>
          <w:sz w:val="22"/>
          <w:szCs w:val="22"/>
          <w:shd w:val="clear" w:color="auto" w:fill="FFFFFF"/>
        </w:rPr>
        <w:t>IASB publishes Guide for Micro-sized Entities Applying the IFRS for SMEs (2009 edition)”, </w:t>
      </w:r>
      <w:r w:rsidRPr="00074670">
        <w:rPr>
          <w:rFonts w:eastAsia="Times New Roman" w:cs="Times New Roman"/>
          <w:color w:val="000000"/>
          <w:sz w:val="22"/>
          <w:szCs w:val="22"/>
          <w:shd w:val="clear" w:color="auto" w:fill="FFFFFF"/>
        </w:rPr>
        <w:t>available at: </w:t>
      </w:r>
      <w:r w:rsidRPr="00074670">
        <w:rPr>
          <w:rFonts w:eastAsia="Times New Roman" w:cs="Times New Roman"/>
          <w:i/>
          <w:iCs/>
          <w:color w:val="000000"/>
          <w:sz w:val="22"/>
          <w:szCs w:val="22"/>
          <w:u w:val="single"/>
          <w:shd w:val="clear" w:color="auto" w:fill="FFFFFF"/>
        </w:rPr>
        <w:t>http://www.ifrs.org/Alerts/SME/Pages/IASB-publishes-Guide-for-Micro-sized-Entities-Applying-the-IFRS-for-SMEs-June-2013.aspx</w:t>
      </w:r>
      <w:r w:rsidRPr="00074670">
        <w:rPr>
          <w:rFonts w:eastAsia="Times New Roman" w:cs="Times New Roman"/>
          <w:color w:val="000000"/>
          <w:sz w:val="22"/>
          <w:szCs w:val="22"/>
          <w:shd w:val="clear" w:color="auto" w:fill="FFFFFF"/>
        </w:rPr>
        <w:t> (accessed 10 October 2016).</w:t>
      </w:r>
    </w:p>
    <w:p w14:paraId="5FC2B35A" w14:textId="6EC50505" w:rsidR="003608F0" w:rsidRPr="00074670" w:rsidRDefault="003608F0" w:rsidP="000A036D">
      <w:pPr>
        <w:spacing w:after="80"/>
        <w:jc w:val="both"/>
        <w:rPr>
          <w:rFonts w:eastAsia="Times New Roman" w:cs="Times New Roman"/>
          <w:color w:val="000000"/>
          <w:sz w:val="22"/>
          <w:szCs w:val="22"/>
          <w:shd w:val="clear" w:color="auto" w:fill="FFFFFF"/>
        </w:rPr>
      </w:pPr>
      <w:r w:rsidRPr="00074670">
        <w:rPr>
          <w:rFonts w:eastAsia="Times New Roman" w:cs="Times New Roman"/>
          <w:color w:val="000000"/>
          <w:sz w:val="22"/>
          <w:szCs w:val="22"/>
          <w:shd w:val="clear" w:color="auto" w:fill="FFFFFF"/>
        </w:rPr>
        <w:t xml:space="preserve">IASB (2014), </w:t>
      </w:r>
      <w:r w:rsidRPr="00074670">
        <w:rPr>
          <w:rFonts w:eastAsia="Times New Roman" w:cs="Times New Roman"/>
          <w:i/>
          <w:color w:val="000000"/>
          <w:sz w:val="22"/>
          <w:szCs w:val="22"/>
          <w:shd w:val="clear" w:color="auto" w:fill="FFFFFF"/>
        </w:rPr>
        <w:t>Comprehensive review SMEIG agenda paper 3</w:t>
      </w:r>
      <w:r w:rsidR="00E06414">
        <w:rPr>
          <w:rFonts w:eastAsia="Times New Roman" w:cs="Times New Roman"/>
          <w:i/>
          <w:color w:val="000000"/>
          <w:sz w:val="22"/>
          <w:szCs w:val="22"/>
          <w:shd w:val="clear" w:color="auto" w:fill="FFFFFF"/>
        </w:rPr>
        <w:t xml:space="preserve"> </w:t>
      </w:r>
      <w:r w:rsidRPr="00074670">
        <w:rPr>
          <w:rFonts w:eastAsia="Times New Roman" w:cs="Times New Roman"/>
          <w:i/>
          <w:color w:val="000000"/>
          <w:sz w:val="22"/>
          <w:szCs w:val="22"/>
          <w:shd w:val="clear" w:color="auto" w:fill="FFFFFF"/>
        </w:rPr>
        <w:t>- July</w:t>
      </w:r>
      <w:r w:rsidRPr="00074670">
        <w:rPr>
          <w:rFonts w:eastAsia="Times New Roman" w:cs="Times New Roman"/>
          <w:color w:val="000000"/>
          <w:sz w:val="22"/>
          <w:szCs w:val="22"/>
          <w:shd w:val="clear" w:color="auto" w:fill="FFFFFF"/>
        </w:rPr>
        <w:t xml:space="preserve">, IASB, London. </w:t>
      </w:r>
    </w:p>
    <w:p w14:paraId="4B675C56" w14:textId="175E834F" w:rsidR="003608F0" w:rsidRPr="00631844" w:rsidRDefault="003608F0" w:rsidP="000A036D">
      <w:pPr>
        <w:spacing w:after="80"/>
        <w:jc w:val="both"/>
        <w:rPr>
          <w:rFonts w:eastAsia="Times New Roman" w:cs="Times New Roman"/>
          <w:color w:val="000000"/>
          <w:sz w:val="22"/>
          <w:szCs w:val="22"/>
          <w:shd w:val="clear" w:color="auto" w:fill="FFFFFF"/>
        </w:rPr>
      </w:pPr>
      <w:r w:rsidRPr="00631844">
        <w:rPr>
          <w:rFonts w:eastAsia="Times New Roman" w:cs="Times New Roman"/>
          <w:color w:val="000000"/>
          <w:sz w:val="22"/>
          <w:szCs w:val="22"/>
          <w:shd w:val="clear" w:color="auto" w:fill="FFFFFF"/>
        </w:rPr>
        <w:lastRenderedPageBreak/>
        <w:t xml:space="preserve">IASB (2015), </w:t>
      </w:r>
      <w:r w:rsidRPr="00631844">
        <w:rPr>
          <w:rFonts w:eastAsia="Times New Roman" w:cs="Times New Roman"/>
          <w:i/>
          <w:color w:val="000000"/>
          <w:sz w:val="22"/>
          <w:szCs w:val="22"/>
          <w:shd w:val="clear" w:color="auto" w:fill="FFFFFF"/>
        </w:rPr>
        <w:t>IFRS for SMEs 2015 standard</w:t>
      </w:r>
      <w:r>
        <w:rPr>
          <w:rFonts w:eastAsia="Times New Roman" w:cs="Times New Roman"/>
          <w:i/>
          <w:color w:val="000000"/>
          <w:sz w:val="22"/>
          <w:szCs w:val="22"/>
          <w:shd w:val="clear" w:color="auto" w:fill="FFFFFF"/>
        </w:rPr>
        <w:t>.</w:t>
      </w:r>
      <w:r w:rsidRPr="00631844">
        <w:rPr>
          <w:rFonts w:eastAsia="Times New Roman" w:cs="Times New Roman"/>
          <w:i/>
          <w:color w:val="000000"/>
          <w:sz w:val="22"/>
          <w:szCs w:val="22"/>
          <w:shd w:val="clear" w:color="auto" w:fill="FFFFFF"/>
        </w:rPr>
        <w:t xml:space="preserve"> This official pronouncement incorporates 2015 Amendments to the IFRS for SMEs (effective 1 January 2017 with early application permitted)</w:t>
      </w:r>
      <w:r w:rsidRPr="00631844">
        <w:rPr>
          <w:rFonts w:eastAsia="Times New Roman" w:cs="Times New Roman"/>
          <w:color w:val="000000"/>
          <w:sz w:val="22"/>
          <w:szCs w:val="22"/>
          <w:shd w:val="clear" w:color="auto" w:fill="FFFFFF"/>
        </w:rPr>
        <w:t>, IASB, London.</w:t>
      </w:r>
    </w:p>
    <w:p w14:paraId="574E2482" w14:textId="1FE03628" w:rsidR="003608F0" w:rsidRPr="00074670" w:rsidRDefault="003608F0" w:rsidP="000A036D">
      <w:pPr>
        <w:spacing w:after="80"/>
        <w:jc w:val="both"/>
        <w:rPr>
          <w:rFonts w:cs="Times New Roman"/>
          <w:noProof/>
          <w:sz w:val="22"/>
          <w:szCs w:val="22"/>
        </w:rPr>
      </w:pPr>
      <w:r w:rsidRPr="00074670">
        <w:rPr>
          <w:rFonts w:cs="Times New Roman"/>
          <w:noProof/>
          <w:sz w:val="22"/>
          <w:szCs w:val="22"/>
        </w:rPr>
        <w:t xml:space="preserve">IASB (2007), </w:t>
      </w:r>
      <w:r w:rsidRPr="00074670">
        <w:rPr>
          <w:rFonts w:cs="Times New Roman"/>
          <w:i/>
          <w:iCs/>
          <w:noProof/>
          <w:sz w:val="22"/>
          <w:szCs w:val="22"/>
        </w:rPr>
        <w:t xml:space="preserve">Exposure Draft: IFRS for Small and Medium Entities. </w:t>
      </w:r>
      <w:r w:rsidRPr="00074670">
        <w:rPr>
          <w:rFonts w:cs="Times New Roman"/>
          <w:noProof/>
          <w:sz w:val="22"/>
          <w:szCs w:val="22"/>
        </w:rPr>
        <w:t xml:space="preserve">London: IFRS Foundation IASB. </w:t>
      </w:r>
    </w:p>
    <w:p w14:paraId="6BDB8430" w14:textId="778A68CE" w:rsidR="003608F0" w:rsidRPr="00631844" w:rsidRDefault="003608F0" w:rsidP="000A036D">
      <w:pPr>
        <w:spacing w:after="80"/>
        <w:jc w:val="both"/>
        <w:rPr>
          <w:rFonts w:cs="Times New Roman"/>
          <w:sz w:val="22"/>
          <w:szCs w:val="22"/>
        </w:rPr>
      </w:pPr>
      <w:r w:rsidRPr="00631844">
        <w:rPr>
          <w:rFonts w:cs="Times New Roman"/>
          <w:sz w:val="22"/>
          <w:szCs w:val="22"/>
        </w:rPr>
        <w:t>IAS Plus (2007)</w:t>
      </w:r>
      <w:r>
        <w:rPr>
          <w:rFonts w:cs="Times New Roman"/>
          <w:sz w:val="22"/>
          <w:szCs w:val="22"/>
        </w:rPr>
        <w:t>,</w:t>
      </w:r>
      <w:r w:rsidRPr="00631844">
        <w:rPr>
          <w:rFonts w:cs="Times New Roman"/>
          <w:sz w:val="22"/>
          <w:szCs w:val="22"/>
        </w:rPr>
        <w:t xml:space="preserve"> </w:t>
      </w:r>
      <w:r w:rsidRPr="00631844">
        <w:rPr>
          <w:rFonts w:cs="Times New Roman"/>
          <w:i/>
          <w:sz w:val="22"/>
          <w:szCs w:val="22"/>
        </w:rPr>
        <w:t>IASB invites comments on SME exposure draft</w:t>
      </w:r>
      <w:r w:rsidRPr="00631844">
        <w:rPr>
          <w:rFonts w:cs="Times New Roman"/>
          <w:sz w:val="22"/>
          <w:szCs w:val="22"/>
        </w:rPr>
        <w:t xml:space="preserve">, available at: </w:t>
      </w:r>
      <w:hyperlink r:id="rId10" w:history="1">
        <w:r w:rsidRPr="00631844">
          <w:rPr>
            <w:rStyle w:val="Hyperlink"/>
            <w:rFonts w:cs="Times New Roman"/>
            <w:sz w:val="22"/>
            <w:szCs w:val="22"/>
          </w:rPr>
          <w:t>https://www.iasplus.com/en/news/2007/February/news3278</w:t>
        </w:r>
      </w:hyperlink>
      <w:r w:rsidRPr="00631844">
        <w:rPr>
          <w:rFonts w:cs="Times New Roman"/>
          <w:sz w:val="22"/>
          <w:szCs w:val="22"/>
        </w:rPr>
        <w:t xml:space="preserve"> (accessed 26 March 2018).</w:t>
      </w:r>
    </w:p>
    <w:p w14:paraId="5F6B1408" w14:textId="13E3A398" w:rsidR="003608F0" w:rsidRDefault="003608F0" w:rsidP="000A036D">
      <w:pPr>
        <w:spacing w:after="80"/>
        <w:rPr>
          <w:rFonts w:cs="Times New Roman"/>
          <w:sz w:val="22"/>
          <w:szCs w:val="22"/>
        </w:rPr>
      </w:pPr>
      <w:r w:rsidRPr="00631844">
        <w:rPr>
          <w:rFonts w:cs="Times New Roman"/>
          <w:sz w:val="22"/>
          <w:szCs w:val="22"/>
        </w:rPr>
        <w:t>IAS Plus (2013)</w:t>
      </w:r>
      <w:r>
        <w:rPr>
          <w:rFonts w:cs="Times New Roman"/>
          <w:sz w:val="22"/>
          <w:szCs w:val="22"/>
        </w:rPr>
        <w:t>,</w:t>
      </w:r>
      <w:r w:rsidRPr="00631844">
        <w:rPr>
          <w:rFonts w:cs="Times New Roman"/>
          <w:sz w:val="22"/>
          <w:szCs w:val="22"/>
        </w:rPr>
        <w:t xml:space="preserve"> </w:t>
      </w:r>
      <w:r w:rsidRPr="00631844">
        <w:rPr>
          <w:rFonts w:cs="Times New Roman"/>
          <w:i/>
          <w:sz w:val="22"/>
          <w:szCs w:val="22"/>
        </w:rPr>
        <w:t>IASB publishes guidance for micro entities</w:t>
      </w:r>
      <w:r w:rsidRPr="00631844">
        <w:rPr>
          <w:rFonts w:cs="Times New Roman"/>
          <w:sz w:val="22"/>
          <w:szCs w:val="22"/>
        </w:rPr>
        <w:t xml:space="preserve">, available at: </w:t>
      </w:r>
      <w:hyperlink r:id="rId11" w:history="1">
        <w:r w:rsidRPr="00631844">
          <w:rPr>
            <w:rStyle w:val="Hyperlink"/>
            <w:rFonts w:cs="Times New Roman"/>
            <w:sz w:val="22"/>
            <w:szCs w:val="22"/>
          </w:rPr>
          <w:t>https://www.iasplus.com/en/news/2013/06/micro-entities</w:t>
        </w:r>
      </w:hyperlink>
      <w:r w:rsidRPr="00631844">
        <w:rPr>
          <w:rFonts w:cs="Times New Roman"/>
          <w:sz w:val="22"/>
          <w:szCs w:val="22"/>
        </w:rPr>
        <w:t xml:space="preserve"> (accessed 26 March 2018).</w:t>
      </w:r>
    </w:p>
    <w:p w14:paraId="29EC54A5" w14:textId="1F07C255" w:rsidR="003608F0" w:rsidRDefault="003608F0" w:rsidP="000A036D">
      <w:pPr>
        <w:spacing w:after="80"/>
        <w:rPr>
          <w:rFonts w:cs="Times New Roman"/>
          <w:sz w:val="22"/>
          <w:szCs w:val="22"/>
        </w:rPr>
      </w:pPr>
      <w:r w:rsidRPr="00F61798">
        <w:rPr>
          <w:rFonts w:cs="Times New Roman"/>
          <w:sz w:val="22"/>
          <w:szCs w:val="22"/>
        </w:rPr>
        <w:t>IFRS</w:t>
      </w:r>
      <w:r>
        <w:rPr>
          <w:rFonts w:cs="Times New Roman"/>
          <w:sz w:val="22"/>
          <w:szCs w:val="22"/>
        </w:rPr>
        <w:t xml:space="preserve"> (2018), </w:t>
      </w:r>
      <w:r w:rsidRPr="00F61798">
        <w:rPr>
          <w:rFonts w:cs="Times New Roman"/>
          <w:i/>
          <w:sz w:val="22"/>
          <w:szCs w:val="22"/>
        </w:rPr>
        <w:t>Use around the world</w:t>
      </w:r>
      <w:r>
        <w:rPr>
          <w:rFonts w:cs="Times New Roman"/>
          <w:sz w:val="22"/>
          <w:szCs w:val="22"/>
        </w:rPr>
        <w:t>, a</w:t>
      </w:r>
      <w:r w:rsidRPr="00F61798">
        <w:rPr>
          <w:rFonts w:cs="Times New Roman"/>
          <w:sz w:val="22"/>
          <w:szCs w:val="22"/>
        </w:rPr>
        <w:t>vailable at: http://www.ifrs.org/use-around-the-world/use-of-ifrs-standa</w:t>
      </w:r>
      <w:r>
        <w:rPr>
          <w:rFonts w:cs="Times New Roman"/>
          <w:sz w:val="22"/>
          <w:szCs w:val="22"/>
        </w:rPr>
        <w:t>rds-by-jurisdiction/#analysis (accessed</w:t>
      </w:r>
      <w:r w:rsidRPr="00F61798">
        <w:rPr>
          <w:rFonts w:cs="Times New Roman"/>
          <w:sz w:val="22"/>
          <w:szCs w:val="22"/>
        </w:rPr>
        <w:t xml:space="preserve"> 28th March 2018).</w:t>
      </w:r>
    </w:p>
    <w:p w14:paraId="6A77FA55" w14:textId="68906B2E" w:rsidR="003608F0" w:rsidRPr="00631844" w:rsidRDefault="00530B68" w:rsidP="000A036D">
      <w:pPr>
        <w:spacing w:after="80"/>
        <w:rPr>
          <w:rFonts w:cs="Times New Roman"/>
          <w:sz w:val="22"/>
          <w:szCs w:val="22"/>
        </w:rPr>
      </w:pPr>
      <w:r>
        <w:rPr>
          <w:sz w:val="22"/>
          <w:szCs w:val="22"/>
        </w:rPr>
        <w:t xml:space="preserve">IFRSF </w:t>
      </w:r>
      <w:r w:rsidR="003608F0" w:rsidRPr="00277459">
        <w:rPr>
          <w:sz w:val="22"/>
          <w:szCs w:val="22"/>
        </w:rPr>
        <w:t>(2013)</w:t>
      </w:r>
      <w:r w:rsidR="003608F0">
        <w:rPr>
          <w:sz w:val="22"/>
          <w:szCs w:val="22"/>
        </w:rPr>
        <w:t xml:space="preserve">, </w:t>
      </w:r>
      <w:r w:rsidR="003608F0" w:rsidRPr="00277459">
        <w:rPr>
          <w:i/>
          <w:iCs/>
          <w:sz w:val="22"/>
          <w:szCs w:val="22"/>
        </w:rPr>
        <w:t>IFRS Foundation: Training Material for the IFRS® for SMEs including the full text of Section 1 Small and Medium- sized Entities of the International Financial Reporting Standard (IFRS) for Small and Medium-sized Entities (SMEs) issued by the International Accounting Standards Board on 9 July 2009 with extensive explanations, self-assessment questions and case studies</w:t>
      </w:r>
      <w:r w:rsidR="003608F0">
        <w:rPr>
          <w:sz w:val="22"/>
          <w:szCs w:val="22"/>
        </w:rPr>
        <w:t>, London,</w:t>
      </w:r>
      <w:r w:rsidR="003608F0" w:rsidRPr="00277459">
        <w:rPr>
          <w:sz w:val="22"/>
          <w:szCs w:val="22"/>
        </w:rPr>
        <w:t xml:space="preserve"> IFRS Foundation.</w:t>
      </w:r>
    </w:p>
    <w:p w14:paraId="17CB7828" w14:textId="40DD35F0" w:rsidR="003608F0" w:rsidRDefault="00530B68" w:rsidP="000A036D">
      <w:pPr>
        <w:spacing w:after="80"/>
        <w:rPr>
          <w:sz w:val="22"/>
          <w:szCs w:val="22"/>
        </w:rPr>
      </w:pPr>
      <w:r>
        <w:rPr>
          <w:sz w:val="22"/>
          <w:szCs w:val="22"/>
        </w:rPr>
        <w:t xml:space="preserve">IFRSF </w:t>
      </w:r>
      <w:r w:rsidR="003608F0">
        <w:rPr>
          <w:sz w:val="22"/>
          <w:szCs w:val="22"/>
        </w:rPr>
        <w:t>(2015),</w:t>
      </w:r>
      <w:r w:rsidR="003608F0" w:rsidRPr="00EB4DCF">
        <w:rPr>
          <w:sz w:val="22"/>
          <w:szCs w:val="22"/>
        </w:rPr>
        <w:t xml:space="preserve"> </w:t>
      </w:r>
      <w:r w:rsidR="003608F0" w:rsidRPr="00705FD7">
        <w:rPr>
          <w:i/>
          <w:sz w:val="22"/>
          <w:szCs w:val="22"/>
        </w:rPr>
        <w:t>Working in the Public Interest: The IFRS Foundation and the IASB</w:t>
      </w:r>
      <w:r w:rsidR="003608F0">
        <w:rPr>
          <w:sz w:val="22"/>
          <w:szCs w:val="22"/>
        </w:rPr>
        <w:t>, available at:</w:t>
      </w:r>
      <w:r w:rsidR="003608F0" w:rsidRPr="00EB4DCF">
        <w:rPr>
          <w:sz w:val="22"/>
          <w:szCs w:val="22"/>
        </w:rPr>
        <w:t xml:space="preserve"> </w:t>
      </w:r>
      <w:r w:rsidR="003608F0" w:rsidRPr="00667618">
        <w:rPr>
          <w:sz w:val="22"/>
          <w:szCs w:val="22"/>
        </w:rPr>
        <w:t xml:space="preserve">http://www.ifrs.org/-/media/feature/about-us/who-we-are/working-in-the-public-interest.pdf </w:t>
      </w:r>
      <w:r w:rsidR="003608F0">
        <w:rPr>
          <w:sz w:val="22"/>
          <w:szCs w:val="22"/>
        </w:rPr>
        <w:t xml:space="preserve">(accessed 22 March 2018). </w:t>
      </w:r>
    </w:p>
    <w:p w14:paraId="73CD51DF" w14:textId="1E0A5118" w:rsidR="003608F0" w:rsidRPr="00515CD8" w:rsidRDefault="003608F0" w:rsidP="000A036D">
      <w:pPr>
        <w:spacing w:after="80"/>
        <w:jc w:val="both"/>
        <w:rPr>
          <w:rFonts w:cs="Times New Roman"/>
          <w:sz w:val="22"/>
          <w:szCs w:val="22"/>
        </w:rPr>
      </w:pPr>
      <w:r w:rsidRPr="00515CD8">
        <w:rPr>
          <w:rFonts w:cs="Times New Roman"/>
          <w:sz w:val="22"/>
          <w:szCs w:val="22"/>
        </w:rPr>
        <w:t xml:space="preserve">IStaR (2003a), Standards for Small and Medium-sized entities – IASB Board Meeting July, London. </w:t>
      </w:r>
    </w:p>
    <w:p w14:paraId="26CAD2D2" w14:textId="0CD5C2F0" w:rsidR="003608F0" w:rsidRPr="00515CD8" w:rsidRDefault="003608F0" w:rsidP="000A036D">
      <w:pPr>
        <w:spacing w:after="80"/>
        <w:jc w:val="both"/>
        <w:rPr>
          <w:rFonts w:cs="Times New Roman"/>
          <w:sz w:val="22"/>
          <w:szCs w:val="22"/>
        </w:rPr>
      </w:pPr>
      <w:r w:rsidRPr="00515CD8">
        <w:rPr>
          <w:rFonts w:cs="Times New Roman"/>
          <w:sz w:val="22"/>
          <w:szCs w:val="22"/>
        </w:rPr>
        <w:t xml:space="preserve">IStaR (2003b), Standards for SMEs – IASB Board Meeting December, London. </w:t>
      </w:r>
    </w:p>
    <w:p w14:paraId="4E06910A" w14:textId="7FA43405" w:rsidR="003608F0" w:rsidRPr="00515CD8" w:rsidRDefault="003608F0" w:rsidP="000A036D">
      <w:pPr>
        <w:spacing w:after="80"/>
        <w:jc w:val="both"/>
        <w:rPr>
          <w:rFonts w:cs="Times New Roman"/>
          <w:sz w:val="22"/>
          <w:szCs w:val="22"/>
        </w:rPr>
      </w:pPr>
      <w:r w:rsidRPr="00515CD8">
        <w:rPr>
          <w:rFonts w:cs="Times New Roman"/>
          <w:sz w:val="22"/>
          <w:szCs w:val="22"/>
        </w:rPr>
        <w:t xml:space="preserve">IStaR (2004), Standards for SMEs – IASB Board Meeting April, London. </w:t>
      </w:r>
    </w:p>
    <w:p w14:paraId="6CF702CC" w14:textId="596CA4EB" w:rsidR="003608F0" w:rsidRPr="00515CD8" w:rsidRDefault="003608F0" w:rsidP="000A036D">
      <w:pPr>
        <w:spacing w:after="80"/>
        <w:rPr>
          <w:rFonts w:cs="Times New Roman"/>
          <w:sz w:val="22"/>
          <w:szCs w:val="22"/>
        </w:rPr>
      </w:pPr>
      <w:r w:rsidRPr="00515CD8">
        <w:rPr>
          <w:rFonts w:cs="Times New Roman"/>
          <w:sz w:val="22"/>
          <w:szCs w:val="22"/>
        </w:rPr>
        <w:t xml:space="preserve">IStaR (2006), Standards for SMEs – IASB Board Meeting May, London. </w:t>
      </w:r>
    </w:p>
    <w:p w14:paraId="5B3347F7" w14:textId="37FFA403" w:rsidR="003608F0" w:rsidRPr="00515CD8" w:rsidRDefault="003608F0" w:rsidP="000A036D">
      <w:pPr>
        <w:spacing w:after="80"/>
        <w:jc w:val="both"/>
        <w:rPr>
          <w:rFonts w:cs="Times New Roman"/>
          <w:sz w:val="22"/>
          <w:szCs w:val="22"/>
        </w:rPr>
      </w:pPr>
      <w:r w:rsidRPr="00515CD8">
        <w:rPr>
          <w:rFonts w:cs="Times New Roman"/>
          <w:sz w:val="22"/>
          <w:szCs w:val="22"/>
        </w:rPr>
        <w:t>IStaR (2008a), IFRS for SMEs – IASB Board Meeting March, London.</w:t>
      </w:r>
    </w:p>
    <w:p w14:paraId="595CB24F" w14:textId="6543DC5B" w:rsidR="003608F0" w:rsidRPr="00515CD8" w:rsidRDefault="003608F0" w:rsidP="000A036D">
      <w:pPr>
        <w:spacing w:after="80"/>
        <w:rPr>
          <w:rFonts w:cs="Times New Roman"/>
          <w:sz w:val="22"/>
          <w:szCs w:val="22"/>
        </w:rPr>
      </w:pPr>
      <w:r w:rsidRPr="00515CD8">
        <w:rPr>
          <w:rFonts w:cs="Times New Roman"/>
          <w:sz w:val="22"/>
          <w:szCs w:val="22"/>
        </w:rPr>
        <w:t xml:space="preserve">IStaR (2008b), </w:t>
      </w:r>
      <w:bookmarkStart w:id="3" w:name="_Toc215049270"/>
      <w:r w:rsidRPr="00515CD8">
        <w:rPr>
          <w:rFonts w:cs="Times New Roman"/>
          <w:sz w:val="22"/>
          <w:szCs w:val="22"/>
        </w:rPr>
        <w:t>IFRS For Private E</w:t>
      </w:r>
      <w:bookmarkEnd w:id="3"/>
      <w:r w:rsidRPr="00515CD8">
        <w:rPr>
          <w:rFonts w:cs="Times New Roman"/>
          <w:sz w:val="22"/>
          <w:szCs w:val="22"/>
        </w:rPr>
        <w:t xml:space="preserve">ntities – IASB Board Meeting November, London. </w:t>
      </w:r>
    </w:p>
    <w:p w14:paraId="543169E6" w14:textId="696EF7F8" w:rsidR="003608F0" w:rsidRPr="00515CD8" w:rsidRDefault="003608F0" w:rsidP="000A036D">
      <w:pPr>
        <w:spacing w:after="80"/>
        <w:jc w:val="both"/>
        <w:rPr>
          <w:rFonts w:eastAsia="Times New Roman" w:cs="Times New Roman"/>
          <w:sz w:val="22"/>
          <w:szCs w:val="22"/>
        </w:rPr>
      </w:pPr>
      <w:r w:rsidRPr="00515CD8">
        <w:rPr>
          <w:rFonts w:eastAsia="Times New Roman" w:cs="Times New Roman"/>
          <w:sz w:val="22"/>
          <w:szCs w:val="22"/>
        </w:rPr>
        <w:t>CL44 on R</w:t>
      </w:r>
      <w:r w:rsidR="008E2543">
        <w:rPr>
          <w:rFonts w:eastAsia="Times New Roman" w:cs="Times New Roman"/>
          <w:sz w:val="22"/>
          <w:szCs w:val="22"/>
        </w:rPr>
        <w:t>and</w:t>
      </w:r>
      <w:r w:rsidRPr="00515CD8">
        <w:rPr>
          <w:rFonts w:eastAsia="Times New Roman" w:cs="Times New Roman"/>
          <w:sz w:val="22"/>
          <w:szCs w:val="22"/>
        </w:rPr>
        <w:t xml:space="preserve">M (2005), IFAC, UK. </w:t>
      </w:r>
    </w:p>
    <w:p w14:paraId="06B8774C" w14:textId="612BC48D" w:rsidR="003608F0" w:rsidRPr="00515CD8" w:rsidRDefault="003608F0" w:rsidP="000A036D">
      <w:pPr>
        <w:spacing w:after="80"/>
        <w:jc w:val="both"/>
        <w:rPr>
          <w:rFonts w:eastAsia="Times New Roman" w:cs="Times New Roman"/>
          <w:sz w:val="22"/>
          <w:szCs w:val="22"/>
        </w:rPr>
      </w:pPr>
      <w:r w:rsidRPr="00515CD8">
        <w:rPr>
          <w:rFonts w:eastAsia="Times New Roman" w:cs="Times New Roman"/>
          <w:sz w:val="22"/>
          <w:szCs w:val="22"/>
        </w:rPr>
        <w:t>CL49 on R</w:t>
      </w:r>
      <w:r w:rsidR="008E2543">
        <w:rPr>
          <w:rFonts w:eastAsia="Times New Roman" w:cs="Times New Roman"/>
          <w:sz w:val="22"/>
          <w:szCs w:val="22"/>
        </w:rPr>
        <w:t>and</w:t>
      </w:r>
      <w:r w:rsidRPr="00515CD8">
        <w:rPr>
          <w:rFonts w:eastAsia="Times New Roman" w:cs="Times New Roman"/>
          <w:sz w:val="22"/>
          <w:szCs w:val="22"/>
        </w:rPr>
        <w:t xml:space="preserve">M (2005), Danish Institute of Certified Public Accountants, Denmark. </w:t>
      </w:r>
    </w:p>
    <w:p w14:paraId="6DC550CF" w14:textId="77777777" w:rsidR="003608F0" w:rsidRPr="00515CD8" w:rsidRDefault="003608F0" w:rsidP="000A036D">
      <w:pPr>
        <w:spacing w:after="80"/>
        <w:jc w:val="both"/>
        <w:rPr>
          <w:rFonts w:eastAsia="Times New Roman" w:cs="Times New Roman"/>
          <w:sz w:val="22"/>
          <w:szCs w:val="22"/>
        </w:rPr>
      </w:pPr>
      <w:r w:rsidRPr="00515CD8">
        <w:rPr>
          <w:rFonts w:eastAsia="Times New Roman" w:cs="Times New Roman"/>
          <w:sz w:val="22"/>
          <w:szCs w:val="22"/>
        </w:rPr>
        <w:t>CL8 on ED (2007), Kingston Smith LLP, UK.</w:t>
      </w:r>
    </w:p>
    <w:p w14:paraId="45BA09DD" w14:textId="5E14AAFB" w:rsidR="003608F0" w:rsidRPr="00515CD8" w:rsidRDefault="00530B68" w:rsidP="000A036D">
      <w:pPr>
        <w:pStyle w:val="CommentText"/>
        <w:spacing w:after="80"/>
        <w:rPr>
          <w:sz w:val="22"/>
          <w:szCs w:val="22"/>
        </w:rPr>
      </w:pPr>
      <w:r>
        <w:rPr>
          <w:sz w:val="22"/>
          <w:szCs w:val="22"/>
        </w:rPr>
        <w:t>CL</w:t>
      </w:r>
      <w:r w:rsidR="003608F0" w:rsidRPr="00515CD8">
        <w:rPr>
          <w:sz w:val="22"/>
          <w:szCs w:val="22"/>
        </w:rPr>
        <w:t xml:space="preserve">96 on ED (2007), The Dutch Accounting Standards Board (DASB), Netherlands. </w:t>
      </w:r>
    </w:p>
    <w:p w14:paraId="0D193616" w14:textId="6B544F22" w:rsidR="007F52D5" w:rsidRDefault="003608F0" w:rsidP="000A036D">
      <w:pPr>
        <w:spacing w:after="80"/>
        <w:jc w:val="both"/>
        <w:rPr>
          <w:sz w:val="22"/>
          <w:szCs w:val="22"/>
        </w:rPr>
      </w:pPr>
      <w:r w:rsidRPr="00515CD8">
        <w:rPr>
          <w:sz w:val="22"/>
          <w:szCs w:val="22"/>
        </w:rPr>
        <w:t>CL156 on ED (2007), I</w:t>
      </w:r>
      <w:r w:rsidR="00E06414">
        <w:rPr>
          <w:sz w:val="22"/>
          <w:szCs w:val="22"/>
        </w:rPr>
        <w:t xml:space="preserve">nstitute of </w:t>
      </w:r>
      <w:r w:rsidRPr="00515CD8">
        <w:rPr>
          <w:sz w:val="22"/>
          <w:szCs w:val="22"/>
        </w:rPr>
        <w:t>C</w:t>
      </w:r>
      <w:r w:rsidR="00E06414">
        <w:rPr>
          <w:sz w:val="22"/>
          <w:szCs w:val="22"/>
        </w:rPr>
        <w:t xml:space="preserve">hartered </w:t>
      </w:r>
      <w:r w:rsidR="002B217C" w:rsidRPr="00515CD8">
        <w:rPr>
          <w:sz w:val="22"/>
          <w:szCs w:val="22"/>
        </w:rPr>
        <w:t>A</w:t>
      </w:r>
      <w:r w:rsidR="002B217C">
        <w:rPr>
          <w:sz w:val="22"/>
          <w:szCs w:val="22"/>
        </w:rPr>
        <w:t>ccountants</w:t>
      </w:r>
      <w:r w:rsidR="00E06414">
        <w:rPr>
          <w:sz w:val="22"/>
          <w:szCs w:val="22"/>
        </w:rPr>
        <w:t xml:space="preserve"> in </w:t>
      </w:r>
      <w:r w:rsidRPr="00515CD8">
        <w:rPr>
          <w:sz w:val="22"/>
          <w:szCs w:val="22"/>
        </w:rPr>
        <w:t>E</w:t>
      </w:r>
      <w:r w:rsidR="00E06414">
        <w:rPr>
          <w:sz w:val="22"/>
          <w:szCs w:val="22"/>
        </w:rPr>
        <w:t xml:space="preserve">ngland and </w:t>
      </w:r>
      <w:r w:rsidRPr="00515CD8">
        <w:rPr>
          <w:sz w:val="22"/>
          <w:szCs w:val="22"/>
        </w:rPr>
        <w:t>W</w:t>
      </w:r>
      <w:r w:rsidR="00E06414">
        <w:rPr>
          <w:sz w:val="22"/>
          <w:szCs w:val="22"/>
        </w:rPr>
        <w:t>ales</w:t>
      </w:r>
      <w:r w:rsidRPr="00515CD8">
        <w:rPr>
          <w:sz w:val="22"/>
          <w:szCs w:val="22"/>
        </w:rPr>
        <w:t>.</w:t>
      </w:r>
    </w:p>
    <w:p w14:paraId="04D0EC02" w14:textId="5DFACD6F" w:rsidR="003D43CF" w:rsidRDefault="003D43CF">
      <w:pPr>
        <w:rPr>
          <w:sz w:val="22"/>
          <w:szCs w:val="22"/>
        </w:rPr>
      </w:pPr>
      <w:r>
        <w:rPr>
          <w:sz w:val="22"/>
          <w:szCs w:val="22"/>
        </w:rPr>
        <w:br w:type="page"/>
      </w:r>
    </w:p>
    <w:p w14:paraId="79A80AD0" w14:textId="0B5B89CC" w:rsidR="003D43CF" w:rsidRDefault="003D43CF" w:rsidP="000A036D">
      <w:pPr>
        <w:spacing w:after="80"/>
        <w:jc w:val="both"/>
        <w:rPr>
          <w:sz w:val="22"/>
          <w:szCs w:val="22"/>
        </w:rPr>
      </w:pPr>
      <w:r>
        <w:rPr>
          <w:noProof/>
          <w:lang w:eastAsia="en-GB"/>
        </w:rPr>
        <w:drawing>
          <wp:inline distT="0" distB="0" distL="0" distR="0" wp14:anchorId="51C2093C" wp14:editId="301A925F">
            <wp:extent cx="3584555" cy="2981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640" cy="2992208"/>
                    </a:xfrm>
                    <a:prstGeom prst="rect">
                      <a:avLst/>
                    </a:prstGeom>
                    <a:noFill/>
                    <a:ln>
                      <a:noFill/>
                    </a:ln>
                  </pic:spPr>
                </pic:pic>
              </a:graphicData>
            </a:graphic>
          </wp:inline>
        </w:drawing>
      </w:r>
    </w:p>
    <w:p w14:paraId="15A42F70" w14:textId="77777777" w:rsidR="003D43CF" w:rsidRDefault="003D43CF" w:rsidP="003D43CF">
      <w:pPr>
        <w:rPr>
          <w:sz w:val="20"/>
        </w:rPr>
      </w:pPr>
      <w:r w:rsidRPr="0096665C">
        <w:rPr>
          <w:sz w:val="20"/>
        </w:rPr>
        <w:t>Figure 1: Laclau &amp; Mouffe’s condensation, displacement and overdetermination</w:t>
      </w:r>
    </w:p>
    <w:p w14:paraId="56BCA21E" w14:textId="77777777" w:rsidR="003D43CF" w:rsidRPr="00CE065D" w:rsidRDefault="003D43CF" w:rsidP="003D43CF">
      <w:pPr>
        <w:rPr>
          <w:sz w:val="20"/>
          <w:szCs w:val="20"/>
        </w:rPr>
      </w:pPr>
      <w:r w:rsidRPr="00CE065D">
        <w:rPr>
          <w:sz w:val="20"/>
          <w:szCs w:val="20"/>
        </w:rPr>
        <w:t>S stands for Signifier</w:t>
      </w:r>
    </w:p>
    <w:p w14:paraId="3E89358E" w14:textId="77777777" w:rsidR="003D43CF" w:rsidRDefault="003D43CF" w:rsidP="000A036D">
      <w:pPr>
        <w:spacing w:after="80"/>
        <w:jc w:val="both"/>
        <w:rPr>
          <w:sz w:val="22"/>
          <w:szCs w:val="22"/>
        </w:rPr>
      </w:pPr>
    </w:p>
    <w:p w14:paraId="54C0F508" w14:textId="098523ED" w:rsidR="003D43CF" w:rsidRDefault="003D43CF" w:rsidP="000A036D">
      <w:pPr>
        <w:spacing w:after="80"/>
        <w:jc w:val="both"/>
        <w:rPr>
          <w:sz w:val="22"/>
          <w:szCs w:val="22"/>
        </w:rPr>
      </w:pPr>
      <w:r w:rsidRPr="004C7C63">
        <w:rPr>
          <w:noProof/>
          <w:lang w:eastAsia="en-GB"/>
        </w:rPr>
        <w:drawing>
          <wp:inline distT="0" distB="0" distL="0" distR="0" wp14:anchorId="53C003C7" wp14:editId="70B14F22">
            <wp:extent cx="5727700" cy="29394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939415"/>
                    </a:xfrm>
                    <a:prstGeom prst="rect">
                      <a:avLst/>
                    </a:prstGeom>
                  </pic:spPr>
                </pic:pic>
              </a:graphicData>
            </a:graphic>
          </wp:inline>
        </w:drawing>
      </w:r>
    </w:p>
    <w:p w14:paraId="3F8FEF4A" w14:textId="77777777" w:rsidR="003D43CF" w:rsidRDefault="003D43CF" w:rsidP="003D43CF">
      <w:pPr>
        <w:rPr>
          <w:sz w:val="20"/>
        </w:rPr>
      </w:pPr>
      <w:r w:rsidRPr="000568D5">
        <w:rPr>
          <w:sz w:val="20"/>
        </w:rPr>
        <w:t xml:space="preserve">Figure </w:t>
      </w:r>
      <w:r>
        <w:rPr>
          <w:sz w:val="20"/>
        </w:rPr>
        <w:t>2</w:t>
      </w:r>
      <w:r w:rsidRPr="000568D5">
        <w:rPr>
          <w:sz w:val="20"/>
        </w:rPr>
        <w:t xml:space="preserve">: </w:t>
      </w:r>
      <w:r>
        <w:rPr>
          <w:sz w:val="20"/>
        </w:rPr>
        <w:t xml:space="preserve">Condensing </w:t>
      </w:r>
      <w:r w:rsidRPr="000568D5">
        <w:rPr>
          <w:sz w:val="20"/>
        </w:rPr>
        <w:t xml:space="preserve">SME </w:t>
      </w:r>
      <w:r>
        <w:rPr>
          <w:sz w:val="20"/>
        </w:rPr>
        <w:t xml:space="preserve">definitional </w:t>
      </w:r>
      <w:r w:rsidRPr="000568D5">
        <w:rPr>
          <w:sz w:val="20"/>
        </w:rPr>
        <w:t>debates</w:t>
      </w:r>
      <w:r>
        <w:rPr>
          <w:sz w:val="20"/>
        </w:rPr>
        <w:t xml:space="preserve"> into one standard</w:t>
      </w:r>
    </w:p>
    <w:p w14:paraId="0FDBCE84" w14:textId="7E8E4F41" w:rsidR="003D43CF" w:rsidRDefault="003D43CF">
      <w:pPr>
        <w:rPr>
          <w:sz w:val="20"/>
        </w:rPr>
      </w:pPr>
      <w:r>
        <w:rPr>
          <w:sz w:val="20"/>
        </w:rPr>
        <w:br w:type="page"/>
      </w:r>
    </w:p>
    <w:p w14:paraId="34835E62" w14:textId="0644F845" w:rsidR="003D43CF" w:rsidRDefault="003D43CF" w:rsidP="003D43CF">
      <w:pPr>
        <w:rPr>
          <w:sz w:val="20"/>
        </w:rPr>
      </w:pPr>
      <w:r w:rsidRPr="00E176CF">
        <w:rPr>
          <w:rFonts w:cs="Times New Roman"/>
          <w:noProof/>
          <w:sz w:val="22"/>
          <w:szCs w:val="22"/>
          <w:lang w:val="en-GB" w:eastAsia="en-GB"/>
        </w:rPr>
        <w:drawing>
          <wp:inline distT="0" distB="0" distL="0" distR="0" wp14:anchorId="1EF51D73" wp14:editId="31AD9916">
            <wp:extent cx="4887403" cy="27146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6132" cy="2725028"/>
                    </a:xfrm>
                    <a:prstGeom prst="rect">
                      <a:avLst/>
                    </a:prstGeom>
                  </pic:spPr>
                </pic:pic>
              </a:graphicData>
            </a:graphic>
          </wp:inline>
        </w:drawing>
      </w:r>
    </w:p>
    <w:p w14:paraId="52501A9A" w14:textId="77777777" w:rsidR="003D43CF" w:rsidRDefault="003D43CF" w:rsidP="003D43CF">
      <w:pPr>
        <w:rPr>
          <w:rFonts w:cs="Times New Roman"/>
          <w:sz w:val="20"/>
        </w:rPr>
      </w:pPr>
      <w:bookmarkStart w:id="4" w:name="_Hlk509830355"/>
      <w:r w:rsidRPr="00B60007">
        <w:rPr>
          <w:rFonts w:cs="Times New Roman"/>
          <w:sz w:val="20"/>
        </w:rPr>
        <w:t xml:space="preserve">Figure </w:t>
      </w:r>
      <w:r>
        <w:rPr>
          <w:rFonts w:cs="Times New Roman"/>
          <w:sz w:val="20"/>
        </w:rPr>
        <w:t>3: Condensing organisational form into one standard</w:t>
      </w:r>
      <w:bookmarkEnd w:id="4"/>
    </w:p>
    <w:p w14:paraId="75CA3BB5" w14:textId="77777777" w:rsidR="003D43CF" w:rsidRDefault="003D43CF" w:rsidP="003D43CF">
      <w:pPr>
        <w:rPr>
          <w:rFonts w:cs="Times New Roman"/>
          <w:sz w:val="20"/>
        </w:rPr>
      </w:pPr>
    </w:p>
    <w:p w14:paraId="0E5173C8" w14:textId="2ED42126" w:rsidR="003D43CF" w:rsidRDefault="003D43CF" w:rsidP="003D43CF">
      <w:pPr>
        <w:rPr>
          <w:rFonts w:cs="Times New Roman"/>
          <w:sz w:val="20"/>
        </w:rPr>
      </w:pPr>
      <w:r w:rsidRPr="007322B9">
        <w:rPr>
          <w:noProof/>
          <w:sz w:val="12"/>
          <w:lang w:val="en-GB" w:eastAsia="en-GB"/>
        </w:rPr>
        <w:drawing>
          <wp:inline distT="0" distB="0" distL="0" distR="0" wp14:anchorId="1B0870E5" wp14:editId="29928979">
            <wp:extent cx="4511342" cy="1933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0346" cy="1937434"/>
                    </a:xfrm>
                    <a:prstGeom prst="rect">
                      <a:avLst/>
                    </a:prstGeom>
                  </pic:spPr>
                </pic:pic>
              </a:graphicData>
            </a:graphic>
          </wp:inline>
        </w:drawing>
      </w:r>
    </w:p>
    <w:p w14:paraId="697EB625" w14:textId="77777777" w:rsidR="003D43CF" w:rsidRDefault="003D43CF" w:rsidP="003D43CF">
      <w:pPr>
        <w:rPr>
          <w:rFonts w:cs="Times New Roman"/>
          <w:sz w:val="20"/>
        </w:rPr>
      </w:pPr>
      <w:r w:rsidRPr="00B60007">
        <w:rPr>
          <w:rFonts w:cs="Times New Roman"/>
          <w:sz w:val="20"/>
        </w:rPr>
        <w:t xml:space="preserve">Figure </w:t>
      </w:r>
      <w:r>
        <w:rPr>
          <w:rFonts w:cs="Times New Roman"/>
          <w:sz w:val="20"/>
        </w:rPr>
        <w:t>4: Naming the standard</w:t>
      </w:r>
    </w:p>
    <w:p w14:paraId="79A935A6" w14:textId="77777777" w:rsidR="003D43CF" w:rsidRDefault="003D43CF" w:rsidP="003D43CF">
      <w:pPr>
        <w:rPr>
          <w:rFonts w:cs="Times New Roman"/>
          <w:sz w:val="20"/>
        </w:rPr>
      </w:pPr>
    </w:p>
    <w:p w14:paraId="201E4B8D" w14:textId="45451725" w:rsidR="003D43CF" w:rsidRDefault="003D43CF" w:rsidP="003D43CF">
      <w:pPr>
        <w:rPr>
          <w:rFonts w:cs="Times New Roman"/>
          <w:sz w:val="20"/>
        </w:rPr>
      </w:pPr>
      <w:r w:rsidRPr="00E176CF">
        <w:rPr>
          <w:rFonts w:cs="Times New Roman"/>
          <w:noProof/>
          <w:sz w:val="22"/>
          <w:szCs w:val="22"/>
          <w:lang w:val="en-GB" w:eastAsia="en-GB"/>
        </w:rPr>
        <w:drawing>
          <wp:inline distT="0" distB="0" distL="0" distR="0" wp14:anchorId="0695C5C1" wp14:editId="0D4CEBD6">
            <wp:extent cx="5727700" cy="3317875"/>
            <wp:effectExtent l="0" t="0" r="6350" b="0"/>
            <wp:docPr id="1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pic:cNvPicPr>
                  </pic:nvPicPr>
                  <pic:blipFill>
                    <a:blip r:embed="rId16"/>
                    <a:stretch>
                      <a:fillRect/>
                    </a:stretch>
                  </pic:blipFill>
                  <pic:spPr bwMode="auto">
                    <a:xfrm>
                      <a:off x="0" y="0"/>
                      <a:ext cx="5727700" cy="3317875"/>
                    </a:xfrm>
                    <a:prstGeom prst="rect">
                      <a:avLst/>
                    </a:prstGeom>
                    <a:noFill/>
                    <a:ln w="9525">
                      <a:noFill/>
                      <a:miter lim="800000"/>
                      <a:headEnd/>
                      <a:tailEnd/>
                    </a:ln>
                  </pic:spPr>
                </pic:pic>
              </a:graphicData>
            </a:graphic>
          </wp:inline>
        </w:drawing>
      </w:r>
    </w:p>
    <w:p w14:paraId="77DE2441" w14:textId="77777777" w:rsidR="003D43CF" w:rsidRDefault="003D43CF" w:rsidP="003D43CF">
      <w:pPr>
        <w:pStyle w:val="Caption"/>
        <w:rPr>
          <w:rFonts w:cstheme="minorHAnsi"/>
          <w:i w:val="0"/>
          <w:noProof/>
          <w:color w:val="auto"/>
          <w:sz w:val="20"/>
          <w:szCs w:val="20"/>
        </w:rPr>
      </w:pPr>
      <w:r w:rsidRPr="0034358F">
        <w:rPr>
          <w:rFonts w:cstheme="minorHAnsi"/>
          <w:i w:val="0"/>
          <w:color w:val="auto"/>
          <w:sz w:val="20"/>
          <w:szCs w:val="20"/>
        </w:rPr>
        <w:t>Figure 5</w:t>
      </w:r>
      <w:r w:rsidRPr="0034358F">
        <w:rPr>
          <w:rFonts w:cstheme="minorHAnsi"/>
          <w:i w:val="0"/>
          <w:noProof/>
          <w:color w:val="auto"/>
          <w:sz w:val="20"/>
          <w:szCs w:val="20"/>
        </w:rPr>
        <w:t>: Displacement</w:t>
      </w:r>
      <w:r>
        <w:rPr>
          <w:rFonts w:cstheme="minorHAnsi"/>
          <w:i w:val="0"/>
          <w:noProof/>
          <w:color w:val="auto"/>
          <w:sz w:val="20"/>
          <w:szCs w:val="20"/>
        </w:rPr>
        <w:t xml:space="preserve"> – </w:t>
      </w:r>
      <w:r w:rsidRPr="0034358F">
        <w:rPr>
          <w:rFonts w:cstheme="minorHAnsi"/>
          <w:i w:val="0"/>
          <w:noProof/>
          <w:color w:val="auto"/>
          <w:sz w:val="20"/>
          <w:szCs w:val="20"/>
        </w:rPr>
        <w:t>The production of Guidance for Micro-Entities</w:t>
      </w:r>
    </w:p>
    <w:p w14:paraId="5BE63E6A" w14:textId="77777777" w:rsidR="003D43CF" w:rsidRPr="00E176CF" w:rsidRDefault="003D43CF" w:rsidP="003D43CF">
      <w:pPr>
        <w:pStyle w:val="Caption"/>
        <w:keepNext/>
        <w:rPr>
          <w:color w:val="auto"/>
        </w:rPr>
      </w:pPr>
      <w:r w:rsidRPr="006D366B">
        <w:rPr>
          <w:i w:val="0"/>
          <w:color w:val="auto"/>
          <w:sz w:val="24"/>
        </w:rPr>
        <w:t>Table 1: Chronological development of</w:t>
      </w:r>
      <w:r w:rsidRPr="00D007B6">
        <w:rPr>
          <w:color w:val="auto"/>
          <w:sz w:val="24"/>
        </w:rPr>
        <w:t xml:space="preserve"> IFRS for SME</w:t>
      </w:r>
      <w:r>
        <w:rPr>
          <w:color w:val="auto"/>
          <w:sz w:val="24"/>
        </w:rPr>
        <w:t>s</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647"/>
      </w:tblGrid>
      <w:tr w:rsidR="003D43CF" w:rsidRPr="00E176CF" w14:paraId="0CDFE717" w14:textId="77777777" w:rsidTr="003D43CF">
        <w:trPr>
          <w:trHeight w:val="280"/>
        </w:trPr>
        <w:tc>
          <w:tcPr>
            <w:tcW w:w="1276" w:type="dxa"/>
          </w:tcPr>
          <w:p w14:paraId="2AF54A35" w14:textId="77777777" w:rsidR="003D43CF" w:rsidRPr="00E176CF" w:rsidRDefault="003D43CF" w:rsidP="003D43CF">
            <w:pPr>
              <w:pStyle w:val="Caption"/>
              <w:widowControl w:val="0"/>
              <w:spacing w:after="0"/>
              <w:jc w:val="both"/>
              <w:rPr>
                <w:rFonts w:cs="Times New Roman"/>
                <w:b/>
                <w:color w:val="auto"/>
                <w:sz w:val="21"/>
              </w:rPr>
            </w:pPr>
            <w:r w:rsidRPr="00E176CF">
              <w:rPr>
                <w:rFonts w:cs="Times New Roman"/>
                <w:b/>
                <w:color w:val="auto"/>
                <w:sz w:val="21"/>
              </w:rPr>
              <w:t>Month/ year</w:t>
            </w:r>
          </w:p>
        </w:tc>
        <w:tc>
          <w:tcPr>
            <w:tcW w:w="8647" w:type="dxa"/>
          </w:tcPr>
          <w:p w14:paraId="1F2C986A" w14:textId="77777777" w:rsidR="003D43CF" w:rsidRPr="00E176CF" w:rsidRDefault="003D43CF" w:rsidP="003D43CF">
            <w:pPr>
              <w:pStyle w:val="Caption"/>
              <w:widowControl w:val="0"/>
              <w:spacing w:after="0"/>
              <w:jc w:val="both"/>
              <w:rPr>
                <w:rFonts w:cs="Times New Roman"/>
                <w:b/>
                <w:color w:val="auto"/>
                <w:sz w:val="21"/>
              </w:rPr>
            </w:pPr>
            <w:r w:rsidRPr="00E176CF">
              <w:rPr>
                <w:rFonts w:cs="Times New Roman"/>
                <w:b/>
                <w:color w:val="auto"/>
                <w:sz w:val="21"/>
              </w:rPr>
              <w:t xml:space="preserve">Developments </w:t>
            </w:r>
          </w:p>
        </w:tc>
      </w:tr>
      <w:tr w:rsidR="003D43CF" w:rsidRPr="00E176CF" w14:paraId="38E5B20C" w14:textId="77777777" w:rsidTr="003D43CF">
        <w:trPr>
          <w:trHeight w:val="472"/>
        </w:trPr>
        <w:tc>
          <w:tcPr>
            <w:tcW w:w="1276" w:type="dxa"/>
          </w:tcPr>
          <w:p w14:paraId="04B102E6"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1990’s and 2000’s</w:t>
            </w:r>
          </w:p>
        </w:tc>
        <w:tc>
          <w:tcPr>
            <w:tcW w:w="8647" w:type="dxa"/>
          </w:tcPr>
          <w:p w14:paraId="15C8E51C"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Discussion and debates on differential reporting occur</w:t>
            </w:r>
          </w:p>
          <w:p w14:paraId="570A1573"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Discussion of a project specific to SMEs is discussed by the IASC</w:t>
            </w:r>
          </w:p>
        </w:tc>
      </w:tr>
      <w:tr w:rsidR="003D43CF" w:rsidRPr="00E176CF" w14:paraId="0C602052" w14:textId="77777777" w:rsidTr="003D43CF">
        <w:trPr>
          <w:trHeight w:val="220"/>
        </w:trPr>
        <w:tc>
          <w:tcPr>
            <w:tcW w:w="1276" w:type="dxa"/>
          </w:tcPr>
          <w:p w14:paraId="5EEC44F5"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Dec/2000</w:t>
            </w:r>
          </w:p>
        </w:tc>
        <w:tc>
          <w:tcPr>
            <w:tcW w:w="8647" w:type="dxa"/>
          </w:tcPr>
          <w:p w14:paraId="291E599A"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IASB-IASC transition report state</w:t>
            </w:r>
            <w:r>
              <w:rPr>
                <w:rFonts w:cs="Times New Roman"/>
                <w:i w:val="0"/>
                <w:color w:val="auto"/>
              </w:rPr>
              <w:t>s</w:t>
            </w:r>
            <w:r w:rsidRPr="00E176CF">
              <w:rPr>
                <w:rFonts w:cs="Times New Roman"/>
                <w:i w:val="0"/>
                <w:color w:val="auto"/>
              </w:rPr>
              <w:t xml:space="preserve"> a demand for a special version of accounting standards for small entities. </w:t>
            </w:r>
          </w:p>
        </w:tc>
      </w:tr>
      <w:tr w:rsidR="003D43CF" w:rsidRPr="00E176CF" w14:paraId="52C67441" w14:textId="77777777" w:rsidTr="003D43CF">
        <w:trPr>
          <w:trHeight w:val="76"/>
        </w:trPr>
        <w:tc>
          <w:tcPr>
            <w:tcW w:w="1276" w:type="dxa"/>
          </w:tcPr>
          <w:p w14:paraId="5EC4A62E"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March/ 2001</w:t>
            </w:r>
          </w:p>
        </w:tc>
        <w:tc>
          <w:tcPr>
            <w:tcW w:w="8647" w:type="dxa"/>
          </w:tcPr>
          <w:p w14:paraId="39281BFC"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The IASB was established. </w:t>
            </w:r>
          </w:p>
        </w:tc>
      </w:tr>
      <w:tr w:rsidR="003D43CF" w:rsidRPr="00E176CF" w14:paraId="4CA096D3" w14:textId="77777777" w:rsidTr="003D43CF">
        <w:trPr>
          <w:trHeight w:val="421"/>
        </w:trPr>
        <w:tc>
          <w:tcPr>
            <w:tcW w:w="1276" w:type="dxa"/>
          </w:tcPr>
          <w:p w14:paraId="2266B60F"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April/2001- June/2001</w:t>
            </w:r>
          </w:p>
        </w:tc>
        <w:tc>
          <w:tcPr>
            <w:tcW w:w="8647" w:type="dxa"/>
          </w:tcPr>
          <w:p w14:paraId="59632C1F"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SAC and NSS discussions surrounding SME accounting</w:t>
            </w:r>
          </w:p>
        </w:tc>
      </w:tr>
      <w:tr w:rsidR="003D43CF" w:rsidRPr="00E176CF" w14:paraId="2835DE22" w14:textId="77777777" w:rsidTr="003D43CF">
        <w:trPr>
          <w:trHeight w:val="303"/>
        </w:trPr>
        <w:tc>
          <w:tcPr>
            <w:tcW w:w="1276" w:type="dxa"/>
          </w:tcPr>
          <w:p w14:paraId="47C6F644"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July/2001</w:t>
            </w:r>
          </w:p>
        </w:tc>
        <w:tc>
          <w:tcPr>
            <w:tcW w:w="8647" w:type="dxa"/>
          </w:tcPr>
          <w:p w14:paraId="36E271D6"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The accounting for SMEs project is extended to ‘Accounting for SMEs and Emerging Economies’. </w:t>
            </w:r>
          </w:p>
        </w:tc>
      </w:tr>
      <w:tr w:rsidR="003D43CF" w:rsidRPr="00E176CF" w14:paraId="1C03E6F0" w14:textId="77777777" w:rsidTr="003D43CF">
        <w:trPr>
          <w:trHeight w:val="217"/>
        </w:trPr>
        <w:tc>
          <w:tcPr>
            <w:tcW w:w="1276" w:type="dxa"/>
          </w:tcPr>
          <w:p w14:paraId="35978B74"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Aug/2001- May/2002</w:t>
            </w:r>
          </w:p>
        </w:tc>
        <w:tc>
          <w:tcPr>
            <w:tcW w:w="8647" w:type="dxa"/>
          </w:tcPr>
          <w:p w14:paraId="11CDB776"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Continued discussions surrounding SMEs </w:t>
            </w:r>
          </w:p>
        </w:tc>
      </w:tr>
      <w:tr w:rsidR="003D43CF" w:rsidRPr="00E176CF" w14:paraId="1CDD6847" w14:textId="77777777" w:rsidTr="003D43CF">
        <w:trPr>
          <w:trHeight w:val="129"/>
        </w:trPr>
        <w:tc>
          <w:tcPr>
            <w:tcW w:w="1276" w:type="dxa"/>
          </w:tcPr>
          <w:p w14:paraId="5CBF3A16"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June/2002</w:t>
            </w:r>
          </w:p>
        </w:tc>
        <w:tc>
          <w:tcPr>
            <w:tcW w:w="8647" w:type="dxa"/>
          </w:tcPr>
          <w:p w14:paraId="2F2440F9"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Project is added to IASB’s research agenda as ‘Accounting for SMEs and Developing Countries’. </w:t>
            </w:r>
          </w:p>
        </w:tc>
      </w:tr>
      <w:tr w:rsidR="003D43CF" w:rsidRPr="00E176CF" w14:paraId="352339C3" w14:textId="77777777" w:rsidTr="003D43CF">
        <w:trPr>
          <w:trHeight w:val="198"/>
        </w:trPr>
        <w:tc>
          <w:tcPr>
            <w:tcW w:w="1276" w:type="dxa"/>
          </w:tcPr>
          <w:p w14:paraId="74F61AC5"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April/2003</w:t>
            </w:r>
          </w:p>
        </w:tc>
        <w:tc>
          <w:tcPr>
            <w:tcW w:w="8647" w:type="dxa"/>
          </w:tcPr>
          <w:p w14:paraId="206DF380"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Working Group meeting about SMEs</w:t>
            </w:r>
          </w:p>
        </w:tc>
      </w:tr>
      <w:tr w:rsidR="003D43CF" w:rsidRPr="00E176CF" w14:paraId="38B485E7" w14:textId="77777777" w:rsidTr="003D43CF">
        <w:trPr>
          <w:trHeight w:val="207"/>
        </w:trPr>
        <w:tc>
          <w:tcPr>
            <w:tcW w:w="1276" w:type="dxa"/>
          </w:tcPr>
          <w:p w14:paraId="236BB386"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July/2003</w:t>
            </w:r>
          </w:p>
        </w:tc>
        <w:tc>
          <w:tcPr>
            <w:tcW w:w="8647" w:type="dxa"/>
          </w:tcPr>
          <w:p w14:paraId="75D2F2AB"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IASB deliberations begin; Paul Pacter appointed as SME project director</w:t>
            </w:r>
          </w:p>
        </w:tc>
      </w:tr>
      <w:tr w:rsidR="003D43CF" w:rsidRPr="00E176CF" w14:paraId="21974B43" w14:textId="77777777" w:rsidTr="003D43CF">
        <w:trPr>
          <w:trHeight w:val="190"/>
        </w:trPr>
        <w:tc>
          <w:tcPr>
            <w:tcW w:w="1276" w:type="dxa"/>
          </w:tcPr>
          <w:p w14:paraId="0081CB75"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Sept/2003</w:t>
            </w:r>
          </w:p>
        </w:tc>
        <w:tc>
          <w:tcPr>
            <w:tcW w:w="8647" w:type="dxa"/>
          </w:tcPr>
          <w:p w14:paraId="0E67077F"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Meeting of the World Standard Setters </w:t>
            </w:r>
          </w:p>
        </w:tc>
      </w:tr>
      <w:tr w:rsidR="003D43CF" w:rsidRPr="00E176CF" w14:paraId="1995CFD0" w14:textId="77777777" w:rsidTr="003D43CF">
        <w:trPr>
          <w:trHeight w:val="232"/>
        </w:trPr>
        <w:tc>
          <w:tcPr>
            <w:tcW w:w="1276" w:type="dxa"/>
          </w:tcPr>
          <w:p w14:paraId="442F0A31"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July/2003- Feb/2007</w:t>
            </w:r>
          </w:p>
        </w:tc>
        <w:tc>
          <w:tcPr>
            <w:tcW w:w="8647" w:type="dxa"/>
          </w:tcPr>
          <w:p w14:paraId="5BA6C883"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Issues begin to be deliberated in public board meetings until the ED was published in 2007</w:t>
            </w:r>
          </w:p>
          <w:p w14:paraId="28672F7E" w14:textId="77777777" w:rsidR="003D43CF" w:rsidRPr="00E176CF" w:rsidRDefault="003D43CF" w:rsidP="003D43CF">
            <w:pPr>
              <w:jc w:val="both"/>
              <w:rPr>
                <w:sz w:val="18"/>
                <w:szCs w:val="18"/>
              </w:rPr>
            </w:pPr>
            <w:r w:rsidRPr="00E176CF">
              <w:rPr>
                <w:sz w:val="18"/>
                <w:szCs w:val="18"/>
              </w:rPr>
              <w:t>There are also 7 SAC meetings in this time</w:t>
            </w:r>
          </w:p>
        </w:tc>
      </w:tr>
      <w:tr w:rsidR="003D43CF" w:rsidRPr="00E176CF" w14:paraId="3BB0EFE9" w14:textId="77777777" w:rsidTr="003D43CF">
        <w:trPr>
          <w:trHeight w:val="267"/>
        </w:trPr>
        <w:tc>
          <w:tcPr>
            <w:tcW w:w="1276" w:type="dxa"/>
          </w:tcPr>
          <w:p w14:paraId="23522CA4"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June/2004</w:t>
            </w:r>
          </w:p>
        </w:tc>
        <w:tc>
          <w:tcPr>
            <w:tcW w:w="8647" w:type="dxa"/>
          </w:tcPr>
          <w:p w14:paraId="22874D65"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Discussion paper ‘Preliminary Views on Accounting Standards for Small and Medium-sized Entities (SMEs)’ is issued.</w:t>
            </w:r>
          </w:p>
        </w:tc>
      </w:tr>
      <w:tr w:rsidR="003D43CF" w:rsidRPr="00E176CF" w14:paraId="0830C80D" w14:textId="77777777" w:rsidTr="003D43CF">
        <w:trPr>
          <w:trHeight w:val="410"/>
        </w:trPr>
        <w:tc>
          <w:tcPr>
            <w:tcW w:w="1276" w:type="dxa"/>
          </w:tcPr>
          <w:p w14:paraId="0DF09DC8"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April/2005</w:t>
            </w:r>
          </w:p>
        </w:tc>
        <w:tc>
          <w:tcPr>
            <w:tcW w:w="8647" w:type="dxa"/>
          </w:tcPr>
          <w:p w14:paraId="62E1B6DB"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Staff questionnaire ‘Possible Recognition and Measurement Modifications for Small and Medium-sized Entities (SMEs) is issued. </w:t>
            </w:r>
          </w:p>
        </w:tc>
      </w:tr>
      <w:tr w:rsidR="003D43CF" w:rsidRPr="00E176CF" w14:paraId="282D36F2" w14:textId="77777777" w:rsidTr="003D43CF">
        <w:trPr>
          <w:trHeight w:val="155"/>
        </w:trPr>
        <w:tc>
          <w:tcPr>
            <w:tcW w:w="1276" w:type="dxa"/>
          </w:tcPr>
          <w:p w14:paraId="5277620E"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June/2005</w:t>
            </w:r>
          </w:p>
        </w:tc>
        <w:tc>
          <w:tcPr>
            <w:tcW w:w="8647" w:type="dxa"/>
          </w:tcPr>
          <w:p w14:paraId="48F989ED"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Working Group meeting</w:t>
            </w:r>
          </w:p>
        </w:tc>
      </w:tr>
      <w:tr w:rsidR="003D43CF" w:rsidRPr="00E176CF" w14:paraId="5EC2106D" w14:textId="77777777" w:rsidTr="003D43CF">
        <w:trPr>
          <w:trHeight w:val="167"/>
        </w:trPr>
        <w:tc>
          <w:tcPr>
            <w:tcW w:w="1276" w:type="dxa"/>
          </w:tcPr>
          <w:p w14:paraId="69A1A054"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Sept/2005</w:t>
            </w:r>
          </w:p>
        </w:tc>
        <w:tc>
          <w:tcPr>
            <w:tcW w:w="8647" w:type="dxa"/>
          </w:tcPr>
          <w:p w14:paraId="78909C1E"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Meeting of the World Standard Setters (WSS meetings were also held 2006, 2007 and 2008). </w:t>
            </w:r>
          </w:p>
        </w:tc>
      </w:tr>
      <w:tr w:rsidR="003D43CF" w:rsidRPr="00E176CF" w14:paraId="783944D0" w14:textId="77777777" w:rsidTr="003D43CF">
        <w:trPr>
          <w:trHeight w:val="141"/>
        </w:trPr>
        <w:tc>
          <w:tcPr>
            <w:tcW w:w="1276" w:type="dxa"/>
          </w:tcPr>
          <w:p w14:paraId="55FD043B"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Oct/2005</w:t>
            </w:r>
          </w:p>
        </w:tc>
        <w:tc>
          <w:tcPr>
            <w:tcW w:w="8647" w:type="dxa"/>
          </w:tcPr>
          <w:p w14:paraId="66983515"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Public round-table on R&amp;M simplifications</w:t>
            </w:r>
          </w:p>
        </w:tc>
      </w:tr>
      <w:tr w:rsidR="003D43CF" w:rsidRPr="00E176CF" w14:paraId="6BDB69B4" w14:textId="77777777" w:rsidTr="003D43CF">
        <w:trPr>
          <w:trHeight w:val="202"/>
        </w:trPr>
        <w:tc>
          <w:tcPr>
            <w:tcW w:w="1276" w:type="dxa"/>
          </w:tcPr>
          <w:p w14:paraId="4811C5C4"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Jan/2006</w:t>
            </w:r>
          </w:p>
        </w:tc>
        <w:tc>
          <w:tcPr>
            <w:tcW w:w="8647" w:type="dxa"/>
          </w:tcPr>
          <w:p w14:paraId="6CDCC0C0"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Staff present a completed copy of the Exposure draft to the board </w:t>
            </w:r>
          </w:p>
        </w:tc>
      </w:tr>
      <w:tr w:rsidR="003D43CF" w:rsidRPr="00E176CF" w14:paraId="4B671093" w14:textId="77777777" w:rsidTr="003D43CF">
        <w:trPr>
          <w:trHeight w:val="247"/>
        </w:trPr>
        <w:tc>
          <w:tcPr>
            <w:tcW w:w="1276" w:type="dxa"/>
          </w:tcPr>
          <w:p w14:paraId="5B730438"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Feb/2007</w:t>
            </w:r>
          </w:p>
        </w:tc>
        <w:tc>
          <w:tcPr>
            <w:tcW w:w="8647" w:type="dxa"/>
          </w:tcPr>
          <w:p w14:paraId="6675AC7C" w14:textId="77777777" w:rsidR="003D43CF" w:rsidRPr="009D5A4A" w:rsidRDefault="003D43CF" w:rsidP="003D43CF">
            <w:pPr>
              <w:pStyle w:val="Caption"/>
              <w:widowControl w:val="0"/>
              <w:spacing w:after="0"/>
              <w:jc w:val="both"/>
              <w:rPr>
                <w:rFonts w:cs="Times New Roman"/>
                <w:i w:val="0"/>
                <w:color w:val="auto"/>
              </w:rPr>
            </w:pPr>
            <w:r w:rsidRPr="009D5A4A">
              <w:rPr>
                <w:rFonts w:cs="Times New Roman"/>
                <w:i w:val="0"/>
                <w:color w:val="auto"/>
              </w:rPr>
              <w:t>Exposure Draft published with definition decided upon</w:t>
            </w:r>
          </w:p>
        </w:tc>
      </w:tr>
      <w:tr w:rsidR="003D43CF" w:rsidRPr="00E176CF" w14:paraId="6EBBC006" w14:textId="77777777" w:rsidTr="003D43CF">
        <w:trPr>
          <w:trHeight w:val="82"/>
        </w:trPr>
        <w:tc>
          <w:tcPr>
            <w:tcW w:w="1276" w:type="dxa"/>
          </w:tcPr>
          <w:p w14:paraId="4BF3B716"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April/2007</w:t>
            </w:r>
          </w:p>
        </w:tc>
        <w:tc>
          <w:tcPr>
            <w:tcW w:w="8647" w:type="dxa"/>
          </w:tcPr>
          <w:p w14:paraId="5FC39F1B"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Exposure Draft Staff Overview issued </w:t>
            </w:r>
          </w:p>
        </w:tc>
      </w:tr>
      <w:tr w:rsidR="003D43CF" w:rsidRPr="00E176CF" w14:paraId="6972B5D8" w14:textId="77777777" w:rsidTr="003D43CF">
        <w:trPr>
          <w:trHeight w:val="98"/>
        </w:trPr>
        <w:tc>
          <w:tcPr>
            <w:tcW w:w="1276" w:type="dxa"/>
          </w:tcPr>
          <w:p w14:paraId="33C291A1"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June/2007</w:t>
            </w:r>
          </w:p>
        </w:tc>
        <w:tc>
          <w:tcPr>
            <w:tcW w:w="8647" w:type="dxa"/>
          </w:tcPr>
          <w:p w14:paraId="4A59933F"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Exposure draft field testing with a deadline of Nov/2007 that was extended from Oct/2007</w:t>
            </w:r>
          </w:p>
        </w:tc>
      </w:tr>
      <w:tr w:rsidR="003D43CF" w:rsidRPr="00E176CF" w14:paraId="69F73F62" w14:textId="77777777" w:rsidTr="003D43CF">
        <w:trPr>
          <w:trHeight w:val="243"/>
        </w:trPr>
        <w:tc>
          <w:tcPr>
            <w:tcW w:w="1276" w:type="dxa"/>
          </w:tcPr>
          <w:p w14:paraId="70B71720"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Nov/2007</w:t>
            </w:r>
          </w:p>
        </w:tc>
        <w:tc>
          <w:tcPr>
            <w:tcW w:w="8647" w:type="dxa"/>
          </w:tcPr>
          <w:p w14:paraId="3AFF29E6"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Comment letter deadline changed to this date from the previously deadline of Oct/2007</w:t>
            </w:r>
          </w:p>
        </w:tc>
      </w:tr>
      <w:tr w:rsidR="003D43CF" w:rsidRPr="00E176CF" w14:paraId="2784CBE8" w14:textId="77777777" w:rsidTr="003D43CF">
        <w:trPr>
          <w:trHeight w:val="71"/>
        </w:trPr>
        <w:tc>
          <w:tcPr>
            <w:tcW w:w="1276" w:type="dxa"/>
          </w:tcPr>
          <w:p w14:paraId="4D4782D8" w14:textId="77777777" w:rsidR="003D43CF" w:rsidRPr="00E176CF" w:rsidRDefault="003D43CF" w:rsidP="003D43CF">
            <w:pPr>
              <w:pStyle w:val="Caption"/>
              <w:widowControl w:val="0"/>
              <w:spacing w:after="0"/>
              <w:jc w:val="both"/>
              <w:rPr>
                <w:rFonts w:cs="Times New Roman"/>
                <w:color w:val="auto"/>
              </w:rPr>
            </w:pPr>
          </w:p>
        </w:tc>
        <w:tc>
          <w:tcPr>
            <w:tcW w:w="8647" w:type="dxa"/>
          </w:tcPr>
          <w:p w14:paraId="4B73760E"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Various translations published across 2007</w:t>
            </w:r>
          </w:p>
        </w:tc>
      </w:tr>
      <w:tr w:rsidR="003D43CF" w:rsidRPr="00E176CF" w14:paraId="515C7AA5" w14:textId="77777777" w:rsidTr="003D43CF">
        <w:trPr>
          <w:trHeight w:val="179"/>
        </w:trPr>
        <w:tc>
          <w:tcPr>
            <w:tcW w:w="1276" w:type="dxa"/>
          </w:tcPr>
          <w:p w14:paraId="2C8F4E70"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March/2008</w:t>
            </w:r>
          </w:p>
        </w:tc>
        <w:tc>
          <w:tcPr>
            <w:tcW w:w="8647" w:type="dxa"/>
          </w:tcPr>
          <w:p w14:paraId="10C0D949"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Overview of comment letters presented to the board, educational in nature </w:t>
            </w:r>
          </w:p>
        </w:tc>
      </w:tr>
      <w:tr w:rsidR="003D43CF" w:rsidRPr="00E176CF" w14:paraId="223EB50B" w14:textId="77777777" w:rsidTr="003D43CF">
        <w:trPr>
          <w:trHeight w:val="141"/>
        </w:trPr>
        <w:tc>
          <w:tcPr>
            <w:tcW w:w="1276" w:type="dxa"/>
          </w:tcPr>
          <w:p w14:paraId="63D9DD76"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April/2008</w:t>
            </w:r>
          </w:p>
        </w:tc>
        <w:tc>
          <w:tcPr>
            <w:tcW w:w="8647" w:type="dxa"/>
          </w:tcPr>
          <w:p w14:paraId="3811E9AF"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Working Group meeting; board work further on IFRS for SMEs </w:t>
            </w:r>
            <w:r w:rsidRPr="00E176CF">
              <w:rPr>
                <w:rFonts w:cs="Times New Roman"/>
              </w:rPr>
              <w:t xml:space="preserve"> </w:t>
            </w:r>
          </w:p>
        </w:tc>
      </w:tr>
      <w:tr w:rsidR="003D43CF" w:rsidRPr="00E176CF" w14:paraId="646D8C8B" w14:textId="77777777" w:rsidTr="003D43CF">
        <w:trPr>
          <w:trHeight w:val="157"/>
        </w:trPr>
        <w:tc>
          <w:tcPr>
            <w:tcW w:w="1276" w:type="dxa"/>
          </w:tcPr>
          <w:p w14:paraId="5AB431FF"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 xml:space="preserve">May/2008 </w:t>
            </w:r>
          </w:p>
        </w:tc>
        <w:tc>
          <w:tcPr>
            <w:tcW w:w="8647" w:type="dxa"/>
          </w:tcPr>
          <w:p w14:paraId="4DEEFD05"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Issues discussed presented to the board; Re-deliberations began until Feb/2009</w:t>
            </w:r>
          </w:p>
        </w:tc>
      </w:tr>
      <w:tr w:rsidR="003D43CF" w:rsidRPr="00E176CF" w14:paraId="1E3563A6" w14:textId="77777777" w:rsidTr="003D43CF">
        <w:trPr>
          <w:trHeight w:val="191"/>
        </w:trPr>
        <w:tc>
          <w:tcPr>
            <w:tcW w:w="1276" w:type="dxa"/>
          </w:tcPr>
          <w:p w14:paraId="59B5A7A1"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April/2009</w:t>
            </w:r>
          </w:p>
        </w:tc>
        <w:tc>
          <w:tcPr>
            <w:tcW w:w="8647" w:type="dxa"/>
          </w:tcPr>
          <w:p w14:paraId="28ECC459"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Draft Ballot of the ED</w:t>
            </w:r>
          </w:p>
        </w:tc>
      </w:tr>
      <w:tr w:rsidR="003D43CF" w:rsidRPr="00E176CF" w14:paraId="2CA85F0B" w14:textId="77777777" w:rsidTr="003D43CF">
        <w:trPr>
          <w:trHeight w:val="239"/>
        </w:trPr>
        <w:tc>
          <w:tcPr>
            <w:tcW w:w="1276" w:type="dxa"/>
          </w:tcPr>
          <w:p w14:paraId="013C9E91"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March/2009</w:t>
            </w:r>
          </w:p>
        </w:tc>
        <w:tc>
          <w:tcPr>
            <w:tcW w:w="8647" w:type="dxa"/>
          </w:tcPr>
          <w:p w14:paraId="0D9BCA31"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Decided not to re-expose </w:t>
            </w:r>
          </w:p>
        </w:tc>
      </w:tr>
      <w:tr w:rsidR="003D43CF" w:rsidRPr="00E176CF" w14:paraId="5CF0CDB7" w14:textId="77777777" w:rsidTr="003D43CF">
        <w:trPr>
          <w:trHeight w:val="143"/>
        </w:trPr>
        <w:tc>
          <w:tcPr>
            <w:tcW w:w="1276" w:type="dxa"/>
          </w:tcPr>
          <w:p w14:paraId="5252F28A"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April/2009</w:t>
            </w:r>
          </w:p>
        </w:tc>
        <w:tc>
          <w:tcPr>
            <w:tcW w:w="8647" w:type="dxa"/>
          </w:tcPr>
          <w:p w14:paraId="532F698B" w14:textId="77777777" w:rsidR="003D43CF" w:rsidRPr="009D5A4A" w:rsidRDefault="003D43CF" w:rsidP="003D43CF">
            <w:pPr>
              <w:pStyle w:val="Caption"/>
              <w:widowControl w:val="0"/>
              <w:spacing w:after="0"/>
              <w:jc w:val="both"/>
              <w:rPr>
                <w:rFonts w:cs="Times New Roman"/>
                <w:i w:val="0"/>
                <w:color w:val="auto"/>
              </w:rPr>
            </w:pPr>
            <w:r w:rsidRPr="009D5A4A">
              <w:rPr>
                <w:rFonts w:cs="Times New Roman"/>
                <w:i w:val="0"/>
                <w:color w:val="auto"/>
              </w:rPr>
              <w:t xml:space="preserve">Final name decided </w:t>
            </w:r>
          </w:p>
        </w:tc>
      </w:tr>
      <w:tr w:rsidR="003D43CF" w:rsidRPr="00E176CF" w14:paraId="0C830D13" w14:textId="77777777" w:rsidTr="003D43CF">
        <w:trPr>
          <w:trHeight w:val="113"/>
        </w:trPr>
        <w:tc>
          <w:tcPr>
            <w:tcW w:w="1276" w:type="dxa"/>
          </w:tcPr>
          <w:p w14:paraId="1D10C59E"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May/2009</w:t>
            </w:r>
          </w:p>
        </w:tc>
        <w:tc>
          <w:tcPr>
            <w:tcW w:w="8647" w:type="dxa"/>
          </w:tcPr>
          <w:p w14:paraId="2779F399"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Near-final draft published </w:t>
            </w:r>
          </w:p>
        </w:tc>
      </w:tr>
      <w:tr w:rsidR="003D43CF" w:rsidRPr="00E176CF" w14:paraId="2FA74010" w14:textId="77777777" w:rsidTr="003D43CF">
        <w:trPr>
          <w:trHeight w:val="253"/>
        </w:trPr>
        <w:tc>
          <w:tcPr>
            <w:tcW w:w="1276" w:type="dxa"/>
          </w:tcPr>
          <w:p w14:paraId="1A99593D"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July/2009</w:t>
            </w:r>
          </w:p>
        </w:tc>
        <w:tc>
          <w:tcPr>
            <w:tcW w:w="8647" w:type="dxa"/>
          </w:tcPr>
          <w:p w14:paraId="080129A4"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IFRS for SMEs standard issued </w:t>
            </w:r>
          </w:p>
        </w:tc>
      </w:tr>
      <w:tr w:rsidR="003D43CF" w:rsidRPr="00E176CF" w14:paraId="537EEAAC" w14:textId="77777777" w:rsidTr="003D43CF">
        <w:trPr>
          <w:trHeight w:val="158"/>
        </w:trPr>
        <w:tc>
          <w:tcPr>
            <w:tcW w:w="9923" w:type="dxa"/>
            <w:gridSpan w:val="2"/>
          </w:tcPr>
          <w:p w14:paraId="3E51643A"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color w:val="auto"/>
              </w:rPr>
              <w:t>Review period</w:t>
            </w:r>
          </w:p>
        </w:tc>
      </w:tr>
      <w:tr w:rsidR="003D43CF" w:rsidRPr="00E176CF" w14:paraId="41A5CDFC" w14:textId="77777777" w:rsidTr="003D43CF">
        <w:trPr>
          <w:trHeight w:val="82"/>
        </w:trPr>
        <w:tc>
          <w:tcPr>
            <w:tcW w:w="1276" w:type="dxa"/>
          </w:tcPr>
          <w:p w14:paraId="46FDAE03"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2010</w:t>
            </w:r>
          </w:p>
        </w:tc>
        <w:tc>
          <w:tcPr>
            <w:tcW w:w="8647" w:type="dxa"/>
          </w:tcPr>
          <w:p w14:paraId="0D0987A7"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 xml:space="preserve">The SME implementation group (SMEIG) was set up </w:t>
            </w:r>
          </w:p>
        </w:tc>
      </w:tr>
      <w:tr w:rsidR="003D43CF" w:rsidRPr="00E176CF" w14:paraId="5F1AF53F" w14:textId="77777777" w:rsidTr="003D43CF">
        <w:trPr>
          <w:trHeight w:val="241"/>
        </w:trPr>
        <w:tc>
          <w:tcPr>
            <w:tcW w:w="1276" w:type="dxa"/>
          </w:tcPr>
          <w:p w14:paraId="10DC1EDB"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2012</w:t>
            </w:r>
          </w:p>
        </w:tc>
        <w:tc>
          <w:tcPr>
            <w:tcW w:w="8647" w:type="dxa"/>
          </w:tcPr>
          <w:p w14:paraId="67987705"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Initial Comprehensive review began</w:t>
            </w:r>
          </w:p>
        </w:tc>
      </w:tr>
      <w:tr w:rsidR="003D43CF" w:rsidRPr="00E176CF" w14:paraId="68FAEB15" w14:textId="77777777" w:rsidTr="003D43CF">
        <w:trPr>
          <w:trHeight w:val="273"/>
        </w:trPr>
        <w:tc>
          <w:tcPr>
            <w:tcW w:w="1276" w:type="dxa"/>
          </w:tcPr>
          <w:p w14:paraId="283F6A73" w14:textId="77777777" w:rsidR="003D43CF" w:rsidRPr="00E176CF" w:rsidRDefault="003D43CF" w:rsidP="003D43CF">
            <w:pPr>
              <w:pStyle w:val="Caption"/>
              <w:widowControl w:val="0"/>
              <w:spacing w:after="0"/>
              <w:jc w:val="both"/>
              <w:rPr>
                <w:rFonts w:cs="Times New Roman"/>
                <w:color w:val="auto"/>
              </w:rPr>
            </w:pPr>
            <w:r>
              <w:rPr>
                <w:rFonts w:cs="Times New Roman"/>
                <w:color w:val="auto"/>
              </w:rPr>
              <w:t>June/2012</w:t>
            </w:r>
          </w:p>
        </w:tc>
        <w:tc>
          <w:tcPr>
            <w:tcW w:w="8647" w:type="dxa"/>
          </w:tcPr>
          <w:p w14:paraId="23E37B38"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IASB issues a request for information (RFI)</w:t>
            </w:r>
          </w:p>
        </w:tc>
      </w:tr>
      <w:tr w:rsidR="003D43CF" w:rsidRPr="00E176CF" w14:paraId="41C4CFEA" w14:textId="77777777" w:rsidTr="003D43CF">
        <w:trPr>
          <w:trHeight w:val="75"/>
        </w:trPr>
        <w:tc>
          <w:tcPr>
            <w:tcW w:w="1276" w:type="dxa"/>
          </w:tcPr>
          <w:p w14:paraId="7D19795D"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Nov 2012</w:t>
            </w:r>
          </w:p>
        </w:tc>
        <w:tc>
          <w:tcPr>
            <w:tcW w:w="8647" w:type="dxa"/>
          </w:tcPr>
          <w:p w14:paraId="5551E4D6"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Comment letter deadline</w:t>
            </w:r>
          </w:p>
        </w:tc>
      </w:tr>
      <w:tr w:rsidR="003D43CF" w:rsidRPr="00E176CF" w14:paraId="077CADB8" w14:textId="77777777" w:rsidTr="003D43CF">
        <w:trPr>
          <w:trHeight w:val="248"/>
        </w:trPr>
        <w:tc>
          <w:tcPr>
            <w:tcW w:w="1276" w:type="dxa"/>
          </w:tcPr>
          <w:p w14:paraId="36692C9C"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Feb 2013</w:t>
            </w:r>
          </w:p>
        </w:tc>
        <w:tc>
          <w:tcPr>
            <w:tcW w:w="8647" w:type="dxa"/>
          </w:tcPr>
          <w:p w14:paraId="7BE12606" w14:textId="77777777" w:rsidR="003D43CF" w:rsidRPr="00E176CF" w:rsidRDefault="003D43CF" w:rsidP="003D43CF">
            <w:pPr>
              <w:pStyle w:val="Caption"/>
              <w:widowControl w:val="0"/>
              <w:spacing w:after="0"/>
              <w:jc w:val="both"/>
            </w:pPr>
            <w:r w:rsidRPr="00E176CF">
              <w:rPr>
                <w:rFonts w:cs="Times New Roman"/>
                <w:i w:val="0"/>
                <w:color w:val="auto"/>
              </w:rPr>
              <w:t>SMEIG Meeting</w:t>
            </w:r>
          </w:p>
        </w:tc>
      </w:tr>
      <w:tr w:rsidR="003D43CF" w:rsidRPr="00E176CF" w14:paraId="6454433F" w14:textId="77777777" w:rsidTr="003D43CF">
        <w:trPr>
          <w:trHeight w:val="213"/>
        </w:trPr>
        <w:tc>
          <w:tcPr>
            <w:tcW w:w="1276" w:type="dxa"/>
          </w:tcPr>
          <w:p w14:paraId="552110EF"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June 2013</w:t>
            </w:r>
          </w:p>
        </w:tc>
        <w:tc>
          <w:tcPr>
            <w:tcW w:w="8647" w:type="dxa"/>
          </w:tcPr>
          <w:p w14:paraId="7093774A" w14:textId="77777777" w:rsidR="003D43CF" w:rsidRPr="009D5A4A" w:rsidRDefault="003D43CF" w:rsidP="003D43CF">
            <w:pPr>
              <w:rPr>
                <w:rFonts w:cs="Times New Roman"/>
                <w:sz w:val="18"/>
                <w:szCs w:val="18"/>
              </w:rPr>
            </w:pPr>
            <w:r w:rsidRPr="009D5A4A">
              <w:rPr>
                <w:rFonts w:cs="Times New Roman"/>
                <w:sz w:val="18"/>
                <w:szCs w:val="18"/>
              </w:rPr>
              <w:t>The IASB issues Guidance for micro-sized entities</w:t>
            </w:r>
          </w:p>
        </w:tc>
      </w:tr>
      <w:tr w:rsidR="003D43CF" w:rsidRPr="00E176CF" w14:paraId="3D5667C6" w14:textId="77777777" w:rsidTr="003D43CF">
        <w:trPr>
          <w:trHeight w:val="131"/>
        </w:trPr>
        <w:tc>
          <w:tcPr>
            <w:tcW w:w="1276" w:type="dxa"/>
          </w:tcPr>
          <w:p w14:paraId="0FA4C159"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October 2013</w:t>
            </w:r>
          </w:p>
        </w:tc>
        <w:tc>
          <w:tcPr>
            <w:tcW w:w="8647" w:type="dxa"/>
          </w:tcPr>
          <w:p w14:paraId="3E9A37AB"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Exposure draft issued</w:t>
            </w:r>
          </w:p>
        </w:tc>
      </w:tr>
      <w:tr w:rsidR="003D43CF" w:rsidRPr="00E176CF" w14:paraId="3E8890B8" w14:textId="77777777" w:rsidTr="003D43CF">
        <w:trPr>
          <w:trHeight w:val="177"/>
        </w:trPr>
        <w:tc>
          <w:tcPr>
            <w:tcW w:w="1276" w:type="dxa"/>
          </w:tcPr>
          <w:p w14:paraId="36D7E9CD"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March 2014</w:t>
            </w:r>
          </w:p>
        </w:tc>
        <w:tc>
          <w:tcPr>
            <w:tcW w:w="8647" w:type="dxa"/>
          </w:tcPr>
          <w:p w14:paraId="14313345"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Exposure draft comment letter deadline</w:t>
            </w:r>
          </w:p>
        </w:tc>
      </w:tr>
      <w:tr w:rsidR="003D43CF" w:rsidRPr="00E176CF" w14:paraId="15D63916" w14:textId="77777777" w:rsidTr="003D43CF">
        <w:trPr>
          <w:trHeight w:val="223"/>
        </w:trPr>
        <w:tc>
          <w:tcPr>
            <w:tcW w:w="1276" w:type="dxa"/>
          </w:tcPr>
          <w:p w14:paraId="1824B498"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May 2015</w:t>
            </w:r>
          </w:p>
        </w:tc>
        <w:tc>
          <w:tcPr>
            <w:tcW w:w="8647" w:type="dxa"/>
          </w:tcPr>
          <w:p w14:paraId="5330E536" w14:textId="77777777" w:rsidR="003D43CF" w:rsidRPr="00E176CF" w:rsidRDefault="003D43CF" w:rsidP="003D43CF">
            <w:pPr>
              <w:pStyle w:val="Caption"/>
              <w:widowControl w:val="0"/>
              <w:spacing w:after="0"/>
              <w:jc w:val="both"/>
              <w:rPr>
                <w:rFonts w:cs="Times New Roman"/>
                <w:i w:val="0"/>
                <w:color w:val="auto"/>
              </w:rPr>
            </w:pPr>
            <w:r w:rsidRPr="00E176CF">
              <w:rPr>
                <w:rFonts w:cs="Times New Roman"/>
                <w:i w:val="0"/>
                <w:color w:val="auto"/>
              </w:rPr>
              <w:t>Conclusions drawn: basis of conclusion</w:t>
            </w:r>
          </w:p>
        </w:tc>
      </w:tr>
      <w:tr w:rsidR="003D43CF" w:rsidRPr="00E176CF" w14:paraId="54BCED1F" w14:textId="77777777" w:rsidTr="003D43CF">
        <w:trPr>
          <w:trHeight w:val="141"/>
        </w:trPr>
        <w:tc>
          <w:tcPr>
            <w:tcW w:w="1276" w:type="dxa"/>
          </w:tcPr>
          <w:p w14:paraId="5658CD1E" w14:textId="77777777" w:rsidR="003D43CF" w:rsidRPr="00E176CF" w:rsidRDefault="003D43CF" w:rsidP="003D43CF">
            <w:pPr>
              <w:pStyle w:val="Caption"/>
              <w:widowControl w:val="0"/>
              <w:spacing w:after="0"/>
              <w:jc w:val="both"/>
              <w:rPr>
                <w:rFonts w:cs="Times New Roman"/>
                <w:color w:val="auto"/>
              </w:rPr>
            </w:pPr>
            <w:r w:rsidRPr="00E176CF">
              <w:rPr>
                <w:rFonts w:cs="Times New Roman"/>
                <w:color w:val="auto"/>
              </w:rPr>
              <w:t>March 2016</w:t>
            </w:r>
          </w:p>
        </w:tc>
        <w:tc>
          <w:tcPr>
            <w:tcW w:w="8647" w:type="dxa"/>
          </w:tcPr>
          <w:p w14:paraId="27C1E6B8" w14:textId="77777777" w:rsidR="003D43CF" w:rsidRPr="00E176CF" w:rsidRDefault="003D43CF" w:rsidP="003D43CF">
            <w:pPr>
              <w:pStyle w:val="Caption"/>
              <w:keepNext/>
              <w:widowControl w:val="0"/>
              <w:spacing w:after="0"/>
              <w:jc w:val="both"/>
              <w:rPr>
                <w:rFonts w:cs="Times New Roman"/>
                <w:i w:val="0"/>
                <w:color w:val="auto"/>
              </w:rPr>
            </w:pPr>
            <w:r w:rsidRPr="00E176CF">
              <w:rPr>
                <w:rFonts w:cs="Times New Roman"/>
                <w:i w:val="0"/>
                <w:color w:val="auto"/>
              </w:rPr>
              <w:t>Editorial Amendments</w:t>
            </w:r>
          </w:p>
        </w:tc>
      </w:tr>
    </w:tbl>
    <w:p w14:paraId="4878DEEB" w14:textId="1EFF2452" w:rsidR="003D43CF" w:rsidRDefault="003D43CF" w:rsidP="003D43CF">
      <w:pPr>
        <w:rPr>
          <w:lang w:val="en-GB"/>
        </w:rPr>
      </w:pPr>
    </w:p>
    <w:p w14:paraId="3D211AC8" w14:textId="77777777" w:rsidR="003D43CF" w:rsidRDefault="003D43CF">
      <w:pPr>
        <w:rPr>
          <w:lang w:val="en-GB"/>
        </w:rPr>
      </w:pPr>
      <w:r>
        <w:rPr>
          <w:lang w:val="en-GB"/>
        </w:rPr>
        <w:br w:type="page"/>
      </w:r>
    </w:p>
    <w:p w14:paraId="60B66A1C" w14:textId="77777777" w:rsidR="003D43CF" w:rsidRPr="00527F70" w:rsidRDefault="003D43CF" w:rsidP="003D43CF">
      <w:pPr>
        <w:pStyle w:val="Caption"/>
        <w:keepNext/>
        <w:rPr>
          <w:i w:val="0"/>
          <w:color w:val="auto"/>
          <w:sz w:val="24"/>
        </w:rPr>
      </w:pPr>
      <w:r w:rsidRPr="00527F70">
        <w:rPr>
          <w:i w:val="0"/>
          <w:color w:val="auto"/>
          <w:sz w:val="24"/>
        </w:rPr>
        <w:t>Table 2: List of interviewees</w:t>
      </w:r>
    </w:p>
    <w:tbl>
      <w:tblPr>
        <w:tblStyle w:val="TableGrid"/>
        <w:tblW w:w="0" w:type="auto"/>
        <w:jc w:val="center"/>
        <w:tblLook w:val="04A0" w:firstRow="1" w:lastRow="0" w:firstColumn="1" w:lastColumn="0" w:noHBand="0" w:noVBand="1"/>
      </w:tblPr>
      <w:tblGrid>
        <w:gridCol w:w="1555"/>
        <w:gridCol w:w="7371"/>
      </w:tblGrid>
      <w:tr w:rsidR="003D43CF" w:rsidRPr="00E176CF" w14:paraId="22E61EFC" w14:textId="77777777" w:rsidTr="003D43CF">
        <w:trPr>
          <w:trHeight w:val="268"/>
          <w:jc w:val="center"/>
        </w:trPr>
        <w:tc>
          <w:tcPr>
            <w:tcW w:w="1555" w:type="dxa"/>
          </w:tcPr>
          <w:p w14:paraId="5111919B" w14:textId="77777777" w:rsidR="003D43CF" w:rsidRPr="00E176CF" w:rsidRDefault="003D43CF" w:rsidP="003D43CF">
            <w:pPr>
              <w:jc w:val="both"/>
              <w:rPr>
                <w:sz w:val="21"/>
                <w:szCs w:val="21"/>
                <w:lang w:val="en-GB"/>
              </w:rPr>
            </w:pPr>
            <w:r w:rsidRPr="00E176CF">
              <w:rPr>
                <w:sz w:val="21"/>
                <w:szCs w:val="21"/>
                <w:lang w:val="en-GB"/>
              </w:rPr>
              <w:t>Interviewee 1</w:t>
            </w:r>
          </w:p>
        </w:tc>
        <w:tc>
          <w:tcPr>
            <w:tcW w:w="7371" w:type="dxa"/>
          </w:tcPr>
          <w:p w14:paraId="2A0BD48E" w14:textId="77777777" w:rsidR="003D43CF" w:rsidRPr="00662F68" w:rsidRDefault="003D43CF" w:rsidP="003D43CF">
            <w:pPr>
              <w:jc w:val="both"/>
              <w:rPr>
                <w:b/>
                <w:sz w:val="21"/>
                <w:szCs w:val="21"/>
                <w:lang w:val="en-GB"/>
              </w:rPr>
            </w:pPr>
            <w:r>
              <w:rPr>
                <w:sz w:val="21"/>
                <w:szCs w:val="21"/>
                <w:lang w:val="en-GB"/>
              </w:rPr>
              <w:t>SME expert for a</w:t>
            </w:r>
            <w:r w:rsidRPr="00E176CF">
              <w:rPr>
                <w:sz w:val="21"/>
                <w:szCs w:val="21"/>
                <w:lang w:val="en-GB"/>
              </w:rPr>
              <w:t xml:space="preserve"> professional body</w:t>
            </w:r>
            <w:r>
              <w:rPr>
                <w:sz w:val="21"/>
                <w:szCs w:val="21"/>
                <w:lang w:val="en-GB"/>
              </w:rPr>
              <w:t xml:space="preserve">, involved in the development of </w:t>
            </w:r>
            <w:r w:rsidRPr="00662F68">
              <w:rPr>
                <w:i/>
                <w:sz w:val="21"/>
                <w:szCs w:val="21"/>
                <w:lang w:val="en-GB"/>
              </w:rPr>
              <w:t>IFRS for SMEs</w:t>
            </w:r>
          </w:p>
        </w:tc>
      </w:tr>
      <w:tr w:rsidR="003D43CF" w:rsidRPr="00E176CF" w14:paraId="2B1D2D5E" w14:textId="77777777" w:rsidTr="003D43CF">
        <w:trPr>
          <w:trHeight w:val="312"/>
          <w:jc w:val="center"/>
        </w:trPr>
        <w:tc>
          <w:tcPr>
            <w:tcW w:w="1555" w:type="dxa"/>
          </w:tcPr>
          <w:p w14:paraId="713F6364" w14:textId="77777777" w:rsidR="003D43CF" w:rsidRPr="00E176CF" w:rsidRDefault="003D43CF" w:rsidP="003D43CF">
            <w:pPr>
              <w:jc w:val="both"/>
              <w:rPr>
                <w:sz w:val="21"/>
                <w:szCs w:val="21"/>
                <w:lang w:val="en-GB"/>
              </w:rPr>
            </w:pPr>
            <w:r w:rsidRPr="00E176CF">
              <w:rPr>
                <w:sz w:val="21"/>
                <w:szCs w:val="21"/>
                <w:lang w:val="en-GB"/>
              </w:rPr>
              <w:t>Interviewee 2</w:t>
            </w:r>
          </w:p>
        </w:tc>
        <w:tc>
          <w:tcPr>
            <w:tcW w:w="7371" w:type="dxa"/>
          </w:tcPr>
          <w:p w14:paraId="27D4D5DC" w14:textId="77777777" w:rsidR="003D43CF" w:rsidRPr="00E176CF" w:rsidRDefault="003D43CF" w:rsidP="003D43CF">
            <w:pPr>
              <w:jc w:val="both"/>
              <w:rPr>
                <w:sz w:val="21"/>
                <w:szCs w:val="21"/>
                <w:lang w:val="en-GB"/>
              </w:rPr>
            </w:pPr>
            <w:r>
              <w:rPr>
                <w:sz w:val="21"/>
                <w:szCs w:val="21"/>
                <w:lang w:val="en-GB"/>
              </w:rPr>
              <w:t>SME expert for a</w:t>
            </w:r>
            <w:r w:rsidRPr="00E176CF">
              <w:rPr>
                <w:sz w:val="21"/>
                <w:szCs w:val="21"/>
                <w:lang w:val="en-GB"/>
              </w:rPr>
              <w:t xml:space="preserve"> professional body</w:t>
            </w:r>
            <w:r>
              <w:rPr>
                <w:sz w:val="21"/>
                <w:szCs w:val="21"/>
                <w:lang w:val="en-GB"/>
              </w:rPr>
              <w:t xml:space="preserve">, involved in the development of </w:t>
            </w:r>
            <w:r w:rsidRPr="00662F68">
              <w:rPr>
                <w:i/>
                <w:sz w:val="21"/>
                <w:szCs w:val="21"/>
                <w:lang w:val="en-GB"/>
              </w:rPr>
              <w:t>IFRS for SMEs</w:t>
            </w:r>
          </w:p>
        </w:tc>
      </w:tr>
      <w:tr w:rsidR="003D43CF" w:rsidRPr="00E176CF" w14:paraId="0AAA02D0" w14:textId="77777777" w:rsidTr="003D43CF">
        <w:trPr>
          <w:trHeight w:val="270"/>
          <w:jc w:val="center"/>
        </w:trPr>
        <w:tc>
          <w:tcPr>
            <w:tcW w:w="1555" w:type="dxa"/>
          </w:tcPr>
          <w:p w14:paraId="19623DD3" w14:textId="77777777" w:rsidR="003D43CF" w:rsidRPr="00E176CF" w:rsidRDefault="003D43CF" w:rsidP="003D43CF">
            <w:pPr>
              <w:jc w:val="both"/>
              <w:rPr>
                <w:sz w:val="21"/>
                <w:szCs w:val="21"/>
                <w:lang w:val="en-GB"/>
              </w:rPr>
            </w:pPr>
            <w:r w:rsidRPr="00E176CF">
              <w:rPr>
                <w:sz w:val="21"/>
                <w:szCs w:val="21"/>
                <w:lang w:val="en-GB"/>
              </w:rPr>
              <w:t>Interviewee 3</w:t>
            </w:r>
          </w:p>
        </w:tc>
        <w:tc>
          <w:tcPr>
            <w:tcW w:w="7371" w:type="dxa"/>
          </w:tcPr>
          <w:p w14:paraId="68EA96D9" w14:textId="77777777" w:rsidR="003D43CF" w:rsidRPr="00E176CF" w:rsidRDefault="003D43CF" w:rsidP="003D43CF">
            <w:pPr>
              <w:jc w:val="both"/>
              <w:rPr>
                <w:sz w:val="21"/>
                <w:szCs w:val="21"/>
                <w:lang w:val="en-GB"/>
              </w:rPr>
            </w:pPr>
            <w:r>
              <w:rPr>
                <w:sz w:val="21"/>
                <w:szCs w:val="21"/>
                <w:lang w:val="en-GB"/>
              </w:rPr>
              <w:t xml:space="preserve">Gave feedback and commented on </w:t>
            </w:r>
            <w:r w:rsidRPr="003E0413">
              <w:rPr>
                <w:i/>
                <w:sz w:val="21"/>
                <w:szCs w:val="21"/>
                <w:lang w:val="en-GB"/>
              </w:rPr>
              <w:t>IFRS for SMEs</w:t>
            </w:r>
            <w:r>
              <w:rPr>
                <w:i/>
                <w:sz w:val="21"/>
                <w:szCs w:val="21"/>
                <w:lang w:val="en-GB"/>
              </w:rPr>
              <w:t xml:space="preserve">, </w:t>
            </w:r>
            <w:r w:rsidRPr="00BB3249">
              <w:rPr>
                <w:sz w:val="21"/>
                <w:szCs w:val="21"/>
                <w:lang w:val="en-GB"/>
              </w:rPr>
              <w:t>and was involved in the due process</w:t>
            </w:r>
          </w:p>
        </w:tc>
      </w:tr>
      <w:tr w:rsidR="003D43CF" w:rsidRPr="00E176CF" w14:paraId="4064622B" w14:textId="77777777" w:rsidTr="003D43CF">
        <w:trPr>
          <w:jc w:val="center"/>
        </w:trPr>
        <w:tc>
          <w:tcPr>
            <w:tcW w:w="1555" w:type="dxa"/>
          </w:tcPr>
          <w:p w14:paraId="373AA255" w14:textId="77777777" w:rsidR="003D43CF" w:rsidRPr="00E176CF" w:rsidRDefault="003D43CF" w:rsidP="003D43CF">
            <w:pPr>
              <w:jc w:val="both"/>
              <w:rPr>
                <w:sz w:val="21"/>
                <w:szCs w:val="21"/>
                <w:lang w:val="en-GB"/>
              </w:rPr>
            </w:pPr>
            <w:r w:rsidRPr="00E176CF">
              <w:rPr>
                <w:sz w:val="21"/>
                <w:szCs w:val="21"/>
                <w:lang w:val="en-GB"/>
              </w:rPr>
              <w:t>Interviewee 4</w:t>
            </w:r>
          </w:p>
        </w:tc>
        <w:tc>
          <w:tcPr>
            <w:tcW w:w="7371" w:type="dxa"/>
          </w:tcPr>
          <w:p w14:paraId="5F725644" w14:textId="77777777" w:rsidR="003D43CF" w:rsidRPr="00E176CF" w:rsidRDefault="003D43CF" w:rsidP="003D43CF">
            <w:pPr>
              <w:jc w:val="both"/>
              <w:rPr>
                <w:sz w:val="21"/>
                <w:szCs w:val="21"/>
                <w:lang w:val="en-GB"/>
              </w:rPr>
            </w:pPr>
            <w:r w:rsidRPr="00E176CF">
              <w:rPr>
                <w:sz w:val="21"/>
                <w:szCs w:val="21"/>
                <w:lang w:val="en-GB"/>
              </w:rPr>
              <w:t>Academic</w:t>
            </w:r>
            <w:r>
              <w:rPr>
                <w:sz w:val="21"/>
                <w:szCs w:val="21"/>
                <w:lang w:val="en-GB"/>
              </w:rPr>
              <w:t xml:space="preserve"> who has conducted research on the development of </w:t>
            </w:r>
            <w:r w:rsidRPr="0055168C">
              <w:rPr>
                <w:i/>
                <w:sz w:val="21"/>
                <w:szCs w:val="21"/>
                <w:lang w:val="en-GB"/>
              </w:rPr>
              <w:t>IFRS for SMEs</w:t>
            </w:r>
            <w:r>
              <w:rPr>
                <w:sz w:val="21"/>
                <w:szCs w:val="21"/>
                <w:lang w:val="en-GB"/>
              </w:rPr>
              <w:t xml:space="preserve"> </w:t>
            </w:r>
          </w:p>
        </w:tc>
      </w:tr>
      <w:tr w:rsidR="003D43CF" w:rsidRPr="00E176CF" w14:paraId="275363AA" w14:textId="77777777" w:rsidTr="003D43CF">
        <w:trPr>
          <w:jc w:val="center"/>
        </w:trPr>
        <w:tc>
          <w:tcPr>
            <w:tcW w:w="1555" w:type="dxa"/>
          </w:tcPr>
          <w:p w14:paraId="6616E1F0" w14:textId="77777777" w:rsidR="003D43CF" w:rsidRPr="00E176CF" w:rsidRDefault="003D43CF" w:rsidP="003D43CF">
            <w:pPr>
              <w:jc w:val="both"/>
              <w:rPr>
                <w:sz w:val="21"/>
                <w:szCs w:val="21"/>
                <w:lang w:val="en-GB"/>
              </w:rPr>
            </w:pPr>
            <w:r w:rsidRPr="00E176CF">
              <w:rPr>
                <w:sz w:val="21"/>
                <w:szCs w:val="21"/>
                <w:lang w:val="en-GB"/>
              </w:rPr>
              <w:t>Interviewee 5</w:t>
            </w:r>
          </w:p>
        </w:tc>
        <w:tc>
          <w:tcPr>
            <w:tcW w:w="7371" w:type="dxa"/>
          </w:tcPr>
          <w:p w14:paraId="16E6979F" w14:textId="77777777" w:rsidR="003D43CF" w:rsidRPr="00E176CF" w:rsidRDefault="003D43CF" w:rsidP="003D43CF">
            <w:pPr>
              <w:jc w:val="both"/>
              <w:rPr>
                <w:sz w:val="21"/>
                <w:szCs w:val="21"/>
                <w:lang w:val="en-GB"/>
              </w:rPr>
            </w:pPr>
            <w:r w:rsidRPr="00E176CF">
              <w:rPr>
                <w:sz w:val="21"/>
                <w:szCs w:val="21"/>
                <w:lang w:val="en-GB"/>
              </w:rPr>
              <w:t xml:space="preserve">Involved in </w:t>
            </w:r>
            <w:r>
              <w:rPr>
                <w:sz w:val="21"/>
                <w:szCs w:val="21"/>
                <w:lang w:val="en-GB"/>
              </w:rPr>
              <w:t xml:space="preserve">development of IFRS for SMEs </w:t>
            </w:r>
          </w:p>
        </w:tc>
      </w:tr>
      <w:tr w:rsidR="003D43CF" w:rsidRPr="00E176CF" w14:paraId="527EC2A5" w14:textId="77777777" w:rsidTr="003D43CF">
        <w:trPr>
          <w:jc w:val="center"/>
        </w:trPr>
        <w:tc>
          <w:tcPr>
            <w:tcW w:w="1555" w:type="dxa"/>
          </w:tcPr>
          <w:p w14:paraId="45232D60" w14:textId="77777777" w:rsidR="003D43CF" w:rsidRPr="00E176CF" w:rsidRDefault="003D43CF" w:rsidP="003D43CF">
            <w:pPr>
              <w:jc w:val="both"/>
              <w:rPr>
                <w:sz w:val="21"/>
                <w:szCs w:val="21"/>
                <w:lang w:val="en-GB"/>
              </w:rPr>
            </w:pPr>
            <w:r w:rsidRPr="00E176CF">
              <w:rPr>
                <w:sz w:val="21"/>
                <w:szCs w:val="21"/>
                <w:lang w:val="en-GB"/>
              </w:rPr>
              <w:t>Interviewee 6</w:t>
            </w:r>
          </w:p>
        </w:tc>
        <w:tc>
          <w:tcPr>
            <w:tcW w:w="7371" w:type="dxa"/>
          </w:tcPr>
          <w:p w14:paraId="719093B0" w14:textId="77777777" w:rsidR="003D43CF" w:rsidRPr="00E176CF" w:rsidRDefault="003D43CF" w:rsidP="003D43CF">
            <w:pPr>
              <w:jc w:val="both"/>
              <w:rPr>
                <w:sz w:val="21"/>
                <w:szCs w:val="21"/>
                <w:lang w:val="en-GB"/>
              </w:rPr>
            </w:pPr>
            <w:r w:rsidRPr="00E176CF">
              <w:rPr>
                <w:sz w:val="21"/>
                <w:szCs w:val="21"/>
                <w:lang w:val="en-GB"/>
              </w:rPr>
              <w:t xml:space="preserve">Involved in </w:t>
            </w:r>
            <w:r>
              <w:rPr>
                <w:sz w:val="21"/>
                <w:szCs w:val="21"/>
                <w:lang w:val="en-GB"/>
              </w:rPr>
              <w:t xml:space="preserve">development of </w:t>
            </w:r>
            <w:r w:rsidRPr="0055168C">
              <w:rPr>
                <w:i/>
                <w:sz w:val="21"/>
                <w:szCs w:val="21"/>
                <w:lang w:val="en-GB"/>
              </w:rPr>
              <w:t>IFRS for SMEs</w:t>
            </w:r>
            <w:r>
              <w:rPr>
                <w:sz w:val="21"/>
                <w:szCs w:val="21"/>
                <w:lang w:val="en-GB"/>
              </w:rPr>
              <w:t>, on the working group</w:t>
            </w:r>
            <w:r w:rsidRPr="00E176CF">
              <w:rPr>
                <w:sz w:val="21"/>
                <w:szCs w:val="21"/>
                <w:lang w:val="en-GB"/>
              </w:rPr>
              <w:t xml:space="preserve"> and in work with </w:t>
            </w:r>
            <w:r>
              <w:rPr>
                <w:sz w:val="21"/>
                <w:szCs w:val="21"/>
                <w:lang w:val="en-GB"/>
              </w:rPr>
              <w:t xml:space="preserve">the International Financial Institutions. </w:t>
            </w:r>
          </w:p>
        </w:tc>
      </w:tr>
      <w:tr w:rsidR="003D43CF" w:rsidRPr="00E176CF" w14:paraId="794ADD06" w14:textId="77777777" w:rsidTr="003D43CF">
        <w:trPr>
          <w:trHeight w:val="324"/>
          <w:jc w:val="center"/>
        </w:trPr>
        <w:tc>
          <w:tcPr>
            <w:tcW w:w="1555" w:type="dxa"/>
          </w:tcPr>
          <w:p w14:paraId="63FE0995" w14:textId="77777777" w:rsidR="003D43CF" w:rsidRPr="00E176CF" w:rsidRDefault="003D43CF" w:rsidP="003D43CF">
            <w:pPr>
              <w:jc w:val="both"/>
              <w:rPr>
                <w:sz w:val="21"/>
                <w:szCs w:val="21"/>
                <w:lang w:val="en-GB"/>
              </w:rPr>
            </w:pPr>
            <w:r w:rsidRPr="00E176CF">
              <w:rPr>
                <w:sz w:val="21"/>
                <w:szCs w:val="21"/>
                <w:lang w:val="en-GB"/>
              </w:rPr>
              <w:t>Interviewee 7</w:t>
            </w:r>
          </w:p>
        </w:tc>
        <w:tc>
          <w:tcPr>
            <w:tcW w:w="7371" w:type="dxa"/>
          </w:tcPr>
          <w:p w14:paraId="23C28A93" w14:textId="77777777" w:rsidR="003D43CF" w:rsidRPr="00E176CF" w:rsidRDefault="003D43CF" w:rsidP="003D43CF">
            <w:pPr>
              <w:jc w:val="both"/>
              <w:rPr>
                <w:sz w:val="21"/>
                <w:szCs w:val="21"/>
                <w:lang w:val="en-GB"/>
              </w:rPr>
            </w:pPr>
            <w:r w:rsidRPr="00E176CF">
              <w:rPr>
                <w:sz w:val="21"/>
                <w:szCs w:val="21"/>
                <w:lang w:val="en-GB"/>
              </w:rPr>
              <w:t xml:space="preserve">Involved in </w:t>
            </w:r>
            <w:r>
              <w:rPr>
                <w:sz w:val="21"/>
                <w:szCs w:val="21"/>
                <w:lang w:val="en-GB"/>
              </w:rPr>
              <w:t xml:space="preserve">development of </w:t>
            </w:r>
            <w:r w:rsidRPr="0055168C">
              <w:rPr>
                <w:i/>
                <w:sz w:val="21"/>
                <w:szCs w:val="21"/>
                <w:lang w:val="en-GB"/>
              </w:rPr>
              <w:t>IFRS for SMEs</w:t>
            </w:r>
            <w:r>
              <w:rPr>
                <w:sz w:val="21"/>
                <w:szCs w:val="21"/>
                <w:lang w:val="en-GB"/>
              </w:rPr>
              <w:t>, on the working group, involved in the EFRAG</w:t>
            </w:r>
          </w:p>
        </w:tc>
      </w:tr>
      <w:tr w:rsidR="003D43CF" w:rsidRPr="00E176CF" w14:paraId="513EF466" w14:textId="77777777" w:rsidTr="003D43CF">
        <w:trPr>
          <w:jc w:val="center"/>
        </w:trPr>
        <w:tc>
          <w:tcPr>
            <w:tcW w:w="1555" w:type="dxa"/>
          </w:tcPr>
          <w:p w14:paraId="480E3527" w14:textId="77777777" w:rsidR="003D43CF" w:rsidRPr="00E176CF" w:rsidRDefault="003D43CF" w:rsidP="003D43CF">
            <w:pPr>
              <w:jc w:val="both"/>
              <w:rPr>
                <w:sz w:val="21"/>
                <w:szCs w:val="21"/>
                <w:lang w:val="en-GB"/>
              </w:rPr>
            </w:pPr>
            <w:r w:rsidRPr="00E176CF">
              <w:rPr>
                <w:sz w:val="21"/>
                <w:szCs w:val="21"/>
                <w:lang w:val="en-GB"/>
              </w:rPr>
              <w:t>Interviewee 8</w:t>
            </w:r>
          </w:p>
        </w:tc>
        <w:tc>
          <w:tcPr>
            <w:tcW w:w="7371" w:type="dxa"/>
          </w:tcPr>
          <w:p w14:paraId="6419EA50" w14:textId="77777777" w:rsidR="003D43CF" w:rsidRPr="00E176CF" w:rsidRDefault="003D43CF" w:rsidP="003D43CF">
            <w:pPr>
              <w:jc w:val="both"/>
              <w:rPr>
                <w:sz w:val="21"/>
                <w:szCs w:val="21"/>
                <w:lang w:val="en-GB"/>
              </w:rPr>
            </w:pPr>
            <w:r w:rsidRPr="00E176CF">
              <w:rPr>
                <w:sz w:val="21"/>
                <w:szCs w:val="21"/>
                <w:lang w:val="en-GB"/>
              </w:rPr>
              <w:t>Academic</w:t>
            </w:r>
            <w:r>
              <w:rPr>
                <w:sz w:val="21"/>
                <w:szCs w:val="21"/>
                <w:lang w:val="en-GB"/>
              </w:rPr>
              <w:t xml:space="preserve"> with a focus on SME financial reporting</w:t>
            </w:r>
            <w:r w:rsidRPr="00E176CF">
              <w:rPr>
                <w:sz w:val="21"/>
                <w:szCs w:val="21"/>
                <w:lang w:val="en-GB"/>
              </w:rPr>
              <w:t xml:space="preserve"> </w:t>
            </w:r>
            <w:r>
              <w:rPr>
                <w:sz w:val="21"/>
                <w:szCs w:val="21"/>
                <w:lang w:val="en-GB"/>
              </w:rPr>
              <w:t xml:space="preserve">and observer of the development of IFRS for SMEs </w:t>
            </w:r>
          </w:p>
        </w:tc>
      </w:tr>
      <w:tr w:rsidR="003D43CF" w:rsidRPr="00E176CF" w14:paraId="5AA7EA87" w14:textId="77777777" w:rsidTr="003D43CF">
        <w:trPr>
          <w:trHeight w:val="256"/>
          <w:jc w:val="center"/>
        </w:trPr>
        <w:tc>
          <w:tcPr>
            <w:tcW w:w="1555" w:type="dxa"/>
          </w:tcPr>
          <w:p w14:paraId="7732D820" w14:textId="77777777" w:rsidR="003D43CF" w:rsidRPr="00E176CF" w:rsidRDefault="003D43CF" w:rsidP="003D43CF">
            <w:pPr>
              <w:jc w:val="both"/>
              <w:rPr>
                <w:sz w:val="21"/>
                <w:szCs w:val="21"/>
                <w:lang w:val="en-GB"/>
              </w:rPr>
            </w:pPr>
            <w:r w:rsidRPr="00E176CF">
              <w:rPr>
                <w:sz w:val="21"/>
                <w:szCs w:val="21"/>
                <w:lang w:val="en-GB"/>
              </w:rPr>
              <w:t>Interviewee 9</w:t>
            </w:r>
          </w:p>
        </w:tc>
        <w:tc>
          <w:tcPr>
            <w:tcW w:w="7371" w:type="dxa"/>
          </w:tcPr>
          <w:p w14:paraId="749A331E" w14:textId="77777777" w:rsidR="003D43CF" w:rsidRPr="00E176CF" w:rsidRDefault="003D43CF" w:rsidP="003D43CF">
            <w:pPr>
              <w:jc w:val="both"/>
              <w:rPr>
                <w:sz w:val="21"/>
                <w:szCs w:val="21"/>
                <w:lang w:val="en-GB"/>
              </w:rPr>
            </w:pPr>
            <w:r w:rsidRPr="00E176CF">
              <w:rPr>
                <w:sz w:val="21"/>
                <w:szCs w:val="21"/>
                <w:lang w:val="en-GB"/>
              </w:rPr>
              <w:t>Involved in work with the International Public Sector Accounting Standards</w:t>
            </w:r>
            <w:r>
              <w:rPr>
                <w:sz w:val="21"/>
                <w:szCs w:val="21"/>
                <w:lang w:val="en-GB"/>
              </w:rPr>
              <w:t xml:space="preserve"> with knowledge of the development of IFRS for SMEs and its connection to IPAC</w:t>
            </w:r>
            <w:r w:rsidRPr="00E176CF">
              <w:rPr>
                <w:sz w:val="21"/>
                <w:szCs w:val="21"/>
                <w:lang w:val="en-GB"/>
              </w:rPr>
              <w:t xml:space="preserve"> </w:t>
            </w:r>
          </w:p>
        </w:tc>
      </w:tr>
      <w:tr w:rsidR="003D43CF" w:rsidRPr="00E176CF" w14:paraId="503AC988" w14:textId="77777777" w:rsidTr="003D43CF">
        <w:trPr>
          <w:jc w:val="center"/>
        </w:trPr>
        <w:tc>
          <w:tcPr>
            <w:tcW w:w="1555" w:type="dxa"/>
          </w:tcPr>
          <w:p w14:paraId="76DD14C8" w14:textId="77777777" w:rsidR="003D43CF" w:rsidRPr="00E176CF" w:rsidRDefault="003D43CF" w:rsidP="003D43CF">
            <w:pPr>
              <w:jc w:val="both"/>
              <w:rPr>
                <w:sz w:val="21"/>
                <w:szCs w:val="21"/>
                <w:lang w:val="en-GB"/>
              </w:rPr>
            </w:pPr>
            <w:r w:rsidRPr="00E176CF">
              <w:rPr>
                <w:sz w:val="21"/>
                <w:szCs w:val="21"/>
                <w:lang w:val="en-GB"/>
              </w:rPr>
              <w:t>Interviewee 10</w:t>
            </w:r>
          </w:p>
        </w:tc>
        <w:tc>
          <w:tcPr>
            <w:tcW w:w="7371" w:type="dxa"/>
          </w:tcPr>
          <w:p w14:paraId="1A733166"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board member</w:t>
            </w:r>
          </w:p>
        </w:tc>
      </w:tr>
      <w:tr w:rsidR="003D43CF" w:rsidRPr="00E176CF" w14:paraId="4FDD6B55" w14:textId="77777777" w:rsidTr="003D43CF">
        <w:trPr>
          <w:trHeight w:val="76"/>
          <w:jc w:val="center"/>
        </w:trPr>
        <w:tc>
          <w:tcPr>
            <w:tcW w:w="1555" w:type="dxa"/>
          </w:tcPr>
          <w:p w14:paraId="7A523813" w14:textId="77777777" w:rsidR="003D43CF" w:rsidRPr="00E176CF" w:rsidRDefault="003D43CF" w:rsidP="003D43CF">
            <w:pPr>
              <w:jc w:val="both"/>
              <w:rPr>
                <w:sz w:val="21"/>
                <w:szCs w:val="21"/>
                <w:lang w:val="en-GB"/>
              </w:rPr>
            </w:pPr>
            <w:r w:rsidRPr="00E176CF">
              <w:rPr>
                <w:sz w:val="21"/>
                <w:szCs w:val="21"/>
                <w:lang w:val="en-GB"/>
              </w:rPr>
              <w:t>Interviewee 11</w:t>
            </w:r>
          </w:p>
        </w:tc>
        <w:tc>
          <w:tcPr>
            <w:tcW w:w="7371" w:type="dxa"/>
          </w:tcPr>
          <w:p w14:paraId="3F3E30A8"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xml:space="preserve">, staff member </w:t>
            </w:r>
          </w:p>
        </w:tc>
      </w:tr>
      <w:tr w:rsidR="003D43CF" w:rsidRPr="00E176CF" w14:paraId="5C4386CE" w14:textId="77777777" w:rsidTr="003D43CF">
        <w:trPr>
          <w:trHeight w:val="326"/>
          <w:jc w:val="center"/>
        </w:trPr>
        <w:tc>
          <w:tcPr>
            <w:tcW w:w="1555" w:type="dxa"/>
          </w:tcPr>
          <w:p w14:paraId="7C6B6E99" w14:textId="77777777" w:rsidR="003D43CF" w:rsidRPr="00E176CF" w:rsidRDefault="003D43CF" w:rsidP="003D43CF">
            <w:pPr>
              <w:jc w:val="both"/>
              <w:rPr>
                <w:sz w:val="21"/>
                <w:szCs w:val="21"/>
                <w:lang w:val="en-GB"/>
              </w:rPr>
            </w:pPr>
            <w:r w:rsidRPr="00E176CF">
              <w:rPr>
                <w:sz w:val="21"/>
                <w:szCs w:val="21"/>
                <w:lang w:val="en-GB"/>
              </w:rPr>
              <w:t>Interviewee 12</w:t>
            </w:r>
          </w:p>
        </w:tc>
        <w:tc>
          <w:tcPr>
            <w:tcW w:w="7371" w:type="dxa"/>
          </w:tcPr>
          <w:p w14:paraId="407ED1CD"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staff member</w:t>
            </w:r>
          </w:p>
        </w:tc>
      </w:tr>
      <w:tr w:rsidR="003D43CF" w:rsidRPr="00E176CF" w14:paraId="57B48C70" w14:textId="77777777" w:rsidTr="003D43CF">
        <w:trPr>
          <w:jc w:val="center"/>
        </w:trPr>
        <w:tc>
          <w:tcPr>
            <w:tcW w:w="1555" w:type="dxa"/>
          </w:tcPr>
          <w:p w14:paraId="259764CE" w14:textId="77777777" w:rsidR="003D43CF" w:rsidRPr="00E176CF" w:rsidRDefault="003D43CF" w:rsidP="003D43CF">
            <w:pPr>
              <w:jc w:val="both"/>
              <w:rPr>
                <w:sz w:val="21"/>
                <w:szCs w:val="21"/>
                <w:lang w:val="en-GB"/>
              </w:rPr>
            </w:pPr>
            <w:r w:rsidRPr="00E176CF">
              <w:rPr>
                <w:sz w:val="21"/>
                <w:szCs w:val="21"/>
                <w:lang w:val="en-GB"/>
              </w:rPr>
              <w:t>Interviewee 13</w:t>
            </w:r>
          </w:p>
        </w:tc>
        <w:tc>
          <w:tcPr>
            <w:tcW w:w="7371" w:type="dxa"/>
          </w:tcPr>
          <w:p w14:paraId="3C02EFC1" w14:textId="77777777" w:rsidR="003D43CF" w:rsidRPr="00E176CF" w:rsidRDefault="003D43CF" w:rsidP="003D43CF">
            <w:pPr>
              <w:jc w:val="both"/>
              <w:rPr>
                <w:sz w:val="21"/>
                <w:szCs w:val="21"/>
                <w:lang w:val="en-GB"/>
              </w:rPr>
            </w:pPr>
            <w:r w:rsidRPr="00E176CF">
              <w:rPr>
                <w:sz w:val="21"/>
                <w:szCs w:val="21"/>
                <w:lang w:val="en-GB"/>
              </w:rPr>
              <w:t xml:space="preserve">Involved in </w:t>
            </w:r>
            <w:r>
              <w:rPr>
                <w:sz w:val="21"/>
                <w:szCs w:val="21"/>
                <w:lang w:val="en-GB"/>
              </w:rPr>
              <w:t>international</w:t>
            </w:r>
            <w:r w:rsidRPr="00E176CF">
              <w:rPr>
                <w:sz w:val="21"/>
                <w:szCs w:val="21"/>
                <w:lang w:val="en-GB"/>
              </w:rPr>
              <w:t xml:space="preserve"> standard setting</w:t>
            </w:r>
            <w:r>
              <w:rPr>
                <w:sz w:val="21"/>
                <w:szCs w:val="21"/>
                <w:lang w:val="en-GB"/>
              </w:rPr>
              <w:t xml:space="preserve">, board member </w:t>
            </w:r>
          </w:p>
        </w:tc>
      </w:tr>
      <w:tr w:rsidR="003D43CF" w:rsidRPr="00E176CF" w14:paraId="7E868680" w14:textId="77777777" w:rsidTr="003D43CF">
        <w:trPr>
          <w:trHeight w:val="66"/>
          <w:jc w:val="center"/>
        </w:trPr>
        <w:tc>
          <w:tcPr>
            <w:tcW w:w="1555" w:type="dxa"/>
          </w:tcPr>
          <w:p w14:paraId="447C8FE9" w14:textId="77777777" w:rsidR="003D43CF" w:rsidRPr="00E176CF" w:rsidRDefault="003D43CF" w:rsidP="003D43CF">
            <w:pPr>
              <w:jc w:val="both"/>
              <w:rPr>
                <w:sz w:val="21"/>
                <w:szCs w:val="21"/>
                <w:lang w:val="en-GB"/>
              </w:rPr>
            </w:pPr>
            <w:r w:rsidRPr="00E176CF">
              <w:rPr>
                <w:sz w:val="21"/>
                <w:szCs w:val="21"/>
                <w:lang w:val="en-GB"/>
              </w:rPr>
              <w:t>Interviewee 14</w:t>
            </w:r>
          </w:p>
        </w:tc>
        <w:tc>
          <w:tcPr>
            <w:tcW w:w="7371" w:type="dxa"/>
          </w:tcPr>
          <w:p w14:paraId="79A9B4B5"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xml:space="preserve"> for </w:t>
            </w:r>
            <w:r w:rsidRPr="0055168C">
              <w:rPr>
                <w:i/>
                <w:sz w:val="21"/>
                <w:szCs w:val="21"/>
                <w:lang w:val="en-GB"/>
              </w:rPr>
              <w:t>IFRS for SMEs</w:t>
            </w:r>
            <w:r>
              <w:rPr>
                <w:sz w:val="21"/>
                <w:szCs w:val="21"/>
                <w:lang w:val="en-GB"/>
              </w:rPr>
              <w:t xml:space="preserve">, board member </w:t>
            </w:r>
          </w:p>
        </w:tc>
      </w:tr>
      <w:tr w:rsidR="003D43CF" w:rsidRPr="00E176CF" w14:paraId="0340280B" w14:textId="77777777" w:rsidTr="003D43CF">
        <w:trPr>
          <w:trHeight w:val="295"/>
          <w:jc w:val="center"/>
        </w:trPr>
        <w:tc>
          <w:tcPr>
            <w:tcW w:w="1555" w:type="dxa"/>
          </w:tcPr>
          <w:p w14:paraId="09E2DB5B" w14:textId="77777777" w:rsidR="003D43CF" w:rsidRPr="00E176CF" w:rsidRDefault="003D43CF" w:rsidP="003D43CF">
            <w:pPr>
              <w:jc w:val="both"/>
              <w:rPr>
                <w:sz w:val="21"/>
                <w:szCs w:val="21"/>
                <w:lang w:val="en-GB"/>
              </w:rPr>
            </w:pPr>
            <w:r w:rsidRPr="00E176CF">
              <w:rPr>
                <w:sz w:val="21"/>
                <w:szCs w:val="21"/>
                <w:lang w:val="en-GB"/>
              </w:rPr>
              <w:t>Interviewee 15</w:t>
            </w:r>
          </w:p>
        </w:tc>
        <w:tc>
          <w:tcPr>
            <w:tcW w:w="7371" w:type="dxa"/>
          </w:tcPr>
          <w:p w14:paraId="5F05F977" w14:textId="77777777" w:rsidR="003D43CF" w:rsidRPr="00E176CF" w:rsidRDefault="003D43CF" w:rsidP="003D43CF">
            <w:pPr>
              <w:jc w:val="both"/>
              <w:rPr>
                <w:sz w:val="21"/>
                <w:szCs w:val="21"/>
                <w:lang w:val="en-GB"/>
              </w:rPr>
            </w:pPr>
            <w:r w:rsidRPr="00E176CF">
              <w:rPr>
                <w:sz w:val="21"/>
                <w:szCs w:val="21"/>
                <w:lang w:val="en-GB"/>
              </w:rPr>
              <w:t>Involved in work with the IFAC</w:t>
            </w:r>
            <w:r>
              <w:rPr>
                <w:sz w:val="21"/>
                <w:szCs w:val="21"/>
                <w:lang w:val="en-GB"/>
              </w:rPr>
              <w:t xml:space="preserve">, with knowledge of the development of </w:t>
            </w:r>
            <w:r w:rsidRPr="009434FB">
              <w:rPr>
                <w:i/>
                <w:sz w:val="21"/>
                <w:szCs w:val="21"/>
                <w:lang w:val="en-GB"/>
              </w:rPr>
              <w:t>IFRS for SMEs</w:t>
            </w:r>
            <w:r>
              <w:rPr>
                <w:sz w:val="21"/>
                <w:szCs w:val="21"/>
                <w:lang w:val="en-GB"/>
              </w:rPr>
              <w:t xml:space="preserve"> and its connection to the IFAC</w:t>
            </w:r>
          </w:p>
        </w:tc>
      </w:tr>
      <w:tr w:rsidR="003D43CF" w:rsidRPr="00E176CF" w14:paraId="443EB1B4" w14:textId="77777777" w:rsidTr="003D43CF">
        <w:trPr>
          <w:trHeight w:val="130"/>
          <w:jc w:val="center"/>
        </w:trPr>
        <w:tc>
          <w:tcPr>
            <w:tcW w:w="1555" w:type="dxa"/>
          </w:tcPr>
          <w:p w14:paraId="4F4CF15B" w14:textId="77777777" w:rsidR="003D43CF" w:rsidRPr="00E176CF" w:rsidRDefault="003D43CF" w:rsidP="003D43CF">
            <w:pPr>
              <w:jc w:val="both"/>
              <w:rPr>
                <w:sz w:val="21"/>
                <w:szCs w:val="21"/>
                <w:lang w:val="en-GB"/>
              </w:rPr>
            </w:pPr>
            <w:r w:rsidRPr="00E176CF">
              <w:rPr>
                <w:sz w:val="21"/>
                <w:szCs w:val="21"/>
                <w:lang w:val="en-GB"/>
              </w:rPr>
              <w:t>Interviewee 16</w:t>
            </w:r>
          </w:p>
        </w:tc>
        <w:tc>
          <w:tcPr>
            <w:tcW w:w="7371" w:type="dxa"/>
          </w:tcPr>
          <w:p w14:paraId="55D41537" w14:textId="77777777" w:rsidR="003D43CF" w:rsidRPr="00E176CF" w:rsidRDefault="003D43CF" w:rsidP="003D43CF">
            <w:pPr>
              <w:jc w:val="both"/>
              <w:rPr>
                <w:sz w:val="21"/>
                <w:szCs w:val="21"/>
                <w:lang w:val="en-GB"/>
              </w:rPr>
            </w:pPr>
            <w:r w:rsidRPr="00E176CF">
              <w:rPr>
                <w:sz w:val="21"/>
                <w:szCs w:val="21"/>
                <w:lang w:val="en-GB"/>
              </w:rPr>
              <w:t>Involved in national standard setting</w:t>
            </w:r>
            <w:r>
              <w:rPr>
                <w:sz w:val="21"/>
                <w:szCs w:val="21"/>
                <w:lang w:val="en-GB"/>
              </w:rPr>
              <w:t xml:space="preserve">, and the working group for </w:t>
            </w:r>
            <w:r w:rsidRPr="009434FB">
              <w:rPr>
                <w:i/>
                <w:sz w:val="21"/>
                <w:szCs w:val="21"/>
                <w:lang w:val="en-GB"/>
              </w:rPr>
              <w:t>IFRS for SMEs</w:t>
            </w:r>
            <w:r>
              <w:rPr>
                <w:sz w:val="21"/>
                <w:szCs w:val="21"/>
                <w:lang w:val="en-GB"/>
              </w:rPr>
              <w:t xml:space="preserve"> </w:t>
            </w:r>
          </w:p>
        </w:tc>
      </w:tr>
      <w:tr w:rsidR="003D43CF" w:rsidRPr="00E176CF" w14:paraId="1F8F2471" w14:textId="77777777" w:rsidTr="003D43CF">
        <w:trPr>
          <w:trHeight w:val="325"/>
          <w:jc w:val="center"/>
        </w:trPr>
        <w:tc>
          <w:tcPr>
            <w:tcW w:w="1555" w:type="dxa"/>
          </w:tcPr>
          <w:p w14:paraId="34340E3F" w14:textId="77777777" w:rsidR="003D43CF" w:rsidRPr="00E176CF" w:rsidRDefault="003D43CF" w:rsidP="003D43CF">
            <w:pPr>
              <w:jc w:val="both"/>
              <w:rPr>
                <w:sz w:val="21"/>
                <w:szCs w:val="21"/>
                <w:lang w:val="en-GB"/>
              </w:rPr>
            </w:pPr>
            <w:r w:rsidRPr="00E176CF">
              <w:rPr>
                <w:sz w:val="21"/>
                <w:szCs w:val="21"/>
                <w:lang w:val="en-GB"/>
              </w:rPr>
              <w:t>Interviewee 17</w:t>
            </w:r>
          </w:p>
        </w:tc>
        <w:tc>
          <w:tcPr>
            <w:tcW w:w="7371" w:type="dxa"/>
          </w:tcPr>
          <w:p w14:paraId="4C136825"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xml:space="preserve">, board member </w:t>
            </w:r>
          </w:p>
        </w:tc>
      </w:tr>
      <w:tr w:rsidR="003D43CF" w:rsidRPr="00E176CF" w14:paraId="7C846614" w14:textId="77777777" w:rsidTr="003D43CF">
        <w:trPr>
          <w:trHeight w:val="269"/>
          <w:jc w:val="center"/>
        </w:trPr>
        <w:tc>
          <w:tcPr>
            <w:tcW w:w="1555" w:type="dxa"/>
          </w:tcPr>
          <w:p w14:paraId="5175C416" w14:textId="77777777" w:rsidR="003D43CF" w:rsidRPr="00E176CF" w:rsidRDefault="003D43CF" w:rsidP="003D43CF">
            <w:pPr>
              <w:jc w:val="both"/>
              <w:rPr>
                <w:sz w:val="21"/>
                <w:szCs w:val="21"/>
                <w:lang w:val="en-GB"/>
              </w:rPr>
            </w:pPr>
            <w:r w:rsidRPr="00E176CF">
              <w:rPr>
                <w:sz w:val="21"/>
                <w:szCs w:val="21"/>
                <w:lang w:val="en-GB"/>
              </w:rPr>
              <w:t>Interviewee 18</w:t>
            </w:r>
          </w:p>
        </w:tc>
        <w:tc>
          <w:tcPr>
            <w:tcW w:w="7371" w:type="dxa"/>
          </w:tcPr>
          <w:p w14:paraId="2DF0734F" w14:textId="77777777" w:rsidR="003D43CF" w:rsidRPr="00E176CF" w:rsidRDefault="003D43CF" w:rsidP="003D43CF">
            <w:pPr>
              <w:jc w:val="both"/>
              <w:rPr>
                <w:sz w:val="21"/>
                <w:szCs w:val="21"/>
                <w:lang w:val="en-GB"/>
              </w:rPr>
            </w:pPr>
            <w:r w:rsidRPr="00E176CF">
              <w:rPr>
                <w:sz w:val="21"/>
                <w:szCs w:val="21"/>
                <w:lang w:val="en-GB"/>
              </w:rPr>
              <w:t>Involved in transnational standard setting</w:t>
            </w:r>
            <w:r>
              <w:rPr>
                <w:sz w:val="21"/>
                <w:szCs w:val="21"/>
                <w:lang w:val="en-GB"/>
              </w:rPr>
              <w:t xml:space="preserve">, and the working group for </w:t>
            </w:r>
            <w:r w:rsidRPr="009434FB">
              <w:rPr>
                <w:i/>
                <w:sz w:val="21"/>
                <w:szCs w:val="21"/>
                <w:lang w:val="en-GB"/>
              </w:rPr>
              <w:t>IFRS for SMEs</w:t>
            </w:r>
          </w:p>
        </w:tc>
      </w:tr>
      <w:tr w:rsidR="003D43CF" w:rsidRPr="00E176CF" w14:paraId="407341FF" w14:textId="77777777" w:rsidTr="003D43CF">
        <w:trPr>
          <w:trHeight w:val="297"/>
          <w:jc w:val="center"/>
        </w:trPr>
        <w:tc>
          <w:tcPr>
            <w:tcW w:w="1555" w:type="dxa"/>
          </w:tcPr>
          <w:p w14:paraId="7E4CF8EF" w14:textId="77777777" w:rsidR="003D43CF" w:rsidRPr="00E176CF" w:rsidRDefault="003D43CF" w:rsidP="003D43CF">
            <w:pPr>
              <w:jc w:val="both"/>
              <w:rPr>
                <w:sz w:val="21"/>
                <w:szCs w:val="21"/>
                <w:lang w:val="en-GB"/>
              </w:rPr>
            </w:pPr>
            <w:r w:rsidRPr="00E176CF">
              <w:rPr>
                <w:sz w:val="21"/>
                <w:szCs w:val="21"/>
                <w:lang w:val="en-GB"/>
              </w:rPr>
              <w:t>Interviewee 19</w:t>
            </w:r>
          </w:p>
        </w:tc>
        <w:tc>
          <w:tcPr>
            <w:tcW w:w="7371" w:type="dxa"/>
          </w:tcPr>
          <w:p w14:paraId="69F6E9C6"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board member</w:t>
            </w:r>
          </w:p>
        </w:tc>
      </w:tr>
      <w:tr w:rsidR="003D43CF" w:rsidRPr="00E176CF" w14:paraId="0C9F184F" w14:textId="77777777" w:rsidTr="003D43CF">
        <w:trPr>
          <w:trHeight w:val="352"/>
          <w:jc w:val="center"/>
        </w:trPr>
        <w:tc>
          <w:tcPr>
            <w:tcW w:w="1555" w:type="dxa"/>
          </w:tcPr>
          <w:p w14:paraId="20B7B126" w14:textId="77777777" w:rsidR="003D43CF" w:rsidRPr="00E176CF" w:rsidRDefault="003D43CF" w:rsidP="003D43CF">
            <w:pPr>
              <w:jc w:val="both"/>
              <w:rPr>
                <w:sz w:val="21"/>
                <w:szCs w:val="21"/>
                <w:lang w:val="en-GB"/>
              </w:rPr>
            </w:pPr>
            <w:r w:rsidRPr="00E176CF">
              <w:rPr>
                <w:sz w:val="21"/>
                <w:szCs w:val="21"/>
                <w:lang w:val="en-GB"/>
              </w:rPr>
              <w:t>Interviewee 20</w:t>
            </w:r>
          </w:p>
        </w:tc>
        <w:tc>
          <w:tcPr>
            <w:tcW w:w="7371" w:type="dxa"/>
          </w:tcPr>
          <w:p w14:paraId="4213CCA8"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board member</w:t>
            </w:r>
          </w:p>
        </w:tc>
      </w:tr>
      <w:tr w:rsidR="003D43CF" w:rsidRPr="00E176CF" w14:paraId="494BF55E" w14:textId="77777777" w:rsidTr="003D43CF">
        <w:trPr>
          <w:trHeight w:val="269"/>
          <w:jc w:val="center"/>
        </w:trPr>
        <w:tc>
          <w:tcPr>
            <w:tcW w:w="1555" w:type="dxa"/>
          </w:tcPr>
          <w:p w14:paraId="4E7448EB" w14:textId="77777777" w:rsidR="003D43CF" w:rsidRPr="00E176CF" w:rsidRDefault="003D43CF" w:rsidP="003D43CF">
            <w:pPr>
              <w:jc w:val="both"/>
              <w:rPr>
                <w:sz w:val="21"/>
                <w:szCs w:val="21"/>
                <w:lang w:val="en-GB"/>
              </w:rPr>
            </w:pPr>
            <w:r w:rsidRPr="00E176CF">
              <w:rPr>
                <w:sz w:val="21"/>
                <w:szCs w:val="21"/>
                <w:lang w:val="en-GB"/>
              </w:rPr>
              <w:t>Interviewee 21</w:t>
            </w:r>
          </w:p>
        </w:tc>
        <w:tc>
          <w:tcPr>
            <w:tcW w:w="7371" w:type="dxa"/>
          </w:tcPr>
          <w:p w14:paraId="5E1E3E61"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board member</w:t>
            </w:r>
          </w:p>
        </w:tc>
      </w:tr>
      <w:tr w:rsidR="003D43CF" w:rsidRPr="00E176CF" w14:paraId="3B1FCA3F" w14:textId="77777777" w:rsidTr="003D43CF">
        <w:trPr>
          <w:trHeight w:val="269"/>
          <w:jc w:val="center"/>
        </w:trPr>
        <w:tc>
          <w:tcPr>
            <w:tcW w:w="1555" w:type="dxa"/>
          </w:tcPr>
          <w:p w14:paraId="0210E0BB" w14:textId="77777777" w:rsidR="003D43CF" w:rsidRPr="00E176CF" w:rsidRDefault="003D43CF" w:rsidP="003D43CF">
            <w:pPr>
              <w:jc w:val="both"/>
              <w:rPr>
                <w:sz w:val="21"/>
                <w:szCs w:val="21"/>
                <w:lang w:val="en-GB"/>
              </w:rPr>
            </w:pPr>
            <w:r w:rsidRPr="00E176CF">
              <w:rPr>
                <w:sz w:val="21"/>
                <w:szCs w:val="21"/>
                <w:lang w:val="en-GB"/>
              </w:rPr>
              <w:t>Interviewee 22</w:t>
            </w:r>
          </w:p>
        </w:tc>
        <w:tc>
          <w:tcPr>
            <w:tcW w:w="7371" w:type="dxa"/>
          </w:tcPr>
          <w:p w14:paraId="5C8A27A5" w14:textId="77777777" w:rsidR="003D43CF" w:rsidRPr="00E176CF" w:rsidRDefault="003D43CF" w:rsidP="003D43CF">
            <w:pPr>
              <w:jc w:val="both"/>
              <w:rPr>
                <w:sz w:val="21"/>
                <w:szCs w:val="21"/>
                <w:lang w:val="en-GB"/>
              </w:rPr>
            </w:pPr>
            <w:r>
              <w:rPr>
                <w:sz w:val="21"/>
                <w:szCs w:val="21"/>
                <w:lang w:val="en-GB"/>
              </w:rPr>
              <w:t>Involved in n</w:t>
            </w:r>
            <w:r w:rsidRPr="00E176CF">
              <w:rPr>
                <w:sz w:val="21"/>
                <w:szCs w:val="21"/>
                <w:lang w:val="en-GB"/>
              </w:rPr>
              <w:t xml:space="preserve">ational standard setter </w:t>
            </w:r>
            <w:r>
              <w:rPr>
                <w:sz w:val="21"/>
                <w:szCs w:val="21"/>
                <w:lang w:val="en-GB"/>
              </w:rPr>
              <w:t xml:space="preserve">and giving feedback on </w:t>
            </w:r>
            <w:r w:rsidRPr="009434FB">
              <w:rPr>
                <w:i/>
                <w:sz w:val="21"/>
                <w:szCs w:val="21"/>
                <w:lang w:val="en-GB"/>
              </w:rPr>
              <w:t>IFRS for SMEs</w:t>
            </w:r>
            <w:r>
              <w:rPr>
                <w:sz w:val="21"/>
                <w:szCs w:val="21"/>
                <w:lang w:val="en-GB"/>
              </w:rPr>
              <w:t xml:space="preserve"> </w:t>
            </w:r>
          </w:p>
        </w:tc>
      </w:tr>
      <w:tr w:rsidR="003D43CF" w:rsidRPr="00E176CF" w14:paraId="20BD20F7" w14:textId="77777777" w:rsidTr="003D43CF">
        <w:trPr>
          <w:trHeight w:val="77"/>
          <w:jc w:val="center"/>
        </w:trPr>
        <w:tc>
          <w:tcPr>
            <w:tcW w:w="1555" w:type="dxa"/>
          </w:tcPr>
          <w:p w14:paraId="4D9EB38B" w14:textId="77777777" w:rsidR="003D43CF" w:rsidRPr="00E176CF" w:rsidRDefault="003D43CF" w:rsidP="003D43CF">
            <w:pPr>
              <w:jc w:val="both"/>
              <w:rPr>
                <w:sz w:val="21"/>
                <w:szCs w:val="21"/>
                <w:lang w:val="en-GB"/>
              </w:rPr>
            </w:pPr>
            <w:r w:rsidRPr="00E176CF">
              <w:rPr>
                <w:sz w:val="21"/>
                <w:szCs w:val="21"/>
                <w:lang w:val="en-GB"/>
              </w:rPr>
              <w:t>Interviewee 23</w:t>
            </w:r>
          </w:p>
        </w:tc>
        <w:tc>
          <w:tcPr>
            <w:tcW w:w="7371" w:type="dxa"/>
          </w:tcPr>
          <w:p w14:paraId="5C5AC179" w14:textId="77777777" w:rsidR="003D43CF" w:rsidRPr="00E176CF" w:rsidRDefault="003D43CF" w:rsidP="003D43CF">
            <w:pPr>
              <w:jc w:val="both"/>
              <w:rPr>
                <w:sz w:val="21"/>
                <w:szCs w:val="21"/>
                <w:lang w:val="en-GB"/>
              </w:rPr>
            </w:pPr>
            <w:r w:rsidRPr="00E176CF">
              <w:rPr>
                <w:sz w:val="21"/>
                <w:szCs w:val="21"/>
                <w:lang w:val="en-GB"/>
              </w:rPr>
              <w:t>Academic</w:t>
            </w:r>
            <w:r>
              <w:rPr>
                <w:sz w:val="21"/>
                <w:szCs w:val="21"/>
                <w:lang w:val="en-GB"/>
              </w:rPr>
              <w:t xml:space="preserve"> researching on the IASB</w:t>
            </w:r>
          </w:p>
        </w:tc>
      </w:tr>
      <w:tr w:rsidR="003D43CF" w:rsidRPr="00E176CF" w14:paraId="1CE03DB0" w14:textId="77777777" w:rsidTr="003D43CF">
        <w:trPr>
          <w:trHeight w:val="269"/>
          <w:jc w:val="center"/>
        </w:trPr>
        <w:tc>
          <w:tcPr>
            <w:tcW w:w="1555" w:type="dxa"/>
          </w:tcPr>
          <w:p w14:paraId="12A66DB0" w14:textId="77777777" w:rsidR="003D43CF" w:rsidRPr="00E176CF" w:rsidRDefault="003D43CF" w:rsidP="003D43CF">
            <w:pPr>
              <w:jc w:val="both"/>
              <w:rPr>
                <w:sz w:val="21"/>
                <w:szCs w:val="21"/>
                <w:lang w:val="en-GB"/>
              </w:rPr>
            </w:pPr>
            <w:r w:rsidRPr="00E176CF">
              <w:rPr>
                <w:sz w:val="21"/>
                <w:szCs w:val="21"/>
                <w:lang w:val="en-GB"/>
              </w:rPr>
              <w:t>Interviewee 24</w:t>
            </w:r>
          </w:p>
        </w:tc>
        <w:tc>
          <w:tcPr>
            <w:tcW w:w="7371" w:type="dxa"/>
          </w:tcPr>
          <w:p w14:paraId="15CAB722" w14:textId="77777777" w:rsidR="003D43CF" w:rsidRPr="00E176CF" w:rsidRDefault="003D43CF" w:rsidP="003D43CF">
            <w:pPr>
              <w:jc w:val="both"/>
              <w:rPr>
                <w:sz w:val="21"/>
                <w:szCs w:val="21"/>
                <w:lang w:val="en-GB"/>
              </w:rPr>
            </w:pPr>
            <w:r w:rsidRPr="00E176CF">
              <w:rPr>
                <w:sz w:val="21"/>
                <w:szCs w:val="21"/>
                <w:lang w:val="en-GB"/>
              </w:rPr>
              <w:t>Involved in national standard setting</w:t>
            </w:r>
            <w:r>
              <w:rPr>
                <w:sz w:val="21"/>
                <w:szCs w:val="21"/>
                <w:lang w:val="en-GB"/>
              </w:rPr>
              <w:t xml:space="preserve">, and commenting on </w:t>
            </w:r>
            <w:r w:rsidRPr="009434FB">
              <w:rPr>
                <w:i/>
                <w:sz w:val="21"/>
                <w:szCs w:val="21"/>
                <w:lang w:val="en-GB"/>
              </w:rPr>
              <w:t>IFRS for SMEs</w:t>
            </w:r>
            <w:r>
              <w:rPr>
                <w:sz w:val="21"/>
                <w:szCs w:val="21"/>
                <w:lang w:val="en-GB"/>
              </w:rPr>
              <w:t xml:space="preserve"> </w:t>
            </w:r>
          </w:p>
        </w:tc>
      </w:tr>
      <w:tr w:rsidR="003D43CF" w:rsidRPr="00E176CF" w14:paraId="5C420500" w14:textId="77777777" w:rsidTr="003D43CF">
        <w:trPr>
          <w:trHeight w:val="269"/>
          <w:jc w:val="center"/>
        </w:trPr>
        <w:tc>
          <w:tcPr>
            <w:tcW w:w="1555" w:type="dxa"/>
          </w:tcPr>
          <w:p w14:paraId="61AB5477" w14:textId="77777777" w:rsidR="003D43CF" w:rsidRPr="00E176CF" w:rsidRDefault="003D43CF" w:rsidP="003D43CF">
            <w:pPr>
              <w:jc w:val="both"/>
              <w:rPr>
                <w:sz w:val="21"/>
                <w:szCs w:val="21"/>
                <w:lang w:val="en-GB"/>
              </w:rPr>
            </w:pPr>
            <w:r w:rsidRPr="00E176CF">
              <w:rPr>
                <w:sz w:val="21"/>
                <w:szCs w:val="21"/>
                <w:lang w:val="en-GB"/>
              </w:rPr>
              <w:t>Interviewee 25</w:t>
            </w:r>
          </w:p>
        </w:tc>
        <w:tc>
          <w:tcPr>
            <w:tcW w:w="7371" w:type="dxa"/>
          </w:tcPr>
          <w:p w14:paraId="04D436AC" w14:textId="77777777" w:rsidR="003D43CF" w:rsidRPr="00E176CF" w:rsidRDefault="003D43CF" w:rsidP="003D43CF">
            <w:pPr>
              <w:jc w:val="both"/>
              <w:rPr>
                <w:sz w:val="21"/>
                <w:szCs w:val="21"/>
                <w:lang w:val="en-GB"/>
              </w:rPr>
            </w:pPr>
            <w:r w:rsidRPr="00E176CF">
              <w:rPr>
                <w:sz w:val="21"/>
                <w:szCs w:val="21"/>
                <w:lang w:val="en-GB"/>
              </w:rPr>
              <w:t>Involved in national standard setting</w:t>
            </w:r>
            <w:r>
              <w:rPr>
                <w:sz w:val="21"/>
                <w:szCs w:val="21"/>
                <w:lang w:val="en-GB"/>
              </w:rPr>
              <w:t xml:space="preserve">, and the working group for </w:t>
            </w:r>
            <w:r w:rsidRPr="009434FB">
              <w:rPr>
                <w:i/>
                <w:sz w:val="21"/>
                <w:szCs w:val="21"/>
                <w:lang w:val="en-GB"/>
              </w:rPr>
              <w:t>IFRS for SMEs</w:t>
            </w:r>
            <w:r>
              <w:rPr>
                <w:sz w:val="21"/>
                <w:szCs w:val="21"/>
                <w:lang w:val="en-GB"/>
              </w:rPr>
              <w:t xml:space="preserve"> </w:t>
            </w:r>
          </w:p>
        </w:tc>
      </w:tr>
      <w:tr w:rsidR="003D43CF" w:rsidRPr="00E176CF" w14:paraId="4B86A01B" w14:textId="77777777" w:rsidTr="003D43CF">
        <w:trPr>
          <w:trHeight w:val="269"/>
          <w:jc w:val="center"/>
        </w:trPr>
        <w:tc>
          <w:tcPr>
            <w:tcW w:w="1555" w:type="dxa"/>
          </w:tcPr>
          <w:p w14:paraId="6BC6CAC2" w14:textId="77777777" w:rsidR="003D43CF" w:rsidRPr="00E176CF" w:rsidRDefault="003D43CF" w:rsidP="003D43CF">
            <w:pPr>
              <w:jc w:val="both"/>
              <w:rPr>
                <w:sz w:val="21"/>
                <w:szCs w:val="21"/>
                <w:lang w:val="en-GB"/>
              </w:rPr>
            </w:pPr>
            <w:r w:rsidRPr="00E176CF">
              <w:rPr>
                <w:sz w:val="21"/>
                <w:szCs w:val="21"/>
                <w:lang w:val="en-GB"/>
              </w:rPr>
              <w:t>Interviewee 26</w:t>
            </w:r>
          </w:p>
        </w:tc>
        <w:tc>
          <w:tcPr>
            <w:tcW w:w="7371" w:type="dxa"/>
          </w:tcPr>
          <w:p w14:paraId="445D54AF" w14:textId="77777777" w:rsidR="003D43CF" w:rsidRPr="00E176CF" w:rsidRDefault="003D43CF" w:rsidP="003D43CF">
            <w:pPr>
              <w:jc w:val="both"/>
              <w:rPr>
                <w:sz w:val="21"/>
                <w:szCs w:val="21"/>
                <w:lang w:val="en-GB"/>
              </w:rPr>
            </w:pPr>
            <w:r w:rsidRPr="00E176CF">
              <w:rPr>
                <w:sz w:val="21"/>
                <w:szCs w:val="21"/>
                <w:lang w:val="en-GB"/>
              </w:rPr>
              <w:t>Involved in international standard setting</w:t>
            </w:r>
            <w:r>
              <w:rPr>
                <w:sz w:val="21"/>
                <w:szCs w:val="21"/>
                <w:lang w:val="en-GB"/>
              </w:rPr>
              <w:t>, the development of IFRS for SMEs and the education initiative</w:t>
            </w:r>
          </w:p>
        </w:tc>
      </w:tr>
      <w:tr w:rsidR="003D43CF" w:rsidRPr="00E176CF" w14:paraId="390B5831" w14:textId="77777777" w:rsidTr="003D43CF">
        <w:trPr>
          <w:trHeight w:val="269"/>
          <w:jc w:val="center"/>
        </w:trPr>
        <w:tc>
          <w:tcPr>
            <w:tcW w:w="1555" w:type="dxa"/>
          </w:tcPr>
          <w:p w14:paraId="06B9002F" w14:textId="77777777" w:rsidR="003D43CF" w:rsidRPr="00E176CF" w:rsidRDefault="003D43CF" w:rsidP="003D43CF">
            <w:pPr>
              <w:jc w:val="both"/>
              <w:rPr>
                <w:sz w:val="21"/>
                <w:szCs w:val="21"/>
                <w:lang w:val="en-GB"/>
              </w:rPr>
            </w:pPr>
            <w:r w:rsidRPr="00E176CF">
              <w:rPr>
                <w:sz w:val="21"/>
                <w:szCs w:val="21"/>
                <w:lang w:val="en-GB"/>
              </w:rPr>
              <w:t>Interviewee 27</w:t>
            </w:r>
          </w:p>
        </w:tc>
        <w:tc>
          <w:tcPr>
            <w:tcW w:w="7371" w:type="dxa"/>
          </w:tcPr>
          <w:p w14:paraId="0248AC6C" w14:textId="77777777" w:rsidR="003D43CF" w:rsidRPr="00E176CF" w:rsidRDefault="003D43CF" w:rsidP="003D43CF">
            <w:pPr>
              <w:keepNext/>
              <w:jc w:val="both"/>
              <w:rPr>
                <w:sz w:val="21"/>
                <w:szCs w:val="21"/>
                <w:lang w:val="en-GB"/>
              </w:rPr>
            </w:pPr>
            <w:r>
              <w:rPr>
                <w:sz w:val="21"/>
                <w:szCs w:val="21"/>
                <w:lang w:val="en-GB"/>
              </w:rPr>
              <w:t>ISAR expert,</w:t>
            </w:r>
            <w:r w:rsidRPr="00E176CF">
              <w:rPr>
                <w:sz w:val="21"/>
                <w:szCs w:val="21"/>
                <w:lang w:val="en-GB"/>
              </w:rPr>
              <w:t xml:space="preserve"> involved in work with IFIs</w:t>
            </w:r>
            <w:r>
              <w:rPr>
                <w:sz w:val="21"/>
                <w:szCs w:val="21"/>
                <w:lang w:val="en-GB"/>
              </w:rPr>
              <w:t>, present and commenting on IFRS for SMEs development</w:t>
            </w:r>
          </w:p>
        </w:tc>
      </w:tr>
    </w:tbl>
    <w:p w14:paraId="0343290C" w14:textId="77777777" w:rsidR="003D43CF" w:rsidRDefault="003D43CF" w:rsidP="003D43CF">
      <w:pPr>
        <w:rPr>
          <w:lang w:val="en-GB"/>
        </w:rPr>
      </w:pPr>
    </w:p>
    <w:p w14:paraId="5F10B511" w14:textId="428A624A" w:rsidR="003D43CF" w:rsidRDefault="003D43CF">
      <w:pPr>
        <w:rPr>
          <w:lang w:val="en-GB"/>
        </w:rPr>
      </w:pPr>
      <w:r>
        <w:rPr>
          <w:lang w:val="en-GB"/>
        </w:rPr>
        <w:br w:type="page"/>
      </w:r>
    </w:p>
    <w:p w14:paraId="7C6D760B" w14:textId="77777777" w:rsidR="003D43CF" w:rsidRDefault="003D43CF" w:rsidP="003D43CF">
      <w:pPr>
        <w:rPr>
          <w:lang w:val="en-GB"/>
        </w:rPr>
      </w:pPr>
    </w:p>
    <w:p w14:paraId="0E567E48" w14:textId="77777777" w:rsidR="003D43CF" w:rsidRPr="000F3866" w:rsidRDefault="003D43CF" w:rsidP="003D43CF">
      <w:pPr>
        <w:rPr>
          <w:lang w:val="en-GB"/>
        </w:rPr>
      </w:pPr>
      <w:r w:rsidRPr="000F3866">
        <w:rPr>
          <w:lang w:eastAsia="en-GB"/>
        </w:rPr>
        <w:t>Table 3: A sample of SME definitions</w:t>
      </w:r>
    </w:p>
    <w:tbl>
      <w:tblPr>
        <w:tblStyle w:val="TableGrid"/>
        <w:tblW w:w="5366" w:type="pct"/>
        <w:tblInd w:w="-176" w:type="dxa"/>
        <w:tblBorders>
          <w:top w:val="single" w:sz="4" w:space="0" w:color="009EDC"/>
          <w:left w:val="single" w:sz="4" w:space="0" w:color="009EDC"/>
          <w:bottom w:val="single" w:sz="4" w:space="0" w:color="009EDC"/>
          <w:right w:val="single" w:sz="4" w:space="0" w:color="009EDC"/>
          <w:insideH w:val="single" w:sz="4" w:space="0" w:color="009EDC"/>
          <w:insideV w:val="single" w:sz="4" w:space="0" w:color="009EDC"/>
        </w:tblBorders>
        <w:tblLayout w:type="fixed"/>
        <w:tblLook w:val="04A0" w:firstRow="1" w:lastRow="0" w:firstColumn="1" w:lastColumn="0" w:noHBand="0" w:noVBand="1"/>
      </w:tblPr>
      <w:tblGrid>
        <w:gridCol w:w="1387"/>
        <w:gridCol w:w="690"/>
        <w:gridCol w:w="416"/>
        <w:gridCol w:w="373"/>
        <w:gridCol w:w="424"/>
        <w:gridCol w:w="1278"/>
        <w:gridCol w:w="5102"/>
      </w:tblGrid>
      <w:tr w:rsidR="003D43CF" w:rsidRPr="003C5231" w14:paraId="00644B30" w14:textId="77777777" w:rsidTr="003D43CF">
        <w:trPr>
          <w:trHeight w:val="354"/>
        </w:trPr>
        <w:tc>
          <w:tcPr>
            <w:tcW w:w="717" w:type="pct"/>
            <w:vMerge w:val="restart"/>
            <w:vAlign w:val="bottom"/>
          </w:tcPr>
          <w:p w14:paraId="2737546B" w14:textId="77777777" w:rsidR="003D43CF" w:rsidRPr="003C5231" w:rsidRDefault="003D43CF" w:rsidP="003D43CF">
            <w:pPr>
              <w:jc w:val="center"/>
              <w:rPr>
                <w:rFonts w:eastAsia="Calibri" w:cstheme="minorHAnsi"/>
                <w:b/>
                <w:sz w:val="20"/>
                <w:szCs w:val="20"/>
              </w:rPr>
            </w:pPr>
            <w:r w:rsidRPr="003C5231">
              <w:rPr>
                <w:rFonts w:eastAsia="Calibri" w:cstheme="minorHAnsi"/>
                <w:b/>
                <w:sz w:val="20"/>
                <w:szCs w:val="20"/>
              </w:rPr>
              <w:t>Country</w:t>
            </w:r>
          </w:p>
        </w:tc>
        <w:tc>
          <w:tcPr>
            <w:tcW w:w="1645" w:type="pct"/>
            <w:gridSpan w:val="5"/>
            <w:vAlign w:val="bottom"/>
          </w:tcPr>
          <w:p w14:paraId="10AE528F" w14:textId="77777777" w:rsidR="003D43CF" w:rsidRPr="003C5231" w:rsidRDefault="003D43CF" w:rsidP="003D43CF">
            <w:pPr>
              <w:jc w:val="center"/>
              <w:rPr>
                <w:rFonts w:eastAsia="Calibri" w:cstheme="minorHAnsi"/>
                <w:b/>
                <w:sz w:val="20"/>
                <w:szCs w:val="20"/>
              </w:rPr>
            </w:pPr>
            <w:r w:rsidRPr="003C5231">
              <w:rPr>
                <w:rFonts w:eastAsia="Calibri" w:cstheme="minorHAnsi"/>
                <w:b/>
                <w:sz w:val="20"/>
                <w:szCs w:val="20"/>
              </w:rPr>
              <w:t>Definitional Features</w:t>
            </w:r>
          </w:p>
        </w:tc>
        <w:tc>
          <w:tcPr>
            <w:tcW w:w="2638" w:type="pct"/>
            <w:vMerge w:val="restart"/>
            <w:vAlign w:val="bottom"/>
          </w:tcPr>
          <w:p w14:paraId="0AA1E895" w14:textId="77777777" w:rsidR="003D43CF" w:rsidRPr="003C5231" w:rsidRDefault="003D43CF" w:rsidP="003D43CF">
            <w:pPr>
              <w:jc w:val="center"/>
              <w:rPr>
                <w:rFonts w:eastAsia="Calibri" w:cstheme="minorHAnsi"/>
                <w:b/>
                <w:sz w:val="20"/>
                <w:szCs w:val="20"/>
              </w:rPr>
            </w:pPr>
            <w:r w:rsidRPr="003C5231">
              <w:rPr>
                <w:rFonts w:eastAsia="Calibri" w:cstheme="minorHAnsi"/>
                <w:b/>
                <w:sz w:val="20"/>
                <w:szCs w:val="20"/>
              </w:rPr>
              <w:t>Notes</w:t>
            </w:r>
          </w:p>
        </w:tc>
      </w:tr>
      <w:tr w:rsidR="003D43CF" w:rsidRPr="003C5231" w14:paraId="7177D4DE" w14:textId="77777777" w:rsidTr="003D43CF">
        <w:trPr>
          <w:cantSplit/>
          <w:trHeight w:val="1807"/>
        </w:trPr>
        <w:tc>
          <w:tcPr>
            <w:tcW w:w="717" w:type="pct"/>
            <w:vMerge/>
          </w:tcPr>
          <w:p w14:paraId="22A5269D" w14:textId="77777777" w:rsidR="003D43CF" w:rsidRPr="003C5231" w:rsidRDefault="003D43CF" w:rsidP="003D43CF">
            <w:pPr>
              <w:rPr>
                <w:rFonts w:eastAsia="Calibri" w:cstheme="minorHAnsi"/>
                <w:b/>
                <w:sz w:val="20"/>
                <w:szCs w:val="20"/>
              </w:rPr>
            </w:pPr>
            <w:bookmarkStart w:id="5" w:name="_Hlk509772452"/>
          </w:p>
        </w:tc>
        <w:tc>
          <w:tcPr>
            <w:tcW w:w="357" w:type="pct"/>
            <w:textDirection w:val="btLr"/>
            <w:vAlign w:val="center"/>
          </w:tcPr>
          <w:p w14:paraId="34C71507" w14:textId="77777777" w:rsidR="003D43CF" w:rsidRPr="003C5231" w:rsidRDefault="003D43CF" w:rsidP="003D43CF">
            <w:pPr>
              <w:ind w:right="113"/>
              <w:rPr>
                <w:rFonts w:eastAsia="Calibri" w:cstheme="minorHAnsi"/>
                <w:sz w:val="20"/>
                <w:szCs w:val="20"/>
              </w:rPr>
            </w:pPr>
            <w:r w:rsidRPr="003C5231">
              <w:rPr>
                <w:rFonts w:eastAsia="Calibri" w:cstheme="minorHAnsi"/>
                <w:sz w:val="20"/>
                <w:szCs w:val="20"/>
              </w:rPr>
              <w:t>No of Employees</w:t>
            </w:r>
          </w:p>
        </w:tc>
        <w:tc>
          <w:tcPr>
            <w:tcW w:w="215" w:type="pct"/>
            <w:textDirection w:val="btLr"/>
            <w:vAlign w:val="center"/>
          </w:tcPr>
          <w:p w14:paraId="547E740D" w14:textId="77777777" w:rsidR="003D43CF" w:rsidRPr="003C5231" w:rsidRDefault="003D43CF" w:rsidP="003D43CF">
            <w:pPr>
              <w:ind w:right="113"/>
              <w:rPr>
                <w:rFonts w:eastAsia="Calibri" w:cstheme="minorHAnsi"/>
                <w:sz w:val="20"/>
                <w:szCs w:val="20"/>
              </w:rPr>
            </w:pPr>
            <w:r w:rsidRPr="003C5231">
              <w:rPr>
                <w:rFonts w:eastAsia="Calibri" w:cstheme="minorHAnsi"/>
                <w:sz w:val="20"/>
                <w:szCs w:val="20"/>
              </w:rPr>
              <w:t>Turnover</w:t>
            </w:r>
          </w:p>
        </w:tc>
        <w:tc>
          <w:tcPr>
            <w:tcW w:w="193" w:type="pct"/>
            <w:textDirection w:val="btLr"/>
            <w:vAlign w:val="center"/>
          </w:tcPr>
          <w:p w14:paraId="1236EDA5" w14:textId="77777777" w:rsidR="003D43CF" w:rsidRPr="003C5231" w:rsidRDefault="003D43CF" w:rsidP="003D43CF">
            <w:pPr>
              <w:ind w:right="113"/>
              <w:rPr>
                <w:rFonts w:eastAsia="Calibri" w:cstheme="minorHAnsi"/>
                <w:sz w:val="20"/>
                <w:szCs w:val="20"/>
              </w:rPr>
            </w:pPr>
            <w:r w:rsidRPr="003C5231">
              <w:rPr>
                <w:rFonts w:eastAsia="Calibri" w:cstheme="minorHAnsi"/>
                <w:sz w:val="20"/>
                <w:szCs w:val="20"/>
              </w:rPr>
              <w:t>Other Financial</w:t>
            </w:r>
          </w:p>
        </w:tc>
        <w:tc>
          <w:tcPr>
            <w:tcW w:w="219" w:type="pct"/>
            <w:textDirection w:val="btLr"/>
            <w:vAlign w:val="center"/>
          </w:tcPr>
          <w:p w14:paraId="60477B07" w14:textId="77777777" w:rsidR="003D43CF" w:rsidRPr="003C5231" w:rsidRDefault="003D43CF" w:rsidP="003D43CF">
            <w:pPr>
              <w:ind w:right="113"/>
              <w:rPr>
                <w:rFonts w:eastAsia="Calibri" w:cstheme="minorHAnsi"/>
                <w:sz w:val="20"/>
                <w:szCs w:val="20"/>
              </w:rPr>
            </w:pPr>
            <w:r w:rsidRPr="003C5231">
              <w:rPr>
                <w:rFonts w:eastAsia="Calibri" w:cstheme="minorHAnsi"/>
                <w:sz w:val="20"/>
                <w:szCs w:val="20"/>
              </w:rPr>
              <w:t>Sector</w:t>
            </w:r>
          </w:p>
        </w:tc>
        <w:tc>
          <w:tcPr>
            <w:tcW w:w="661" w:type="pct"/>
            <w:textDirection w:val="btLr"/>
            <w:vAlign w:val="center"/>
          </w:tcPr>
          <w:p w14:paraId="31479C34" w14:textId="77777777" w:rsidR="003D43CF" w:rsidRPr="003C5231" w:rsidRDefault="003D43CF" w:rsidP="003D43CF">
            <w:pPr>
              <w:rPr>
                <w:rFonts w:eastAsia="Calibri" w:cstheme="minorHAnsi"/>
                <w:sz w:val="20"/>
                <w:szCs w:val="20"/>
              </w:rPr>
            </w:pPr>
            <w:r w:rsidRPr="003C5231">
              <w:rPr>
                <w:rFonts w:eastAsia="Calibri" w:cstheme="minorHAnsi"/>
                <w:sz w:val="20"/>
                <w:szCs w:val="20"/>
              </w:rPr>
              <w:t>Distinguishes between micro, small and medium enterprises</w:t>
            </w:r>
          </w:p>
        </w:tc>
        <w:tc>
          <w:tcPr>
            <w:tcW w:w="2638" w:type="pct"/>
            <w:vMerge/>
          </w:tcPr>
          <w:p w14:paraId="23403682" w14:textId="77777777" w:rsidR="003D43CF" w:rsidRPr="003C5231" w:rsidRDefault="003D43CF" w:rsidP="003D43CF">
            <w:pPr>
              <w:rPr>
                <w:rFonts w:eastAsia="Calibri" w:cstheme="minorHAnsi"/>
                <w:b/>
                <w:sz w:val="20"/>
                <w:szCs w:val="20"/>
              </w:rPr>
            </w:pPr>
          </w:p>
        </w:tc>
      </w:tr>
      <w:bookmarkEnd w:id="5"/>
      <w:tr w:rsidR="003D43CF" w:rsidRPr="003C5231" w14:paraId="2D89E550" w14:textId="77777777" w:rsidTr="003D43CF">
        <w:trPr>
          <w:cantSplit/>
          <w:trHeight w:val="534"/>
        </w:trPr>
        <w:tc>
          <w:tcPr>
            <w:tcW w:w="717" w:type="pct"/>
          </w:tcPr>
          <w:p w14:paraId="1D2E38F8"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Brunei</w:t>
            </w:r>
          </w:p>
          <w:p w14:paraId="114C405D" w14:textId="77777777" w:rsidR="003D43CF" w:rsidRPr="003C5231" w:rsidRDefault="003D43CF" w:rsidP="003D43CF">
            <w:pPr>
              <w:outlineLvl w:val="2"/>
              <w:rPr>
                <w:rFonts w:eastAsia="Calibri" w:cstheme="minorHAnsi"/>
                <w:bCs/>
                <w:sz w:val="20"/>
                <w:szCs w:val="20"/>
                <w:lang w:eastAsia="en-GB"/>
              </w:rPr>
            </w:pPr>
          </w:p>
        </w:tc>
        <w:tc>
          <w:tcPr>
            <w:tcW w:w="357" w:type="pct"/>
          </w:tcPr>
          <w:p w14:paraId="354DE117"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100</w:t>
            </w:r>
          </w:p>
        </w:tc>
        <w:tc>
          <w:tcPr>
            <w:tcW w:w="215" w:type="pct"/>
          </w:tcPr>
          <w:p w14:paraId="07C0F6C4" w14:textId="77777777" w:rsidR="003D43CF" w:rsidRPr="003C5231" w:rsidRDefault="003D43CF" w:rsidP="003D43CF">
            <w:pPr>
              <w:rPr>
                <w:rFonts w:eastAsia="Calibri" w:cstheme="minorHAnsi"/>
                <w:sz w:val="20"/>
                <w:szCs w:val="20"/>
              </w:rPr>
            </w:pPr>
          </w:p>
        </w:tc>
        <w:tc>
          <w:tcPr>
            <w:tcW w:w="193" w:type="pct"/>
          </w:tcPr>
          <w:p w14:paraId="10C774A7" w14:textId="77777777" w:rsidR="003D43CF" w:rsidRPr="003C5231" w:rsidRDefault="003D43CF" w:rsidP="003D43CF">
            <w:pPr>
              <w:jc w:val="center"/>
              <w:rPr>
                <w:rFonts w:eastAsia="Calibri" w:cstheme="minorHAnsi"/>
                <w:sz w:val="20"/>
                <w:szCs w:val="20"/>
              </w:rPr>
            </w:pPr>
          </w:p>
        </w:tc>
        <w:tc>
          <w:tcPr>
            <w:tcW w:w="219" w:type="pct"/>
          </w:tcPr>
          <w:p w14:paraId="4ED2EE07" w14:textId="77777777" w:rsidR="003D43CF" w:rsidRPr="003C5231" w:rsidRDefault="003D43CF" w:rsidP="003D43CF">
            <w:pPr>
              <w:jc w:val="center"/>
              <w:rPr>
                <w:rFonts w:eastAsia="Calibri" w:cstheme="minorHAnsi"/>
                <w:sz w:val="20"/>
                <w:szCs w:val="20"/>
              </w:rPr>
            </w:pPr>
          </w:p>
        </w:tc>
        <w:tc>
          <w:tcPr>
            <w:tcW w:w="661" w:type="pct"/>
          </w:tcPr>
          <w:p w14:paraId="0D0267B3"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3050F9BF" w14:textId="77777777" w:rsidR="003D43CF" w:rsidRPr="003C5231" w:rsidRDefault="003D43CF" w:rsidP="003D43CF">
            <w:pPr>
              <w:rPr>
                <w:rFonts w:eastAsia="Calibri" w:cstheme="minorHAnsi"/>
                <w:sz w:val="20"/>
                <w:szCs w:val="20"/>
              </w:rPr>
            </w:pPr>
          </w:p>
        </w:tc>
      </w:tr>
      <w:tr w:rsidR="003D43CF" w:rsidRPr="003C5231" w14:paraId="76BEEA4A" w14:textId="77777777" w:rsidTr="003D43CF">
        <w:trPr>
          <w:cantSplit/>
        </w:trPr>
        <w:tc>
          <w:tcPr>
            <w:tcW w:w="717" w:type="pct"/>
          </w:tcPr>
          <w:p w14:paraId="1E2EE822"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Cambodia</w:t>
            </w:r>
          </w:p>
        </w:tc>
        <w:tc>
          <w:tcPr>
            <w:tcW w:w="357" w:type="pct"/>
          </w:tcPr>
          <w:p w14:paraId="088C316D"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100</w:t>
            </w:r>
          </w:p>
        </w:tc>
        <w:tc>
          <w:tcPr>
            <w:tcW w:w="215" w:type="pct"/>
          </w:tcPr>
          <w:p w14:paraId="0550EA9C" w14:textId="77777777" w:rsidR="003D43CF" w:rsidRPr="003C5231" w:rsidRDefault="003D43CF" w:rsidP="003D43CF">
            <w:pPr>
              <w:rPr>
                <w:rFonts w:eastAsia="Calibri" w:cstheme="minorHAnsi"/>
                <w:sz w:val="20"/>
                <w:szCs w:val="20"/>
              </w:rPr>
            </w:pPr>
          </w:p>
        </w:tc>
        <w:tc>
          <w:tcPr>
            <w:tcW w:w="193" w:type="pct"/>
          </w:tcPr>
          <w:p w14:paraId="0C45052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4EE2FED5" w14:textId="77777777" w:rsidR="003D43CF" w:rsidRPr="003C5231" w:rsidRDefault="003D43CF" w:rsidP="003D43CF">
            <w:pPr>
              <w:jc w:val="center"/>
              <w:rPr>
                <w:rFonts w:eastAsia="Calibri" w:cstheme="minorHAnsi"/>
                <w:sz w:val="20"/>
                <w:szCs w:val="20"/>
              </w:rPr>
            </w:pPr>
          </w:p>
        </w:tc>
        <w:tc>
          <w:tcPr>
            <w:tcW w:w="661" w:type="pct"/>
          </w:tcPr>
          <w:p w14:paraId="75571987"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297B3C51" w14:textId="77777777" w:rsidR="003D43CF" w:rsidRPr="003C5231" w:rsidRDefault="003D43CF" w:rsidP="003D43CF">
            <w:pPr>
              <w:rPr>
                <w:rFonts w:eastAsia="Calibri" w:cstheme="minorHAnsi"/>
                <w:sz w:val="20"/>
                <w:szCs w:val="20"/>
              </w:rPr>
            </w:pPr>
            <w:r w:rsidRPr="003C5231">
              <w:rPr>
                <w:rFonts w:eastAsia="Calibri" w:cstheme="minorHAnsi"/>
                <w:sz w:val="20"/>
                <w:szCs w:val="20"/>
              </w:rPr>
              <w:t>Definition bases of full time employees used for statistical purposes. The financial definition may be used if more suitable for other purposes.</w:t>
            </w:r>
          </w:p>
          <w:p w14:paraId="77C5B508" w14:textId="77777777" w:rsidR="003D43CF" w:rsidRPr="003C5231" w:rsidRDefault="003D43CF" w:rsidP="003D43CF">
            <w:pPr>
              <w:rPr>
                <w:rFonts w:eastAsia="Calibri" w:cstheme="minorHAnsi"/>
                <w:sz w:val="20"/>
                <w:szCs w:val="20"/>
              </w:rPr>
            </w:pPr>
            <w:r w:rsidRPr="003C5231">
              <w:rPr>
                <w:rFonts w:eastAsia="Calibri" w:cstheme="minorHAnsi"/>
                <w:sz w:val="20"/>
                <w:szCs w:val="20"/>
              </w:rPr>
              <w:t>Financial criteria in US$, not in the Cambodian Riel (</w:t>
            </w:r>
            <w:r w:rsidRPr="003C5231">
              <w:rPr>
                <w:rFonts w:ascii="Khmer Sangam MN" w:eastAsia="Calibri" w:hAnsi="Khmer Sangam MN" w:cs="Khmer Sangam MN"/>
                <w:sz w:val="20"/>
                <w:szCs w:val="20"/>
              </w:rPr>
              <w:t>៛</w:t>
            </w:r>
            <w:r w:rsidRPr="003C5231">
              <w:rPr>
                <w:rFonts w:cstheme="minorHAnsi"/>
                <w:sz w:val="20"/>
                <w:szCs w:val="20"/>
              </w:rPr>
              <w:t>)</w:t>
            </w:r>
            <w:r w:rsidRPr="003C5231">
              <w:rPr>
                <w:rFonts w:eastAsia="Calibri" w:cstheme="minorHAnsi"/>
                <w:sz w:val="20"/>
                <w:szCs w:val="20"/>
              </w:rPr>
              <w:t>.</w:t>
            </w:r>
            <w:r w:rsidRPr="003C5231">
              <w:rPr>
                <w:rFonts w:cstheme="minorHAnsi"/>
                <w:sz w:val="20"/>
                <w:szCs w:val="20"/>
              </w:rPr>
              <w:t xml:space="preserve"> </w:t>
            </w:r>
          </w:p>
        </w:tc>
      </w:tr>
      <w:tr w:rsidR="003D43CF" w:rsidRPr="003C5231" w14:paraId="7F6112AB" w14:textId="77777777" w:rsidTr="003D43CF">
        <w:trPr>
          <w:cantSplit/>
        </w:trPr>
        <w:tc>
          <w:tcPr>
            <w:tcW w:w="717" w:type="pct"/>
          </w:tcPr>
          <w:p w14:paraId="152F18CA"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Indonesia</w:t>
            </w:r>
          </w:p>
        </w:tc>
        <w:tc>
          <w:tcPr>
            <w:tcW w:w="357" w:type="pct"/>
          </w:tcPr>
          <w:p w14:paraId="4AD6B34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4F"/>
            </w:r>
          </w:p>
        </w:tc>
        <w:tc>
          <w:tcPr>
            <w:tcW w:w="215" w:type="pct"/>
          </w:tcPr>
          <w:p w14:paraId="29A7B575" w14:textId="77777777" w:rsidR="003D43CF" w:rsidRPr="003C5231" w:rsidRDefault="003D43CF" w:rsidP="003D43CF">
            <w:pPr>
              <w:rPr>
                <w:rFonts w:eastAsia="Calibri" w:cstheme="minorHAnsi"/>
                <w:sz w:val="20"/>
                <w:szCs w:val="20"/>
              </w:rPr>
            </w:pPr>
          </w:p>
        </w:tc>
        <w:tc>
          <w:tcPr>
            <w:tcW w:w="193" w:type="pct"/>
          </w:tcPr>
          <w:p w14:paraId="21E9121D"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05689664" w14:textId="77777777" w:rsidR="003D43CF" w:rsidRPr="003C5231" w:rsidRDefault="003D43CF" w:rsidP="003D43CF">
            <w:pPr>
              <w:jc w:val="center"/>
              <w:rPr>
                <w:rFonts w:eastAsia="Calibri" w:cstheme="minorHAnsi"/>
                <w:sz w:val="20"/>
                <w:szCs w:val="20"/>
              </w:rPr>
            </w:pPr>
          </w:p>
        </w:tc>
        <w:tc>
          <w:tcPr>
            <w:tcW w:w="661" w:type="pct"/>
          </w:tcPr>
          <w:p w14:paraId="185E221E"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6E4F9DAE" w14:textId="77777777" w:rsidR="003D43CF" w:rsidRPr="003C5231" w:rsidRDefault="003D43CF" w:rsidP="003D43CF">
            <w:pPr>
              <w:rPr>
                <w:rFonts w:eastAsia="Calibri" w:cstheme="minorHAnsi"/>
                <w:sz w:val="20"/>
                <w:szCs w:val="20"/>
              </w:rPr>
            </w:pPr>
          </w:p>
        </w:tc>
      </w:tr>
      <w:tr w:rsidR="003D43CF" w:rsidRPr="003C5231" w14:paraId="7475A23A" w14:textId="77777777" w:rsidTr="003D43CF">
        <w:trPr>
          <w:cantSplit/>
        </w:trPr>
        <w:tc>
          <w:tcPr>
            <w:tcW w:w="717" w:type="pct"/>
          </w:tcPr>
          <w:p w14:paraId="4A163111"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Laos</w:t>
            </w:r>
          </w:p>
        </w:tc>
        <w:tc>
          <w:tcPr>
            <w:tcW w:w="357" w:type="pct"/>
          </w:tcPr>
          <w:p w14:paraId="5065384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100</w:t>
            </w:r>
          </w:p>
        </w:tc>
        <w:tc>
          <w:tcPr>
            <w:tcW w:w="215" w:type="pct"/>
          </w:tcPr>
          <w:p w14:paraId="562C291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193" w:type="pct"/>
          </w:tcPr>
          <w:p w14:paraId="7730835C"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1B2C48E0" w14:textId="77777777" w:rsidR="003D43CF" w:rsidRPr="003C5231" w:rsidRDefault="003D43CF" w:rsidP="003D43CF">
            <w:pPr>
              <w:jc w:val="center"/>
              <w:rPr>
                <w:rFonts w:eastAsia="Calibri" w:cstheme="minorHAnsi"/>
                <w:sz w:val="20"/>
                <w:szCs w:val="20"/>
              </w:rPr>
            </w:pPr>
          </w:p>
        </w:tc>
        <w:tc>
          <w:tcPr>
            <w:tcW w:w="661" w:type="pct"/>
          </w:tcPr>
          <w:p w14:paraId="0CF474F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19372AE7" w14:textId="77777777" w:rsidR="003D43CF" w:rsidRPr="003C5231" w:rsidRDefault="003D43CF" w:rsidP="003D43CF">
            <w:pPr>
              <w:rPr>
                <w:rFonts w:eastAsia="Calibri" w:cstheme="minorHAnsi"/>
                <w:sz w:val="20"/>
                <w:szCs w:val="20"/>
              </w:rPr>
            </w:pPr>
          </w:p>
        </w:tc>
      </w:tr>
      <w:tr w:rsidR="003D43CF" w:rsidRPr="003C5231" w14:paraId="31506AEA" w14:textId="77777777" w:rsidTr="003D43CF">
        <w:trPr>
          <w:cantSplit/>
        </w:trPr>
        <w:tc>
          <w:tcPr>
            <w:tcW w:w="717" w:type="pct"/>
          </w:tcPr>
          <w:p w14:paraId="5FDD81C1"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Malaysia</w:t>
            </w:r>
          </w:p>
        </w:tc>
        <w:tc>
          <w:tcPr>
            <w:tcW w:w="357" w:type="pct"/>
          </w:tcPr>
          <w:p w14:paraId="4FC7BE86"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200</w:t>
            </w:r>
          </w:p>
        </w:tc>
        <w:tc>
          <w:tcPr>
            <w:tcW w:w="215" w:type="pct"/>
          </w:tcPr>
          <w:p w14:paraId="3CE50CB9"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193" w:type="pct"/>
          </w:tcPr>
          <w:p w14:paraId="3A25DA37" w14:textId="77777777" w:rsidR="003D43CF" w:rsidRPr="003C5231" w:rsidRDefault="003D43CF" w:rsidP="003D43CF">
            <w:pPr>
              <w:jc w:val="center"/>
              <w:rPr>
                <w:rFonts w:eastAsia="Calibri" w:cstheme="minorHAnsi"/>
                <w:sz w:val="20"/>
                <w:szCs w:val="20"/>
              </w:rPr>
            </w:pPr>
          </w:p>
        </w:tc>
        <w:tc>
          <w:tcPr>
            <w:tcW w:w="219" w:type="pct"/>
          </w:tcPr>
          <w:p w14:paraId="593154FC"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54961BB1"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1DB12E78" w14:textId="77777777" w:rsidR="003D43CF" w:rsidRPr="003C5231" w:rsidRDefault="003D43CF" w:rsidP="003D43CF">
            <w:pPr>
              <w:rPr>
                <w:rFonts w:eastAsia="Calibri" w:cstheme="minorHAnsi"/>
                <w:sz w:val="20"/>
                <w:szCs w:val="20"/>
              </w:rPr>
            </w:pPr>
          </w:p>
        </w:tc>
      </w:tr>
      <w:tr w:rsidR="003D43CF" w:rsidRPr="003C5231" w14:paraId="4CD7CBE2" w14:textId="77777777" w:rsidTr="003D43CF">
        <w:trPr>
          <w:cantSplit/>
        </w:trPr>
        <w:tc>
          <w:tcPr>
            <w:tcW w:w="717" w:type="pct"/>
          </w:tcPr>
          <w:p w14:paraId="75226B1F"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Myanmar</w:t>
            </w:r>
          </w:p>
        </w:tc>
        <w:tc>
          <w:tcPr>
            <w:tcW w:w="357" w:type="pct"/>
          </w:tcPr>
          <w:p w14:paraId="4474757A"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600</w:t>
            </w:r>
          </w:p>
        </w:tc>
        <w:tc>
          <w:tcPr>
            <w:tcW w:w="215" w:type="pct"/>
          </w:tcPr>
          <w:p w14:paraId="42CBB4D8"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193" w:type="pct"/>
          </w:tcPr>
          <w:p w14:paraId="1BE58F0C"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50AD8B43"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2CC46341"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05208D42" w14:textId="77777777" w:rsidR="003D43CF" w:rsidRPr="003C5231" w:rsidRDefault="003D43CF" w:rsidP="003D43CF">
            <w:pPr>
              <w:rPr>
                <w:rFonts w:eastAsia="Calibri" w:cstheme="minorHAnsi"/>
                <w:sz w:val="20"/>
                <w:szCs w:val="20"/>
              </w:rPr>
            </w:pPr>
            <w:r w:rsidRPr="003C5231">
              <w:rPr>
                <w:rFonts w:eastAsia="Calibri" w:cstheme="minorHAnsi"/>
                <w:sz w:val="20"/>
                <w:szCs w:val="20"/>
              </w:rPr>
              <w:t>Financial criteria differs by sector.</w:t>
            </w:r>
          </w:p>
        </w:tc>
      </w:tr>
      <w:tr w:rsidR="003D43CF" w:rsidRPr="003C5231" w14:paraId="0FD7FBCA" w14:textId="77777777" w:rsidTr="003D43CF">
        <w:trPr>
          <w:cantSplit/>
          <w:trHeight w:val="189"/>
        </w:trPr>
        <w:tc>
          <w:tcPr>
            <w:tcW w:w="717" w:type="pct"/>
          </w:tcPr>
          <w:p w14:paraId="0DB56BB4"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Philippines</w:t>
            </w:r>
          </w:p>
        </w:tc>
        <w:tc>
          <w:tcPr>
            <w:tcW w:w="357" w:type="pct"/>
          </w:tcPr>
          <w:p w14:paraId="03F1A0A0"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4F"/>
            </w:r>
          </w:p>
        </w:tc>
        <w:tc>
          <w:tcPr>
            <w:tcW w:w="215" w:type="pct"/>
          </w:tcPr>
          <w:p w14:paraId="67ABD17F" w14:textId="77777777" w:rsidR="003D43CF" w:rsidRPr="003C5231" w:rsidRDefault="003D43CF" w:rsidP="003D43CF">
            <w:pPr>
              <w:rPr>
                <w:rFonts w:eastAsia="Calibri" w:cstheme="minorHAnsi"/>
                <w:sz w:val="20"/>
                <w:szCs w:val="20"/>
              </w:rPr>
            </w:pPr>
          </w:p>
        </w:tc>
        <w:tc>
          <w:tcPr>
            <w:tcW w:w="193" w:type="pct"/>
          </w:tcPr>
          <w:p w14:paraId="4590D7E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60B72F1A" w14:textId="77777777" w:rsidR="003D43CF" w:rsidRPr="003C5231" w:rsidRDefault="003D43CF" w:rsidP="003D43CF">
            <w:pPr>
              <w:jc w:val="center"/>
              <w:rPr>
                <w:rFonts w:eastAsia="Calibri" w:cstheme="minorHAnsi"/>
                <w:sz w:val="20"/>
                <w:szCs w:val="20"/>
              </w:rPr>
            </w:pPr>
          </w:p>
        </w:tc>
        <w:tc>
          <w:tcPr>
            <w:tcW w:w="661" w:type="pct"/>
          </w:tcPr>
          <w:p w14:paraId="6E96DA26"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2C3BDE9D" w14:textId="77777777" w:rsidR="003D43CF" w:rsidRPr="003C5231" w:rsidRDefault="003D43CF" w:rsidP="003D43CF">
            <w:pPr>
              <w:rPr>
                <w:rFonts w:eastAsia="Calibri" w:cstheme="minorHAnsi"/>
                <w:sz w:val="20"/>
                <w:szCs w:val="20"/>
              </w:rPr>
            </w:pPr>
          </w:p>
        </w:tc>
      </w:tr>
      <w:tr w:rsidR="003D43CF" w:rsidRPr="003C5231" w14:paraId="4F8BEA04" w14:textId="77777777" w:rsidTr="003D43CF">
        <w:trPr>
          <w:cantSplit/>
        </w:trPr>
        <w:tc>
          <w:tcPr>
            <w:tcW w:w="717" w:type="pct"/>
          </w:tcPr>
          <w:p w14:paraId="6BE3242F"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Singapore</w:t>
            </w:r>
          </w:p>
        </w:tc>
        <w:tc>
          <w:tcPr>
            <w:tcW w:w="357" w:type="pct"/>
          </w:tcPr>
          <w:p w14:paraId="03F01AEF"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200</w:t>
            </w:r>
          </w:p>
        </w:tc>
        <w:tc>
          <w:tcPr>
            <w:tcW w:w="215" w:type="pct"/>
          </w:tcPr>
          <w:p w14:paraId="2D46000B" w14:textId="77777777" w:rsidR="003D43CF" w:rsidRPr="003C5231" w:rsidRDefault="003D43CF" w:rsidP="003D43CF">
            <w:pPr>
              <w:rPr>
                <w:rFonts w:eastAsia="Calibri" w:cstheme="minorHAnsi"/>
                <w:sz w:val="20"/>
                <w:szCs w:val="20"/>
              </w:rPr>
            </w:pPr>
          </w:p>
        </w:tc>
        <w:tc>
          <w:tcPr>
            <w:tcW w:w="193" w:type="pct"/>
          </w:tcPr>
          <w:p w14:paraId="717C68D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4CCE8E1E" w14:textId="77777777" w:rsidR="003D43CF" w:rsidRPr="003C5231" w:rsidRDefault="003D43CF" w:rsidP="003D43CF">
            <w:pPr>
              <w:jc w:val="center"/>
              <w:rPr>
                <w:rFonts w:eastAsia="Calibri" w:cstheme="minorHAnsi"/>
                <w:sz w:val="20"/>
                <w:szCs w:val="20"/>
              </w:rPr>
            </w:pPr>
          </w:p>
        </w:tc>
        <w:tc>
          <w:tcPr>
            <w:tcW w:w="661" w:type="pct"/>
          </w:tcPr>
          <w:p w14:paraId="2B2EED8A" w14:textId="77777777" w:rsidR="003D43CF" w:rsidRPr="003C5231" w:rsidRDefault="003D43CF" w:rsidP="003D43CF">
            <w:pPr>
              <w:jc w:val="center"/>
              <w:rPr>
                <w:rFonts w:eastAsia="Calibri" w:cstheme="minorHAnsi"/>
                <w:sz w:val="20"/>
                <w:szCs w:val="20"/>
              </w:rPr>
            </w:pPr>
          </w:p>
        </w:tc>
        <w:tc>
          <w:tcPr>
            <w:tcW w:w="2638" w:type="pct"/>
          </w:tcPr>
          <w:p w14:paraId="425B9C67" w14:textId="77777777" w:rsidR="003D43CF" w:rsidRPr="003C5231" w:rsidRDefault="003D43CF" w:rsidP="003D43CF">
            <w:pPr>
              <w:rPr>
                <w:rFonts w:eastAsia="Calibri" w:cstheme="minorHAnsi"/>
                <w:sz w:val="20"/>
                <w:szCs w:val="20"/>
              </w:rPr>
            </w:pPr>
            <w:r w:rsidRPr="003C5231">
              <w:rPr>
                <w:rFonts w:eastAsia="Calibri" w:cstheme="minorHAnsi"/>
                <w:sz w:val="20"/>
                <w:szCs w:val="20"/>
              </w:rPr>
              <w:t>Requirement for 30 per cent local shareholding</w:t>
            </w:r>
          </w:p>
        </w:tc>
      </w:tr>
      <w:tr w:rsidR="003D43CF" w:rsidRPr="003C5231" w14:paraId="07830D43" w14:textId="77777777" w:rsidTr="003D43CF">
        <w:trPr>
          <w:cantSplit/>
        </w:trPr>
        <w:tc>
          <w:tcPr>
            <w:tcW w:w="717" w:type="pct"/>
          </w:tcPr>
          <w:p w14:paraId="459D8A0C"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Thailand</w:t>
            </w:r>
          </w:p>
        </w:tc>
        <w:tc>
          <w:tcPr>
            <w:tcW w:w="357" w:type="pct"/>
          </w:tcPr>
          <w:p w14:paraId="47C5CC18"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200</w:t>
            </w:r>
          </w:p>
        </w:tc>
        <w:tc>
          <w:tcPr>
            <w:tcW w:w="215" w:type="pct"/>
          </w:tcPr>
          <w:p w14:paraId="0A33977A" w14:textId="77777777" w:rsidR="003D43CF" w:rsidRPr="003C5231" w:rsidRDefault="003D43CF" w:rsidP="003D43CF">
            <w:pPr>
              <w:rPr>
                <w:rFonts w:eastAsia="Calibri" w:cstheme="minorHAnsi"/>
                <w:sz w:val="20"/>
                <w:szCs w:val="20"/>
              </w:rPr>
            </w:pPr>
          </w:p>
        </w:tc>
        <w:tc>
          <w:tcPr>
            <w:tcW w:w="193" w:type="pct"/>
          </w:tcPr>
          <w:p w14:paraId="7846E63A"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52FB472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0CE50487"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48EB575B" w14:textId="77777777" w:rsidR="003D43CF" w:rsidRPr="003C5231" w:rsidRDefault="003D43CF" w:rsidP="003D43CF">
            <w:pPr>
              <w:rPr>
                <w:rFonts w:eastAsia="Calibri" w:cstheme="minorHAnsi"/>
                <w:sz w:val="20"/>
                <w:szCs w:val="20"/>
              </w:rPr>
            </w:pPr>
          </w:p>
        </w:tc>
      </w:tr>
      <w:tr w:rsidR="003D43CF" w:rsidRPr="003C5231" w14:paraId="691564C7" w14:textId="77777777" w:rsidTr="003D43CF">
        <w:trPr>
          <w:cantSplit/>
        </w:trPr>
        <w:tc>
          <w:tcPr>
            <w:tcW w:w="717" w:type="pct"/>
          </w:tcPr>
          <w:p w14:paraId="49A07697" w14:textId="77777777" w:rsidR="003D43CF" w:rsidRPr="003C5231" w:rsidRDefault="003D43CF" w:rsidP="003D43CF">
            <w:pPr>
              <w:outlineLvl w:val="2"/>
              <w:rPr>
                <w:rFonts w:eastAsia="Calibri" w:cstheme="minorHAnsi"/>
                <w:bCs/>
                <w:sz w:val="20"/>
                <w:szCs w:val="20"/>
                <w:lang w:eastAsia="en-GB"/>
              </w:rPr>
            </w:pPr>
            <w:r w:rsidRPr="003C5231">
              <w:rPr>
                <w:rFonts w:eastAsia="Calibri" w:cstheme="minorHAnsi"/>
                <w:bCs/>
                <w:sz w:val="20"/>
                <w:szCs w:val="20"/>
                <w:lang w:eastAsia="en-GB"/>
              </w:rPr>
              <w:t>Vietnam</w:t>
            </w:r>
          </w:p>
        </w:tc>
        <w:tc>
          <w:tcPr>
            <w:tcW w:w="357" w:type="pct"/>
          </w:tcPr>
          <w:p w14:paraId="2BF261FD"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300</w:t>
            </w:r>
          </w:p>
        </w:tc>
        <w:tc>
          <w:tcPr>
            <w:tcW w:w="215" w:type="pct"/>
          </w:tcPr>
          <w:p w14:paraId="0CA5E64E" w14:textId="77777777" w:rsidR="003D43CF" w:rsidRPr="003C5231" w:rsidRDefault="003D43CF" w:rsidP="003D43CF">
            <w:pPr>
              <w:rPr>
                <w:rFonts w:eastAsia="Calibri" w:cstheme="minorHAnsi"/>
                <w:sz w:val="20"/>
                <w:szCs w:val="20"/>
              </w:rPr>
            </w:pPr>
          </w:p>
        </w:tc>
        <w:tc>
          <w:tcPr>
            <w:tcW w:w="193" w:type="pct"/>
          </w:tcPr>
          <w:p w14:paraId="5380E513"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12E0E039"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5806A7C6"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125F3232" w14:textId="77777777" w:rsidR="003D43CF" w:rsidRPr="003C5231" w:rsidRDefault="003D43CF" w:rsidP="003D43CF">
            <w:pPr>
              <w:rPr>
                <w:rFonts w:eastAsia="Calibri" w:cstheme="minorHAnsi"/>
                <w:sz w:val="20"/>
                <w:szCs w:val="20"/>
              </w:rPr>
            </w:pPr>
          </w:p>
        </w:tc>
      </w:tr>
      <w:tr w:rsidR="003D43CF" w:rsidRPr="003C5231" w14:paraId="267B8CCF" w14:textId="77777777" w:rsidTr="003D43CF">
        <w:trPr>
          <w:cantSplit/>
        </w:trPr>
        <w:tc>
          <w:tcPr>
            <w:tcW w:w="717" w:type="pct"/>
          </w:tcPr>
          <w:p w14:paraId="74C82478" w14:textId="77777777" w:rsidR="003D43CF" w:rsidRPr="003C5231" w:rsidRDefault="003D43CF" w:rsidP="003D43CF">
            <w:pPr>
              <w:rPr>
                <w:rFonts w:eastAsia="Calibri" w:cstheme="minorHAnsi"/>
                <w:sz w:val="20"/>
                <w:szCs w:val="20"/>
              </w:rPr>
            </w:pPr>
            <w:r w:rsidRPr="003C5231">
              <w:rPr>
                <w:rFonts w:eastAsia="Calibri" w:cstheme="minorHAnsi"/>
                <w:sz w:val="20"/>
                <w:szCs w:val="20"/>
              </w:rPr>
              <w:t>Japan</w:t>
            </w:r>
          </w:p>
        </w:tc>
        <w:tc>
          <w:tcPr>
            <w:tcW w:w="357" w:type="pct"/>
          </w:tcPr>
          <w:p w14:paraId="3D2C0B4D"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5" w:type="pct"/>
          </w:tcPr>
          <w:p w14:paraId="5DBA5E9D" w14:textId="77777777" w:rsidR="003D43CF" w:rsidRPr="003C5231" w:rsidRDefault="003D43CF" w:rsidP="003D43CF">
            <w:pPr>
              <w:rPr>
                <w:rFonts w:eastAsia="Calibri" w:cstheme="minorHAnsi"/>
                <w:sz w:val="20"/>
                <w:szCs w:val="20"/>
              </w:rPr>
            </w:pPr>
          </w:p>
        </w:tc>
        <w:tc>
          <w:tcPr>
            <w:tcW w:w="193" w:type="pct"/>
          </w:tcPr>
          <w:p w14:paraId="51CC9E7A"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31E8884F" w14:textId="77777777" w:rsidR="003D43CF" w:rsidRPr="003C5231" w:rsidRDefault="003D43CF" w:rsidP="003D43CF">
            <w:pPr>
              <w:jc w:val="center"/>
              <w:rPr>
                <w:rFonts w:eastAsia="Calibri" w:cstheme="minorHAnsi"/>
                <w:sz w:val="20"/>
                <w:szCs w:val="20"/>
              </w:rPr>
            </w:pPr>
          </w:p>
        </w:tc>
        <w:tc>
          <w:tcPr>
            <w:tcW w:w="661" w:type="pct"/>
          </w:tcPr>
          <w:p w14:paraId="40C21E4F"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72118DD8" w14:textId="77777777" w:rsidR="003D43CF" w:rsidRPr="003C5231" w:rsidRDefault="003D43CF" w:rsidP="003D43CF">
            <w:pPr>
              <w:rPr>
                <w:rFonts w:eastAsia="Calibri" w:cstheme="minorHAnsi"/>
                <w:sz w:val="20"/>
                <w:szCs w:val="20"/>
              </w:rPr>
            </w:pPr>
            <w:r w:rsidRPr="003C5231">
              <w:rPr>
                <w:rFonts w:eastAsia="Calibri" w:cstheme="minorHAnsi"/>
                <w:sz w:val="20"/>
                <w:szCs w:val="20"/>
              </w:rPr>
              <w:t>Different criteria based on sector (Manufacturing, Wholesale, Services, Retail). Distinguishes Micro from SMEs</w:t>
            </w:r>
          </w:p>
        </w:tc>
      </w:tr>
      <w:tr w:rsidR="003D43CF" w:rsidRPr="003C5231" w14:paraId="41214855" w14:textId="77777777" w:rsidTr="003D43CF">
        <w:trPr>
          <w:cantSplit/>
        </w:trPr>
        <w:tc>
          <w:tcPr>
            <w:tcW w:w="717" w:type="pct"/>
          </w:tcPr>
          <w:p w14:paraId="6CD5A60E" w14:textId="77777777" w:rsidR="003D43CF" w:rsidRPr="003C5231" w:rsidRDefault="003D43CF" w:rsidP="003D43CF">
            <w:pPr>
              <w:rPr>
                <w:rFonts w:eastAsia="Calibri" w:cstheme="minorHAnsi"/>
                <w:sz w:val="20"/>
                <w:szCs w:val="20"/>
              </w:rPr>
            </w:pPr>
            <w:r w:rsidRPr="003C5231">
              <w:rPr>
                <w:rFonts w:eastAsia="Calibri" w:cstheme="minorHAnsi"/>
                <w:sz w:val="20"/>
                <w:szCs w:val="20"/>
              </w:rPr>
              <w:t>Australia</w:t>
            </w:r>
          </w:p>
        </w:tc>
        <w:tc>
          <w:tcPr>
            <w:tcW w:w="357" w:type="pct"/>
          </w:tcPr>
          <w:p w14:paraId="5B50648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200</w:t>
            </w:r>
          </w:p>
        </w:tc>
        <w:tc>
          <w:tcPr>
            <w:tcW w:w="215" w:type="pct"/>
          </w:tcPr>
          <w:p w14:paraId="362CF87E" w14:textId="77777777" w:rsidR="003D43CF" w:rsidRPr="003C5231" w:rsidRDefault="003D43CF" w:rsidP="003D43CF">
            <w:pPr>
              <w:rPr>
                <w:rFonts w:eastAsia="Calibri" w:cstheme="minorHAnsi"/>
                <w:sz w:val="20"/>
                <w:szCs w:val="20"/>
              </w:rPr>
            </w:pPr>
            <w:r w:rsidRPr="003C5231">
              <w:rPr>
                <w:rFonts w:eastAsia="Calibri" w:cstheme="minorHAnsi"/>
                <w:sz w:val="20"/>
                <w:szCs w:val="20"/>
              </w:rPr>
              <w:sym w:font="Wingdings 2" w:char="F050"/>
            </w:r>
          </w:p>
        </w:tc>
        <w:tc>
          <w:tcPr>
            <w:tcW w:w="193" w:type="pct"/>
          </w:tcPr>
          <w:p w14:paraId="7645B9C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6BF44C5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1620E7F1" w14:textId="77777777" w:rsidR="003D43CF" w:rsidRPr="003C5231" w:rsidRDefault="003D43CF" w:rsidP="003D43CF">
            <w:pPr>
              <w:rPr>
                <w:rFonts w:eastAsia="Calibri" w:cstheme="minorHAnsi"/>
                <w:sz w:val="20"/>
                <w:szCs w:val="20"/>
              </w:rPr>
            </w:pPr>
          </w:p>
        </w:tc>
        <w:tc>
          <w:tcPr>
            <w:tcW w:w="2638" w:type="pct"/>
          </w:tcPr>
          <w:p w14:paraId="076ECFA9" w14:textId="77777777" w:rsidR="003D43CF" w:rsidRPr="003C5231" w:rsidRDefault="003D43CF" w:rsidP="003D43CF">
            <w:pPr>
              <w:rPr>
                <w:rFonts w:eastAsia="Calibri" w:cstheme="minorHAnsi"/>
                <w:sz w:val="20"/>
                <w:szCs w:val="20"/>
              </w:rPr>
            </w:pPr>
            <w:r w:rsidRPr="003C5231">
              <w:rPr>
                <w:rFonts w:eastAsia="Calibri" w:cstheme="minorHAnsi"/>
                <w:sz w:val="20"/>
                <w:szCs w:val="20"/>
              </w:rPr>
              <w:t>No universal definition. Classification criteria vary across government agencies.</w:t>
            </w:r>
          </w:p>
        </w:tc>
      </w:tr>
      <w:tr w:rsidR="003D43CF" w:rsidRPr="003C5231" w14:paraId="6A5490A6" w14:textId="77777777" w:rsidTr="003D43CF">
        <w:trPr>
          <w:cantSplit/>
          <w:trHeight w:val="694"/>
        </w:trPr>
        <w:tc>
          <w:tcPr>
            <w:tcW w:w="717" w:type="pct"/>
          </w:tcPr>
          <w:p w14:paraId="34E0B8BA" w14:textId="77777777" w:rsidR="003D43CF" w:rsidRPr="003C5231" w:rsidRDefault="003D43CF" w:rsidP="003D43CF">
            <w:pPr>
              <w:spacing w:after="200"/>
              <w:rPr>
                <w:rFonts w:eastAsia="Calibri" w:cstheme="minorHAnsi"/>
                <w:sz w:val="20"/>
                <w:szCs w:val="20"/>
              </w:rPr>
            </w:pPr>
            <w:r w:rsidRPr="003C5231">
              <w:rPr>
                <w:rFonts w:eastAsia="Calibri" w:cstheme="minorHAnsi"/>
                <w:sz w:val="20"/>
                <w:szCs w:val="20"/>
              </w:rPr>
              <w:t>USA</w:t>
            </w:r>
          </w:p>
        </w:tc>
        <w:tc>
          <w:tcPr>
            <w:tcW w:w="357" w:type="pct"/>
          </w:tcPr>
          <w:p w14:paraId="2C1B74DD" w14:textId="77777777" w:rsidR="003D43CF" w:rsidRPr="003C5231" w:rsidRDefault="003D43CF" w:rsidP="003D43CF">
            <w:pPr>
              <w:spacing w:after="200"/>
              <w:jc w:val="center"/>
              <w:rPr>
                <w:rFonts w:eastAsia="Calibri" w:cstheme="minorHAnsi"/>
                <w:sz w:val="20"/>
                <w:szCs w:val="20"/>
              </w:rPr>
            </w:pPr>
            <w:r w:rsidRPr="003C5231">
              <w:rPr>
                <w:rFonts w:eastAsia="Calibri" w:cstheme="minorHAnsi"/>
                <w:sz w:val="20"/>
                <w:szCs w:val="20"/>
              </w:rPr>
              <w:t>1500</w:t>
            </w:r>
          </w:p>
        </w:tc>
        <w:tc>
          <w:tcPr>
            <w:tcW w:w="215" w:type="pct"/>
          </w:tcPr>
          <w:p w14:paraId="345F0C17" w14:textId="77777777" w:rsidR="003D43CF" w:rsidRPr="003C5231" w:rsidRDefault="003D43CF" w:rsidP="003D43CF">
            <w:pPr>
              <w:spacing w:after="200"/>
              <w:jc w:val="center"/>
              <w:rPr>
                <w:rFonts w:eastAsia="Calibri" w:cstheme="minorHAnsi"/>
                <w:sz w:val="20"/>
                <w:szCs w:val="20"/>
              </w:rPr>
            </w:pPr>
          </w:p>
        </w:tc>
        <w:tc>
          <w:tcPr>
            <w:tcW w:w="193" w:type="pct"/>
          </w:tcPr>
          <w:p w14:paraId="3D5FA4F9" w14:textId="77777777" w:rsidR="003D43CF" w:rsidRPr="003C5231" w:rsidRDefault="003D43CF" w:rsidP="003D43CF">
            <w:pPr>
              <w:spacing w:after="200"/>
              <w:jc w:val="center"/>
              <w:rPr>
                <w:rFonts w:eastAsia="Calibri" w:cstheme="minorHAnsi"/>
                <w:sz w:val="20"/>
                <w:szCs w:val="20"/>
              </w:rPr>
            </w:pPr>
          </w:p>
        </w:tc>
        <w:tc>
          <w:tcPr>
            <w:tcW w:w="219" w:type="pct"/>
          </w:tcPr>
          <w:p w14:paraId="1948BD66" w14:textId="77777777" w:rsidR="003D43CF" w:rsidRPr="003C5231" w:rsidRDefault="003D43CF" w:rsidP="003D43CF">
            <w:pPr>
              <w:spacing w:after="200"/>
              <w:jc w:val="center"/>
              <w:rPr>
                <w:rFonts w:eastAsia="Calibri" w:cstheme="minorHAnsi"/>
                <w:sz w:val="20"/>
                <w:szCs w:val="20"/>
              </w:rPr>
            </w:pPr>
            <w:r w:rsidRPr="003C5231">
              <w:rPr>
                <w:rFonts w:eastAsia="Calibri" w:cstheme="minorHAnsi"/>
                <w:sz w:val="20"/>
                <w:szCs w:val="20"/>
              </w:rPr>
              <w:sym w:font="Wingdings 2" w:char="F050"/>
            </w:r>
          </w:p>
        </w:tc>
        <w:tc>
          <w:tcPr>
            <w:tcW w:w="661" w:type="pct"/>
          </w:tcPr>
          <w:p w14:paraId="1696BCD6" w14:textId="77777777" w:rsidR="003D43CF" w:rsidRPr="003C5231" w:rsidRDefault="003D43CF" w:rsidP="003D43CF">
            <w:pPr>
              <w:spacing w:after="200"/>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2FD71BDC" w14:textId="77777777" w:rsidR="003D43CF" w:rsidRPr="003C5231" w:rsidRDefault="003D43CF" w:rsidP="003D43CF">
            <w:pPr>
              <w:spacing w:after="200"/>
              <w:rPr>
                <w:rFonts w:eastAsia="Calibri" w:cstheme="minorHAnsi"/>
                <w:sz w:val="20"/>
                <w:szCs w:val="20"/>
              </w:rPr>
            </w:pPr>
            <w:r w:rsidRPr="003C5231">
              <w:rPr>
                <w:rFonts w:eastAsia="Calibri" w:cstheme="minorHAnsi"/>
                <w:sz w:val="20"/>
                <w:szCs w:val="20"/>
              </w:rPr>
              <w:t>No universal definition. Classification criteria vary according to industry, and across government agencies and programs.</w:t>
            </w:r>
          </w:p>
        </w:tc>
      </w:tr>
      <w:tr w:rsidR="003D43CF" w:rsidRPr="003C5231" w14:paraId="46521FC4" w14:textId="77777777" w:rsidTr="003D43CF">
        <w:trPr>
          <w:cantSplit/>
        </w:trPr>
        <w:tc>
          <w:tcPr>
            <w:tcW w:w="717" w:type="pct"/>
          </w:tcPr>
          <w:p w14:paraId="493E2651" w14:textId="77777777" w:rsidR="003D43CF" w:rsidRPr="003C5231" w:rsidRDefault="003D43CF" w:rsidP="003D43CF">
            <w:pPr>
              <w:rPr>
                <w:rFonts w:eastAsia="Calibri" w:cstheme="minorHAnsi"/>
                <w:sz w:val="20"/>
                <w:szCs w:val="20"/>
              </w:rPr>
            </w:pPr>
            <w:r w:rsidRPr="003C5231">
              <w:rPr>
                <w:rFonts w:eastAsia="Calibri" w:cstheme="minorHAnsi"/>
                <w:sz w:val="20"/>
                <w:szCs w:val="20"/>
              </w:rPr>
              <w:t>IFC</w:t>
            </w:r>
          </w:p>
        </w:tc>
        <w:tc>
          <w:tcPr>
            <w:tcW w:w="357" w:type="pct"/>
          </w:tcPr>
          <w:p w14:paraId="7050CE7C"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300</w:t>
            </w:r>
          </w:p>
        </w:tc>
        <w:tc>
          <w:tcPr>
            <w:tcW w:w="215" w:type="pct"/>
          </w:tcPr>
          <w:p w14:paraId="670E5BD0"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193" w:type="pct"/>
          </w:tcPr>
          <w:p w14:paraId="2CE522A4"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6D6EAC84" w14:textId="77777777" w:rsidR="003D43CF" w:rsidRPr="003C5231" w:rsidRDefault="003D43CF" w:rsidP="003D43CF">
            <w:pPr>
              <w:jc w:val="center"/>
              <w:rPr>
                <w:rFonts w:eastAsia="Calibri" w:cstheme="minorHAnsi"/>
                <w:sz w:val="20"/>
                <w:szCs w:val="20"/>
              </w:rPr>
            </w:pPr>
          </w:p>
        </w:tc>
        <w:tc>
          <w:tcPr>
            <w:tcW w:w="661" w:type="pct"/>
          </w:tcPr>
          <w:p w14:paraId="49DD33F8"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461FA036" w14:textId="77777777" w:rsidR="003D43CF" w:rsidRPr="003C5231" w:rsidRDefault="003D43CF" w:rsidP="003D43CF">
            <w:pPr>
              <w:rPr>
                <w:rFonts w:eastAsia="Calibri" w:cstheme="minorHAnsi"/>
                <w:sz w:val="20"/>
                <w:szCs w:val="20"/>
              </w:rPr>
            </w:pPr>
          </w:p>
        </w:tc>
      </w:tr>
      <w:tr w:rsidR="003D43CF" w:rsidRPr="003C5231" w14:paraId="505EEA64" w14:textId="77777777" w:rsidTr="003D43CF">
        <w:trPr>
          <w:cantSplit/>
        </w:trPr>
        <w:tc>
          <w:tcPr>
            <w:tcW w:w="717" w:type="pct"/>
          </w:tcPr>
          <w:p w14:paraId="57998E79" w14:textId="77777777" w:rsidR="003D43CF" w:rsidRPr="003C5231" w:rsidRDefault="003D43CF" w:rsidP="003D43CF">
            <w:pPr>
              <w:rPr>
                <w:rFonts w:eastAsia="Calibri" w:cstheme="minorHAnsi"/>
                <w:sz w:val="20"/>
                <w:szCs w:val="20"/>
              </w:rPr>
            </w:pPr>
            <w:r w:rsidRPr="003C5231">
              <w:rPr>
                <w:rFonts w:eastAsia="Calibri" w:cstheme="minorHAnsi"/>
                <w:sz w:val="20"/>
                <w:szCs w:val="20"/>
              </w:rPr>
              <w:t>EU</w:t>
            </w:r>
          </w:p>
        </w:tc>
        <w:tc>
          <w:tcPr>
            <w:tcW w:w="357" w:type="pct"/>
          </w:tcPr>
          <w:p w14:paraId="38FBA3DB"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t>250</w:t>
            </w:r>
          </w:p>
        </w:tc>
        <w:tc>
          <w:tcPr>
            <w:tcW w:w="215" w:type="pct"/>
          </w:tcPr>
          <w:p w14:paraId="28C9D19E"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193" w:type="pct"/>
          </w:tcPr>
          <w:p w14:paraId="617B51B2"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19" w:type="pct"/>
          </w:tcPr>
          <w:p w14:paraId="52F9F573" w14:textId="77777777" w:rsidR="003D43CF" w:rsidRPr="003C5231" w:rsidRDefault="003D43CF" w:rsidP="003D43CF">
            <w:pPr>
              <w:jc w:val="center"/>
              <w:rPr>
                <w:rFonts w:eastAsia="Calibri" w:cstheme="minorHAnsi"/>
                <w:sz w:val="20"/>
                <w:szCs w:val="20"/>
              </w:rPr>
            </w:pPr>
          </w:p>
        </w:tc>
        <w:tc>
          <w:tcPr>
            <w:tcW w:w="661" w:type="pct"/>
          </w:tcPr>
          <w:p w14:paraId="5A4A2A2C" w14:textId="77777777" w:rsidR="003D43CF" w:rsidRPr="003C5231" w:rsidRDefault="003D43CF" w:rsidP="003D43CF">
            <w:pPr>
              <w:jc w:val="center"/>
              <w:rPr>
                <w:rFonts w:eastAsia="Calibri" w:cstheme="minorHAnsi"/>
                <w:sz w:val="20"/>
                <w:szCs w:val="20"/>
              </w:rPr>
            </w:pPr>
            <w:r w:rsidRPr="003C5231">
              <w:rPr>
                <w:rFonts w:eastAsia="Calibri" w:cstheme="minorHAnsi"/>
                <w:sz w:val="20"/>
                <w:szCs w:val="20"/>
              </w:rPr>
              <w:sym w:font="Wingdings 2" w:char="F050"/>
            </w:r>
          </w:p>
        </w:tc>
        <w:tc>
          <w:tcPr>
            <w:tcW w:w="2638" w:type="pct"/>
          </w:tcPr>
          <w:p w14:paraId="6A40BB50" w14:textId="77777777" w:rsidR="003D43CF" w:rsidRPr="003C5231" w:rsidRDefault="003D43CF" w:rsidP="003D43CF">
            <w:pPr>
              <w:rPr>
                <w:rFonts w:eastAsia="Calibri" w:cstheme="minorHAnsi"/>
                <w:sz w:val="20"/>
                <w:szCs w:val="20"/>
              </w:rPr>
            </w:pPr>
          </w:p>
        </w:tc>
      </w:tr>
      <w:tr w:rsidR="003D43CF" w:rsidRPr="003C5231" w14:paraId="0FA84A3F" w14:textId="77777777" w:rsidTr="003D43CF">
        <w:trPr>
          <w:cantSplit/>
        </w:trPr>
        <w:tc>
          <w:tcPr>
            <w:tcW w:w="717" w:type="pct"/>
          </w:tcPr>
          <w:p w14:paraId="6452E19B" w14:textId="77777777" w:rsidR="003D43CF" w:rsidRPr="003C5231" w:rsidRDefault="003D43CF" w:rsidP="003D43CF">
            <w:pPr>
              <w:rPr>
                <w:rFonts w:eastAsia="Calibri" w:cstheme="minorHAnsi"/>
                <w:sz w:val="20"/>
                <w:szCs w:val="20"/>
              </w:rPr>
            </w:pPr>
            <w:r w:rsidRPr="003C5231">
              <w:rPr>
                <w:rFonts w:eastAsia="Calibri" w:cstheme="minorHAnsi"/>
                <w:sz w:val="20"/>
                <w:szCs w:val="20"/>
              </w:rPr>
              <w:t>Asian Development Bank</w:t>
            </w:r>
          </w:p>
        </w:tc>
        <w:tc>
          <w:tcPr>
            <w:tcW w:w="357" w:type="pct"/>
          </w:tcPr>
          <w:p w14:paraId="5AA5EAFF" w14:textId="77777777" w:rsidR="003D43CF" w:rsidRPr="003C5231" w:rsidRDefault="003D43CF" w:rsidP="003D43CF">
            <w:pPr>
              <w:rPr>
                <w:rFonts w:eastAsia="Calibri" w:cstheme="minorHAnsi"/>
                <w:sz w:val="20"/>
                <w:szCs w:val="20"/>
              </w:rPr>
            </w:pPr>
          </w:p>
        </w:tc>
        <w:tc>
          <w:tcPr>
            <w:tcW w:w="215" w:type="pct"/>
          </w:tcPr>
          <w:p w14:paraId="2A3523DC" w14:textId="77777777" w:rsidR="003D43CF" w:rsidRPr="003C5231" w:rsidRDefault="003D43CF" w:rsidP="003D43CF">
            <w:pPr>
              <w:rPr>
                <w:rFonts w:eastAsia="Calibri" w:cstheme="minorHAnsi"/>
                <w:sz w:val="20"/>
                <w:szCs w:val="20"/>
              </w:rPr>
            </w:pPr>
          </w:p>
        </w:tc>
        <w:tc>
          <w:tcPr>
            <w:tcW w:w="193" w:type="pct"/>
          </w:tcPr>
          <w:p w14:paraId="53AD85FD" w14:textId="77777777" w:rsidR="003D43CF" w:rsidRPr="003C5231" w:rsidRDefault="003D43CF" w:rsidP="003D43CF">
            <w:pPr>
              <w:rPr>
                <w:rFonts w:eastAsia="Calibri" w:cstheme="minorHAnsi"/>
                <w:sz w:val="20"/>
                <w:szCs w:val="20"/>
              </w:rPr>
            </w:pPr>
          </w:p>
        </w:tc>
        <w:tc>
          <w:tcPr>
            <w:tcW w:w="219" w:type="pct"/>
          </w:tcPr>
          <w:p w14:paraId="42FA174C" w14:textId="77777777" w:rsidR="003D43CF" w:rsidRPr="003C5231" w:rsidRDefault="003D43CF" w:rsidP="003D43CF">
            <w:pPr>
              <w:rPr>
                <w:rFonts w:eastAsia="Calibri" w:cstheme="minorHAnsi"/>
                <w:sz w:val="20"/>
                <w:szCs w:val="20"/>
              </w:rPr>
            </w:pPr>
          </w:p>
        </w:tc>
        <w:tc>
          <w:tcPr>
            <w:tcW w:w="661" w:type="pct"/>
          </w:tcPr>
          <w:p w14:paraId="0F5C9707" w14:textId="77777777" w:rsidR="003D43CF" w:rsidRPr="003C5231" w:rsidRDefault="003D43CF" w:rsidP="003D43CF">
            <w:pPr>
              <w:rPr>
                <w:rFonts w:eastAsia="Calibri" w:cstheme="minorHAnsi"/>
                <w:sz w:val="20"/>
                <w:szCs w:val="20"/>
              </w:rPr>
            </w:pPr>
          </w:p>
        </w:tc>
        <w:tc>
          <w:tcPr>
            <w:tcW w:w="2638" w:type="pct"/>
          </w:tcPr>
          <w:p w14:paraId="6E1AA7E7" w14:textId="77777777" w:rsidR="003D43CF" w:rsidRPr="003C5231" w:rsidRDefault="003D43CF" w:rsidP="003D43CF">
            <w:pPr>
              <w:rPr>
                <w:rFonts w:eastAsia="Calibri" w:cstheme="minorHAnsi"/>
                <w:sz w:val="20"/>
                <w:szCs w:val="20"/>
              </w:rPr>
            </w:pPr>
            <w:r w:rsidRPr="003C5231">
              <w:rPr>
                <w:rFonts w:eastAsia="Calibri" w:cstheme="minorHAnsi"/>
                <w:sz w:val="20"/>
                <w:szCs w:val="20"/>
              </w:rPr>
              <w:t>No Definition. Accepts legal/regulators definition within each jurisdiction.</w:t>
            </w:r>
          </w:p>
        </w:tc>
      </w:tr>
    </w:tbl>
    <w:p w14:paraId="46351A25" w14:textId="77777777" w:rsidR="003D43CF" w:rsidRDefault="003D43CF" w:rsidP="003D43CF">
      <w:pPr>
        <w:jc w:val="both"/>
        <w:rPr>
          <w:sz w:val="20"/>
          <w:lang w:val="en-GB"/>
        </w:rPr>
      </w:pPr>
      <w:r>
        <w:rPr>
          <w:sz w:val="20"/>
          <w:lang w:val="en-GB"/>
        </w:rPr>
        <w:t>Table adapted from a report to the ASEAN Federation of Accountants (see, Harun, Carter, Khan &amp; MacLennan 2018, pp. 22-23)</w:t>
      </w:r>
    </w:p>
    <w:p w14:paraId="7E38CD50" w14:textId="77777777" w:rsidR="003D43CF" w:rsidRPr="001D55FF" w:rsidRDefault="003D43CF" w:rsidP="003D43CF"/>
    <w:p w14:paraId="51E97BD0" w14:textId="77777777" w:rsidR="003D43CF" w:rsidRPr="003D43CF" w:rsidRDefault="003D43CF" w:rsidP="003D43CF">
      <w:pPr>
        <w:rPr>
          <w:lang w:val="en-GB"/>
        </w:rPr>
      </w:pPr>
      <w:bookmarkStart w:id="6" w:name="_GoBack"/>
      <w:bookmarkEnd w:id="6"/>
    </w:p>
    <w:p w14:paraId="2021B712" w14:textId="77777777" w:rsidR="003D43CF" w:rsidRDefault="003D43CF" w:rsidP="003D43CF"/>
    <w:p w14:paraId="75B0A585" w14:textId="77777777" w:rsidR="003D43CF" w:rsidRDefault="003D43CF" w:rsidP="003D43CF">
      <w:pPr>
        <w:rPr>
          <w:rFonts w:cs="Times New Roman"/>
          <w:sz w:val="20"/>
        </w:rPr>
      </w:pPr>
    </w:p>
    <w:p w14:paraId="66195B23" w14:textId="77777777" w:rsidR="003D43CF" w:rsidRDefault="003D43CF" w:rsidP="003D43CF"/>
    <w:p w14:paraId="29296A39" w14:textId="77777777" w:rsidR="003D43CF" w:rsidRDefault="003D43CF" w:rsidP="003D43CF">
      <w:pPr>
        <w:rPr>
          <w:sz w:val="20"/>
        </w:rPr>
      </w:pPr>
    </w:p>
    <w:p w14:paraId="42252593" w14:textId="77777777" w:rsidR="003D43CF" w:rsidRPr="000A036D" w:rsidRDefault="003D43CF" w:rsidP="000A036D">
      <w:pPr>
        <w:spacing w:after="80"/>
        <w:jc w:val="both"/>
        <w:rPr>
          <w:sz w:val="22"/>
          <w:szCs w:val="22"/>
        </w:rPr>
      </w:pPr>
    </w:p>
    <w:sectPr w:rsidR="003D43CF" w:rsidRPr="000A036D" w:rsidSect="00F150DB">
      <w:footerReference w:type="default" r:id="rId17"/>
      <w:pgSz w:w="11900" w:h="16840"/>
      <w:pgMar w:top="1440"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3E7BAB" w16cid:durableId="20F2951D"/>
  <w16cid:commentId w16cid:paraId="2773CB99" w16cid:durableId="20F295AC"/>
  <w16cid:commentId w16cid:paraId="6FCFE7C8" w16cid:durableId="20B321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30931" w14:textId="77777777" w:rsidR="003D43CF" w:rsidRDefault="003D43CF" w:rsidP="003608F0">
      <w:r>
        <w:separator/>
      </w:r>
    </w:p>
  </w:endnote>
  <w:endnote w:type="continuationSeparator" w:id="0">
    <w:p w14:paraId="6DB0246A" w14:textId="77777777" w:rsidR="003D43CF" w:rsidRDefault="003D43CF" w:rsidP="0036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Light">
    <w:altName w:val="Arial Nova Light"/>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Khmer Sangam MN">
    <w:altName w:val="Khmer UI"/>
    <w:charset w:val="00"/>
    <w:family w:val="auto"/>
    <w:pitch w:val="variable"/>
    <w:sig w:usb0="00000003" w:usb1="0000204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80990209"/>
      <w:docPartObj>
        <w:docPartGallery w:val="Page Numbers (Bottom of Page)"/>
        <w:docPartUnique/>
      </w:docPartObj>
    </w:sdtPr>
    <w:sdtContent>
      <w:p w14:paraId="267A6670" w14:textId="77777777" w:rsidR="003D43CF" w:rsidRDefault="003D43CF" w:rsidP="00C04B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B89D1F" w14:textId="77777777" w:rsidR="003D43CF" w:rsidRDefault="003D43CF" w:rsidP="00C04B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201B8" w14:textId="77777777" w:rsidR="003D43CF" w:rsidRDefault="003D43CF" w:rsidP="00C04BD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752530"/>
      <w:docPartObj>
        <w:docPartGallery w:val="Page Numbers (Bottom of Page)"/>
        <w:docPartUnique/>
      </w:docPartObj>
    </w:sdtPr>
    <w:sdtContent>
      <w:p w14:paraId="2D832000" w14:textId="77777777" w:rsidR="003D43CF" w:rsidRDefault="003D43CF" w:rsidP="00C04B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2388">
          <w:rPr>
            <w:rStyle w:val="PageNumber"/>
            <w:noProof/>
          </w:rPr>
          <w:t>34</w:t>
        </w:r>
        <w:r>
          <w:rPr>
            <w:rStyle w:val="PageNumber"/>
          </w:rPr>
          <w:fldChar w:fldCharType="end"/>
        </w:r>
      </w:p>
    </w:sdtContent>
  </w:sdt>
  <w:p w14:paraId="1A6F701A" w14:textId="77777777" w:rsidR="003D43CF" w:rsidRDefault="003D43CF" w:rsidP="00C04B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1EAAE" w14:textId="77777777" w:rsidR="003D43CF" w:rsidRDefault="003D43CF" w:rsidP="003608F0">
      <w:r>
        <w:separator/>
      </w:r>
    </w:p>
  </w:footnote>
  <w:footnote w:type="continuationSeparator" w:id="0">
    <w:p w14:paraId="10E630CD" w14:textId="77777777" w:rsidR="003D43CF" w:rsidRDefault="003D43CF" w:rsidP="003608F0">
      <w:r>
        <w:continuationSeparator/>
      </w:r>
    </w:p>
  </w:footnote>
  <w:footnote w:id="1">
    <w:p w14:paraId="1A5DCC3D" w14:textId="7C77589E" w:rsidR="003D43CF" w:rsidRDefault="003D43CF" w:rsidP="00C92853">
      <w:pPr>
        <w:pStyle w:val="FootnoteText"/>
        <w:ind w:left="426" w:hanging="426"/>
        <w:jc w:val="both"/>
        <w:rPr>
          <w:sz w:val="20"/>
          <w:szCs w:val="20"/>
          <w:lang w:val="en-GB"/>
        </w:rPr>
      </w:pPr>
      <w:r w:rsidRPr="00CC6387">
        <w:rPr>
          <w:rStyle w:val="FootnoteReference"/>
          <w:sz w:val="20"/>
          <w:szCs w:val="20"/>
        </w:rPr>
        <w:footnoteRef/>
      </w:r>
      <w:r w:rsidRPr="00CC6387">
        <w:rPr>
          <w:sz w:val="20"/>
          <w:szCs w:val="20"/>
        </w:rPr>
        <w:t xml:space="preserve"> </w:t>
      </w:r>
      <w:r w:rsidRPr="00CC6387">
        <w:rPr>
          <w:sz w:val="20"/>
          <w:szCs w:val="20"/>
          <w:lang w:val="en-GB"/>
        </w:rPr>
        <w:t xml:space="preserve">Debates concerning definition and titling occurred throughout the development of </w:t>
      </w:r>
      <w:r w:rsidRPr="00CC6387">
        <w:rPr>
          <w:i/>
          <w:sz w:val="20"/>
          <w:szCs w:val="20"/>
          <w:lang w:val="en-GB"/>
        </w:rPr>
        <w:t xml:space="preserve">IFRS for </w:t>
      </w:r>
      <w:r w:rsidRPr="00CC6387">
        <w:rPr>
          <w:sz w:val="20"/>
          <w:szCs w:val="20"/>
          <w:lang w:val="en-GB"/>
        </w:rPr>
        <w:t>SMEs.</w:t>
      </w:r>
      <w:r>
        <w:rPr>
          <w:sz w:val="20"/>
          <w:szCs w:val="20"/>
          <w:lang w:val="en-GB"/>
        </w:rPr>
        <w:t xml:space="preserve"> For further information on the history of the project, please see Camfferman and Zeff (2015) and Ram and Newberry (2017). </w:t>
      </w:r>
    </w:p>
    <w:p w14:paraId="12C14588" w14:textId="77777777" w:rsidR="003D43CF" w:rsidRPr="00CC6387" w:rsidRDefault="003D43CF" w:rsidP="003608F0">
      <w:pPr>
        <w:pStyle w:val="FootnoteText"/>
        <w:jc w:val="both"/>
        <w:rPr>
          <w:sz w:val="20"/>
          <w:szCs w:val="20"/>
        </w:rPr>
      </w:pPr>
    </w:p>
  </w:footnote>
  <w:footnote w:id="2">
    <w:p w14:paraId="1B71077F" w14:textId="40C6047E" w:rsidR="003D43CF" w:rsidRPr="002235F3" w:rsidRDefault="003D43CF" w:rsidP="003608F0">
      <w:pPr>
        <w:pStyle w:val="FootnoteText"/>
        <w:ind w:left="426" w:hanging="426"/>
        <w:jc w:val="both"/>
        <w:rPr>
          <w:lang w:val="en-AU"/>
        </w:rPr>
      </w:pPr>
      <w:r w:rsidRPr="002235F3">
        <w:rPr>
          <w:rStyle w:val="FootnoteReference"/>
          <w:sz w:val="20"/>
        </w:rPr>
        <w:footnoteRef/>
      </w:r>
      <w:r>
        <w:t xml:space="preserve"> </w:t>
      </w:r>
      <w:r>
        <w:rPr>
          <w:sz w:val="20"/>
        </w:rPr>
        <w:t>Because of</w:t>
      </w:r>
      <w:r w:rsidRPr="002235F3">
        <w:rPr>
          <w:sz w:val="20"/>
        </w:rPr>
        <w:t xml:space="preserve"> ethics agreements</w:t>
      </w:r>
      <w:r>
        <w:rPr>
          <w:sz w:val="20"/>
        </w:rPr>
        <w:t xml:space="preserve"> with Interviewees</w:t>
      </w:r>
      <w:r w:rsidRPr="002235F3">
        <w:rPr>
          <w:sz w:val="20"/>
        </w:rPr>
        <w:t xml:space="preserve">, we are unable to disclose exact positions </w:t>
      </w:r>
      <w:r>
        <w:rPr>
          <w:sz w:val="20"/>
        </w:rPr>
        <w:t>within the IASB. However,</w:t>
      </w:r>
      <w:r w:rsidRPr="002235F3">
        <w:rPr>
          <w:sz w:val="20"/>
        </w:rPr>
        <w:t xml:space="preserve"> we interview</w:t>
      </w:r>
      <w:r>
        <w:rPr>
          <w:sz w:val="20"/>
        </w:rPr>
        <w:t>ed</w:t>
      </w:r>
      <w:r w:rsidRPr="002235F3">
        <w:rPr>
          <w:sz w:val="20"/>
        </w:rPr>
        <w:t xml:space="preserve"> Board members, staff members, </w:t>
      </w:r>
      <w:r>
        <w:rPr>
          <w:sz w:val="20"/>
        </w:rPr>
        <w:t xml:space="preserve">and </w:t>
      </w:r>
      <w:r w:rsidRPr="002235F3">
        <w:rPr>
          <w:sz w:val="20"/>
        </w:rPr>
        <w:t>external interested parties</w:t>
      </w:r>
      <w:r>
        <w:rPr>
          <w:sz w:val="20"/>
        </w:rPr>
        <w:t>,</w:t>
      </w:r>
      <w:r w:rsidRPr="002235F3">
        <w:rPr>
          <w:sz w:val="20"/>
        </w:rPr>
        <w:t xml:space="preserve"> and </w:t>
      </w:r>
      <w:r>
        <w:rPr>
          <w:sz w:val="20"/>
        </w:rPr>
        <w:t>incorporated</w:t>
      </w:r>
      <w:r w:rsidRPr="002235F3">
        <w:rPr>
          <w:sz w:val="20"/>
        </w:rPr>
        <w:t xml:space="preserve"> a geographic representation including emerging and advanced capital economies</w:t>
      </w:r>
      <w:r>
        <w:rPr>
          <w:sz w:val="20"/>
        </w:rPr>
        <w:t xml:space="preserve"> (see Table 2). Although some interviewees are not specifically quoted in this paper, we have provided a full list to allow for cross-referencing of interviewees in any other publications based on the broader research project.</w:t>
      </w:r>
    </w:p>
  </w:footnote>
  <w:footnote w:id="3">
    <w:p w14:paraId="7B115B83" w14:textId="77777777" w:rsidR="003D43CF" w:rsidRPr="0000176D" w:rsidRDefault="003D43CF" w:rsidP="003608F0">
      <w:pPr>
        <w:pStyle w:val="FootnoteText"/>
        <w:rPr>
          <w:lang w:val="en-GB"/>
        </w:rPr>
      </w:pPr>
      <w:r>
        <w:rPr>
          <w:rStyle w:val="FootnoteReference"/>
        </w:rPr>
        <w:footnoteRef/>
      </w:r>
      <w:r>
        <w:t xml:space="preserve"> </w:t>
      </w:r>
      <w:r w:rsidRPr="0000176D">
        <w:rPr>
          <w:sz w:val="20"/>
          <w:szCs w:val="20"/>
          <w:lang w:val="en-GB"/>
        </w:rPr>
        <w:t>Warren Mc</w:t>
      </w:r>
      <w:r>
        <w:rPr>
          <w:sz w:val="20"/>
          <w:szCs w:val="20"/>
          <w:lang w:val="en-GB"/>
        </w:rPr>
        <w:t>Gregor was a member of the IASB during its first 10 years of operation.</w:t>
      </w:r>
    </w:p>
  </w:footnote>
  <w:footnote w:id="4">
    <w:p w14:paraId="63F0BC8E" w14:textId="77777777" w:rsidR="003D43CF" w:rsidRPr="0000176D" w:rsidRDefault="003D43CF" w:rsidP="003608F0">
      <w:pPr>
        <w:pStyle w:val="FootnoteText"/>
        <w:rPr>
          <w:sz w:val="20"/>
          <w:szCs w:val="20"/>
          <w:lang w:val="en-GB"/>
        </w:rPr>
      </w:pPr>
      <w:r>
        <w:rPr>
          <w:rStyle w:val="FootnoteReference"/>
        </w:rPr>
        <w:footnoteRef/>
      </w:r>
      <w:r>
        <w:t xml:space="preserve"> </w:t>
      </w:r>
      <w:r w:rsidRPr="0000176D">
        <w:rPr>
          <w:sz w:val="20"/>
          <w:szCs w:val="20"/>
        </w:rPr>
        <w:t>Paul</w:t>
      </w:r>
      <w:r>
        <w:rPr>
          <w:sz w:val="20"/>
          <w:szCs w:val="20"/>
        </w:rPr>
        <w:t xml:space="preserve"> Pacter was the IASB’s director of standards for SMEs, and later a member of IASB.</w:t>
      </w:r>
    </w:p>
  </w:footnote>
  <w:footnote w:id="5">
    <w:p w14:paraId="257E791E" w14:textId="77777777" w:rsidR="003D43CF" w:rsidRPr="0000176D" w:rsidRDefault="003D43CF" w:rsidP="003608F0">
      <w:pPr>
        <w:pStyle w:val="FootnoteText"/>
        <w:rPr>
          <w:lang w:val="en-GB"/>
        </w:rPr>
      </w:pPr>
      <w:r>
        <w:rPr>
          <w:rStyle w:val="FootnoteReference"/>
        </w:rPr>
        <w:footnoteRef/>
      </w:r>
      <w:r>
        <w:t xml:space="preserve"> </w:t>
      </w:r>
      <w:r>
        <w:rPr>
          <w:sz w:val="20"/>
          <w:szCs w:val="20"/>
          <w:lang w:val="en-GB"/>
        </w:rPr>
        <w:t>Tricia O’Malley was a member of the IASB from 2001 to 2007 and subsequently a staff member.</w:t>
      </w:r>
    </w:p>
  </w:footnote>
  <w:footnote w:id="6">
    <w:p w14:paraId="7FF92C17" w14:textId="0A67C51E" w:rsidR="003D43CF" w:rsidRPr="00022A8E" w:rsidRDefault="003D43CF" w:rsidP="003608F0">
      <w:pPr>
        <w:pStyle w:val="FootnoteText"/>
        <w:ind w:left="284" w:hanging="284"/>
        <w:jc w:val="both"/>
        <w:rPr>
          <w:rFonts w:cstheme="minorHAnsi"/>
          <w:sz w:val="20"/>
          <w:szCs w:val="20"/>
        </w:rPr>
      </w:pPr>
      <w:r w:rsidRPr="00022A8E">
        <w:rPr>
          <w:rStyle w:val="FootnoteReference"/>
          <w:rFonts w:cstheme="minorHAnsi"/>
          <w:sz w:val="20"/>
          <w:szCs w:val="20"/>
        </w:rPr>
        <w:footnoteRef/>
      </w:r>
      <w:r w:rsidRPr="00022A8E">
        <w:rPr>
          <w:rFonts w:cstheme="minorHAnsi"/>
          <w:sz w:val="20"/>
          <w:szCs w:val="20"/>
        </w:rPr>
        <w:t xml:space="preserve"> If the</w:t>
      </w:r>
      <w:r>
        <w:rPr>
          <w:rFonts w:cstheme="minorHAnsi"/>
          <w:sz w:val="20"/>
          <w:szCs w:val="20"/>
        </w:rPr>
        <w:t xml:space="preserve"> comment letter</w:t>
      </w:r>
      <w:r w:rsidRPr="00022A8E">
        <w:rPr>
          <w:rFonts w:cstheme="minorHAnsi"/>
          <w:sz w:val="20"/>
          <w:szCs w:val="20"/>
        </w:rPr>
        <w:t xml:space="preserve"> quote is referenced 2005 this was a comment letter on the Recognition </w:t>
      </w:r>
      <w:r>
        <w:rPr>
          <w:rFonts w:cstheme="minorHAnsi"/>
          <w:sz w:val="20"/>
          <w:szCs w:val="20"/>
        </w:rPr>
        <w:t>and</w:t>
      </w:r>
      <w:r w:rsidRPr="00022A8E">
        <w:rPr>
          <w:rFonts w:cstheme="minorHAnsi"/>
          <w:sz w:val="20"/>
          <w:szCs w:val="20"/>
        </w:rPr>
        <w:t xml:space="preserve"> Measurement questionnaire. If the comment letter </w:t>
      </w:r>
      <w:r>
        <w:rPr>
          <w:rFonts w:cstheme="minorHAnsi"/>
          <w:sz w:val="20"/>
          <w:szCs w:val="20"/>
        </w:rPr>
        <w:t>is</w:t>
      </w:r>
      <w:r w:rsidRPr="00022A8E">
        <w:rPr>
          <w:rFonts w:cstheme="minorHAnsi"/>
          <w:sz w:val="20"/>
          <w:szCs w:val="20"/>
        </w:rPr>
        <w:t xml:space="preserve"> referenced 2007 this was a comment letter on the ED.</w:t>
      </w:r>
    </w:p>
  </w:footnote>
  <w:footnote w:id="7">
    <w:p w14:paraId="4C948130" w14:textId="77777777" w:rsidR="003D43CF" w:rsidRPr="00A52EFE" w:rsidRDefault="003D43CF" w:rsidP="00A51666">
      <w:pPr>
        <w:pStyle w:val="FootnoteText"/>
        <w:rPr>
          <w:lang w:val="en-GB"/>
        </w:rPr>
      </w:pPr>
      <w:r>
        <w:rPr>
          <w:rStyle w:val="FootnoteReference"/>
        </w:rPr>
        <w:footnoteRef/>
      </w:r>
      <w:r>
        <w:t xml:space="preserve"> </w:t>
      </w:r>
      <w:r w:rsidRPr="00A52EFE">
        <w:rPr>
          <w:sz w:val="20"/>
          <w:szCs w:val="20"/>
          <w:lang w:val="en-GB"/>
        </w:rPr>
        <w:t>Tom</w:t>
      </w:r>
      <w:r>
        <w:rPr>
          <w:sz w:val="20"/>
          <w:szCs w:val="20"/>
          <w:lang w:val="en-GB"/>
        </w:rPr>
        <w:t xml:space="preserve"> Jones was Vice-Chairman of the IASB from 2001 to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A7532"/>
    <w:multiLevelType w:val="hybridMultilevel"/>
    <w:tmpl w:val="5EB24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62DCD"/>
    <w:multiLevelType w:val="multilevel"/>
    <w:tmpl w:val="28AEE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3152634"/>
    <w:multiLevelType w:val="hybridMultilevel"/>
    <w:tmpl w:val="A01E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33922"/>
    <w:multiLevelType w:val="hybridMultilevel"/>
    <w:tmpl w:val="5EB24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E2529"/>
    <w:multiLevelType w:val="multilevel"/>
    <w:tmpl w:val="7FB0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733E20"/>
    <w:multiLevelType w:val="multilevel"/>
    <w:tmpl w:val="28AEE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40B5EEA"/>
    <w:multiLevelType w:val="multilevel"/>
    <w:tmpl w:val="0EFE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584A5B"/>
    <w:multiLevelType w:val="hybridMultilevel"/>
    <w:tmpl w:val="292E37D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2225BF"/>
    <w:multiLevelType w:val="hybridMultilevel"/>
    <w:tmpl w:val="4E9C205C"/>
    <w:lvl w:ilvl="0" w:tplc="0CEC0ADE">
      <w:start w:val="3"/>
      <w:numFmt w:val="bullet"/>
      <w:lvlText w:val=""/>
      <w:lvlJc w:val="left"/>
      <w:pPr>
        <w:ind w:left="360" w:hanging="360"/>
      </w:pPr>
      <w:rPr>
        <w:rFonts w:ascii="Symbol" w:eastAsiaTheme="majorEastAsia" w:hAnsi="Symbol" w:cstheme="majorBidi"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5D46C7"/>
    <w:multiLevelType w:val="multilevel"/>
    <w:tmpl w:val="28AEE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ED34421"/>
    <w:multiLevelType w:val="hybridMultilevel"/>
    <w:tmpl w:val="5EB24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5"/>
  </w:num>
  <w:num w:numId="5">
    <w:abstractNumId w:val="6"/>
  </w:num>
  <w:num w:numId="6">
    <w:abstractNumId w:val="4"/>
  </w:num>
  <w:num w:numId="7">
    <w:abstractNumId w:val="2"/>
  </w:num>
  <w:num w:numId="8">
    <w:abstractNumId w:val="7"/>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F0"/>
    <w:rsid w:val="00004FA4"/>
    <w:rsid w:val="00011202"/>
    <w:rsid w:val="00014903"/>
    <w:rsid w:val="00021905"/>
    <w:rsid w:val="00025EB6"/>
    <w:rsid w:val="00026E93"/>
    <w:rsid w:val="000410B5"/>
    <w:rsid w:val="00045665"/>
    <w:rsid w:val="000539EA"/>
    <w:rsid w:val="0005506F"/>
    <w:rsid w:val="00056188"/>
    <w:rsid w:val="00067A74"/>
    <w:rsid w:val="000879F6"/>
    <w:rsid w:val="0009069A"/>
    <w:rsid w:val="0009533B"/>
    <w:rsid w:val="000A036D"/>
    <w:rsid w:val="000A4D07"/>
    <w:rsid w:val="000B2FF0"/>
    <w:rsid w:val="000B4B9B"/>
    <w:rsid w:val="000B5527"/>
    <w:rsid w:val="000E29A7"/>
    <w:rsid w:val="000F5640"/>
    <w:rsid w:val="000F56EF"/>
    <w:rsid w:val="000F6759"/>
    <w:rsid w:val="00120E9D"/>
    <w:rsid w:val="0012313E"/>
    <w:rsid w:val="00131D83"/>
    <w:rsid w:val="00141DB0"/>
    <w:rsid w:val="00143673"/>
    <w:rsid w:val="0015309F"/>
    <w:rsid w:val="00155DC9"/>
    <w:rsid w:val="00157427"/>
    <w:rsid w:val="00163366"/>
    <w:rsid w:val="00171F7F"/>
    <w:rsid w:val="00172B64"/>
    <w:rsid w:val="00180080"/>
    <w:rsid w:val="0018122C"/>
    <w:rsid w:val="00182E1F"/>
    <w:rsid w:val="00185A29"/>
    <w:rsid w:val="00190316"/>
    <w:rsid w:val="001C1EA9"/>
    <w:rsid w:val="001C6071"/>
    <w:rsid w:val="00200D64"/>
    <w:rsid w:val="002010E9"/>
    <w:rsid w:val="002032CB"/>
    <w:rsid w:val="00206327"/>
    <w:rsid w:val="002273F4"/>
    <w:rsid w:val="00227B3D"/>
    <w:rsid w:val="00242258"/>
    <w:rsid w:val="002422F8"/>
    <w:rsid w:val="00252921"/>
    <w:rsid w:val="0025438B"/>
    <w:rsid w:val="00255CD2"/>
    <w:rsid w:val="00260CBE"/>
    <w:rsid w:val="0026732D"/>
    <w:rsid w:val="00267C0A"/>
    <w:rsid w:val="00274BA6"/>
    <w:rsid w:val="0027699A"/>
    <w:rsid w:val="00276A73"/>
    <w:rsid w:val="00280258"/>
    <w:rsid w:val="00281E25"/>
    <w:rsid w:val="00282388"/>
    <w:rsid w:val="0029309C"/>
    <w:rsid w:val="00293307"/>
    <w:rsid w:val="0029574A"/>
    <w:rsid w:val="00296EB0"/>
    <w:rsid w:val="002A5D5F"/>
    <w:rsid w:val="002A6A5C"/>
    <w:rsid w:val="002B217C"/>
    <w:rsid w:val="002B7670"/>
    <w:rsid w:val="002C2951"/>
    <w:rsid w:val="002C715B"/>
    <w:rsid w:val="002C73BD"/>
    <w:rsid w:val="002D0A8F"/>
    <w:rsid w:val="002E0F69"/>
    <w:rsid w:val="002E1A54"/>
    <w:rsid w:val="002F1067"/>
    <w:rsid w:val="002F6570"/>
    <w:rsid w:val="0030060B"/>
    <w:rsid w:val="003059F2"/>
    <w:rsid w:val="00311746"/>
    <w:rsid w:val="003205DA"/>
    <w:rsid w:val="003269E3"/>
    <w:rsid w:val="003346F7"/>
    <w:rsid w:val="0033635A"/>
    <w:rsid w:val="00340EFD"/>
    <w:rsid w:val="00347A75"/>
    <w:rsid w:val="0035794C"/>
    <w:rsid w:val="00357ABF"/>
    <w:rsid w:val="003608F0"/>
    <w:rsid w:val="00371973"/>
    <w:rsid w:val="003800BA"/>
    <w:rsid w:val="00381022"/>
    <w:rsid w:val="0038590F"/>
    <w:rsid w:val="003906C0"/>
    <w:rsid w:val="003A038E"/>
    <w:rsid w:val="003A317C"/>
    <w:rsid w:val="003B4FF6"/>
    <w:rsid w:val="003B65BA"/>
    <w:rsid w:val="003B7ED4"/>
    <w:rsid w:val="003C08E8"/>
    <w:rsid w:val="003C2257"/>
    <w:rsid w:val="003C38E6"/>
    <w:rsid w:val="003C5B9E"/>
    <w:rsid w:val="003D2485"/>
    <w:rsid w:val="003D43CF"/>
    <w:rsid w:val="003D7AD3"/>
    <w:rsid w:val="003E351A"/>
    <w:rsid w:val="003E5EC4"/>
    <w:rsid w:val="003E6A2D"/>
    <w:rsid w:val="003E7FAF"/>
    <w:rsid w:val="003F3B67"/>
    <w:rsid w:val="003F476E"/>
    <w:rsid w:val="004002B6"/>
    <w:rsid w:val="00402981"/>
    <w:rsid w:val="00403A08"/>
    <w:rsid w:val="00410582"/>
    <w:rsid w:val="00412EB1"/>
    <w:rsid w:val="00414FC6"/>
    <w:rsid w:val="00420D8F"/>
    <w:rsid w:val="00421CCB"/>
    <w:rsid w:val="0042592E"/>
    <w:rsid w:val="0042760F"/>
    <w:rsid w:val="0044366F"/>
    <w:rsid w:val="00443CAF"/>
    <w:rsid w:val="00454296"/>
    <w:rsid w:val="00457D9A"/>
    <w:rsid w:val="00465895"/>
    <w:rsid w:val="00466E4E"/>
    <w:rsid w:val="004673B9"/>
    <w:rsid w:val="004731F7"/>
    <w:rsid w:val="00474434"/>
    <w:rsid w:val="00480441"/>
    <w:rsid w:val="0048531E"/>
    <w:rsid w:val="00487CAD"/>
    <w:rsid w:val="004A3AD3"/>
    <w:rsid w:val="004A3C3D"/>
    <w:rsid w:val="004A3EBC"/>
    <w:rsid w:val="004A43ED"/>
    <w:rsid w:val="004A7689"/>
    <w:rsid w:val="004B1B30"/>
    <w:rsid w:val="004B2FED"/>
    <w:rsid w:val="004C4DC9"/>
    <w:rsid w:val="004D43FF"/>
    <w:rsid w:val="004D45CE"/>
    <w:rsid w:val="004D7119"/>
    <w:rsid w:val="004E5E1E"/>
    <w:rsid w:val="004F221F"/>
    <w:rsid w:val="00501783"/>
    <w:rsid w:val="005142E6"/>
    <w:rsid w:val="00515732"/>
    <w:rsid w:val="00515CD8"/>
    <w:rsid w:val="00515EF4"/>
    <w:rsid w:val="005160BB"/>
    <w:rsid w:val="00521D7E"/>
    <w:rsid w:val="005240D3"/>
    <w:rsid w:val="005248D7"/>
    <w:rsid w:val="00525467"/>
    <w:rsid w:val="00530439"/>
    <w:rsid w:val="00530B68"/>
    <w:rsid w:val="00540B85"/>
    <w:rsid w:val="00561605"/>
    <w:rsid w:val="00561944"/>
    <w:rsid w:val="00575DE3"/>
    <w:rsid w:val="005776A7"/>
    <w:rsid w:val="005813B8"/>
    <w:rsid w:val="00582977"/>
    <w:rsid w:val="00590DA1"/>
    <w:rsid w:val="0059499F"/>
    <w:rsid w:val="005A6AC9"/>
    <w:rsid w:val="005B0652"/>
    <w:rsid w:val="005B34E5"/>
    <w:rsid w:val="005C0B97"/>
    <w:rsid w:val="005C1462"/>
    <w:rsid w:val="005D1E5C"/>
    <w:rsid w:val="005D78BA"/>
    <w:rsid w:val="005D7A57"/>
    <w:rsid w:val="005E42EF"/>
    <w:rsid w:val="005E4EA9"/>
    <w:rsid w:val="005F437D"/>
    <w:rsid w:val="006206CB"/>
    <w:rsid w:val="00620A4F"/>
    <w:rsid w:val="00620E69"/>
    <w:rsid w:val="006210A1"/>
    <w:rsid w:val="00632A5E"/>
    <w:rsid w:val="0064605E"/>
    <w:rsid w:val="006478B2"/>
    <w:rsid w:val="00653E64"/>
    <w:rsid w:val="006550FB"/>
    <w:rsid w:val="006558B1"/>
    <w:rsid w:val="006637BD"/>
    <w:rsid w:val="0066687E"/>
    <w:rsid w:val="0066719E"/>
    <w:rsid w:val="006718EE"/>
    <w:rsid w:val="0068074D"/>
    <w:rsid w:val="00681A23"/>
    <w:rsid w:val="00684730"/>
    <w:rsid w:val="00687035"/>
    <w:rsid w:val="00687722"/>
    <w:rsid w:val="0069215D"/>
    <w:rsid w:val="00693792"/>
    <w:rsid w:val="006A7087"/>
    <w:rsid w:val="006B6C11"/>
    <w:rsid w:val="006C20D6"/>
    <w:rsid w:val="006C3E7C"/>
    <w:rsid w:val="006C3F63"/>
    <w:rsid w:val="006C4888"/>
    <w:rsid w:val="006C6CEC"/>
    <w:rsid w:val="006D37FC"/>
    <w:rsid w:val="006D4EA9"/>
    <w:rsid w:val="006E6098"/>
    <w:rsid w:val="006E683F"/>
    <w:rsid w:val="007030C8"/>
    <w:rsid w:val="007034B1"/>
    <w:rsid w:val="00705FD7"/>
    <w:rsid w:val="0070640A"/>
    <w:rsid w:val="00717F39"/>
    <w:rsid w:val="007208BD"/>
    <w:rsid w:val="007232C8"/>
    <w:rsid w:val="00726046"/>
    <w:rsid w:val="00731B92"/>
    <w:rsid w:val="007337B5"/>
    <w:rsid w:val="00754C49"/>
    <w:rsid w:val="00754D00"/>
    <w:rsid w:val="00755D3F"/>
    <w:rsid w:val="00760865"/>
    <w:rsid w:val="007768E6"/>
    <w:rsid w:val="00781A19"/>
    <w:rsid w:val="00783AE3"/>
    <w:rsid w:val="00792866"/>
    <w:rsid w:val="00793F42"/>
    <w:rsid w:val="007B42DA"/>
    <w:rsid w:val="007D0306"/>
    <w:rsid w:val="007D6EBA"/>
    <w:rsid w:val="007E0CE4"/>
    <w:rsid w:val="007E64CC"/>
    <w:rsid w:val="007F1F2F"/>
    <w:rsid w:val="007F52D5"/>
    <w:rsid w:val="0080648D"/>
    <w:rsid w:val="00811677"/>
    <w:rsid w:val="00811F41"/>
    <w:rsid w:val="0081290F"/>
    <w:rsid w:val="00824451"/>
    <w:rsid w:val="00827335"/>
    <w:rsid w:val="0083002F"/>
    <w:rsid w:val="00830C37"/>
    <w:rsid w:val="00830E8E"/>
    <w:rsid w:val="008456E4"/>
    <w:rsid w:val="008458A4"/>
    <w:rsid w:val="00854F2E"/>
    <w:rsid w:val="008556D9"/>
    <w:rsid w:val="00857E9D"/>
    <w:rsid w:val="00865369"/>
    <w:rsid w:val="00870701"/>
    <w:rsid w:val="00870930"/>
    <w:rsid w:val="00870D0F"/>
    <w:rsid w:val="008779C9"/>
    <w:rsid w:val="00880E75"/>
    <w:rsid w:val="0088131F"/>
    <w:rsid w:val="008918AD"/>
    <w:rsid w:val="008920B2"/>
    <w:rsid w:val="008A67D7"/>
    <w:rsid w:val="008B03EE"/>
    <w:rsid w:val="008B593B"/>
    <w:rsid w:val="008C25B2"/>
    <w:rsid w:val="008D3E7A"/>
    <w:rsid w:val="008E1A54"/>
    <w:rsid w:val="008E1F58"/>
    <w:rsid w:val="008E2543"/>
    <w:rsid w:val="008F08A9"/>
    <w:rsid w:val="008F58A7"/>
    <w:rsid w:val="00900436"/>
    <w:rsid w:val="009140F0"/>
    <w:rsid w:val="00916174"/>
    <w:rsid w:val="00921502"/>
    <w:rsid w:val="00932836"/>
    <w:rsid w:val="00933657"/>
    <w:rsid w:val="009375E5"/>
    <w:rsid w:val="0094223B"/>
    <w:rsid w:val="0094714C"/>
    <w:rsid w:val="00960B63"/>
    <w:rsid w:val="009619A1"/>
    <w:rsid w:val="00963E09"/>
    <w:rsid w:val="009664D3"/>
    <w:rsid w:val="00974549"/>
    <w:rsid w:val="0098498B"/>
    <w:rsid w:val="00990A77"/>
    <w:rsid w:val="00992C19"/>
    <w:rsid w:val="00993680"/>
    <w:rsid w:val="009A5552"/>
    <w:rsid w:val="009B0196"/>
    <w:rsid w:val="009B7800"/>
    <w:rsid w:val="009C4810"/>
    <w:rsid w:val="009C5F26"/>
    <w:rsid w:val="009D124D"/>
    <w:rsid w:val="009D2698"/>
    <w:rsid w:val="009D5212"/>
    <w:rsid w:val="009D5CE6"/>
    <w:rsid w:val="009E0395"/>
    <w:rsid w:val="009E7C5A"/>
    <w:rsid w:val="009F4B09"/>
    <w:rsid w:val="009F666A"/>
    <w:rsid w:val="009F6C82"/>
    <w:rsid w:val="009F743A"/>
    <w:rsid w:val="009F7A69"/>
    <w:rsid w:val="00A03531"/>
    <w:rsid w:val="00A05AE3"/>
    <w:rsid w:val="00A23A2F"/>
    <w:rsid w:val="00A25684"/>
    <w:rsid w:val="00A272D9"/>
    <w:rsid w:val="00A313B8"/>
    <w:rsid w:val="00A35D06"/>
    <w:rsid w:val="00A4051C"/>
    <w:rsid w:val="00A4325E"/>
    <w:rsid w:val="00A512F8"/>
    <w:rsid w:val="00A51666"/>
    <w:rsid w:val="00A51FA1"/>
    <w:rsid w:val="00A60971"/>
    <w:rsid w:val="00A67CDD"/>
    <w:rsid w:val="00A74934"/>
    <w:rsid w:val="00A75B7C"/>
    <w:rsid w:val="00A8135E"/>
    <w:rsid w:val="00A90201"/>
    <w:rsid w:val="00AA31D9"/>
    <w:rsid w:val="00AB37A5"/>
    <w:rsid w:val="00AB4083"/>
    <w:rsid w:val="00AB5736"/>
    <w:rsid w:val="00AB5C91"/>
    <w:rsid w:val="00AB7D6E"/>
    <w:rsid w:val="00AC6060"/>
    <w:rsid w:val="00AD0206"/>
    <w:rsid w:val="00AD0B89"/>
    <w:rsid w:val="00AD49A5"/>
    <w:rsid w:val="00AD684C"/>
    <w:rsid w:val="00AF71D0"/>
    <w:rsid w:val="00AF761F"/>
    <w:rsid w:val="00AF7A42"/>
    <w:rsid w:val="00B0066B"/>
    <w:rsid w:val="00B0196C"/>
    <w:rsid w:val="00B05C90"/>
    <w:rsid w:val="00B068BD"/>
    <w:rsid w:val="00B162CC"/>
    <w:rsid w:val="00B21E4E"/>
    <w:rsid w:val="00B26CC1"/>
    <w:rsid w:val="00B344C2"/>
    <w:rsid w:val="00B3770F"/>
    <w:rsid w:val="00B4218B"/>
    <w:rsid w:val="00B50516"/>
    <w:rsid w:val="00B5143C"/>
    <w:rsid w:val="00B514CA"/>
    <w:rsid w:val="00B52503"/>
    <w:rsid w:val="00B70357"/>
    <w:rsid w:val="00B71007"/>
    <w:rsid w:val="00B802BA"/>
    <w:rsid w:val="00B82DB8"/>
    <w:rsid w:val="00BB2ED5"/>
    <w:rsid w:val="00BC494F"/>
    <w:rsid w:val="00BC4C35"/>
    <w:rsid w:val="00BD169C"/>
    <w:rsid w:val="00BE0C86"/>
    <w:rsid w:val="00BE53C3"/>
    <w:rsid w:val="00C0071A"/>
    <w:rsid w:val="00C011E1"/>
    <w:rsid w:val="00C04BDA"/>
    <w:rsid w:val="00C1186C"/>
    <w:rsid w:val="00C142DF"/>
    <w:rsid w:val="00C207D2"/>
    <w:rsid w:val="00C2471E"/>
    <w:rsid w:val="00C2557D"/>
    <w:rsid w:val="00C40C11"/>
    <w:rsid w:val="00C4540A"/>
    <w:rsid w:val="00C4647A"/>
    <w:rsid w:val="00C47196"/>
    <w:rsid w:val="00C47D16"/>
    <w:rsid w:val="00C53C7E"/>
    <w:rsid w:val="00C55915"/>
    <w:rsid w:val="00C60175"/>
    <w:rsid w:val="00C66812"/>
    <w:rsid w:val="00C66D4B"/>
    <w:rsid w:val="00C73AA9"/>
    <w:rsid w:val="00C73E85"/>
    <w:rsid w:val="00C75A13"/>
    <w:rsid w:val="00C87F19"/>
    <w:rsid w:val="00C908D5"/>
    <w:rsid w:val="00C92853"/>
    <w:rsid w:val="00CA013D"/>
    <w:rsid w:val="00CA1169"/>
    <w:rsid w:val="00CA1A3F"/>
    <w:rsid w:val="00CA57D3"/>
    <w:rsid w:val="00CB0225"/>
    <w:rsid w:val="00CB03BD"/>
    <w:rsid w:val="00CB0B22"/>
    <w:rsid w:val="00CB378C"/>
    <w:rsid w:val="00CB4125"/>
    <w:rsid w:val="00CC4F36"/>
    <w:rsid w:val="00CC73E4"/>
    <w:rsid w:val="00CD0293"/>
    <w:rsid w:val="00CD4805"/>
    <w:rsid w:val="00CE2128"/>
    <w:rsid w:val="00CF03DA"/>
    <w:rsid w:val="00CF45F3"/>
    <w:rsid w:val="00D15E34"/>
    <w:rsid w:val="00D215FE"/>
    <w:rsid w:val="00D303EC"/>
    <w:rsid w:val="00D455EE"/>
    <w:rsid w:val="00D4639C"/>
    <w:rsid w:val="00D50ADB"/>
    <w:rsid w:val="00D5603E"/>
    <w:rsid w:val="00D61225"/>
    <w:rsid w:val="00D66BD0"/>
    <w:rsid w:val="00D723FB"/>
    <w:rsid w:val="00D734F6"/>
    <w:rsid w:val="00D755C9"/>
    <w:rsid w:val="00D77875"/>
    <w:rsid w:val="00D85474"/>
    <w:rsid w:val="00D91A79"/>
    <w:rsid w:val="00D929F8"/>
    <w:rsid w:val="00D96019"/>
    <w:rsid w:val="00DA6B31"/>
    <w:rsid w:val="00DB0B29"/>
    <w:rsid w:val="00DB5BBF"/>
    <w:rsid w:val="00DC212D"/>
    <w:rsid w:val="00DC3635"/>
    <w:rsid w:val="00DD2367"/>
    <w:rsid w:val="00DD3696"/>
    <w:rsid w:val="00DD583F"/>
    <w:rsid w:val="00DF3413"/>
    <w:rsid w:val="00E005D5"/>
    <w:rsid w:val="00E06414"/>
    <w:rsid w:val="00E06D33"/>
    <w:rsid w:val="00E158C8"/>
    <w:rsid w:val="00E2042F"/>
    <w:rsid w:val="00E206EB"/>
    <w:rsid w:val="00E2195F"/>
    <w:rsid w:val="00E274A1"/>
    <w:rsid w:val="00E314AC"/>
    <w:rsid w:val="00E31C0D"/>
    <w:rsid w:val="00E32FD4"/>
    <w:rsid w:val="00E41DBB"/>
    <w:rsid w:val="00E43ED7"/>
    <w:rsid w:val="00E450DF"/>
    <w:rsid w:val="00E50064"/>
    <w:rsid w:val="00E6005A"/>
    <w:rsid w:val="00E60CA9"/>
    <w:rsid w:val="00E63D82"/>
    <w:rsid w:val="00E665AA"/>
    <w:rsid w:val="00E75CFB"/>
    <w:rsid w:val="00E87E44"/>
    <w:rsid w:val="00E95943"/>
    <w:rsid w:val="00EB0197"/>
    <w:rsid w:val="00EB1337"/>
    <w:rsid w:val="00ED2F12"/>
    <w:rsid w:val="00ED72D6"/>
    <w:rsid w:val="00EE13F3"/>
    <w:rsid w:val="00EE504B"/>
    <w:rsid w:val="00EE7F45"/>
    <w:rsid w:val="00EF5C92"/>
    <w:rsid w:val="00F12821"/>
    <w:rsid w:val="00F150DB"/>
    <w:rsid w:val="00F20A9E"/>
    <w:rsid w:val="00F2320C"/>
    <w:rsid w:val="00F36000"/>
    <w:rsid w:val="00F5108D"/>
    <w:rsid w:val="00F51EBB"/>
    <w:rsid w:val="00F545AC"/>
    <w:rsid w:val="00F616C4"/>
    <w:rsid w:val="00F64B54"/>
    <w:rsid w:val="00F70B0D"/>
    <w:rsid w:val="00F729A0"/>
    <w:rsid w:val="00F7341A"/>
    <w:rsid w:val="00F73EDE"/>
    <w:rsid w:val="00F82D2F"/>
    <w:rsid w:val="00F911F5"/>
    <w:rsid w:val="00F950A1"/>
    <w:rsid w:val="00F96A25"/>
    <w:rsid w:val="00FA72D9"/>
    <w:rsid w:val="00FC3F80"/>
    <w:rsid w:val="00FC4ADC"/>
    <w:rsid w:val="00FD3BCC"/>
    <w:rsid w:val="00FD4B64"/>
    <w:rsid w:val="00FD5E80"/>
    <w:rsid w:val="00FE0CF6"/>
    <w:rsid w:val="00FE1A35"/>
    <w:rsid w:val="00FE2A23"/>
    <w:rsid w:val="00FF012E"/>
    <w:rsid w:val="00FF20F2"/>
    <w:rsid w:val="00FF5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F5DB"/>
  <w15:chartTrackingRefBased/>
  <w15:docId w15:val="{B831D080-B1E0-AE4B-9D41-D0F8D1BC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8F0"/>
    <w:rPr>
      <w:lang w:val="en-US"/>
    </w:rPr>
  </w:style>
  <w:style w:type="paragraph" w:styleId="Heading1">
    <w:name w:val="heading 1"/>
    <w:basedOn w:val="Normal"/>
    <w:next w:val="Normal"/>
    <w:link w:val="Heading1Char"/>
    <w:uiPriority w:val="9"/>
    <w:qFormat/>
    <w:rsid w:val="003608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608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08F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8F0"/>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rsid w:val="003608F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3608F0"/>
    <w:rPr>
      <w:rFonts w:asciiTheme="majorHAnsi" w:eastAsiaTheme="majorEastAsia" w:hAnsiTheme="majorHAnsi" w:cstheme="majorBidi"/>
      <w:color w:val="1F3763" w:themeColor="accent1" w:themeShade="7F"/>
      <w:lang w:val="en-US"/>
    </w:rPr>
  </w:style>
  <w:style w:type="paragraph" w:styleId="ListParagraph">
    <w:name w:val="List Paragraph"/>
    <w:basedOn w:val="Normal"/>
    <w:uiPriority w:val="34"/>
    <w:qFormat/>
    <w:rsid w:val="003608F0"/>
    <w:pPr>
      <w:ind w:left="720"/>
      <w:contextualSpacing/>
    </w:pPr>
  </w:style>
  <w:style w:type="paragraph" w:styleId="FootnoteText">
    <w:name w:val="footnote text"/>
    <w:basedOn w:val="Normal"/>
    <w:link w:val="FootnoteTextChar"/>
    <w:unhideWhenUsed/>
    <w:rsid w:val="003608F0"/>
  </w:style>
  <w:style w:type="character" w:customStyle="1" w:styleId="FootnoteTextChar">
    <w:name w:val="Footnote Text Char"/>
    <w:basedOn w:val="DefaultParagraphFont"/>
    <w:link w:val="FootnoteText"/>
    <w:rsid w:val="003608F0"/>
    <w:rPr>
      <w:lang w:val="en-US"/>
    </w:rPr>
  </w:style>
  <w:style w:type="character" w:styleId="FootnoteReference">
    <w:name w:val="footnote reference"/>
    <w:basedOn w:val="DefaultParagraphFont"/>
    <w:uiPriority w:val="99"/>
    <w:unhideWhenUsed/>
    <w:rsid w:val="003608F0"/>
    <w:rPr>
      <w:vertAlign w:val="superscript"/>
    </w:rPr>
  </w:style>
  <w:style w:type="paragraph" w:styleId="CommentText">
    <w:name w:val="annotation text"/>
    <w:basedOn w:val="Normal"/>
    <w:link w:val="CommentTextChar"/>
    <w:uiPriority w:val="99"/>
    <w:unhideWhenUsed/>
    <w:rsid w:val="003608F0"/>
  </w:style>
  <w:style w:type="character" w:customStyle="1" w:styleId="CommentTextChar">
    <w:name w:val="Comment Text Char"/>
    <w:basedOn w:val="DefaultParagraphFont"/>
    <w:link w:val="CommentText"/>
    <w:uiPriority w:val="99"/>
    <w:rsid w:val="003608F0"/>
    <w:rPr>
      <w:lang w:val="en-US"/>
    </w:rPr>
  </w:style>
  <w:style w:type="character" w:styleId="CommentReference">
    <w:name w:val="annotation reference"/>
    <w:basedOn w:val="DefaultParagraphFont"/>
    <w:uiPriority w:val="99"/>
    <w:unhideWhenUsed/>
    <w:rsid w:val="003608F0"/>
    <w:rPr>
      <w:sz w:val="18"/>
      <w:szCs w:val="18"/>
    </w:rPr>
  </w:style>
  <w:style w:type="paragraph" w:styleId="BalloonText">
    <w:name w:val="Balloon Text"/>
    <w:basedOn w:val="Normal"/>
    <w:link w:val="BalloonTextChar"/>
    <w:uiPriority w:val="99"/>
    <w:semiHidden/>
    <w:unhideWhenUsed/>
    <w:rsid w:val="003608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08F0"/>
    <w:rPr>
      <w:rFonts w:ascii="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3608F0"/>
    <w:rPr>
      <w:b/>
      <w:bCs/>
      <w:sz w:val="20"/>
      <w:szCs w:val="20"/>
    </w:rPr>
  </w:style>
  <w:style w:type="character" w:customStyle="1" w:styleId="CommentSubjectChar">
    <w:name w:val="Comment Subject Char"/>
    <w:basedOn w:val="CommentTextChar"/>
    <w:link w:val="CommentSubject"/>
    <w:uiPriority w:val="99"/>
    <w:semiHidden/>
    <w:rsid w:val="003608F0"/>
    <w:rPr>
      <w:b/>
      <w:bCs/>
      <w:sz w:val="20"/>
      <w:szCs w:val="20"/>
      <w:lang w:val="en-US"/>
    </w:rPr>
  </w:style>
  <w:style w:type="paragraph" w:styleId="Caption">
    <w:name w:val="caption"/>
    <w:basedOn w:val="Normal"/>
    <w:next w:val="Normal"/>
    <w:uiPriority w:val="35"/>
    <w:unhideWhenUsed/>
    <w:qFormat/>
    <w:rsid w:val="003608F0"/>
    <w:pPr>
      <w:spacing w:after="200"/>
    </w:pPr>
    <w:rPr>
      <w:i/>
      <w:iCs/>
      <w:color w:val="44546A" w:themeColor="text2"/>
      <w:sz w:val="18"/>
      <w:szCs w:val="18"/>
      <w:lang w:val="en-GB"/>
    </w:rPr>
  </w:style>
  <w:style w:type="character" w:customStyle="1" w:styleId="apple-converted-space">
    <w:name w:val="apple-converted-space"/>
    <w:basedOn w:val="DefaultParagraphFont"/>
    <w:rsid w:val="003608F0"/>
  </w:style>
  <w:style w:type="paragraph" w:styleId="Bibliography">
    <w:name w:val="Bibliography"/>
    <w:basedOn w:val="Normal"/>
    <w:next w:val="Normal"/>
    <w:uiPriority w:val="37"/>
    <w:unhideWhenUsed/>
    <w:rsid w:val="003608F0"/>
  </w:style>
  <w:style w:type="paragraph" w:customStyle="1" w:styleId="p1">
    <w:name w:val="p1"/>
    <w:basedOn w:val="Normal"/>
    <w:rsid w:val="003608F0"/>
    <w:rPr>
      <w:rFonts w:ascii="Helvetica" w:hAnsi="Helvetica" w:cs="Times New Roman"/>
      <w:sz w:val="17"/>
      <w:szCs w:val="17"/>
    </w:rPr>
  </w:style>
  <w:style w:type="character" w:customStyle="1" w:styleId="s1">
    <w:name w:val="s1"/>
    <w:basedOn w:val="DefaultParagraphFont"/>
    <w:rsid w:val="003608F0"/>
    <w:rPr>
      <w:color w:val="000000"/>
    </w:rPr>
  </w:style>
  <w:style w:type="table" w:styleId="TableGrid">
    <w:name w:val="Table Grid"/>
    <w:basedOn w:val="TableNormal"/>
    <w:uiPriority w:val="39"/>
    <w:rsid w:val="003608F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08F0"/>
    <w:rPr>
      <w:color w:val="0563C1" w:themeColor="hyperlink"/>
      <w:u w:val="single"/>
    </w:rPr>
  </w:style>
  <w:style w:type="paragraph" w:styleId="Revision">
    <w:name w:val="Revision"/>
    <w:hidden/>
    <w:uiPriority w:val="99"/>
    <w:semiHidden/>
    <w:rsid w:val="003608F0"/>
    <w:rPr>
      <w:lang w:val="en-US"/>
    </w:rPr>
  </w:style>
  <w:style w:type="paragraph" w:styleId="BodyText">
    <w:name w:val="Body Text"/>
    <w:basedOn w:val="Normal"/>
    <w:link w:val="BodyTextChar"/>
    <w:unhideWhenUsed/>
    <w:rsid w:val="003608F0"/>
    <w:pPr>
      <w:jc w:val="both"/>
    </w:pPr>
    <w:rPr>
      <w:rFonts w:ascii="Times New Roman" w:eastAsia="Times New Roman" w:hAnsi="Times New Roman" w:cs="Times New Roman"/>
      <w:i/>
      <w:iCs/>
      <w:lang w:val="en-NZ"/>
    </w:rPr>
  </w:style>
  <w:style w:type="character" w:customStyle="1" w:styleId="BodyTextChar">
    <w:name w:val="Body Text Char"/>
    <w:basedOn w:val="DefaultParagraphFont"/>
    <w:link w:val="BodyText"/>
    <w:rsid w:val="003608F0"/>
    <w:rPr>
      <w:rFonts w:ascii="Times New Roman" w:eastAsia="Times New Roman" w:hAnsi="Times New Roman" w:cs="Times New Roman"/>
      <w:i/>
      <w:iCs/>
      <w:lang w:val="en-NZ"/>
    </w:rPr>
  </w:style>
  <w:style w:type="paragraph" w:styleId="BodyTextIndent2">
    <w:name w:val="Body Text Indent 2"/>
    <w:basedOn w:val="Normal"/>
    <w:link w:val="BodyTextIndent2Char"/>
    <w:unhideWhenUsed/>
    <w:rsid w:val="003608F0"/>
    <w:pPr>
      <w:ind w:firstLine="720"/>
      <w:jc w:val="both"/>
    </w:pPr>
    <w:rPr>
      <w:rFonts w:ascii="Times New Roman" w:eastAsia="Times New Roman" w:hAnsi="Times New Roman" w:cs="Times New Roman"/>
      <w:lang w:val="en-NZ"/>
    </w:rPr>
  </w:style>
  <w:style w:type="character" w:customStyle="1" w:styleId="BodyTextIndent2Char">
    <w:name w:val="Body Text Indent 2 Char"/>
    <w:basedOn w:val="DefaultParagraphFont"/>
    <w:link w:val="BodyTextIndent2"/>
    <w:rsid w:val="003608F0"/>
    <w:rPr>
      <w:rFonts w:ascii="Times New Roman" w:eastAsia="Times New Roman" w:hAnsi="Times New Roman" w:cs="Times New Roman"/>
      <w:lang w:val="en-NZ"/>
    </w:rPr>
  </w:style>
  <w:style w:type="character" w:styleId="Strong">
    <w:name w:val="Strong"/>
    <w:basedOn w:val="DefaultParagraphFont"/>
    <w:qFormat/>
    <w:rsid w:val="003608F0"/>
    <w:rPr>
      <w:b/>
      <w:bCs/>
    </w:rPr>
  </w:style>
  <w:style w:type="paragraph" w:styleId="DocumentMap">
    <w:name w:val="Document Map"/>
    <w:basedOn w:val="Normal"/>
    <w:link w:val="DocumentMapChar"/>
    <w:uiPriority w:val="99"/>
    <w:semiHidden/>
    <w:unhideWhenUsed/>
    <w:rsid w:val="003608F0"/>
    <w:rPr>
      <w:rFonts w:ascii="Times New Roman" w:hAnsi="Times New Roman" w:cs="Times New Roman"/>
    </w:rPr>
  </w:style>
  <w:style w:type="character" w:customStyle="1" w:styleId="DocumentMapChar">
    <w:name w:val="Document Map Char"/>
    <w:basedOn w:val="DefaultParagraphFont"/>
    <w:link w:val="DocumentMap"/>
    <w:uiPriority w:val="99"/>
    <w:semiHidden/>
    <w:rsid w:val="003608F0"/>
    <w:rPr>
      <w:rFonts w:ascii="Times New Roman" w:hAnsi="Times New Roman" w:cs="Times New Roman"/>
      <w:lang w:val="en-US"/>
    </w:rPr>
  </w:style>
  <w:style w:type="character" w:styleId="Emphasis">
    <w:name w:val="Emphasis"/>
    <w:basedOn w:val="DefaultParagraphFont"/>
    <w:uiPriority w:val="20"/>
    <w:qFormat/>
    <w:rsid w:val="003608F0"/>
    <w:rPr>
      <w:i/>
      <w:iCs/>
    </w:rPr>
  </w:style>
  <w:style w:type="paragraph" w:styleId="BodyText2">
    <w:name w:val="Body Text 2"/>
    <w:basedOn w:val="Normal"/>
    <w:link w:val="BodyText2Char"/>
    <w:uiPriority w:val="99"/>
    <w:semiHidden/>
    <w:unhideWhenUsed/>
    <w:rsid w:val="003608F0"/>
    <w:pPr>
      <w:spacing w:after="120" w:line="480" w:lineRule="auto"/>
    </w:pPr>
  </w:style>
  <w:style w:type="character" w:customStyle="1" w:styleId="BodyText2Char">
    <w:name w:val="Body Text 2 Char"/>
    <w:basedOn w:val="DefaultParagraphFont"/>
    <w:link w:val="BodyText2"/>
    <w:uiPriority w:val="99"/>
    <w:semiHidden/>
    <w:rsid w:val="003608F0"/>
    <w:rPr>
      <w:lang w:val="en-US"/>
    </w:rPr>
  </w:style>
  <w:style w:type="paragraph" w:customStyle="1" w:styleId="Tableheading">
    <w:name w:val="Table heading"/>
    <w:basedOn w:val="Heading1"/>
    <w:qFormat/>
    <w:rsid w:val="003608F0"/>
    <w:pPr>
      <w:widowControl w:val="0"/>
      <w:spacing w:before="480" w:after="120"/>
      <w:jc w:val="both"/>
    </w:pPr>
    <w:rPr>
      <w:rFonts w:ascii="Helvetica Light" w:hAnsi="Helvetica Light"/>
      <w:color w:val="009EDC"/>
      <w:spacing w:val="20"/>
      <w:szCs w:val="28"/>
      <w:lang w:val="en-GB"/>
    </w:rPr>
  </w:style>
  <w:style w:type="character" w:customStyle="1" w:styleId="UnresolvedMention1">
    <w:name w:val="Unresolved Mention1"/>
    <w:basedOn w:val="DefaultParagraphFont"/>
    <w:uiPriority w:val="99"/>
    <w:rsid w:val="003608F0"/>
    <w:rPr>
      <w:color w:val="808080"/>
      <w:shd w:val="clear" w:color="auto" w:fill="E6E6E6"/>
    </w:rPr>
  </w:style>
  <w:style w:type="character" w:styleId="FollowedHyperlink">
    <w:name w:val="FollowedHyperlink"/>
    <w:basedOn w:val="DefaultParagraphFont"/>
    <w:uiPriority w:val="99"/>
    <w:semiHidden/>
    <w:unhideWhenUsed/>
    <w:rsid w:val="003608F0"/>
    <w:rPr>
      <w:color w:val="954F72" w:themeColor="followedHyperlink"/>
      <w:u w:val="single"/>
    </w:rPr>
  </w:style>
  <w:style w:type="paragraph" w:styleId="Header">
    <w:name w:val="header"/>
    <w:basedOn w:val="Normal"/>
    <w:link w:val="HeaderChar"/>
    <w:uiPriority w:val="99"/>
    <w:unhideWhenUsed/>
    <w:rsid w:val="003608F0"/>
    <w:pPr>
      <w:tabs>
        <w:tab w:val="center" w:pos="4513"/>
        <w:tab w:val="right" w:pos="9026"/>
      </w:tabs>
    </w:pPr>
  </w:style>
  <w:style w:type="character" w:customStyle="1" w:styleId="HeaderChar">
    <w:name w:val="Header Char"/>
    <w:basedOn w:val="DefaultParagraphFont"/>
    <w:link w:val="Header"/>
    <w:uiPriority w:val="99"/>
    <w:rsid w:val="003608F0"/>
    <w:rPr>
      <w:lang w:val="en-US"/>
    </w:rPr>
  </w:style>
  <w:style w:type="paragraph" w:styleId="Footer">
    <w:name w:val="footer"/>
    <w:basedOn w:val="Normal"/>
    <w:link w:val="FooterChar"/>
    <w:uiPriority w:val="99"/>
    <w:unhideWhenUsed/>
    <w:rsid w:val="003608F0"/>
    <w:pPr>
      <w:tabs>
        <w:tab w:val="center" w:pos="4513"/>
        <w:tab w:val="right" w:pos="9026"/>
      </w:tabs>
    </w:pPr>
  </w:style>
  <w:style w:type="character" w:customStyle="1" w:styleId="FooterChar">
    <w:name w:val="Footer Char"/>
    <w:basedOn w:val="DefaultParagraphFont"/>
    <w:link w:val="Footer"/>
    <w:uiPriority w:val="99"/>
    <w:rsid w:val="003608F0"/>
    <w:rPr>
      <w:lang w:val="en-US"/>
    </w:rPr>
  </w:style>
  <w:style w:type="character" w:styleId="PageNumber">
    <w:name w:val="page number"/>
    <w:basedOn w:val="DefaultParagraphFont"/>
    <w:uiPriority w:val="99"/>
    <w:semiHidden/>
    <w:unhideWhenUsed/>
    <w:rsid w:val="003608F0"/>
  </w:style>
  <w:style w:type="character" w:customStyle="1" w:styleId="UnresolvedMention">
    <w:name w:val="Unresolved Mention"/>
    <w:basedOn w:val="DefaultParagraphFont"/>
    <w:uiPriority w:val="99"/>
    <w:semiHidden/>
    <w:unhideWhenUsed/>
    <w:rsid w:val="00666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1629">
      <w:bodyDiv w:val="1"/>
      <w:marLeft w:val="0"/>
      <w:marRight w:val="0"/>
      <w:marTop w:val="0"/>
      <w:marBottom w:val="0"/>
      <w:divBdr>
        <w:top w:val="none" w:sz="0" w:space="0" w:color="auto"/>
        <w:left w:val="none" w:sz="0" w:space="0" w:color="auto"/>
        <w:bottom w:val="none" w:sz="0" w:space="0" w:color="auto"/>
        <w:right w:val="none" w:sz="0" w:space="0" w:color="auto"/>
      </w:divBdr>
    </w:div>
    <w:div w:id="230434234">
      <w:bodyDiv w:val="1"/>
      <w:marLeft w:val="0"/>
      <w:marRight w:val="0"/>
      <w:marTop w:val="0"/>
      <w:marBottom w:val="0"/>
      <w:divBdr>
        <w:top w:val="none" w:sz="0" w:space="0" w:color="auto"/>
        <w:left w:val="none" w:sz="0" w:space="0" w:color="auto"/>
        <w:bottom w:val="none" w:sz="0" w:space="0" w:color="auto"/>
        <w:right w:val="none" w:sz="0" w:space="0" w:color="auto"/>
      </w:divBdr>
    </w:div>
    <w:div w:id="311443954">
      <w:bodyDiv w:val="1"/>
      <w:marLeft w:val="0"/>
      <w:marRight w:val="0"/>
      <w:marTop w:val="0"/>
      <w:marBottom w:val="0"/>
      <w:divBdr>
        <w:top w:val="none" w:sz="0" w:space="0" w:color="auto"/>
        <w:left w:val="none" w:sz="0" w:space="0" w:color="auto"/>
        <w:bottom w:val="none" w:sz="0" w:space="0" w:color="auto"/>
        <w:right w:val="none" w:sz="0" w:space="0" w:color="auto"/>
      </w:divBdr>
    </w:div>
    <w:div w:id="376440208">
      <w:bodyDiv w:val="1"/>
      <w:marLeft w:val="0"/>
      <w:marRight w:val="0"/>
      <w:marTop w:val="0"/>
      <w:marBottom w:val="0"/>
      <w:divBdr>
        <w:top w:val="none" w:sz="0" w:space="0" w:color="auto"/>
        <w:left w:val="none" w:sz="0" w:space="0" w:color="auto"/>
        <w:bottom w:val="none" w:sz="0" w:space="0" w:color="auto"/>
        <w:right w:val="none" w:sz="0" w:space="0" w:color="auto"/>
      </w:divBdr>
      <w:divsChild>
        <w:div w:id="1967083647">
          <w:marLeft w:val="0"/>
          <w:marRight w:val="0"/>
          <w:marTop w:val="0"/>
          <w:marBottom w:val="0"/>
          <w:divBdr>
            <w:top w:val="none" w:sz="0" w:space="0" w:color="auto"/>
            <w:left w:val="none" w:sz="0" w:space="0" w:color="auto"/>
            <w:bottom w:val="none" w:sz="0" w:space="0" w:color="auto"/>
            <w:right w:val="none" w:sz="0" w:space="0" w:color="auto"/>
          </w:divBdr>
        </w:div>
        <w:div w:id="685592390">
          <w:marLeft w:val="0"/>
          <w:marRight w:val="0"/>
          <w:marTop w:val="0"/>
          <w:marBottom w:val="0"/>
          <w:divBdr>
            <w:top w:val="none" w:sz="0" w:space="0" w:color="auto"/>
            <w:left w:val="none" w:sz="0" w:space="0" w:color="auto"/>
            <w:bottom w:val="none" w:sz="0" w:space="0" w:color="auto"/>
            <w:right w:val="none" w:sz="0" w:space="0" w:color="auto"/>
          </w:divBdr>
        </w:div>
        <w:div w:id="1453860859">
          <w:marLeft w:val="0"/>
          <w:marRight w:val="0"/>
          <w:marTop w:val="0"/>
          <w:marBottom w:val="0"/>
          <w:divBdr>
            <w:top w:val="none" w:sz="0" w:space="0" w:color="auto"/>
            <w:left w:val="none" w:sz="0" w:space="0" w:color="auto"/>
            <w:bottom w:val="none" w:sz="0" w:space="0" w:color="auto"/>
            <w:right w:val="none" w:sz="0" w:space="0" w:color="auto"/>
          </w:divBdr>
        </w:div>
        <w:div w:id="1835418574">
          <w:marLeft w:val="0"/>
          <w:marRight w:val="0"/>
          <w:marTop w:val="0"/>
          <w:marBottom w:val="0"/>
          <w:divBdr>
            <w:top w:val="none" w:sz="0" w:space="0" w:color="auto"/>
            <w:left w:val="none" w:sz="0" w:space="0" w:color="auto"/>
            <w:bottom w:val="none" w:sz="0" w:space="0" w:color="auto"/>
            <w:right w:val="none" w:sz="0" w:space="0" w:color="auto"/>
          </w:divBdr>
        </w:div>
        <w:div w:id="1609459236">
          <w:marLeft w:val="0"/>
          <w:marRight w:val="0"/>
          <w:marTop w:val="0"/>
          <w:marBottom w:val="0"/>
          <w:divBdr>
            <w:top w:val="none" w:sz="0" w:space="0" w:color="auto"/>
            <w:left w:val="none" w:sz="0" w:space="0" w:color="auto"/>
            <w:bottom w:val="none" w:sz="0" w:space="0" w:color="auto"/>
            <w:right w:val="none" w:sz="0" w:space="0" w:color="auto"/>
          </w:divBdr>
        </w:div>
        <w:div w:id="218974993">
          <w:marLeft w:val="0"/>
          <w:marRight w:val="0"/>
          <w:marTop w:val="0"/>
          <w:marBottom w:val="0"/>
          <w:divBdr>
            <w:top w:val="none" w:sz="0" w:space="0" w:color="auto"/>
            <w:left w:val="none" w:sz="0" w:space="0" w:color="auto"/>
            <w:bottom w:val="none" w:sz="0" w:space="0" w:color="auto"/>
            <w:right w:val="none" w:sz="0" w:space="0" w:color="auto"/>
          </w:divBdr>
        </w:div>
        <w:div w:id="1743603025">
          <w:marLeft w:val="0"/>
          <w:marRight w:val="0"/>
          <w:marTop w:val="0"/>
          <w:marBottom w:val="0"/>
          <w:divBdr>
            <w:top w:val="none" w:sz="0" w:space="0" w:color="auto"/>
            <w:left w:val="none" w:sz="0" w:space="0" w:color="auto"/>
            <w:bottom w:val="none" w:sz="0" w:space="0" w:color="auto"/>
            <w:right w:val="none" w:sz="0" w:space="0" w:color="auto"/>
          </w:divBdr>
        </w:div>
        <w:div w:id="1425302299">
          <w:marLeft w:val="0"/>
          <w:marRight w:val="0"/>
          <w:marTop w:val="0"/>
          <w:marBottom w:val="0"/>
          <w:divBdr>
            <w:top w:val="none" w:sz="0" w:space="0" w:color="auto"/>
            <w:left w:val="none" w:sz="0" w:space="0" w:color="auto"/>
            <w:bottom w:val="none" w:sz="0" w:space="0" w:color="auto"/>
            <w:right w:val="none" w:sz="0" w:space="0" w:color="auto"/>
          </w:divBdr>
        </w:div>
        <w:div w:id="632372218">
          <w:marLeft w:val="0"/>
          <w:marRight w:val="0"/>
          <w:marTop w:val="0"/>
          <w:marBottom w:val="0"/>
          <w:divBdr>
            <w:top w:val="none" w:sz="0" w:space="0" w:color="auto"/>
            <w:left w:val="none" w:sz="0" w:space="0" w:color="auto"/>
            <w:bottom w:val="none" w:sz="0" w:space="0" w:color="auto"/>
            <w:right w:val="none" w:sz="0" w:space="0" w:color="auto"/>
          </w:divBdr>
        </w:div>
        <w:div w:id="1917202450">
          <w:marLeft w:val="0"/>
          <w:marRight w:val="0"/>
          <w:marTop w:val="0"/>
          <w:marBottom w:val="0"/>
          <w:divBdr>
            <w:top w:val="none" w:sz="0" w:space="0" w:color="auto"/>
            <w:left w:val="none" w:sz="0" w:space="0" w:color="auto"/>
            <w:bottom w:val="none" w:sz="0" w:space="0" w:color="auto"/>
            <w:right w:val="none" w:sz="0" w:space="0" w:color="auto"/>
          </w:divBdr>
        </w:div>
        <w:div w:id="940795054">
          <w:marLeft w:val="0"/>
          <w:marRight w:val="0"/>
          <w:marTop w:val="0"/>
          <w:marBottom w:val="0"/>
          <w:divBdr>
            <w:top w:val="none" w:sz="0" w:space="0" w:color="auto"/>
            <w:left w:val="none" w:sz="0" w:space="0" w:color="auto"/>
            <w:bottom w:val="none" w:sz="0" w:space="0" w:color="auto"/>
            <w:right w:val="none" w:sz="0" w:space="0" w:color="auto"/>
          </w:divBdr>
        </w:div>
        <w:div w:id="427774162">
          <w:marLeft w:val="0"/>
          <w:marRight w:val="0"/>
          <w:marTop w:val="0"/>
          <w:marBottom w:val="0"/>
          <w:divBdr>
            <w:top w:val="none" w:sz="0" w:space="0" w:color="auto"/>
            <w:left w:val="none" w:sz="0" w:space="0" w:color="auto"/>
            <w:bottom w:val="none" w:sz="0" w:space="0" w:color="auto"/>
            <w:right w:val="none" w:sz="0" w:space="0" w:color="auto"/>
          </w:divBdr>
        </w:div>
        <w:div w:id="615063862">
          <w:marLeft w:val="0"/>
          <w:marRight w:val="0"/>
          <w:marTop w:val="0"/>
          <w:marBottom w:val="0"/>
          <w:divBdr>
            <w:top w:val="none" w:sz="0" w:space="0" w:color="auto"/>
            <w:left w:val="none" w:sz="0" w:space="0" w:color="auto"/>
            <w:bottom w:val="none" w:sz="0" w:space="0" w:color="auto"/>
            <w:right w:val="none" w:sz="0" w:space="0" w:color="auto"/>
          </w:divBdr>
        </w:div>
      </w:divsChild>
    </w:div>
    <w:div w:id="421611116">
      <w:bodyDiv w:val="1"/>
      <w:marLeft w:val="0"/>
      <w:marRight w:val="0"/>
      <w:marTop w:val="0"/>
      <w:marBottom w:val="0"/>
      <w:divBdr>
        <w:top w:val="none" w:sz="0" w:space="0" w:color="auto"/>
        <w:left w:val="none" w:sz="0" w:space="0" w:color="auto"/>
        <w:bottom w:val="none" w:sz="0" w:space="0" w:color="auto"/>
        <w:right w:val="none" w:sz="0" w:space="0" w:color="auto"/>
      </w:divBdr>
    </w:div>
    <w:div w:id="449207609">
      <w:bodyDiv w:val="1"/>
      <w:marLeft w:val="0"/>
      <w:marRight w:val="0"/>
      <w:marTop w:val="0"/>
      <w:marBottom w:val="0"/>
      <w:divBdr>
        <w:top w:val="none" w:sz="0" w:space="0" w:color="auto"/>
        <w:left w:val="none" w:sz="0" w:space="0" w:color="auto"/>
        <w:bottom w:val="none" w:sz="0" w:space="0" w:color="auto"/>
        <w:right w:val="none" w:sz="0" w:space="0" w:color="auto"/>
      </w:divBdr>
    </w:div>
    <w:div w:id="480924124">
      <w:bodyDiv w:val="1"/>
      <w:marLeft w:val="0"/>
      <w:marRight w:val="0"/>
      <w:marTop w:val="0"/>
      <w:marBottom w:val="0"/>
      <w:divBdr>
        <w:top w:val="none" w:sz="0" w:space="0" w:color="auto"/>
        <w:left w:val="none" w:sz="0" w:space="0" w:color="auto"/>
        <w:bottom w:val="none" w:sz="0" w:space="0" w:color="auto"/>
        <w:right w:val="none" w:sz="0" w:space="0" w:color="auto"/>
      </w:divBdr>
    </w:div>
    <w:div w:id="517933200">
      <w:bodyDiv w:val="1"/>
      <w:marLeft w:val="0"/>
      <w:marRight w:val="0"/>
      <w:marTop w:val="0"/>
      <w:marBottom w:val="0"/>
      <w:divBdr>
        <w:top w:val="none" w:sz="0" w:space="0" w:color="auto"/>
        <w:left w:val="none" w:sz="0" w:space="0" w:color="auto"/>
        <w:bottom w:val="none" w:sz="0" w:space="0" w:color="auto"/>
        <w:right w:val="none" w:sz="0" w:space="0" w:color="auto"/>
      </w:divBdr>
    </w:div>
    <w:div w:id="862867785">
      <w:bodyDiv w:val="1"/>
      <w:marLeft w:val="0"/>
      <w:marRight w:val="0"/>
      <w:marTop w:val="0"/>
      <w:marBottom w:val="0"/>
      <w:divBdr>
        <w:top w:val="none" w:sz="0" w:space="0" w:color="auto"/>
        <w:left w:val="none" w:sz="0" w:space="0" w:color="auto"/>
        <w:bottom w:val="none" w:sz="0" w:space="0" w:color="auto"/>
        <w:right w:val="none" w:sz="0" w:space="0" w:color="auto"/>
      </w:divBdr>
    </w:div>
    <w:div w:id="879898434">
      <w:bodyDiv w:val="1"/>
      <w:marLeft w:val="0"/>
      <w:marRight w:val="0"/>
      <w:marTop w:val="0"/>
      <w:marBottom w:val="0"/>
      <w:divBdr>
        <w:top w:val="none" w:sz="0" w:space="0" w:color="auto"/>
        <w:left w:val="none" w:sz="0" w:space="0" w:color="auto"/>
        <w:bottom w:val="none" w:sz="0" w:space="0" w:color="auto"/>
        <w:right w:val="none" w:sz="0" w:space="0" w:color="auto"/>
      </w:divBdr>
    </w:div>
    <w:div w:id="1043402294">
      <w:bodyDiv w:val="1"/>
      <w:marLeft w:val="0"/>
      <w:marRight w:val="0"/>
      <w:marTop w:val="0"/>
      <w:marBottom w:val="0"/>
      <w:divBdr>
        <w:top w:val="none" w:sz="0" w:space="0" w:color="auto"/>
        <w:left w:val="none" w:sz="0" w:space="0" w:color="auto"/>
        <w:bottom w:val="none" w:sz="0" w:space="0" w:color="auto"/>
        <w:right w:val="none" w:sz="0" w:space="0" w:color="auto"/>
      </w:divBdr>
    </w:div>
    <w:div w:id="1051417637">
      <w:bodyDiv w:val="1"/>
      <w:marLeft w:val="0"/>
      <w:marRight w:val="0"/>
      <w:marTop w:val="0"/>
      <w:marBottom w:val="0"/>
      <w:divBdr>
        <w:top w:val="none" w:sz="0" w:space="0" w:color="auto"/>
        <w:left w:val="none" w:sz="0" w:space="0" w:color="auto"/>
        <w:bottom w:val="none" w:sz="0" w:space="0" w:color="auto"/>
        <w:right w:val="none" w:sz="0" w:space="0" w:color="auto"/>
      </w:divBdr>
      <w:divsChild>
        <w:div w:id="839660218">
          <w:marLeft w:val="0"/>
          <w:marRight w:val="0"/>
          <w:marTop w:val="0"/>
          <w:marBottom w:val="0"/>
          <w:divBdr>
            <w:top w:val="none" w:sz="0" w:space="0" w:color="auto"/>
            <w:left w:val="none" w:sz="0" w:space="0" w:color="auto"/>
            <w:bottom w:val="none" w:sz="0" w:space="0" w:color="auto"/>
            <w:right w:val="none" w:sz="0" w:space="0" w:color="auto"/>
          </w:divBdr>
        </w:div>
        <w:div w:id="493843286">
          <w:marLeft w:val="0"/>
          <w:marRight w:val="0"/>
          <w:marTop w:val="0"/>
          <w:marBottom w:val="0"/>
          <w:divBdr>
            <w:top w:val="none" w:sz="0" w:space="0" w:color="auto"/>
            <w:left w:val="none" w:sz="0" w:space="0" w:color="auto"/>
            <w:bottom w:val="none" w:sz="0" w:space="0" w:color="auto"/>
            <w:right w:val="none" w:sz="0" w:space="0" w:color="auto"/>
          </w:divBdr>
        </w:div>
        <w:div w:id="1353261258">
          <w:marLeft w:val="0"/>
          <w:marRight w:val="0"/>
          <w:marTop w:val="0"/>
          <w:marBottom w:val="0"/>
          <w:divBdr>
            <w:top w:val="none" w:sz="0" w:space="0" w:color="auto"/>
            <w:left w:val="none" w:sz="0" w:space="0" w:color="auto"/>
            <w:bottom w:val="none" w:sz="0" w:space="0" w:color="auto"/>
            <w:right w:val="none" w:sz="0" w:space="0" w:color="auto"/>
          </w:divBdr>
        </w:div>
        <w:div w:id="37508597">
          <w:marLeft w:val="0"/>
          <w:marRight w:val="0"/>
          <w:marTop w:val="0"/>
          <w:marBottom w:val="0"/>
          <w:divBdr>
            <w:top w:val="none" w:sz="0" w:space="0" w:color="auto"/>
            <w:left w:val="none" w:sz="0" w:space="0" w:color="auto"/>
            <w:bottom w:val="none" w:sz="0" w:space="0" w:color="auto"/>
            <w:right w:val="none" w:sz="0" w:space="0" w:color="auto"/>
          </w:divBdr>
        </w:div>
        <w:div w:id="801270642">
          <w:marLeft w:val="0"/>
          <w:marRight w:val="0"/>
          <w:marTop w:val="0"/>
          <w:marBottom w:val="0"/>
          <w:divBdr>
            <w:top w:val="none" w:sz="0" w:space="0" w:color="auto"/>
            <w:left w:val="none" w:sz="0" w:space="0" w:color="auto"/>
            <w:bottom w:val="none" w:sz="0" w:space="0" w:color="auto"/>
            <w:right w:val="none" w:sz="0" w:space="0" w:color="auto"/>
          </w:divBdr>
        </w:div>
        <w:div w:id="508375981">
          <w:marLeft w:val="0"/>
          <w:marRight w:val="0"/>
          <w:marTop w:val="0"/>
          <w:marBottom w:val="0"/>
          <w:divBdr>
            <w:top w:val="none" w:sz="0" w:space="0" w:color="auto"/>
            <w:left w:val="none" w:sz="0" w:space="0" w:color="auto"/>
            <w:bottom w:val="none" w:sz="0" w:space="0" w:color="auto"/>
            <w:right w:val="none" w:sz="0" w:space="0" w:color="auto"/>
          </w:divBdr>
        </w:div>
        <w:div w:id="381179196">
          <w:marLeft w:val="0"/>
          <w:marRight w:val="0"/>
          <w:marTop w:val="0"/>
          <w:marBottom w:val="0"/>
          <w:divBdr>
            <w:top w:val="none" w:sz="0" w:space="0" w:color="auto"/>
            <w:left w:val="none" w:sz="0" w:space="0" w:color="auto"/>
            <w:bottom w:val="none" w:sz="0" w:space="0" w:color="auto"/>
            <w:right w:val="none" w:sz="0" w:space="0" w:color="auto"/>
          </w:divBdr>
        </w:div>
        <w:div w:id="16078157">
          <w:marLeft w:val="0"/>
          <w:marRight w:val="0"/>
          <w:marTop w:val="0"/>
          <w:marBottom w:val="0"/>
          <w:divBdr>
            <w:top w:val="none" w:sz="0" w:space="0" w:color="auto"/>
            <w:left w:val="none" w:sz="0" w:space="0" w:color="auto"/>
            <w:bottom w:val="none" w:sz="0" w:space="0" w:color="auto"/>
            <w:right w:val="none" w:sz="0" w:space="0" w:color="auto"/>
          </w:divBdr>
        </w:div>
        <w:div w:id="2107114114">
          <w:marLeft w:val="0"/>
          <w:marRight w:val="0"/>
          <w:marTop w:val="0"/>
          <w:marBottom w:val="0"/>
          <w:divBdr>
            <w:top w:val="none" w:sz="0" w:space="0" w:color="auto"/>
            <w:left w:val="none" w:sz="0" w:space="0" w:color="auto"/>
            <w:bottom w:val="none" w:sz="0" w:space="0" w:color="auto"/>
            <w:right w:val="none" w:sz="0" w:space="0" w:color="auto"/>
          </w:divBdr>
        </w:div>
        <w:div w:id="861167248">
          <w:marLeft w:val="0"/>
          <w:marRight w:val="0"/>
          <w:marTop w:val="0"/>
          <w:marBottom w:val="0"/>
          <w:divBdr>
            <w:top w:val="none" w:sz="0" w:space="0" w:color="auto"/>
            <w:left w:val="none" w:sz="0" w:space="0" w:color="auto"/>
            <w:bottom w:val="none" w:sz="0" w:space="0" w:color="auto"/>
            <w:right w:val="none" w:sz="0" w:space="0" w:color="auto"/>
          </w:divBdr>
        </w:div>
        <w:div w:id="1274248618">
          <w:marLeft w:val="0"/>
          <w:marRight w:val="0"/>
          <w:marTop w:val="0"/>
          <w:marBottom w:val="0"/>
          <w:divBdr>
            <w:top w:val="none" w:sz="0" w:space="0" w:color="auto"/>
            <w:left w:val="none" w:sz="0" w:space="0" w:color="auto"/>
            <w:bottom w:val="none" w:sz="0" w:space="0" w:color="auto"/>
            <w:right w:val="none" w:sz="0" w:space="0" w:color="auto"/>
          </w:divBdr>
        </w:div>
        <w:div w:id="321662189">
          <w:marLeft w:val="0"/>
          <w:marRight w:val="0"/>
          <w:marTop w:val="0"/>
          <w:marBottom w:val="0"/>
          <w:divBdr>
            <w:top w:val="none" w:sz="0" w:space="0" w:color="auto"/>
            <w:left w:val="none" w:sz="0" w:space="0" w:color="auto"/>
            <w:bottom w:val="none" w:sz="0" w:space="0" w:color="auto"/>
            <w:right w:val="none" w:sz="0" w:space="0" w:color="auto"/>
          </w:divBdr>
        </w:div>
        <w:div w:id="404106235">
          <w:marLeft w:val="0"/>
          <w:marRight w:val="0"/>
          <w:marTop w:val="0"/>
          <w:marBottom w:val="0"/>
          <w:divBdr>
            <w:top w:val="none" w:sz="0" w:space="0" w:color="auto"/>
            <w:left w:val="none" w:sz="0" w:space="0" w:color="auto"/>
            <w:bottom w:val="none" w:sz="0" w:space="0" w:color="auto"/>
            <w:right w:val="none" w:sz="0" w:space="0" w:color="auto"/>
          </w:divBdr>
        </w:div>
        <w:div w:id="1679841495">
          <w:marLeft w:val="0"/>
          <w:marRight w:val="0"/>
          <w:marTop w:val="0"/>
          <w:marBottom w:val="0"/>
          <w:divBdr>
            <w:top w:val="none" w:sz="0" w:space="0" w:color="auto"/>
            <w:left w:val="none" w:sz="0" w:space="0" w:color="auto"/>
            <w:bottom w:val="none" w:sz="0" w:space="0" w:color="auto"/>
            <w:right w:val="none" w:sz="0" w:space="0" w:color="auto"/>
          </w:divBdr>
        </w:div>
        <w:div w:id="1483691806">
          <w:marLeft w:val="0"/>
          <w:marRight w:val="0"/>
          <w:marTop w:val="0"/>
          <w:marBottom w:val="0"/>
          <w:divBdr>
            <w:top w:val="none" w:sz="0" w:space="0" w:color="auto"/>
            <w:left w:val="none" w:sz="0" w:space="0" w:color="auto"/>
            <w:bottom w:val="none" w:sz="0" w:space="0" w:color="auto"/>
            <w:right w:val="none" w:sz="0" w:space="0" w:color="auto"/>
          </w:divBdr>
        </w:div>
        <w:div w:id="928005543">
          <w:marLeft w:val="0"/>
          <w:marRight w:val="0"/>
          <w:marTop w:val="0"/>
          <w:marBottom w:val="0"/>
          <w:divBdr>
            <w:top w:val="none" w:sz="0" w:space="0" w:color="auto"/>
            <w:left w:val="none" w:sz="0" w:space="0" w:color="auto"/>
            <w:bottom w:val="none" w:sz="0" w:space="0" w:color="auto"/>
            <w:right w:val="none" w:sz="0" w:space="0" w:color="auto"/>
          </w:divBdr>
        </w:div>
        <w:div w:id="1154955411">
          <w:marLeft w:val="0"/>
          <w:marRight w:val="0"/>
          <w:marTop w:val="0"/>
          <w:marBottom w:val="0"/>
          <w:divBdr>
            <w:top w:val="none" w:sz="0" w:space="0" w:color="auto"/>
            <w:left w:val="none" w:sz="0" w:space="0" w:color="auto"/>
            <w:bottom w:val="none" w:sz="0" w:space="0" w:color="auto"/>
            <w:right w:val="none" w:sz="0" w:space="0" w:color="auto"/>
          </w:divBdr>
        </w:div>
        <w:div w:id="2142838754">
          <w:marLeft w:val="0"/>
          <w:marRight w:val="0"/>
          <w:marTop w:val="0"/>
          <w:marBottom w:val="0"/>
          <w:divBdr>
            <w:top w:val="none" w:sz="0" w:space="0" w:color="auto"/>
            <w:left w:val="none" w:sz="0" w:space="0" w:color="auto"/>
            <w:bottom w:val="none" w:sz="0" w:space="0" w:color="auto"/>
            <w:right w:val="none" w:sz="0" w:space="0" w:color="auto"/>
          </w:divBdr>
        </w:div>
        <w:div w:id="553852331">
          <w:marLeft w:val="0"/>
          <w:marRight w:val="0"/>
          <w:marTop w:val="0"/>
          <w:marBottom w:val="0"/>
          <w:divBdr>
            <w:top w:val="none" w:sz="0" w:space="0" w:color="auto"/>
            <w:left w:val="none" w:sz="0" w:space="0" w:color="auto"/>
            <w:bottom w:val="none" w:sz="0" w:space="0" w:color="auto"/>
            <w:right w:val="none" w:sz="0" w:space="0" w:color="auto"/>
          </w:divBdr>
        </w:div>
        <w:div w:id="818577153">
          <w:marLeft w:val="0"/>
          <w:marRight w:val="0"/>
          <w:marTop w:val="0"/>
          <w:marBottom w:val="0"/>
          <w:divBdr>
            <w:top w:val="none" w:sz="0" w:space="0" w:color="auto"/>
            <w:left w:val="none" w:sz="0" w:space="0" w:color="auto"/>
            <w:bottom w:val="none" w:sz="0" w:space="0" w:color="auto"/>
            <w:right w:val="none" w:sz="0" w:space="0" w:color="auto"/>
          </w:divBdr>
        </w:div>
        <w:div w:id="1785297866">
          <w:marLeft w:val="0"/>
          <w:marRight w:val="0"/>
          <w:marTop w:val="0"/>
          <w:marBottom w:val="0"/>
          <w:divBdr>
            <w:top w:val="none" w:sz="0" w:space="0" w:color="auto"/>
            <w:left w:val="none" w:sz="0" w:space="0" w:color="auto"/>
            <w:bottom w:val="none" w:sz="0" w:space="0" w:color="auto"/>
            <w:right w:val="none" w:sz="0" w:space="0" w:color="auto"/>
          </w:divBdr>
        </w:div>
        <w:div w:id="679739614">
          <w:marLeft w:val="0"/>
          <w:marRight w:val="0"/>
          <w:marTop w:val="0"/>
          <w:marBottom w:val="0"/>
          <w:divBdr>
            <w:top w:val="none" w:sz="0" w:space="0" w:color="auto"/>
            <w:left w:val="none" w:sz="0" w:space="0" w:color="auto"/>
            <w:bottom w:val="none" w:sz="0" w:space="0" w:color="auto"/>
            <w:right w:val="none" w:sz="0" w:space="0" w:color="auto"/>
          </w:divBdr>
        </w:div>
      </w:divsChild>
    </w:div>
    <w:div w:id="1464271966">
      <w:bodyDiv w:val="1"/>
      <w:marLeft w:val="0"/>
      <w:marRight w:val="0"/>
      <w:marTop w:val="0"/>
      <w:marBottom w:val="0"/>
      <w:divBdr>
        <w:top w:val="none" w:sz="0" w:space="0" w:color="auto"/>
        <w:left w:val="none" w:sz="0" w:space="0" w:color="auto"/>
        <w:bottom w:val="none" w:sz="0" w:space="0" w:color="auto"/>
        <w:right w:val="none" w:sz="0" w:space="0" w:color="auto"/>
      </w:divBdr>
    </w:div>
    <w:div w:id="1500123823">
      <w:bodyDiv w:val="1"/>
      <w:marLeft w:val="0"/>
      <w:marRight w:val="0"/>
      <w:marTop w:val="0"/>
      <w:marBottom w:val="0"/>
      <w:divBdr>
        <w:top w:val="none" w:sz="0" w:space="0" w:color="auto"/>
        <w:left w:val="none" w:sz="0" w:space="0" w:color="auto"/>
        <w:bottom w:val="none" w:sz="0" w:space="0" w:color="auto"/>
        <w:right w:val="none" w:sz="0" w:space="0" w:color="auto"/>
      </w:divBdr>
    </w:div>
    <w:div w:id="1560049048">
      <w:bodyDiv w:val="1"/>
      <w:marLeft w:val="0"/>
      <w:marRight w:val="0"/>
      <w:marTop w:val="0"/>
      <w:marBottom w:val="0"/>
      <w:divBdr>
        <w:top w:val="none" w:sz="0" w:space="0" w:color="auto"/>
        <w:left w:val="none" w:sz="0" w:space="0" w:color="auto"/>
        <w:bottom w:val="none" w:sz="0" w:space="0" w:color="auto"/>
        <w:right w:val="none" w:sz="0" w:space="0" w:color="auto"/>
      </w:divBdr>
    </w:div>
    <w:div w:id="1756321080">
      <w:bodyDiv w:val="1"/>
      <w:marLeft w:val="0"/>
      <w:marRight w:val="0"/>
      <w:marTop w:val="0"/>
      <w:marBottom w:val="0"/>
      <w:divBdr>
        <w:top w:val="none" w:sz="0" w:space="0" w:color="auto"/>
        <w:left w:val="none" w:sz="0" w:space="0" w:color="auto"/>
        <w:bottom w:val="none" w:sz="0" w:space="0" w:color="auto"/>
        <w:right w:val="none" w:sz="0" w:space="0" w:color="auto"/>
      </w:divBdr>
      <w:divsChild>
        <w:div w:id="263416486">
          <w:marLeft w:val="0"/>
          <w:marRight w:val="0"/>
          <w:marTop w:val="0"/>
          <w:marBottom w:val="0"/>
          <w:divBdr>
            <w:top w:val="none" w:sz="0" w:space="0" w:color="auto"/>
            <w:left w:val="none" w:sz="0" w:space="0" w:color="auto"/>
            <w:bottom w:val="none" w:sz="0" w:space="0" w:color="auto"/>
            <w:right w:val="none" w:sz="0" w:space="0" w:color="auto"/>
          </w:divBdr>
        </w:div>
      </w:divsChild>
    </w:div>
    <w:div w:id="1773353557">
      <w:bodyDiv w:val="1"/>
      <w:marLeft w:val="0"/>
      <w:marRight w:val="0"/>
      <w:marTop w:val="0"/>
      <w:marBottom w:val="0"/>
      <w:divBdr>
        <w:top w:val="none" w:sz="0" w:space="0" w:color="auto"/>
        <w:left w:val="none" w:sz="0" w:space="0" w:color="auto"/>
        <w:bottom w:val="none" w:sz="0" w:space="0" w:color="auto"/>
        <w:right w:val="none" w:sz="0" w:space="0" w:color="auto"/>
      </w:divBdr>
    </w:div>
    <w:div w:id="1774471170">
      <w:bodyDiv w:val="1"/>
      <w:marLeft w:val="0"/>
      <w:marRight w:val="0"/>
      <w:marTop w:val="0"/>
      <w:marBottom w:val="0"/>
      <w:divBdr>
        <w:top w:val="none" w:sz="0" w:space="0" w:color="auto"/>
        <w:left w:val="none" w:sz="0" w:space="0" w:color="auto"/>
        <w:bottom w:val="none" w:sz="0" w:space="0" w:color="auto"/>
        <w:right w:val="none" w:sz="0" w:space="0" w:color="auto"/>
      </w:divBdr>
      <w:divsChild>
        <w:div w:id="1833568255">
          <w:marLeft w:val="0"/>
          <w:marRight w:val="0"/>
          <w:marTop w:val="0"/>
          <w:marBottom w:val="0"/>
          <w:divBdr>
            <w:top w:val="none" w:sz="0" w:space="0" w:color="auto"/>
            <w:left w:val="none" w:sz="0" w:space="0" w:color="auto"/>
            <w:bottom w:val="none" w:sz="0" w:space="0" w:color="auto"/>
            <w:right w:val="none" w:sz="0" w:space="0" w:color="auto"/>
          </w:divBdr>
        </w:div>
        <w:div w:id="1403524570">
          <w:marLeft w:val="0"/>
          <w:marRight w:val="0"/>
          <w:marTop w:val="0"/>
          <w:marBottom w:val="0"/>
          <w:divBdr>
            <w:top w:val="none" w:sz="0" w:space="0" w:color="auto"/>
            <w:left w:val="none" w:sz="0" w:space="0" w:color="auto"/>
            <w:bottom w:val="none" w:sz="0" w:space="0" w:color="auto"/>
            <w:right w:val="none" w:sz="0" w:space="0" w:color="auto"/>
          </w:divBdr>
        </w:div>
        <w:div w:id="1487437572">
          <w:marLeft w:val="0"/>
          <w:marRight w:val="0"/>
          <w:marTop w:val="0"/>
          <w:marBottom w:val="0"/>
          <w:divBdr>
            <w:top w:val="none" w:sz="0" w:space="0" w:color="auto"/>
            <w:left w:val="none" w:sz="0" w:space="0" w:color="auto"/>
            <w:bottom w:val="none" w:sz="0" w:space="0" w:color="auto"/>
            <w:right w:val="none" w:sz="0" w:space="0" w:color="auto"/>
          </w:divBdr>
        </w:div>
        <w:div w:id="1708676103">
          <w:marLeft w:val="0"/>
          <w:marRight w:val="0"/>
          <w:marTop w:val="0"/>
          <w:marBottom w:val="0"/>
          <w:divBdr>
            <w:top w:val="none" w:sz="0" w:space="0" w:color="auto"/>
            <w:left w:val="none" w:sz="0" w:space="0" w:color="auto"/>
            <w:bottom w:val="none" w:sz="0" w:space="0" w:color="auto"/>
            <w:right w:val="none" w:sz="0" w:space="0" w:color="auto"/>
          </w:divBdr>
        </w:div>
        <w:div w:id="967469218">
          <w:marLeft w:val="0"/>
          <w:marRight w:val="0"/>
          <w:marTop w:val="0"/>
          <w:marBottom w:val="0"/>
          <w:divBdr>
            <w:top w:val="none" w:sz="0" w:space="0" w:color="auto"/>
            <w:left w:val="none" w:sz="0" w:space="0" w:color="auto"/>
            <w:bottom w:val="none" w:sz="0" w:space="0" w:color="auto"/>
            <w:right w:val="none" w:sz="0" w:space="0" w:color="auto"/>
          </w:divBdr>
        </w:div>
        <w:div w:id="745417912">
          <w:marLeft w:val="0"/>
          <w:marRight w:val="0"/>
          <w:marTop w:val="0"/>
          <w:marBottom w:val="0"/>
          <w:divBdr>
            <w:top w:val="none" w:sz="0" w:space="0" w:color="auto"/>
            <w:left w:val="none" w:sz="0" w:space="0" w:color="auto"/>
            <w:bottom w:val="none" w:sz="0" w:space="0" w:color="auto"/>
            <w:right w:val="none" w:sz="0" w:space="0" w:color="auto"/>
          </w:divBdr>
        </w:div>
        <w:div w:id="292488390">
          <w:marLeft w:val="0"/>
          <w:marRight w:val="0"/>
          <w:marTop w:val="0"/>
          <w:marBottom w:val="0"/>
          <w:divBdr>
            <w:top w:val="none" w:sz="0" w:space="0" w:color="auto"/>
            <w:left w:val="none" w:sz="0" w:space="0" w:color="auto"/>
            <w:bottom w:val="none" w:sz="0" w:space="0" w:color="auto"/>
            <w:right w:val="none" w:sz="0" w:space="0" w:color="auto"/>
          </w:divBdr>
        </w:div>
        <w:div w:id="978458641">
          <w:marLeft w:val="0"/>
          <w:marRight w:val="0"/>
          <w:marTop w:val="0"/>
          <w:marBottom w:val="0"/>
          <w:divBdr>
            <w:top w:val="none" w:sz="0" w:space="0" w:color="auto"/>
            <w:left w:val="none" w:sz="0" w:space="0" w:color="auto"/>
            <w:bottom w:val="none" w:sz="0" w:space="0" w:color="auto"/>
            <w:right w:val="none" w:sz="0" w:space="0" w:color="auto"/>
          </w:divBdr>
        </w:div>
        <w:div w:id="1556509322">
          <w:marLeft w:val="0"/>
          <w:marRight w:val="0"/>
          <w:marTop w:val="0"/>
          <w:marBottom w:val="0"/>
          <w:divBdr>
            <w:top w:val="none" w:sz="0" w:space="0" w:color="auto"/>
            <w:left w:val="none" w:sz="0" w:space="0" w:color="auto"/>
            <w:bottom w:val="none" w:sz="0" w:space="0" w:color="auto"/>
            <w:right w:val="none" w:sz="0" w:space="0" w:color="auto"/>
          </w:divBdr>
        </w:div>
        <w:div w:id="1214807741">
          <w:marLeft w:val="0"/>
          <w:marRight w:val="0"/>
          <w:marTop w:val="0"/>
          <w:marBottom w:val="0"/>
          <w:divBdr>
            <w:top w:val="none" w:sz="0" w:space="0" w:color="auto"/>
            <w:left w:val="none" w:sz="0" w:space="0" w:color="auto"/>
            <w:bottom w:val="none" w:sz="0" w:space="0" w:color="auto"/>
            <w:right w:val="none" w:sz="0" w:space="0" w:color="auto"/>
          </w:divBdr>
        </w:div>
        <w:div w:id="996568647">
          <w:marLeft w:val="0"/>
          <w:marRight w:val="0"/>
          <w:marTop w:val="0"/>
          <w:marBottom w:val="0"/>
          <w:divBdr>
            <w:top w:val="none" w:sz="0" w:space="0" w:color="auto"/>
            <w:left w:val="none" w:sz="0" w:space="0" w:color="auto"/>
            <w:bottom w:val="none" w:sz="0" w:space="0" w:color="auto"/>
            <w:right w:val="none" w:sz="0" w:space="0" w:color="auto"/>
          </w:divBdr>
        </w:div>
        <w:div w:id="1373771613">
          <w:marLeft w:val="0"/>
          <w:marRight w:val="0"/>
          <w:marTop w:val="0"/>
          <w:marBottom w:val="0"/>
          <w:divBdr>
            <w:top w:val="none" w:sz="0" w:space="0" w:color="auto"/>
            <w:left w:val="none" w:sz="0" w:space="0" w:color="auto"/>
            <w:bottom w:val="none" w:sz="0" w:space="0" w:color="auto"/>
            <w:right w:val="none" w:sz="0" w:space="0" w:color="auto"/>
          </w:divBdr>
        </w:div>
        <w:div w:id="1692562962">
          <w:marLeft w:val="0"/>
          <w:marRight w:val="0"/>
          <w:marTop w:val="0"/>
          <w:marBottom w:val="0"/>
          <w:divBdr>
            <w:top w:val="none" w:sz="0" w:space="0" w:color="auto"/>
            <w:left w:val="none" w:sz="0" w:space="0" w:color="auto"/>
            <w:bottom w:val="none" w:sz="0" w:space="0" w:color="auto"/>
            <w:right w:val="none" w:sz="0" w:space="0" w:color="auto"/>
          </w:divBdr>
        </w:div>
        <w:div w:id="756904624">
          <w:marLeft w:val="0"/>
          <w:marRight w:val="0"/>
          <w:marTop w:val="0"/>
          <w:marBottom w:val="0"/>
          <w:divBdr>
            <w:top w:val="none" w:sz="0" w:space="0" w:color="auto"/>
            <w:left w:val="none" w:sz="0" w:space="0" w:color="auto"/>
            <w:bottom w:val="none" w:sz="0" w:space="0" w:color="auto"/>
            <w:right w:val="none" w:sz="0" w:space="0" w:color="auto"/>
          </w:divBdr>
        </w:div>
        <w:div w:id="2103212516">
          <w:marLeft w:val="0"/>
          <w:marRight w:val="0"/>
          <w:marTop w:val="0"/>
          <w:marBottom w:val="0"/>
          <w:divBdr>
            <w:top w:val="none" w:sz="0" w:space="0" w:color="auto"/>
            <w:left w:val="none" w:sz="0" w:space="0" w:color="auto"/>
            <w:bottom w:val="none" w:sz="0" w:space="0" w:color="auto"/>
            <w:right w:val="none" w:sz="0" w:space="0" w:color="auto"/>
          </w:divBdr>
        </w:div>
        <w:div w:id="1473793720">
          <w:marLeft w:val="0"/>
          <w:marRight w:val="0"/>
          <w:marTop w:val="0"/>
          <w:marBottom w:val="0"/>
          <w:divBdr>
            <w:top w:val="none" w:sz="0" w:space="0" w:color="auto"/>
            <w:left w:val="none" w:sz="0" w:space="0" w:color="auto"/>
            <w:bottom w:val="none" w:sz="0" w:space="0" w:color="auto"/>
            <w:right w:val="none" w:sz="0" w:space="0" w:color="auto"/>
          </w:divBdr>
        </w:div>
        <w:div w:id="2045127774">
          <w:marLeft w:val="0"/>
          <w:marRight w:val="0"/>
          <w:marTop w:val="0"/>
          <w:marBottom w:val="0"/>
          <w:divBdr>
            <w:top w:val="none" w:sz="0" w:space="0" w:color="auto"/>
            <w:left w:val="none" w:sz="0" w:space="0" w:color="auto"/>
            <w:bottom w:val="none" w:sz="0" w:space="0" w:color="auto"/>
            <w:right w:val="none" w:sz="0" w:space="0" w:color="auto"/>
          </w:divBdr>
        </w:div>
        <w:div w:id="697776929">
          <w:marLeft w:val="0"/>
          <w:marRight w:val="0"/>
          <w:marTop w:val="0"/>
          <w:marBottom w:val="0"/>
          <w:divBdr>
            <w:top w:val="none" w:sz="0" w:space="0" w:color="auto"/>
            <w:left w:val="none" w:sz="0" w:space="0" w:color="auto"/>
            <w:bottom w:val="none" w:sz="0" w:space="0" w:color="auto"/>
            <w:right w:val="none" w:sz="0" w:space="0" w:color="auto"/>
          </w:divBdr>
        </w:div>
        <w:div w:id="2082750704">
          <w:marLeft w:val="0"/>
          <w:marRight w:val="0"/>
          <w:marTop w:val="0"/>
          <w:marBottom w:val="0"/>
          <w:divBdr>
            <w:top w:val="none" w:sz="0" w:space="0" w:color="auto"/>
            <w:left w:val="none" w:sz="0" w:space="0" w:color="auto"/>
            <w:bottom w:val="none" w:sz="0" w:space="0" w:color="auto"/>
            <w:right w:val="none" w:sz="0" w:space="0" w:color="auto"/>
          </w:divBdr>
        </w:div>
        <w:div w:id="1290283825">
          <w:marLeft w:val="0"/>
          <w:marRight w:val="0"/>
          <w:marTop w:val="0"/>
          <w:marBottom w:val="0"/>
          <w:divBdr>
            <w:top w:val="none" w:sz="0" w:space="0" w:color="auto"/>
            <w:left w:val="none" w:sz="0" w:space="0" w:color="auto"/>
            <w:bottom w:val="none" w:sz="0" w:space="0" w:color="auto"/>
            <w:right w:val="none" w:sz="0" w:space="0" w:color="auto"/>
          </w:divBdr>
        </w:div>
        <w:div w:id="2088647386">
          <w:marLeft w:val="0"/>
          <w:marRight w:val="0"/>
          <w:marTop w:val="0"/>
          <w:marBottom w:val="0"/>
          <w:divBdr>
            <w:top w:val="none" w:sz="0" w:space="0" w:color="auto"/>
            <w:left w:val="none" w:sz="0" w:space="0" w:color="auto"/>
            <w:bottom w:val="none" w:sz="0" w:space="0" w:color="auto"/>
            <w:right w:val="none" w:sz="0" w:space="0" w:color="auto"/>
          </w:divBdr>
        </w:div>
        <w:div w:id="1386835661">
          <w:marLeft w:val="0"/>
          <w:marRight w:val="0"/>
          <w:marTop w:val="0"/>
          <w:marBottom w:val="0"/>
          <w:divBdr>
            <w:top w:val="none" w:sz="0" w:space="0" w:color="auto"/>
            <w:left w:val="none" w:sz="0" w:space="0" w:color="auto"/>
            <w:bottom w:val="none" w:sz="0" w:space="0" w:color="auto"/>
            <w:right w:val="none" w:sz="0" w:space="0" w:color="auto"/>
          </w:divBdr>
        </w:div>
      </w:divsChild>
    </w:div>
    <w:div w:id="1879971370">
      <w:bodyDiv w:val="1"/>
      <w:marLeft w:val="0"/>
      <w:marRight w:val="0"/>
      <w:marTop w:val="0"/>
      <w:marBottom w:val="0"/>
      <w:divBdr>
        <w:top w:val="none" w:sz="0" w:space="0" w:color="auto"/>
        <w:left w:val="none" w:sz="0" w:space="0" w:color="auto"/>
        <w:bottom w:val="none" w:sz="0" w:space="0" w:color="auto"/>
        <w:right w:val="none" w:sz="0" w:space="0" w:color="auto"/>
      </w:divBdr>
    </w:div>
    <w:div w:id="2033991500">
      <w:bodyDiv w:val="1"/>
      <w:marLeft w:val="0"/>
      <w:marRight w:val="0"/>
      <w:marTop w:val="0"/>
      <w:marBottom w:val="0"/>
      <w:divBdr>
        <w:top w:val="none" w:sz="0" w:space="0" w:color="auto"/>
        <w:left w:val="none" w:sz="0" w:space="0" w:color="auto"/>
        <w:bottom w:val="none" w:sz="0" w:space="0" w:color="auto"/>
        <w:right w:val="none" w:sz="0" w:space="0" w:color="auto"/>
      </w:divBdr>
    </w:div>
    <w:div w:id="206236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if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splus.com/en/news/2013/06/micro-entities"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www.iasplus.com/en/news/2007/February/news327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D885AA47-6E58-448D-BBFA-22C6D584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14543</Words>
  <Characters>82900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Rebecca</dc:creator>
  <cp:keywords/>
  <dc:description/>
  <cp:lastModifiedBy>Napier, Christopher</cp:lastModifiedBy>
  <cp:revision>2</cp:revision>
  <dcterms:created xsi:type="dcterms:W3CDTF">2019-09-30T11:05:00Z</dcterms:created>
  <dcterms:modified xsi:type="dcterms:W3CDTF">2019-09-30T11:05:00Z</dcterms:modified>
</cp:coreProperties>
</file>