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FFAC6" w14:textId="77777777" w:rsidR="00C82ADD" w:rsidRDefault="00C82ADD" w:rsidP="00C82ADD">
      <w:pPr>
        <w:spacing w:line="480" w:lineRule="auto"/>
        <w:jc w:val="center"/>
        <w:rPr>
          <w:b/>
          <w:sz w:val="28"/>
          <w:szCs w:val="28"/>
          <w:lang w:val="en-US"/>
        </w:rPr>
      </w:pPr>
      <w:bookmarkStart w:id="0" w:name="_GoBack"/>
      <w:bookmarkEnd w:id="0"/>
      <w:r w:rsidRPr="00EE357C">
        <w:rPr>
          <w:b/>
          <w:sz w:val="28"/>
          <w:szCs w:val="28"/>
          <w:lang w:val="en-US"/>
        </w:rPr>
        <w:t>On theoretical engorgement and the myth of fair value accounting</w:t>
      </w:r>
      <w:r>
        <w:rPr>
          <w:b/>
          <w:sz w:val="28"/>
          <w:szCs w:val="28"/>
          <w:lang w:val="en-US"/>
        </w:rPr>
        <w:t xml:space="preserve"> in China</w:t>
      </w:r>
    </w:p>
    <w:p w14:paraId="05644B42" w14:textId="77777777" w:rsidR="00C82ADD" w:rsidRDefault="00C82ADD" w:rsidP="00C82ADD">
      <w:pPr>
        <w:rPr>
          <w:rFonts w:ascii="Arial" w:hAnsi="Arial" w:cs="Arial"/>
          <w:b/>
          <w:sz w:val="18"/>
          <w:szCs w:val="18"/>
        </w:rPr>
      </w:pPr>
    </w:p>
    <w:p w14:paraId="73A7E7D5" w14:textId="77777777" w:rsidR="00C82ADD" w:rsidRPr="00C26FAF" w:rsidRDefault="00C82ADD" w:rsidP="00C82ADD">
      <w:pPr>
        <w:rPr>
          <w:rFonts w:ascii="Arial" w:hAnsi="Arial" w:cs="Arial"/>
          <w:b/>
          <w:sz w:val="18"/>
          <w:szCs w:val="18"/>
        </w:rPr>
      </w:pPr>
    </w:p>
    <w:p w14:paraId="0B75D3D0" w14:textId="77777777" w:rsidR="00C82ADD" w:rsidRPr="00C26FAF" w:rsidRDefault="00C82ADD" w:rsidP="00C82ADD">
      <w:pPr>
        <w:rPr>
          <w:rFonts w:ascii="Arial" w:hAnsi="Arial" w:cs="Arial"/>
          <w:b/>
          <w:sz w:val="18"/>
          <w:szCs w:val="18"/>
        </w:rPr>
      </w:pPr>
    </w:p>
    <w:p w14:paraId="424B88BC" w14:textId="77777777" w:rsidR="00C82ADD" w:rsidRPr="00C26FAF" w:rsidRDefault="00C82ADD" w:rsidP="00C82ADD">
      <w:pPr>
        <w:rPr>
          <w:rFonts w:ascii="Arial" w:hAnsi="Arial" w:cs="Arial"/>
          <w:b/>
          <w:sz w:val="18"/>
          <w:szCs w:val="18"/>
        </w:rPr>
      </w:pPr>
      <w:r w:rsidRPr="00C26FAF">
        <w:rPr>
          <w:rFonts w:ascii="Arial" w:hAnsi="Arial" w:cs="Arial"/>
          <w:b/>
          <w:sz w:val="18"/>
          <w:szCs w:val="18"/>
        </w:rPr>
        <w:t>Author Details:</w:t>
      </w:r>
    </w:p>
    <w:p w14:paraId="66C97AA6" w14:textId="77777777" w:rsidR="00C82ADD" w:rsidRPr="00C26FAF" w:rsidRDefault="00C82ADD" w:rsidP="00C82ADD">
      <w:pPr>
        <w:rPr>
          <w:rFonts w:ascii="Arial" w:hAnsi="Arial" w:cs="Arial"/>
          <w:sz w:val="18"/>
          <w:szCs w:val="18"/>
        </w:rPr>
      </w:pPr>
    </w:p>
    <w:p w14:paraId="5A7310CA" w14:textId="77777777" w:rsidR="00C82ADD" w:rsidRDefault="00C82ADD" w:rsidP="00C82ADD">
      <w:pPr>
        <w:rPr>
          <w:rFonts w:ascii="Arial" w:hAnsi="Arial" w:cs="Arial"/>
          <w:sz w:val="18"/>
          <w:szCs w:val="18"/>
        </w:rPr>
      </w:pPr>
      <w:r>
        <w:rPr>
          <w:rFonts w:ascii="Arial" w:hAnsi="Arial" w:cs="Arial"/>
          <w:sz w:val="18"/>
          <w:szCs w:val="18"/>
        </w:rPr>
        <w:t xml:space="preserve">Christopher Nobes </w:t>
      </w:r>
    </w:p>
    <w:p w14:paraId="0B57F119" w14:textId="77777777" w:rsidR="00C82ADD" w:rsidRDefault="00C82ADD" w:rsidP="00C82ADD">
      <w:pPr>
        <w:rPr>
          <w:rFonts w:ascii="Arial" w:hAnsi="Arial" w:cs="Arial"/>
          <w:sz w:val="18"/>
          <w:szCs w:val="18"/>
        </w:rPr>
      </w:pPr>
    </w:p>
    <w:p w14:paraId="47C90C25" w14:textId="77777777" w:rsidR="00C82ADD" w:rsidRPr="00DC7353" w:rsidRDefault="00C82ADD" w:rsidP="00C82ADD">
      <w:pPr>
        <w:autoSpaceDE w:val="0"/>
        <w:autoSpaceDN w:val="0"/>
        <w:adjustRightInd w:val="0"/>
        <w:rPr>
          <w:rFonts w:ascii="AdvOT44ee9141.I" w:hAnsi="AdvOT44ee9141.I" w:cs="AdvOT44ee9141.I"/>
          <w:i/>
          <w:sz w:val="21"/>
          <w:szCs w:val="21"/>
        </w:rPr>
      </w:pPr>
      <w:r w:rsidRPr="00DC7353">
        <w:rPr>
          <w:rFonts w:ascii="AdvOT44ee9141.I" w:hAnsi="AdvOT44ee9141.I" w:cs="AdvOT44ee9141.I"/>
          <w:i/>
          <w:sz w:val="21"/>
          <w:szCs w:val="21"/>
        </w:rPr>
        <w:t>School of Management, Royal Holloway, University of London, London, UK</w:t>
      </w:r>
      <w:r>
        <w:rPr>
          <w:rFonts w:ascii="AdvOT44ee9141.I" w:hAnsi="AdvOT44ee9141.I" w:cs="AdvOT44ee9141.I"/>
          <w:i/>
          <w:sz w:val="21"/>
          <w:szCs w:val="21"/>
        </w:rPr>
        <w:t>;</w:t>
      </w:r>
      <w:r w:rsidRPr="00DC7353">
        <w:rPr>
          <w:rFonts w:ascii="AdvOT44ee9141.I" w:hAnsi="AdvOT44ee9141.I" w:cs="AdvOT44ee9141.I"/>
          <w:i/>
          <w:sz w:val="21"/>
          <w:szCs w:val="21"/>
        </w:rPr>
        <w:t xml:space="preserve"> and</w:t>
      </w:r>
    </w:p>
    <w:p w14:paraId="06E3CCE6" w14:textId="77777777" w:rsidR="00C82ADD" w:rsidRPr="00C26FAF" w:rsidRDefault="00C82ADD" w:rsidP="00C82ADD">
      <w:pPr>
        <w:rPr>
          <w:rFonts w:ascii="Arial" w:hAnsi="Arial" w:cs="Arial"/>
          <w:sz w:val="18"/>
          <w:szCs w:val="18"/>
        </w:rPr>
      </w:pPr>
      <w:r w:rsidRPr="00DC7353">
        <w:rPr>
          <w:rFonts w:ascii="AdvOT44ee9141.I" w:hAnsi="AdvOT44ee9141.I" w:cs="AdvOT44ee9141.I"/>
          <w:i/>
          <w:sz w:val="21"/>
          <w:szCs w:val="21"/>
        </w:rPr>
        <w:t>Business School, University of Sydney, Sydney, Australia</w:t>
      </w:r>
    </w:p>
    <w:p w14:paraId="6C3844C8" w14:textId="77777777" w:rsidR="00C82ADD" w:rsidRPr="00C26FAF" w:rsidRDefault="00C82ADD" w:rsidP="00C82ADD">
      <w:pPr>
        <w:rPr>
          <w:rFonts w:ascii="Arial" w:hAnsi="Arial" w:cs="Arial"/>
          <w:sz w:val="18"/>
          <w:szCs w:val="18"/>
        </w:rPr>
      </w:pPr>
    </w:p>
    <w:p w14:paraId="45B39375" w14:textId="77777777" w:rsidR="00C82ADD" w:rsidRDefault="00C82ADD" w:rsidP="00C82ADD">
      <w:pPr>
        <w:rPr>
          <w:rFonts w:ascii="Arial" w:hAnsi="Arial" w:cs="Arial"/>
          <w:sz w:val="18"/>
          <w:szCs w:val="18"/>
        </w:rPr>
      </w:pPr>
      <w:r w:rsidRPr="00C26FAF">
        <w:rPr>
          <w:rFonts w:ascii="Arial" w:hAnsi="Arial" w:cs="Arial"/>
          <w:sz w:val="18"/>
          <w:szCs w:val="18"/>
        </w:rPr>
        <w:t xml:space="preserve"> Corresponding Autho</w:t>
      </w:r>
      <w:r>
        <w:rPr>
          <w:rFonts w:ascii="Arial" w:hAnsi="Arial" w:cs="Arial"/>
          <w:sz w:val="18"/>
          <w:szCs w:val="18"/>
        </w:rPr>
        <w:t xml:space="preserve">r’s Email: chris.nobes@rhul.ac.uk </w:t>
      </w:r>
    </w:p>
    <w:p w14:paraId="152CD170" w14:textId="77777777" w:rsidR="00C82ADD" w:rsidRDefault="00C82ADD" w:rsidP="00C82ADD">
      <w:pPr>
        <w:rPr>
          <w:rFonts w:ascii="Arial" w:hAnsi="Arial" w:cs="Arial"/>
          <w:sz w:val="18"/>
          <w:szCs w:val="18"/>
        </w:rPr>
      </w:pPr>
    </w:p>
    <w:p w14:paraId="736B78AC" w14:textId="77777777" w:rsidR="00C82ADD" w:rsidRPr="0073438F" w:rsidRDefault="00C82ADD" w:rsidP="00C82ADD">
      <w:pPr>
        <w:rPr>
          <w:rFonts w:ascii="Arial" w:hAnsi="Arial" w:cs="Arial"/>
          <w:i/>
          <w:sz w:val="18"/>
          <w:szCs w:val="18"/>
        </w:rPr>
      </w:pPr>
    </w:p>
    <w:p w14:paraId="7D014728" w14:textId="77777777" w:rsidR="00C82ADD" w:rsidRPr="00C26FAF" w:rsidRDefault="00C82ADD" w:rsidP="00C82ADD">
      <w:pPr>
        <w:rPr>
          <w:rFonts w:ascii="Arial" w:hAnsi="Arial" w:cs="Arial"/>
          <w:sz w:val="18"/>
          <w:szCs w:val="18"/>
        </w:rPr>
      </w:pPr>
    </w:p>
    <w:p w14:paraId="3513C04B" w14:textId="77777777" w:rsidR="00C82ADD" w:rsidRPr="00C26FAF" w:rsidRDefault="00C82ADD" w:rsidP="00C82ADD">
      <w:pPr>
        <w:rPr>
          <w:rFonts w:ascii="Arial" w:hAnsi="Arial" w:cs="Arial"/>
          <w:b/>
          <w:sz w:val="18"/>
          <w:szCs w:val="18"/>
        </w:rPr>
      </w:pPr>
      <w:r w:rsidRPr="00C26FAF">
        <w:rPr>
          <w:rFonts w:ascii="Arial" w:hAnsi="Arial" w:cs="Arial"/>
          <w:b/>
          <w:sz w:val="18"/>
          <w:szCs w:val="18"/>
        </w:rPr>
        <w:t>Acknowledgments:</w:t>
      </w:r>
      <w:r>
        <w:rPr>
          <w:rFonts w:ascii="Arial" w:hAnsi="Arial" w:cs="Arial"/>
          <w:b/>
          <w:sz w:val="18"/>
          <w:szCs w:val="18"/>
        </w:rPr>
        <w:t xml:space="preserve">  </w:t>
      </w:r>
    </w:p>
    <w:p w14:paraId="51C4D357" w14:textId="77777777" w:rsidR="00C82ADD" w:rsidRPr="00C26FAF" w:rsidRDefault="00C82ADD" w:rsidP="00C82ADD">
      <w:pPr>
        <w:rPr>
          <w:rFonts w:ascii="Arial" w:hAnsi="Arial" w:cs="Arial"/>
          <w:sz w:val="18"/>
          <w:szCs w:val="18"/>
        </w:rPr>
      </w:pPr>
    </w:p>
    <w:p w14:paraId="06EC7F22" w14:textId="77777777" w:rsidR="00C82ADD" w:rsidRPr="00784B41" w:rsidRDefault="00C82ADD" w:rsidP="00C82ADD">
      <w:pPr>
        <w:pStyle w:val="ListParagraph"/>
        <w:spacing w:after="0" w:line="240" w:lineRule="auto"/>
        <w:rPr>
          <w:sz w:val="24"/>
          <w:szCs w:val="24"/>
          <w:lang w:val="en-US"/>
        </w:rPr>
      </w:pPr>
      <w:r w:rsidRPr="00784B41">
        <w:rPr>
          <w:sz w:val="24"/>
          <w:szCs w:val="24"/>
          <w:lang w:val="en-US"/>
        </w:rPr>
        <w:t xml:space="preserve">The author is grateful for </w:t>
      </w:r>
      <w:r>
        <w:rPr>
          <w:sz w:val="24"/>
          <w:szCs w:val="24"/>
          <w:lang w:val="en-US"/>
        </w:rPr>
        <w:t xml:space="preserve">encouragement from Lee Parker and for </w:t>
      </w:r>
      <w:r w:rsidRPr="00784B41">
        <w:rPr>
          <w:sz w:val="24"/>
          <w:szCs w:val="24"/>
          <w:lang w:val="en-US"/>
        </w:rPr>
        <w:t xml:space="preserve">assistance from </w:t>
      </w:r>
      <w:r>
        <w:rPr>
          <w:sz w:val="24"/>
          <w:szCs w:val="24"/>
          <w:lang w:val="en-US"/>
        </w:rPr>
        <w:t xml:space="preserve">Kathryn Bewley (Ryerson University), Cameron Graham (York University, Toronto), Yvonne Kam (PwC, Shanghai), James Guthrie (Macquarie University), Tianran Liu (Royal Holloway), Richard Macve (LSE), Jianqiao Lu (IASB), Christopher Napier (Royal Holloway), Songlan Peng (York University, Toronto), Christian Stadler (Royal Holloway), Tim Wang (University of Sydney), Jason Xiao (Cardiff University), </w:t>
      </w:r>
      <w:r w:rsidRPr="00784B41">
        <w:rPr>
          <w:sz w:val="24"/>
          <w:szCs w:val="24"/>
          <w:lang w:val="en-US"/>
        </w:rPr>
        <w:t>Ling Xiao</w:t>
      </w:r>
      <w:r>
        <w:rPr>
          <w:sz w:val="24"/>
          <w:szCs w:val="24"/>
          <w:lang w:val="en-US"/>
        </w:rPr>
        <w:t xml:space="preserve"> (Royal Holloway), Eagle Zhang (University of Sydney), Wei-Guo Zhang (Tsinghua University),</w:t>
      </w:r>
      <w:r w:rsidRPr="00644780">
        <w:rPr>
          <w:sz w:val="24"/>
          <w:szCs w:val="24"/>
          <w:lang w:val="en-US"/>
        </w:rPr>
        <w:t xml:space="preserve"> </w:t>
      </w:r>
      <w:r>
        <w:rPr>
          <w:sz w:val="24"/>
          <w:szCs w:val="24"/>
          <w:lang w:val="en-US"/>
        </w:rPr>
        <w:t>Na Zhao (Royal Holloway),  and two anonymous reviewers</w:t>
      </w:r>
      <w:r w:rsidRPr="00784B41">
        <w:rPr>
          <w:sz w:val="24"/>
          <w:szCs w:val="24"/>
          <w:lang w:val="en-US"/>
        </w:rPr>
        <w:t xml:space="preserve">. </w:t>
      </w:r>
    </w:p>
    <w:p w14:paraId="39D5FC9D" w14:textId="77777777" w:rsidR="00C82ADD" w:rsidRPr="00C26FAF" w:rsidRDefault="00C82ADD" w:rsidP="00C82ADD">
      <w:pPr>
        <w:rPr>
          <w:rFonts w:ascii="Arial" w:hAnsi="Arial" w:cs="Arial"/>
          <w:sz w:val="18"/>
          <w:szCs w:val="18"/>
        </w:rPr>
      </w:pPr>
    </w:p>
    <w:p w14:paraId="6148F4E4" w14:textId="77777777" w:rsidR="00C82ADD" w:rsidRPr="00C26FAF" w:rsidRDefault="00C82ADD" w:rsidP="00C82ADD">
      <w:pPr>
        <w:rPr>
          <w:rFonts w:ascii="Arial" w:hAnsi="Arial" w:cs="Arial"/>
          <w:b/>
          <w:sz w:val="18"/>
          <w:szCs w:val="18"/>
        </w:rPr>
      </w:pPr>
    </w:p>
    <w:p w14:paraId="46E7B135" w14:textId="77777777" w:rsidR="00C82ADD" w:rsidRPr="00C26FAF" w:rsidRDefault="00C82ADD" w:rsidP="00C82ADD">
      <w:pPr>
        <w:rPr>
          <w:rFonts w:ascii="Arial" w:hAnsi="Arial" w:cs="Arial"/>
          <w:b/>
          <w:sz w:val="18"/>
          <w:szCs w:val="18"/>
        </w:rPr>
      </w:pPr>
      <w:r w:rsidRPr="00C26FAF">
        <w:rPr>
          <w:rFonts w:ascii="Arial" w:hAnsi="Arial" w:cs="Arial"/>
          <w:b/>
          <w:sz w:val="18"/>
          <w:szCs w:val="18"/>
        </w:rPr>
        <w:t>Structured Abstract:</w:t>
      </w:r>
      <w:r>
        <w:rPr>
          <w:rFonts w:ascii="Arial" w:hAnsi="Arial" w:cs="Arial"/>
          <w:b/>
          <w:sz w:val="18"/>
          <w:szCs w:val="18"/>
        </w:rPr>
        <w:t xml:space="preserve"> </w:t>
      </w:r>
    </w:p>
    <w:p w14:paraId="41862B0D" w14:textId="77777777" w:rsidR="00C82ADD" w:rsidRPr="00C26FAF" w:rsidRDefault="00C82ADD" w:rsidP="00C82ADD">
      <w:pPr>
        <w:rPr>
          <w:rFonts w:ascii="Arial" w:hAnsi="Arial" w:cs="Arial"/>
          <w:b/>
          <w:sz w:val="18"/>
          <w:szCs w:val="18"/>
        </w:rPr>
      </w:pPr>
    </w:p>
    <w:p w14:paraId="532E61AC" w14:textId="77777777" w:rsidR="00C82ADD" w:rsidRDefault="00C82ADD" w:rsidP="00C82ADD">
      <w:pPr>
        <w:rPr>
          <w:b/>
        </w:rPr>
      </w:pPr>
      <w:r w:rsidRPr="000D4FE1">
        <w:rPr>
          <w:b/>
        </w:rPr>
        <w:t>Purpose</w:t>
      </w:r>
    </w:p>
    <w:p w14:paraId="3565D60E" w14:textId="77777777" w:rsidR="00C82ADD" w:rsidRPr="00110D1C" w:rsidRDefault="00C82ADD" w:rsidP="00C82ADD">
      <w:r>
        <w:t>This paper contains</w:t>
      </w:r>
      <w:r w:rsidRPr="00110D1C">
        <w:t xml:space="preserve"> ‘Comments’ on two previous papers in this journal about fair value in Chinese accounting, and it extends those papers by considering developments since 2006.</w:t>
      </w:r>
    </w:p>
    <w:p w14:paraId="1ED1B75F" w14:textId="77777777" w:rsidR="00C82ADD" w:rsidRDefault="00C82ADD" w:rsidP="00C82ADD">
      <w:pPr>
        <w:rPr>
          <w:b/>
        </w:rPr>
      </w:pPr>
      <w:r w:rsidRPr="000D4FE1">
        <w:rPr>
          <w:b/>
        </w:rPr>
        <w:t>Design/</w:t>
      </w:r>
      <w:r>
        <w:rPr>
          <w:b/>
        </w:rPr>
        <w:t>m</w:t>
      </w:r>
      <w:r w:rsidRPr="000D4FE1">
        <w:rPr>
          <w:b/>
        </w:rPr>
        <w:t>ethodology/approach</w:t>
      </w:r>
    </w:p>
    <w:p w14:paraId="6E747AA5" w14:textId="77777777" w:rsidR="00C82ADD" w:rsidRPr="00110D1C" w:rsidRDefault="00C82ADD" w:rsidP="00C82ADD">
      <w:r w:rsidRPr="00110D1C">
        <w:t>The paper analyses the contents of Chinese accounting standards, dividing the references to fair value into several differen</w:t>
      </w:r>
      <w:r>
        <w:t>t categories. T</w:t>
      </w:r>
      <w:r w:rsidRPr="00110D1C">
        <w:t xml:space="preserve">his analysis </w:t>
      </w:r>
      <w:r>
        <w:t xml:space="preserve">is compared </w:t>
      </w:r>
      <w:r w:rsidRPr="00110D1C">
        <w:t xml:space="preserve">to the findings of the two previous papers. The paper </w:t>
      </w:r>
      <w:r>
        <w:t xml:space="preserve">then </w:t>
      </w:r>
      <w:r w:rsidRPr="00110D1C">
        <w:t>re-as</w:t>
      </w:r>
      <w:r>
        <w:t xml:space="preserve">sesses the evidence about </w:t>
      </w:r>
      <w:r w:rsidRPr="00110D1C">
        <w:t>the alleged pressures from international institutions on China.</w:t>
      </w:r>
    </w:p>
    <w:p w14:paraId="0592028F" w14:textId="77777777" w:rsidR="00C82ADD" w:rsidRDefault="00C82ADD" w:rsidP="00C82ADD">
      <w:pPr>
        <w:rPr>
          <w:b/>
        </w:rPr>
      </w:pPr>
      <w:r w:rsidRPr="000D4FE1">
        <w:rPr>
          <w:b/>
        </w:rPr>
        <w:lastRenderedPageBreak/>
        <w:t>Findings</w:t>
      </w:r>
    </w:p>
    <w:p w14:paraId="4D78C9BE" w14:textId="77777777" w:rsidR="00C82ADD" w:rsidRPr="00110D1C" w:rsidRDefault="00C82ADD" w:rsidP="00C82ADD">
      <w:r>
        <w:t>The two previous papers greatly overstate</w:t>
      </w:r>
      <w:r w:rsidRPr="00110D1C">
        <w:t xml:space="preserve"> the importance of fair value in Chinese accounti</w:t>
      </w:r>
      <w:r>
        <w:t xml:space="preserve">ng, partly through misinterpreting </w:t>
      </w:r>
      <w:r w:rsidRPr="00110D1C">
        <w:t>Chinese standards and p</w:t>
      </w:r>
      <w:r>
        <w:t>artly because of a lack of caveat</w:t>
      </w:r>
      <w:r w:rsidRPr="00110D1C">
        <w:t xml:space="preserve"> that instructions about fair value often relate to </w:t>
      </w:r>
      <w:r>
        <w:t>special circumstances</w:t>
      </w:r>
      <w:r w:rsidRPr="005B4B0E">
        <w:t xml:space="preserve"> </w:t>
      </w:r>
      <w:r>
        <w:t xml:space="preserve">or </w:t>
      </w:r>
      <w:r w:rsidRPr="00110D1C">
        <w:t>un</w:t>
      </w:r>
      <w:r>
        <w:t xml:space="preserve">usual companies. </w:t>
      </w:r>
      <w:r w:rsidRPr="009D2C63">
        <w:t>The theorising about Chinese enthusiasm for fair value is misguided: I suggest that China became keen to adopt international standards despite their use of fair value not because of it, and that China removed much of the fair value when it adapted international standards.</w:t>
      </w:r>
      <w:r>
        <w:t xml:space="preserve"> My e</w:t>
      </w:r>
      <w:r w:rsidRPr="00110D1C">
        <w:t>xtension of the analysis beyond 2006 provides a fuller coverage but does not alter the co</w:t>
      </w:r>
      <w:r>
        <w:t>nclusions.</w:t>
      </w:r>
    </w:p>
    <w:p w14:paraId="2DE054CB" w14:textId="77777777" w:rsidR="00C82ADD" w:rsidRDefault="00C82ADD" w:rsidP="00C82ADD">
      <w:pPr>
        <w:rPr>
          <w:b/>
        </w:rPr>
      </w:pPr>
      <w:r w:rsidRPr="000D4FE1">
        <w:rPr>
          <w:b/>
        </w:rPr>
        <w:t>Research implications</w:t>
      </w:r>
    </w:p>
    <w:p w14:paraId="1221B043" w14:textId="77777777" w:rsidR="00C82ADD" w:rsidRPr="00110D1C" w:rsidRDefault="00C82ADD" w:rsidP="00C82ADD">
      <w:r w:rsidRPr="00110D1C">
        <w:t xml:space="preserve">The earlier </w:t>
      </w:r>
      <w:r>
        <w:t xml:space="preserve">of the two papers examined </w:t>
      </w:r>
      <w:r w:rsidRPr="00110D1C">
        <w:t>has been extensively cited. Researchers need to be warned that the technical content and the conclusions of both papers are questionable.</w:t>
      </w:r>
      <w:r w:rsidRPr="00BF03DA">
        <w:t xml:space="preserve"> Authors should define terms clearly and should provide sufficient reference detail to enable readers to check findings.</w:t>
      </w:r>
    </w:p>
    <w:p w14:paraId="3173BCE1" w14:textId="77777777" w:rsidR="00C82ADD" w:rsidRDefault="00C82ADD" w:rsidP="00C82ADD">
      <w:pPr>
        <w:rPr>
          <w:b/>
        </w:rPr>
      </w:pPr>
      <w:r w:rsidRPr="000D4FE1">
        <w:rPr>
          <w:b/>
        </w:rPr>
        <w:t>Practical implications</w:t>
      </w:r>
    </w:p>
    <w:p w14:paraId="4021C29A" w14:textId="77777777" w:rsidR="00C82ADD" w:rsidRPr="00110D1C" w:rsidRDefault="00C82ADD" w:rsidP="00C82ADD">
      <w:r w:rsidRPr="00110D1C">
        <w:t xml:space="preserve">Multinational companies, auditors and financial analysts should not be misled into thinking that Chinese accounting makes extensive use of fair value accounting. </w:t>
      </w:r>
    </w:p>
    <w:p w14:paraId="6A3376FE" w14:textId="77777777" w:rsidR="00C82ADD" w:rsidRPr="000D4FE1" w:rsidRDefault="00C82ADD" w:rsidP="00C82ADD">
      <w:pPr>
        <w:rPr>
          <w:b/>
        </w:rPr>
      </w:pPr>
      <w:r w:rsidRPr="000D4FE1">
        <w:rPr>
          <w:b/>
        </w:rPr>
        <w:t>Originality value</w:t>
      </w:r>
    </w:p>
    <w:p w14:paraId="5368E170" w14:textId="77777777" w:rsidR="00C82ADD" w:rsidRDefault="00C82ADD" w:rsidP="00C82ADD">
      <w:r>
        <w:t>This paper critically re-assesses two previous papers, starting with detailed technical data and moving through to the influence of international institutions. This paper also newly extends the analysis of Chinese standards beyond 2006.</w:t>
      </w:r>
    </w:p>
    <w:p w14:paraId="799D667E" w14:textId="77777777" w:rsidR="00C82ADD" w:rsidRDefault="00C82ADD" w:rsidP="00C82ADD"/>
    <w:p w14:paraId="2671E3B0" w14:textId="77777777" w:rsidR="00C82ADD" w:rsidRPr="00C26FAF" w:rsidRDefault="00C82ADD" w:rsidP="00C82ADD">
      <w:pPr>
        <w:rPr>
          <w:rFonts w:ascii="Arial" w:hAnsi="Arial" w:cs="Arial"/>
          <w:b/>
          <w:sz w:val="18"/>
          <w:szCs w:val="18"/>
        </w:rPr>
      </w:pPr>
    </w:p>
    <w:p w14:paraId="7A38B0C6" w14:textId="77777777" w:rsidR="00C82ADD" w:rsidRPr="00C26FAF" w:rsidRDefault="00C82ADD" w:rsidP="00C82ADD">
      <w:pPr>
        <w:rPr>
          <w:rFonts w:ascii="Arial" w:hAnsi="Arial" w:cs="Arial"/>
          <w:b/>
          <w:sz w:val="18"/>
          <w:szCs w:val="18"/>
        </w:rPr>
      </w:pPr>
    </w:p>
    <w:p w14:paraId="6BE293F6" w14:textId="77777777" w:rsidR="00C82ADD" w:rsidRPr="00BF283A" w:rsidRDefault="00C82ADD" w:rsidP="00C82ADD">
      <w:r w:rsidRPr="00C26FAF">
        <w:rPr>
          <w:rFonts w:ascii="Arial" w:hAnsi="Arial" w:cs="Arial"/>
          <w:b/>
          <w:sz w:val="18"/>
          <w:szCs w:val="18"/>
        </w:rPr>
        <w:t>Keywords:</w:t>
      </w:r>
      <w:r>
        <w:rPr>
          <w:rFonts w:ascii="Arial" w:hAnsi="Arial" w:cs="Arial"/>
          <w:b/>
          <w:sz w:val="18"/>
          <w:szCs w:val="18"/>
        </w:rPr>
        <w:t xml:space="preserve"> </w:t>
      </w:r>
      <w:r>
        <w:t>China, fair value, accounting standards</w:t>
      </w:r>
    </w:p>
    <w:p w14:paraId="6E534444" w14:textId="77777777" w:rsidR="00C82ADD" w:rsidRPr="00C26FAF" w:rsidRDefault="00C82ADD" w:rsidP="00C82ADD">
      <w:pPr>
        <w:rPr>
          <w:rFonts w:ascii="Arial" w:hAnsi="Arial" w:cs="Arial"/>
          <w:b/>
          <w:sz w:val="18"/>
          <w:szCs w:val="18"/>
        </w:rPr>
      </w:pPr>
    </w:p>
    <w:p w14:paraId="0B6EE74F" w14:textId="77777777" w:rsidR="00C82ADD" w:rsidRPr="00C26FAF" w:rsidRDefault="00C82ADD" w:rsidP="00C82ADD">
      <w:pPr>
        <w:rPr>
          <w:rFonts w:ascii="Arial" w:hAnsi="Arial" w:cs="Arial"/>
          <w:b/>
          <w:sz w:val="18"/>
          <w:szCs w:val="18"/>
        </w:rPr>
      </w:pPr>
    </w:p>
    <w:p w14:paraId="38AC65E4" w14:textId="77777777" w:rsidR="00C82ADD" w:rsidRPr="00C26FAF" w:rsidRDefault="00C82ADD" w:rsidP="00C82ADD">
      <w:pPr>
        <w:rPr>
          <w:rFonts w:ascii="Arial" w:hAnsi="Arial" w:cs="Arial"/>
          <w:b/>
          <w:sz w:val="18"/>
          <w:szCs w:val="18"/>
        </w:rPr>
      </w:pPr>
    </w:p>
    <w:p w14:paraId="48CDAB67" w14:textId="77777777" w:rsidR="00C82ADD" w:rsidRPr="00C26FAF" w:rsidRDefault="00C82ADD" w:rsidP="00C82ADD">
      <w:pPr>
        <w:rPr>
          <w:rFonts w:ascii="Arial" w:hAnsi="Arial" w:cs="Arial"/>
          <w:b/>
          <w:sz w:val="18"/>
          <w:szCs w:val="18"/>
        </w:rPr>
      </w:pPr>
      <w:r w:rsidRPr="00C26FAF">
        <w:rPr>
          <w:rFonts w:ascii="Arial" w:hAnsi="Arial" w:cs="Arial"/>
          <w:b/>
          <w:sz w:val="18"/>
          <w:szCs w:val="18"/>
        </w:rPr>
        <w:t>Article Classification:</w:t>
      </w:r>
      <w:r>
        <w:rPr>
          <w:rFonts w:ascii="Arial" w:hAnsi="Arial" w:cs="Arial"/>
          <w:b/>
          <w:sz w:val="18"/>
          <w:szCs w:val="18"/>
        </w:rPr>
        <w:t xml:space="preserve"> Research Comment</w:t>
      </w:r>
    </w:p>
    <w:p w14:paraId="15356483" w14:textId="77777777" w:rsidR="00C82ADD" w:rsidRPr="00C26FAF" w:rsidRDefault="00C82ADD" w:rsidP="00C82ADD">
      <w:pPr>
        <w:rPr>
          <w:rFonts w:ascii="Arial" w:hAnsi="Arial" w:cs="Arial"/>
          <w:b/>
          <w:sz w:val="18"/>
          <w:szCs w:val="18"/>
        </w:rPr>
      </w:pPr>
    </w:p>
    <w:p w14:paraId="3C5DC41E" w14:textId="77777777" w:rsidR="00C82ADD" w:rsidRPr="00C26FAF" w:rsidRDefault="00C82ADD" w:rsidP="00C82ADD">
      <w:pPr>
        <w:rPr>
          <w:rFonts w:ascii="Arial" w:hAnsi="Arial" w:cs="Arial"/>
          <w:b/>
          <w:sz w:val="18"/>
          <w:szCs w:val="18"/>
        </w:rPr>
      </w:pPr>
    </w:p>
    <w:p w14:paraId="74397428" w14:textId="77777777" w:rsidR="00C82ADD" w:rsidRPr="00C26FAF" w:rsidRDefault="00C82ADD" w:rsidP="00C82ADD">
      <w:pPr>
        <w:rPr>
          <w:rFonts w:ascii="Arial" w:hAnsi="Arial" w:cs="Arial"/>
          <w:b/>
          <w:sz w:val="18"/>
          <w:szCs w:val="18"/>
        </w:rPr>
      </w:pPr>
    </w:p>
    <w:p w14:paraId="5B2A2AC0" w14:textId="77777777" w:rsidR="00C82ADD" w:rsidRPr="00C26FAF" w:rsidRDefault="00C82ADD" w:rsidP="00C82ADD">
      <w:pPr>
        <w:pBdr>
          <w:bottom w:val="single" w:sz="6" w:space="1" w:color="auto"/>
        </w:pBdr>
        <w:rPr>
          <w:rFonts w:ascii="Arial" w:hAnsi="Arial" w:cs="Arial"/>
          <w:b/>
          <w:sz w:val="18"/>
          <w:szCs w:val="18"/>
        </w:rPr>
      </w:pPr>
    </w:p>
    <w:p w14:paraId="7BB6EA47" w14:textId="77777777" w:rsidR="00C82ADD" w:rsidRPr="00C26FAF" w:rsidRDefault="00C82ADD" w:rsidP="00C82ADD">
      <w:pPr>
        <w:rPr>
          <w:rFonts w:ascii="Arial" w:hAnsi="Arial" w:cs="Arial"/>
          <w:i/>
          <w:sz w:val="18"/>
          <w:szCs w:val="18"/>
        </w:rPr>
      </w:pPr>
      <w:r w:rsidRPr="00C26FAF">
        <w:rPr>
          <w:rFonts w:ascii="Arial" w:hAnsi="Arial" w:cs="Arial"/>
          <w:i/>
          <w:sz w:val="18"/>
          <w:szCs w:val="18"/>
        </w:rPr>
        <w:t xml:space="preserve">For internal </w:t>
      </w:r>
      <w:r>
        <w:rPr>
          <w:rFonts w:ascii="Arial" w:hAnsi="Arial" w:cs="Arial"/>
          <w:i/>
          <w:sz w:val="18"/>
          <w:szCs w:val="18"/>
        </w:rPr>
        <w:t xml:space="preserve">production </w:t>
      </w:r>
      <w:r w:rsidRPr="00C26FAF">
        <w:rPr>
          <w:rFonts w:ascii="Arial" w:hAnsi="Arial" w:cs="Arial"/>
          <w:i/>
          <w:sz w:val="18"/>
          <w:szCs w:val="18"/>
        </w:rPr>
        <w:t>use only</w:t>
      </w:r>
    </w:p>
    <w:p w14:paraId="3346A087" w14:textId="77777777" w:rsidR="00C82ADD" w:rsidRPr="00C26FAF" w:rsidRDefault="00C82ADD" w:rsidP="00C82ADD">
      <w:pPr>
        <w:rPr>
          <w:rFonts w:ascii="Arial" w:hAnsi="Arial" w:cs="Arial"/>
          <w:sz w:val="18"/>
          <w:szCs w:val="18"/>
        </w:rPr>
      </w:pPr>
    </w:p>
    <w:p w14:paraId="378922E6" w14:textId="77777777" w:rsidR="00C82ADD" w:rsidRPr="00C26FAF" w:rsidRDefault="00C82ADD" w:rsidP="00C82ADD">
      <w:pPr>
        <w:rPr>
          <w:rFonts w:ascii="Arial" w:hAnsi="Arial" w:cs="Arial"/>
          <w:b/>
          <w:sz w:val="18"/>
          <w:szCs w:val="18"/>
        </w:rPr>
      </w:pPr>
      <w:r w:rsidRPr="00C26FAF">
        <w:rPr>
          <w:rFonts w:ascii="Arial" w:hAnsi="Arial" w:cs="Arial"/>
          <w:b/>
          <w:sz w:val="18"/>
          <w:szCs w:val="18"/>
        </w:rPr>
        <w:t>Running Heads:</w:t>
      </w:r>
    </w:p>
    <w:p w14:paraId="230CB2D0" w14:textId="77777777" w:rsidR="00C82ADD" w:rsidRPr="00345623" w:rsidRDefault="00C82ADD" w:rsidP="00C82ADD"/>
    <w:p w14:paraId="3934A690" w14:textId="77777777" w:rsidR="00C82ADD" w:rsidRDefault="00C82ADD" w:rsidP="004A74A9">
      <w:pPr>
        <w:spacing w:after="0" w:line="480" w:lineRule="auto"/>
        <w:rPr>
          <w:b/>
          <w:sz w:val="28"/>
          <w:szCs w:val="28"/>
          <w:lang w:val="en-US"/>
        </w:rPr>
      </w:pPr>
    </w:p>
    <w:p w14:paraId="44C41867" w14:textId="3627EB80" w:rsidR="00F37906" w:rsidRPr="00EE357C" w:rsidRDefault="00392C78" w:rsidP="004A74A9">
      <w:pPr>
        <w:spacing w:after="0" w:line="480" w:lineRule="auto"/>
        <w:rPr>
          <w:b/>
          <w:sz w:val="28"/>
          <w:szCs w:val="28"/>
          <w:lang w:val="en-US"/>
        </w:rPr>
      </w:pPr>
      <w:r w:rsidRPr="00EE357C">
        <w:rPr>
          <w:b/>
          <w:sz w:val="28"/>
          <w:szCs w:val="28"/>
          <w:lang w:val="en-US"/>
        </w:rPr>
        <w:lastRenderedPageBreak/>
        <w:t>On theoretical engorgement and the myth of fair value accounting</w:t>
      </w:r>
      <w:r w:rsidR="00E36F39">
        <w:rPr>
          <w:b/>
          <w:sz w:val="28"/>
          <w:szCs w:val="28"/>
          <w:lang w:val="en-US"/>
        </w:rPr>
        <w:t xml:space="preserve"> in China</w:t>
      </w:r>
    </w:p>
    <w:p w14:paraId="4FD8244A" w14:textId="3F3F1223" w:rsidR="00392C78" w:rsidRDefault="00392C78" w:rsidP="00392C78">
      <w:pPr>
        <w:spacing w:after="0" w:line="480" w:lineRule="auto"/>
        <w:rPr>
          <w:b/>
        </w:rPr>
      </w:pPr>
      <w:r>
        <w:rPr>
          <w:b/>
        </w:rPr>
        <w:t>1.  Introduction</w:t>
      </w:r>
    </w:p>
    <w:p w14:paraId="71A79763" w14:textId="332853E7" w:rsidR="00392C78" w:rsidRDefault="00392C78" w:rsidP="00AA52A6">
      <w:pPr>
        <w:spacing w:after="0" w:line="240" w:lineRule="auto"/>
      </w:pPr>
      <w:r>
        <w:tab/>
        <w:t>Guthrie and Parker (2017, p.</w:t>
      </w:r>
      <w:r w:rsidR="00A63284">
        <w:t xml:space="preserve"> </w:t>
      </w:r>
      <w:r>
        <w:t>9) confront the “theoretical engorgement” which they detect in attempts by some authors t</w:t>
      </w:r>
      <w:r w:rsidR="00880095">
        <w:t>o explain accounting phenomena.</w:t>
      </w:r>
      <w:r>
        <w:t xml:space="preserve"> </w:t>
      </w:r>
      <w:r w:rsidR="00FB3048">
        <w:t xml:space="preserve">They worry </w:t>
      </w:r>
      <w:r w:rsidR="00A63284">
        <w:t>(</w:t>
      </w:r>
      <w:r w:rsidR="00FB3048">
        <w:t>p.</w:t>
      </w:r>
      <w:r w:rsidR="00A63284">
        <w:t xml:space="preserve"> </w:t>
      </w:r>
      <w:r w:rsidR="00FB3048">
        <w:t xml:space="preserve">11) that the concentration on theory by some authors amounts to goal displacement or window dressing, such that a paper’s subject matter and empirics are buried. </w:t>
      </w:r>
      <w:r w:rsidR="00880095">
        <w:t>I go one stage further</w:t>
      </w:r>
      <w:r w:rsidR="00601884">
        <w:t xml:space="preserve"> here</w:t>
      </w:r>
      <w:r w:rsidR="00880095">
        <w:t>:</w:t>
      </w:r>
      <w:r>
        <w:t xml:space="preserve"> </w:t>
      </w:r>
      <w:r w:rsidR="00601884">
        <w:t>I identify a case where</w:t>
      </w:r>
      <w:r>
        <w:t xml:space="preserve"> extensive theorisation </w:t>
      </w:r>
      <w:r w:rsidR="00601884">
        <w:t>has been</w:t>
      </w:r>
      <w:r>
        <w:t xml:space="preserve"> used to explain a phenomenon which</w:t>
      </w:r>
      <w:r w:rsidR="00601884">
        <w:t xml:space="preserve"> (I will argue)</w:t>
      </w:r>
      <w:r w:rsidR="003F2B41">
        <w:t xml:space="preserve"> does not </w:t>
      </w:r>
      <w:r>
        <w:t>exist.</w:t>
      </w:r>
    </w:p>
    <w:p w14:paraId="66FD6BB4" w14:textId="50439835" w:rsidR="00D7521F" w:rsidRDefault="00392C78" w:rsidP="00AA52A6">
      <w:pPr>
        <w:spacing w:after="0" w:line="240" w:lineRule="auto"/>
        <w:ind w:firstLine="720"/>
      </w:pPr>
      <w:r>
        <w:t xml:space="preserve">A common subject of academic papers is </w:t>
      </w:r>
      <w:r w:rsidR="00880095">
        <w:t xml:space="preserve">“fair value accounting” (FVA). </w:t>
      </w:r>
      <w:r w:rsidR="004E03E7">
        <w:t>In addition to many</w:t>
      </w:r>
      <w:r>
        <w:t xml:space="preserve"> empirical papers about </w:t>
      </w:r>
      <w:r w:rsidR="000B2C58">
        <w:t xml:space="preserve">the </w:t>
      </w:r>
      <w:r w:rsidR="00D03EB3">
        <w:t xml:space="preserve">economic </w:t>
      </w:r>
      <w:r w:rsidR="000B2C58">
        <w:t xml:space="preserve">effects of </w:t>
      </w:r>
      <w:r w:rsidR="004E03E7">
        <w:t>FVA, there are also</w:t>
      </w:r>
      <w:r>
        <w:t xml:space="preserve"> conceptual papers designed to explain its onset</w:t>
      </w:r>
      <w:r w:rsidR="00EE357C">
        <w:t xml:space="preserve"> or opposition to it</w:t>
      </w:r>
      <w:r>
        <w:t xml:space="preserve"> (e.g. Beng</w:t>
      </w:r>
      <w:r w:rsidR="00880095">
        <w:t xml:space="preserve">tsson, 2011; </w:t>
      </w:r>
      <w:r>
        <w:t xml:space="preserve">Power, </w:t>
      </w:r>
      <w:r w:rsidR="003B4179">
        <w:t>2010</w:t>
      </w:r>
      <w:r w:rsidR="00880095">
        <w:t xml:space="preserve">). </w:t>
      </w:r>
      <w:r w:rsidR="000B2C58">
        <w:t>Such</w:t>
      </w:r>
      <w:r>
        <w:t xml:space="preserve"> papers are seldom precise about </w:t>
      </w:r>
      <w:r w:rsidR="00EE357C">
        <w:t>whether or how FVA</w:t>
      </w:r>
      <w:r w:rsidR="00880095">
        <w:t xml:space="preserve"> is applied beyond financial assets. </w:t>
      </w:r>
      <w:r w:rsidR="000F3121">
        <w:t xml:space="preserve">However, </w:t>
      </w:r>
      <w:r w:rsidR="00D03EB3">
        <w:t>in this journal</w:t>
      </w:r>
      <w:r w:rsidR="00A226B1">
        <w:t>,</w:t>
      </w:r>
      <w:r w:rsidR="00037450" w:rsidRPr="00037450">
        <w:t xml:space="preserve"> </w:t>
      </w:r>
      <w:r w:rsidR="00037450">
        <w:t>Peng and Bewley (2010; hereafter PB) and</w:t>
      </w:r>
      <w:r w:rsidR="00D03EB3">
        <w:t xml:space="preserve"> </w:t>
      </w:r>
      <w:r w:rsidR="00EE357C">
        <w:t>Bewley, Graham and Peng (</w:t>
      </w:r>
      <w:r>
        <w:t>2018; hereafter BGP)</w:t>
      </w:r>
      <w:r w:rsidR="0068502B" w:rsidRPr="0068502B">
        <w:t xml:space="preserve"> </w:t>
      </w:r>
      <w:r w:rsidR="009F5E4E">
        <w:t>deal with</w:t>
      </w:r>
      <w:r w:rsidR="000F3121">
        <w:t xml:space="preserve"> the full range of </w:t>
      </w:r>
      <w:r w:rsidR="009D4CAB">
        <w:t>accounting</w:t>
      </w:r>
      <w:r w:rsidR="000F3121">
        <w:t xml:space="preserve"> standards</w:t>
      </w:r>
      <w:r w:rsidR="009D4CAB">
        <w:t xml:space="preserve"> in the context of China</w:t>
      </w:r>
      <w:r>
        <w:t>.</w:t>
      </w:r>
      <w:r w:rsidR="000F3121">
        <w:t xml:space="preserve"> </w:t>
      </w:r>
      <w:r w:rsidR="00753B68">
        <w:t>PB</w:t>
      </w:r>
      <w:r w:rsidR="00D7521F">
        <w:t xml:space="preserve"> claim that, of the 38 Chinese standards issued in 2006:</w:t>
      </w:r>
    </w:p>
    <w:p w14:paraId="2319CE2E" w14:textId="77777777" w:rsidR="00D7521F" w:rsidRPr="003F2B41" w:rsidRDefault="00D7521F" w:rsidP="00AA52A6">
      <w:pPr>
        <w:autoSpaceDE w:val="0"/>
        <w:autoSpaceDN w:val="0"/>
        <w:adjustRightInd w:val="0"/>
        <w:spacing w:after="0" w:line="240" w:lineRule="auto"/>
        <w:ind w:left="720"/>
        <w:rPr>
          <w:rFonts w:cstheme="minorHAnsi"/>
          <w:sz w:val="20"/>
          <w:szCs w:val="20"/>
        </w:rPr>
      </w:pPr>
      <w:r w:rsidRPr="003F2B41">
        <w:rPr>
          <w:rFonts w:cstheme="minorHAnsi"/>
          <w:sz w:val="20"/>
          <w:szCs w:val="20"/>
        </w:rPr>
        <w:t>…. 25 require or allow the direct or indirect use of fair value. Of these 25, 17 require the use of fair value in the initial measurement of assets and liabilities, eight require its use in subsequent measurement of assets and liabilities, 11 require it in asset impairment testing, and 17 require it in other uses such as disclosure of fair value in accounting measurements and financial reporting, and allocation of lump-sum cost … (p. 988)</w:t>
      </w:r>
    </w:p>
    <w:p w14:paraId="300782DE" w14:textId="77777777" w:rsidR="00D7521F" w:rsidRPr="00D7521F" w:rsidRDefault="00D7521F" w:rsidP="00AA52A6">
      <w:pPr>
        <w:autoSpaceDE w:val="0"/>
        <w:autoSpaceDN w:val="0"/>
        <w:adjustRightInd w:val="0"/>
        <w:spacing w:after="0" w:line="240" w:lineRule="auto"/>
        <w:ind w:left="720"/>
        <w:rPr>
          <w:rFonts w:cstheme="minorHAnsi"/>
          <w:sz w:val="20"/>
          <w:szCs w:val="20"/>
        </w:rPr>
      </w:pPr>
    </w:p>
    <w:p w14:paraId="195D028B" w14:textId="4DD0D81C" w:rsidR="00D7521F" w:rsidRDefault="00D7521F" w:rsidP="00AA52A6">
      <w:pPr>
        <w:autoSpaceDE w:val="0"/>
        <w:autoSpaceDN w:val="0"/>
        <w:adjustRightInd w:val="0"/>
        <w:spacing w:after="0" w:line="240" w:lineRule="auto"/>
      </w:pPr>
      <w:r w:rsidRPr="00D7521F">
        <w:rPr>
          <w:rFonts w:cstheme="minorHAnsi"/>
        </w:rPr>
        <w:t>This helpfully distinguishes betwee</w:t>
      </w:r>
      <w:r w:rsidR="000F3121">
        <w:rPr>
          <w:rFonts w:cstheme="minorHAnsi"/>
        </w:rPr>
        <w:t xml:space="preserve">n different uses of fair value, but </w:t>
      </w:r>
      <w:r>
        <w:rPr>
          <w:rFonts w:cstheme="minorHAnsi"/>
        </w:rPr>
        <w:t xml:space="preserve">I will show that </w:t>
      </w:r>
      <w:r w:rsidR="00404DE9">
        <w:rPr>
          <w:rFonts w:cstheme="minorHAnsi"/>
        </w:rPr>
        <w:t>it</w:t>
      </w:r>
      <w:r w:rsidR="003B1F0C">
        <w:rPr>
          <w:rFonts w:cstheme="minorHAnsi"/>
        </w:rPr>
        <w:t xml:space="preserve"> </w:t>
      </w:r>
      <w:r>
        <w:rPr>
          <w:rFonts w:cstheme="minorHAnsi"/>
        </w:rPr>
        <w:t xml:space="preserve">greatly </w:t>
      </w:r>
      <w:r w:rsidR="003F3A0C">
        <w:rPr>
          <w:rFonts w:cstheme="minorHAnsi"/>
        </w:rPr>
        <w:t>overst</w:t>
      </w:r>
      <w:r>
        <w:rPr>
          <w:rFonts w:cstheme="minorHAnsi"/>
        </w:rPr>
        <w:t>ate</w:t>
      </w:r>
      <w:r w:rsidR="00404DE9">
        <w:rPr>
          <w:rFonts w:cstheme="minorHAnsi"/>
        </w:rPr>
        <w:t>s</w:t>
      </w:r>
      <w:r w:rsidRPr="00D7521F">
        <w:rPr>
          <w:rFonts w:cstheme="minorHAnsi"/>
        </w:rPr>
        <w:t xml:space="preserve"> the amount of fair value </w:t>
      </w:r>
      <w:r w:rsidR="009D4CAB">
        <w:rPr>
          <w:rFonts w:cstheme="minorHAnsi"/>
        </w:rPr>
        <w:t xml:space="preserve">measurement </w:t>
      </w:r>
      <w:r w:rsidRPr="00D7521F">
        <w:rPr>
          <w:rFonts w:cstheme="minorHAnsi"/>
        </w:rPr>
        <w:t xml:space="preserve">required </w:t>
      </w:r>
      <w:r w:rsidR="00F4244F">
        <w:rPr>
          <w:rFonts w:cstheme="minorHAnsi"/>
        </w:rPr>
        <w:t>in</w:t>
      </w:r>
      <w:r w:rsidR="00C7722B">
        <w:rPr>
          <w:rFonts w:cstheme="minorHAnsi"/>
        </w:rPr>
        <w:t xml:space="preserve"> these various</w:t>
      </w:r>
      <w:r w:rsidR="00F4244F">
        <w:rPr>
          <w:rFonts w:cstheme="minorHAnsi"/>
        </w:rPr>
        <w:t xml:space="preserve"> categories</w:t>
      </w:r>
      <w:r w:rsidRPr="00D7521F">
        <w:rPr>
          <w:rFonts w:cstheme="minorHAnsi"/>
        </w:rPr>
        <w:t>.</w:t>
      </w:r>
      <w:r w:rsidR="00643581">
        <w:rPr>
          <w:rFonts w:cstheme="minorHAnsi"/>
        </w:rPr>
        <w:t xml:space="preserve"> </w:t>
      </w:r>
      <w:r w:rsidR="00055754">
        <w:t>This</w:t>
      </w:r>
      <w:r>
        <w:t xml:space="preserve"> matter</w:t>
      </w:r>
      <w:r w:rsidR="00055754">
        <w:t>s</w:t>
      </w:r>
      <w:r>
        <w:t xml:space="preserve"> because</w:t>
      </w:r>
      <w:r w:rsidR="006B3E43">
        <w:t xml:space="preserve"> PB </w:t>
      </w:r>
      <w:r w:rsidR="004E03E7">
        <w:t>has been</w:t>
      </w:r>
      <w:r>
        <w:t xml:space="preserve"> frequently cited.</w:t>
      </w:r>
      <w:r>
        <w:rPr>
          <w:rStyle w:val="FootnoteReference"/>
        </w:rPr>
        <w:footnoteReference w:id="1"/>
      </w:r>
      <w:r>
        <w:t xml:space="preserve"> For example, Ho, Liao and Taylor (2015, p. 302), as </w:t>
      </w:r>
      <w:r w:rsidR="00033253">
        <w:t xml:space="preserve">part of setting up hypotheses, </w:t>
      </w:r>
      <w:r w:rsidR="00055754">
        <w:t>misquote</w:t>
      </w:r>
      <w:r w:rsidR="006B3E43">
        <w:t xml:space="preserve"> PB</w:t>
      </w:r>
      <w:r w:rsidR="00055754">
        <w:t xml:space="preserve"> as stating that</w:t>
      </w:r>
      <w:r>
        <w:t xml:space="preserve"> “25 of 38 new standards require or allow companies to use fair value accounting”</w:t>
      </w:r>
      <w:r w:rsidR="00946765">
        <w:t xml:space="preserve"> </w:t>
      </w:r>
      <w:r w:rsidR="00055754">
        <w:t>rather than</w:t>
      </w:r>
      <w:r w:rsidR="002553A3">
        <w:t xml:space="preserve"> </w:t>
      </w:r>
      <w:r w:rsidR="00FC23C0">
        <w:t xml:space="preserve">that </w:t>
      </w:r>
      <w:r w:rsidR="002553A3">
        <w:t>the standards</w:t>
      </w:r>
      <w:r w:rsidR="00055754">
        <w:t xml:space="preserve"> </w:t>
      </w:r>
      <w:r w:rsidR="00A226B1">
        <w:t>involv</w:t>
      </w:r>
      <w:r w:rsidR="00FC23C0">
        <w:t>e</w:t>
      </w:r>
      <w:r w:rsidR="00A226B1">
        <w:t xml:space="preserve"> </w:t>
      </w:r>
      <w:r w:rsidR="00055754">
        <w:t>a mixture of uses of fair value</w:t>
      </w:r>
      <w:r w:rsidR="00946765">
        <w:t>.</w:t>
      </w:r>
      <w:r>
        <w:t xml:space="preserve"> </w:t>
      </w:r>
      <w:r w:rsidR="00946765">
        <w:t xml:space="preserve">This </w:t>
      </w:r>
      <w:r w:rsidR="004E03E7">
        <w:t xml:space="preserve">misquotation </w:t>
      </w:r>
      <w:r w:rsidR="00055754">
        <w:t xml:space="preserve">is not surprising, </w:t>
      </w:r>
      <w:r w:rsidR="00EF7B85">
        <w:t>because there is no</w:t>
      </w:r>
      <w:r w:rsidR="00055754">
        <w:t xml:space="preserve"> definition of FVA</w:t>
      </w:r>
      <w:r w:rsidR="001F31DD">
        <w:t xml:space="preserve"> in PB</w:t>
      </w:r>
      <w:r w:rsidR="00055754">
        <w:t xml:space="preserve">. </w:t>
      </w:r>
      <w:r>
        <w:t>Habib (2015, p. 3) quotes the same numbers</w:t>
      </w:r>
      <w:r w:rsidR="00837DBF">
        <w:t xml:space="preserve"> more accurately</w:t>
      </w:r>
      <w:r>
        <w:t>; and Shan and Troshani (2016, pp. 210-211</w:t>
      </w:r>
      <w:r w:rsidR="006B3E43">
        <w:t>) cite PB</w:t>
      </w:r>
      <w:r>
        <w:t xml:space="preserve"> numerous times when motivating their study. If my analysis is correct, future researchers should be warned to interpret</w:t>
      </w:r>
      <w:r w:rsidR="006B3E43">
        <w:t xml:space="preserve"> PB</w:t>
      </w:r>
      <w:r>
        <w:t xml:space="preserve"> carefully.</w:t>
      </w:r>
    </w:p>
    <w:p w14:paraId="2BA255B0" w14:textId="5FFF7865" w:rsidR="00643581" w:rsidRPr="00DB2737" w:rsidRDefault="00D03EB3" w:rsidP="00AA52A6">
      <w:pPr>
        <w:autoSpaceDE w:val="0"/>
        <w:autoSpaceDN w:val="0"/>
        <w:adjustRightInd w:val="0"/>
        <w:spacing w:after="0" w:line="240" w:lineRule="auto"/>
      </w:pPr>
      <w:r>
        <w:tab/>
        <w:t xml:space="preserve">The </w:t>
      </w:r>
      <w:r w:rsidR="00FC23C0">
        <w:t>overstatement</w:t>
      </w:r>
      <w:r>
        <w:t xml:space="preserve"> in PB also matters because it forms the data for BGP</w:t>
      </w:r>
      <w:r w:rsidR="006B2945">
        <w:t>, who</w:t>
      </w:r>
      <w:r w:rsidR="00753B68">
        <w:t xml:space="preserve"> do not define FVA</w:t>
      </w:r>
      <w:r w:rsidR="00DB2737">
        <w:t xml:space="preserve"> </w:t>
      </w:r>
      <w:r w:rsidR="00753B68">
        <w:t xml:space="preserve">or give readers any example of a Chinese standard which requires FVA but </w:t>
      </w:r>
      <w:r w:rsidR="006B2945">
        <w:t xml:space="preserve">rely on PB when </w:t>
      </w:r>
      <w:r w:rsidR="00753B68">
        <w:t>refer</w:t>
      </w:r>
      <w:r w:rsidR="006B2945">
        <w:t>ring</w:t>
      </w:r>
      <w:r w:rsidR="00753B68">
        <w:t xml:space="preserve"> repeatedly to the “adoption of FVA”, using the acronym “FVA” over 160 times. </w:t>
      </w:r>
      <w:r w:rsidR="00753B68" w:rsidDel="006B2945">
        <w:t xml:space="preserve">BGP </w:t>
      </w:r>
      <w:r w:rsidR="006B2945">
        <w:t>say</w:t>
      </w:r>
      <w:r w:rsidDel="006B2945">
        <w:t xml:space="preserve"> (p.</w:t>
      </w:r>
      <w:r w:rsidR="00F342BE">
        <w:t xml:space="preserve"> </w:t>
      </w:r>
      <w:r w:rsidDel="006B2945">
        <w:t xml:space="preserve">1257) that the phenomenon which motivates their study is China’s “aggressive reintroduction” in 2006 of “fair value standards”. </w:t>
      </w:r>
      <w:r w:rsidR="00FC23C0">
        <w:t>The</w:t>
      </w:r>
      <w:r w:rsidR="00AB58B0">
        <w:t xml:space="preserve"> word</w:t>
      </w:r>
      <w:r w:rsidR="00FC23C0">
        <w:t xml:space="preserve"> “reintroduction” refers to the fact that some use of fair value had been required in </w:t>
      </w:r>
      <w:r w:rsidR="003F2B41">
        <w:t xml:space="preserve">the </w:t>
      </w:r>
      <w:r w:rsidR="00FC23C0">
        <w:t xml:space="preserve">standards </w:t>
      </w:r>
      <w:r w:rsidR="003F2B41">
        <w:t xml:space="preserve">which were </w:t>
      </w:r>
      <w:r w:rsidR="00FC23C0">
        <w:t>in force briefly from 199</w:t>
      </w:r>
      <w:r w:rsidR="00BF6A97">
        <w:t>8</w:t>
      </w:r>
      <w:r w:rsidR="00FC23C0">
        <w:t xml:space="preserve"> to 2000</w:t>
      </w:r>
      <w:r w:rsidR="002D21CB">
        <w:t>; a point to which I return later</w:t>
      </w:r>
      <w:r w:rsidR="00FC23C0">
        <w:t xml:space="preserve">. </w:t>
      </w:r>
      <w:r w:rsidR="003F6C2C">
        <w:t>Although it is clear that references to fair value in Chinese standards greatly increased in 2006</w:t>
      </w:r>
      <w:r w:rsidR="002D21CB">
        <w:t xml:space="preserve"> (at least compared to the standards of 2001 to 2006)</w:t>
      </w:r>
      <w:r w:rsidR="003F6C2C">
        <w:t>, m</w:t>
      </w:r>
      <w:r>
        <w:t>y analysis cast</w:t>
      </w:r>
      <w:r w:rsidR="00783BBC">
        <w:t>s</w:t>
      </w:r>
      <w:r>
        <w:t xml:space="preserve"> doubt on </w:t>
      </w:r>
      <w:r w:rsidR="003F2B41">
        <w:t>the existence of a</w:t>
      </w:r>
      <w:r w:rsidR="00A226B1">
        <w:t xml:space="preserve"> phenomenon</w:t>
      </w:r>
      <w:r>
        <w:t xml:space="preserve"> </w:t>
      </w:r>
      <w:r w:rsidR="00EF7B85">
        <w:t xml:space="preserve">of aggressive reintroduction </w:t>
      </w:r>
      <w:r>
        <w:t xml:space="preserve">and </w:t>
      </w:r>
      <w:r w:rsidR="00A226B1">
        <w:t xml:space="preserve">on </w:t>
      </w:r>
      <w:r>
        <w:t xml:space="preserve">whether China </w:t>
      </w:r>
      <w:r w:rsidR="00A226B1">
        <w:t xml:space="preserve">really </w:t>
      </w:r>
      <w:r>
        <w:t>was “seeking admission for FVA” (</w:t>
      </w:r>
      <w:r w:rsidR="003F2B41">
        <w:t xml:space="preserve">BGP, </w:t>
      </w:r>
      <w:r>
        <w:t>p.</w:t>
      </w:r>
      <w:r w:rsidR="00F342BE">
        <w:t xml:space="preserve"> </w:t>
      </w:r>
      <w:r>
        <w:t>1262), had an interest in “driving FVA ahead” (p.</w:t>
      </w:r>
      <w:r w:rsidR="00F342BE">
        <w:t xml:space="preserve"> </w:t>
      </w:r>
      <w:r>
        <w:t>1266), had a “fair value reform movement” (p.</w:t>
      </w:r>
      <w:r w:rsidR="00F342BE">
        <w:t xml:space="preserve"> </w:t>
      </w:r>
      <w:r>
        <w:t>12</w:t>
      </w:r>
      <w:r w:rsidR="00783BBC">
        <w:t>68), and saw</w:t>
      </w:r>
      <w:r>
        <w:t xml:space="preserve"> “actors promoting FVA” (p.</w:t>
      </w:r>
      <w:r w:rsidR="00F342BE">
        <w:t xml:space="preserve"> </w:t>
      </w:r>
      <w:r>
        <w:t xml:space="preserve">1273). </w:t>
      </w:r>
      <w:r w:rsidR="00783BBC">
        <w:t>BGP have an extensive theory to explain Chin</w:t>
      </w:r>
      <w:r w:rsidR="00C865F3">
        <w:t>a’s alleged enthusiasm for</w:t>
      </w:r>
      <w:r w:rsidR="00A226B1">
        <w:t xml:space="preserve"> FVA, comprising</w:t>
      </w:r>
      <w:r w:rsidR="00783BBC">
        <w:t xml:space="preserve"> key actors, political opportunities, resource mobilisation and framing. This takes 12 pages to outline, about half </w:t>
      </w:r>
      <w:r w:rsidR="00F4244F">
        <w:t xml:space="preserve">of </w:t>
      </w:r>
      <w:r w:rsidR="00783BBC">
        <w:t xml:space="preserve">their paper. </w:t>
      </w:r>
      <w:r w:rsidR="00783BBC" w:rsidDel="00783BBC">
        <w:t>Thus, BGP use a deal of theory to explain a phenomenon whose existence</w:t>
      </w:r>
      <w:r w:rsidR="00783BBC">
        <w:t xml:space="preserve"> I question</w:t>
      </w:r>
      <w:r w:rsidR="006B2945">
        <w:t>, as explained in detail below</w:t>
      </w:r>
      <w:r w:rsidR="00783BBC" w:rsidDel="00783BBC">
        <w:t>.</w:t>
      </w:r>
      <w:r w:rsidR="00C865F3">
        <w:t xml:space="preserve"> </w:t>
      </w:r>
    </w:p>
    <w:p w14:paraId="6146D434" w14:textId="3683161A" w:rsidR="002D1EB9" w:rsidRDefault="00E36F39" w:rsidP="00AA52A6">
      <w:pPr>
        <w:spacing w:after="0" w:line="240" w:lineRule="auto"/>
      </w:pPr>
      <w:r>
        <w:tab/>
        <w:t xml:space="preserve">In this paper, I first </w:t>
      </w:r>
      <w:r w:rsidR="006B3E43">
        <w:t xml:space="preserve">give </w:t>
      </w:r>
      <w:r w:rsidR="00E62C4A">
        <w:t xml:space="preserve">brief </w:t>
      </w:r>
      <w:r w:rsidR="006B3E43">
        <w:t>examples of</w:t>
      </w:r>
      <w:r w:rsidR="00EB3AF8">
        <w:t xml:space="preserve"> </w:t>
      </w:r>
      <w:r w:rsidR="00D7521F">
        <w:t xml:space="preserve">the </w:t>
      </w:r>
      <w:r w:rsidR="00946765">
        <w:t>various</w:t>
      </w:r>
      <w:r w:rsidR="006B3E43">
        <w:t xml:space="preserve"> uses of fair value in financial repor</w:t>
      </w:r>
      <w:r w:rsidR="00EB3AF8">
        <w:t>ting</w:t>
      </w:r>
      <w:r>
        <w:t xml:space="preserve">. </w:t>
      </w:r>
      <w:r w:rsidR="00EB3AF8">
        <w:t xml:space="preserve">Then, in Section 3, </w:t>
      </w:r>
      <w:r w:rsidR="003F2B41">
        <w:t>I undertake</w:t>
      </w:r>
      <w:r w:rsidR="00785C04">
        <w:t xml:space="preserve"> my own </w:t>
      </w:r>
      <w:r w:rsidR="00D7521F">
        <w:t>analysis of</w:t>
      </w:r>
      <w:r w:rsidR="00241179">
        <w:t xml:space="preserve"> how much fair value wa</w:t>
      </w:r>
      <w:r w:rsidR="00EB3AF8">
        <w:t>s required or allowed</w:t>
      </w:r>
      <w:r w:rsidR="00A666A6">
        <w:t xml:space="preserve"> by the</w:t>
      </w:r>
      <w:r w:rsidR="00971F85">
        <w:t xml:space="preserve"> Chinese</w:t>
      </w:r>
      <w:r w:rsidR="00EB3AF8">
        <w:t xml:space="preserve"> standards</w:t>
      </w:r>
      <w:r w:rsidR="00241179">
        <w:t xml:space="preserve"> issued in</w:t>
      </w:r>
      <w:r w:rsidR="002D21CB">
        <w:t xml:space="preserve"> 2006</w:t>
      </w:r>
      <w:r w:rsidR="00EB3AF8">
        <w:t>, and I find t</w:t>
      </w:r>
      <w:r w:rsidR="00D7521F">
        <w:t xml:space="preserve">hat it falls far short of the above </w:t>
      </w:r>
      <w:r w:rsidR="00EB3AF8">
        <w:t>claim</w:t>
      </w:r>
      <w:r w:rsidR="00D7521F">
        <w:t>s</w:t>
      </w:r>
      <w:r w:rsidR="00EB3AF8">
        <w:t xml:space="preserve">. I am most </w:t>
      </w:r>
      <w:r w:rsidR="00EB3AF8">
        <w:lastRenderedPageBreak/>
        <w:t xml:space="preserve">grateful for the assistance </w:t>
      </w:r>
      <w:r w:rsidR="00742564">
        <w:t xml:space="preserve">of Songlan Peng </w:t>
      </w:r>
      <w:r w:rsidR="00946765">
        <w:t xml:space="preserve">and Kathryn Bewley </w:t>
      </w:r>
      <w:r w:rsidR="00742564">
        <w:t>in my attempt to</w:t>
      </w:r>
      <w:r w:rsidR="00EB3AF8">
        <w:t xml:space="preserve"> explain the gap.</w:t>
      </w:r>
      <w:r w:rsidR="00742564">
        <w:t xml:space="preserve"> In Section </w:t>
      </w:r>
      <w:r w:rsidR="00691956">
        <w:t>4</w:t>
      </w:r>
      <w:r w:rsidR="00742564">
        <w:t>, I suggest that BGP’</w:t>
      </w:r>
      <w:r w:rsidR="00B24300">
        <w:t xml:space="preserve">s theorisation does not fit with a willingness to adopt FVA but </w:t>
      </w:r>
      <w:r w:rsidR="00DB2737">
        <w:t xml:space="preserve">with </w:t>
      </w:r>
      <w:r w:rsidR="00B24300">
        <w:t xml:space="preserve">a willingness to adopt International Financial Reporting Standards (IFRS) despite, rather than because of, </w:t>
      </w:r>
      <w:r w:rsidR="002D21CB">
        <w:t>this</w:t>
      </w:r>
      <w:r w:rsidR="00B24300">
        <w:t xml:space="preserve"> bringing some FVA with it. </w:t>
      </w:r>
      <w:r w:rsidR="00691956">
        <w:t>In Section 5</w:t>
      </w:r>
      <w:r w:rsidR="00C865F3">
        <w:t xml:space="preserve">, I offer a further contribution, as follows. </w:t>
      </w:r>
      <w:r w:rsidR="00D7521F">
        <w:t xml:space="preserve">PB </w:t>
      </w:r>
      <w:r w:rsidR="00C865F3">
        <w:t xml:space="preserve">(of 2010) </w:t>
      </w:r>
      <w:r w:rsidR="00D7521F">
        <w:t>stop</w:t>
      </w:r>
      <w:r w:rsidR="00B24300">
        <w:t xml:space="preserve"> with the Chinese standards issued in 2006, </w:t>
      </w:r>
      <w:r w:rsidR="00C865F3">
        <w:t>because no amendments had been issued by then. BGP (of 2018) seek to explain the phenomenon of 2006</w:t>
      </w:r>
      <w:r w:rsidR="008571B8">
        <w:t xml:space="preserve">, and therefore do not mention the </w:t>
      </w:r>
      <w:r w:rsidR="00F0364D">
        <w:t>change</w:t>
      </w:r>
      <w:r w:rsidR="008571B8">
        <w:t xml:space="preserve">s </w:t>
      </w:r>
      <w:r w:rsidR="00AB58B0">
        <w:t>to Chinse standards which were introduced</w:t>
      </w:r>
      <w:r w:rsidR="00F4244F">
        <w:t xml:space="preserve"> later</w:t>
      </w:r>
      <w:r w:rsidR="008571B8">
        <w:t xml:space="preserve">. However, readers should be aware that there have been major </w:t>
      </w:r>
      <w:r w:rsidR="00F0364D">
        <w:t xml:space="preserve">new standards and </w:t>
      </w:r>
      <w:r w:rsidR="008571B8">
        <w:t>amendments</w:t>
      </w:r>
      <w:r w:rsidR="00F4244F">
        <w:t>, issued from 2014 onwards</w:t>
      </w:r>
      <w:r w:rsidR="008571B8">
        <w:t xml:space="preserve">. </w:t>
      </w:r>
      <w:r w:rsidR="00B24300">
        <w:t>I up-date</w:t>
      </w:r>
      <w:r w:rsidR="00D7521F">
        <w:t xml:space="preserve"> the analysis</w:t>
      </w:r>
      <w:r w:rsidR="00971F85">
        <w:t xml:space="preserve"> for standards issued by the middle of 2019</w:t>
      </w:r>
      <w:r w:rsidR="00E82D79">
        <w:t xml:space="preserve">, but </w:t>
      </w:r>
      <w:r w:rsidR="006B3E43">
        <w:t xml:space="preserve">I </w:t>
      </w:r>
      <w:r w:rsidR="00837DBF">
        <w:t>find very little increase in</w:t>
      </w:r>
      <w:r w:rsidR="00E82D79">
        <w:t xml:space="preserve"> FVA.</w:t>
      </w:r>
      <w:r w:rsidR="00B24300">
        <w:t xml:space="preserve"> </w:t>
      </w:r>
      <w:r w:rsidR="00A666A6">
        <w:t xml:space="preserve">In Section </w:t>
      </w:r>
      <w:r w:rsidR="00691956">
        <w:t>6</w:t>
      </w:r>
      <w:r w:rsidR="00A666A6">
        <w:t xml:space="preserve">, </w:t>
      </w:r>
      <w:r w:rsidR="00837DBF">
        <w:t>I draw conclusions</w:t>
      </w:r>
      <w:r w:rsidR="00A666A6">
        <w:t>.</w:t>
      </w:r>
    </w:p>
    <w:p w14:paraId="79EE38BE" w14:textId="77777777" w:rsidR="0083328C" w:rsidRDefault="0083328C" w:rsidP="00AA52A6">
      <w:pPr>
        <w:spacing w:after="0" w:line="240" w:lineRule="auto"/>
      </w:pPr>
    </w:p>
    <w:p w14:paraId="0BAEF13E" w14:textId="06FE3B57" w:rsidR="001377E2" w:rsidRDefault="001377E2" w:rsidP="00AA52A6">
      <w:pPr>
        <w:spacing w:after="0" w:line="240" w:lineRule="auto"/>
        <w:rPr>
          <w:b/>
        </w:rPr>
      </w:pPr>
      <w:r>
        <w:rPr>
          <w:b/>
        </w:rPr>
        <w:t>2.  What is “fair value accounting”?</w:t>
      </w:r>
    </w:p>
    <w:p w14:paraId="62373A2A" w14:textId="5CA6561B" w:rsidR="001377E2" w:rsidRDefault="001377E2" w:rsidP="00AA52A6">
      <w:pPr>
        <w:spacing w:after="0" w:line="240" w:lineRule="auto"/>
      </w:pPr>
      <w:r>
        <w:tab/>
      </w:r>
      <w:r w:rsidR="00FC06CE">
        <w:t>The term “fair value” means a current market exit price (of selling an asset or being relieved of a liability).</w:t>
      </w:r>
      <w:r w:rsidR="00FC06CE">
        <w:rPr>
          <w:rStyle w:val="FootnoteReference"/>
        </w:rPr>
        <w:footnoteReference w:id="2"/>
      </w:r>
      <w:r w:rsidR="00FC06CE">
        <w:t xml:space="preserve"> The</w:t>
      </w:r>
      <w:r>
        <w:t xml:space="preserve"> most obvious meaning </w:t>
      </w:r>
      <w:r w:rsidR="00FC06CE">
        <w:t xml:space="preserve">of “fair value accounting” </w:t>
      </w:r>
      <w:r>
        <w:t>is measurement of an asset or a liability at fair value each time a balance sheet is prepared, with the implied gains or losses r</w:t>
      </w:r>
      <w:r w:rsidR="006A70C0">
        <w:t>ecognised as a form of income</w:t>
      </w:r>
      <w:r w:rsidR="00785C04">
        <w:t xml:space="preserve"> or expense</w:t>
      </w:r>
      <w:r w:rsidR="006A70C0">
        <w:t xml:space="preserve">. </w:t>
      </w:r>
      <w:r w:rsidR="00086B10">
        <w:t xml:space="preserve">In the quotation </w:t>
      </w:r>
      <w:r w:rsidR="00423599">
        <w:t xml:space="preserve">reprinted </w:t>
      </w:r>
      <w:r w:rsidR="00086B10">
        <w:t>in Section 1 above, PB correctly call</w:t>
      </w:r>
      <w:r w:rsidR="005A491B">
        <w:t xml:space="preserve"> </w:t>
      </w:r>
      <w:r w:rsidR="00086B10">
        <w:t xml:space="preserve">this </w:t>
      </w:r>
      <w:r>
        <w:t xml:space="preserve">“subsequent measurement” at fair value (e.g. </w:t>
      </w:r>
      <w:r w:rsidR="00086B10">
        <w:t xml:space="preserve">it is called that in </w:t>
      </w:r>
      <w:r>
        <w:t xml:space="preserve">IFRS 9 </w:t>
      </w:r>
      <w:r>
        <w:rPr>
          <w:i/>
        </w:rPr>
        <w:t>Financial Instruments</w:t>
      </w:r>
      <w:r w:rsidR="00086B10">
        <w:t>, section 5.2). It can also be called</w:t>
      </w:r>
      <w:r>
        <w:t xml:space="preserve"> “measurement after recognition” at fair value</w:t>
      </w:r>
      <w:r w:rsidR="005A491B">
        <w:t xml:space="preserve"> </w:t>
      </w:r>
      <w:r>
        <w:t xml:space="preserve">(e.g. </w:t>
      </w:r>
      <w:r w:rsidR="00086B10">
        <w:t xml:space="preserve">as in </w:t>
      </w:r>
      <w:r>
        <w:t xml:space="preserve">IAS 16 </w:t>
      </w:r>
      <w:r>
        <w:rPr>
          <w:i/>
        </w:rPr>
        <w:t>Property, Plant and Equipment</w:t>
      </w:r>
      <w:r>
        <w:t xml:space="preserve">, paragraph </w:t>
      </w:r>
      <w:r w:rsidR="006A70C0">
        <w:t xml:space="preserve">31). </w:t>
      </w:r>
      <w:r w:rsidR="00946765">
        <w:t xml:space="preserve">This meaning of </w:t>
      </w:r>
      <w:r w:rsidR="0074726C">
        <w:t xml:space="preserve">FVA can be contrasted to historical cost accounting. </w:t>
      </w:r>
      <w:r w:rsidR="0045322A">
        <w:t xml:space="preserve">However, PB and BGP </w:t>
      </w:r>
      <w:r w:rsidR="005A491B">
        <w:t xml:space="preserve">seem to use “FVA” </w:t>
      </w:r>
      <w:r w:rsidR="0045322A">
        <w:t>to encompass more than just</w:t>
      </w:r>
      <w:r w:rsidR="00946765">
        <w:t xml:space="preserve"> </w:t>
      </w:r>
      <w:r w:rsidR="00EF4544">
        <w:t>“subsequent measurement at fair value”</w:t>
      </w:r>
      <w:r w:rsidR="00946765">
        <w:t>. Therefore, to avoid confusion, I will use the abbreviation “SMFV”</w:t>
      </w:r>
      <w:r w:rsidR="004E03E7">
        <w:t xml:space="preserve"> for th</w:t>
      </w:r>
      <w:r w:rsidR="00DB2737">
        <w:t>is</w:t>
      </w:r>
      <w:r w:rsidR="005A491B">
        <w:t xml:space="preserve"> specific use.</w:t>
      </w:r>
    </w:p>
    <w:p w14:paraId="4D9F44A2" w14:textId="3327D424" w:rsidR="002036F8" w:rsidRDefault="001377E2" w:rsidP="00AA52A6">
      <w:pPr>
        <w:spacing w:after="0" w:line="240" w:lineRule="auto"/>
      </w:pPr>
      <w:r>
        <w:tab/>
        <w:t>The words “subsequent” and “after” in the a</w:t>
      </w:r>
      <w:r w:rsidR="006B2A2A">
        <w:t>b</w:t>
      </w:r>
      <w:r>
        <w:t>ove term</w:t>
      </w:r>
      <w:r w:rsidR="006A70C0">
        <w:t xml:space="preserve">inology hint that there are </w:t>
      </w:r>
      <w:r>
        <w:t>other u</w:t>
      </w:r>
      <w:r w:rsidR="006A70C0">
        <w:t>ses of fair value</w:t>
      </w:r>
      <w:r w:rsidR="00B95585">
        <w:t xml:space="preserve"> measurement</w:t>
      </w:r>
      <w:r w:rsidR="0068502B">
        <w:t xml:space="preserve"> which are quite different from </w:t>
      </w:r>
      <w:r w:rsidR="00EF4544">
        <w:t>SMFV</w:t>
      </w:r>
      <w:r w:rsidR="00086B10">
        <w:t xml:space="preserve">. These </w:t>
      </w:r>
      <w:r w:rsidR="005A491B">
        <w:t xml:space="preserve">other </w:t>
      </w:r>
      <w:r w:rsidR="00086B10">
        <w:t>measurement uses</w:t>
      </w:r>
      <w:r w:rsidR="0074726C">
        <w:t>, which are included</w:t>
      </w:r>
      <w:r w:rsidR="0074726C" w:rsidRPr="0074726C">
        <w:t xml:space="preserve"> </w:t>
      </w:r>
      <w:r w:rsidR="0074726C">
        <w:t>in PB’s list above,</w:t>
      </w:r>
      <w:r w:rsidR="00086B10">
        <w:t xml:space="preserve"> are</w:t>
      </w:r>
      <w:r w:rsidR="006A70C0">
        <w:t xml:space="preserve">: </w:t>
      </w:r>
      <w:r>
        <w:t>(i) as an e</w:t>
      </w:r>
      <w:r w:rsidR="006B2A2A">
        <w:t>s</w:t>
      </w:r>
      <w:r>
        <w:t>timate of an asset’s</w:t>
      </w:r>
      <w:r w:rsidR="006B2A2A">
        <w:rPr>
          <w:rStyle w:val="FootnoteReference"/>
        </w:rPr>
        <w:footnoteReference w:id="3"/>
      </w:r>
      <w:r w:rsidR="00B95585">
        <w:t xml:space="preserve"> initial cost when </w:t>
      </w:r>
      <w:r w:rsidR="00BB17C5">
        <w:t xml:space="preserve">the asset is not obtained in a market or when </w:t>
      </w:r>
      <w:r w:rsidR="00B95585">
        <w:t>th</w:t>
      </w:r>
      <w:r w:rsidR="006B2A2A">
        <w:t>e asset is acquired with other</w:t>
      </w:r>
      <w:r w:rsidR="00EF7B85">
        <w:t xml:space="preserve"> asset</w:t>
      </w:r>
      <w:r w:rsidR="006B2A2A">
        <w:t>s for a</w:t>
      </w:r>
      <w:r w:rsidR="00BB17C5">
        <w:t xml:space="preserve"> single price (e.g. the need to estimate the costs of e</w:t>
      </w:r>
      <w:r w:rsidR="002C6F5B">
        <w:t>ach of a hundre</w:t>
      </w:r>
      <w:r w:rsidR="003B1F0C">
        <w:t>d assets acquir</w:t>
      </w:r>
      <w:r w:rsidR="00BB17C5">
        <w:t>ed when buying a new subsidiary for a single amount of cash)</w:t>
      </w:r>
      <w:r w:rsidR="006B2A2A">
        <w:t>, and (ii) as an estimate of how much of an asse</w:t>
      </w:r>
      <w:r w:rsidR="006A70C0">
        <w:t>t’s initial cost remains when the</w:t>
      </w:r>
      <w:r w:rsidR="006B2A2A">
        <w:t xml:space="preserve"> asset has been damaged</w:t>
      </w:r>
      <w:r w:rsidR="00BB17C5" w:rsidRPr="00BB17C5">
        <w:t xml:space="preserve"> </w:t>
      </w:r>
      <w:r w:rsidR="00BB17C5">
        <w:t xml:space="preserve">(e.g. the measurement of inventory at </w:t>
      </w:r>
      <w:r w:rsidR="00DB2737">
        <w:t>the lower of cost and market</w:t>
      </w:r>
      <w:r w:rsidR="00BB17C5">
        <w:t>)</w:t>
      </w:r>
      <w:r w:rsidR="006B2A2A">
        <w:t>.</w:t>
      </w:r>
      <w:r w:rsidR="00B55404">
        <w:t xml:space="preserve"> </w:t>
      </w:r>
      <w:r w:rsidR="00785C04">
        <w:t>PB and BGP sometimes use “FVA” to include these two practices (e.g. PB, p. 985, and BGP, p. 1260), though they are really one-off estimates of cost (</w:t>
      </w:r>
      <w:r w:rsidR="00DB2737">
        <w:t xml:space="preserve">of </w:t>
      </w:r>
      <w:r w:rsidR="00785C04">
        <w:t>initial cost or of cost still recoverable) which are used as part of historical cost accounting.</w:t>
      </w:r>
    </w:p>
    <w:p w14:paraId="7EB4D221" w14:textId="77777777" w:rsidR="0083328C" w:rsidRDefault="0083328C" w:rsidP="00AA52A6">
      <w:pPr>
        <w:spacing w:after="0" w:line="240" w:lineRule="auto"/>
      </w:pPr>
    </w:p>
    <w:p w14:paraId="21146796" w14:textId="6DBF7A47" w:rsidR="00EB3AF8" w:rsidRDefault="00691956" w:rsidP="00AA52A6">
      <w:pPr>
        <w:spacing w:after="0" w:line="240" w:lineRule="auto"/>
        <w:rPr>
          <w:b/>
        </w:rPr>
      </w:pPr>
      <w:r>
        <w:rPr>
          <w:b/>
        </w:rPr>
        <w:t>3</w:t>
      </w:r>
      <w:r w:rsidR="00EB3AF8">
        <w:rPr>
          <w:b/>
        </w:rPr>
        <w:t xml:space="preserve">.  </w:t>
      </w:r>
      <w:r w:rsidR="00461BC0">
        <w:rPr>
          <w:b/>
        </w:rPr>
        <w:t>How much FVA d</w:t>
      </w:r>
      <w:r w:rsidR="00221CF7">
        <w:rPr>
          <w:b/>
        </w:rPr>
        <w:t>id</w:t>
      </w:r>
      <w:r w:rsidR="007E2CC5">
        <w:rPr>
          <w:b/>
        </w:rPr>
        <w:t xml:space="preserve"> </w:t>
      </w:r>
      <w:r w:rsidR="00EE0458">
        <w:rPr>
          <w:b/>
        </w:rPr>
        <w:t xml:space="preserve">the </w:t>
      </w:r>
      <w:r w:rsidR="007E2CC5">
        <w:rPr>
          <w:b/>
        </w:rPr>
        <w:t>Chinese standards</w:t>
      </w:r>
      <w:r w:rsidR="00EB3AF8">
        <w:rPr>
          <w:b/>
        </w:rPr>
        <w:t xml:space="preserve"> </w:t>
      </w:r>
      <w:r w:rsidR="00221CF7">
        <w:rPr>
          <w:b/>
        </w:rPr>
        <w:t xml:space="preserve">of 2006 </w:t>
      </w:r>
      <w:r w:rsidR="00EB3AF8">
        <w:rPr>
          <w:b/>
        </w:rPr>
        <w:t>require?</w:t>
      </w:r>
    </w:p>
    <w:p w14:paraId="5942DA94" w14:textId="41649BDB" w:rsidR="000C4E29" w:rsidRPr="000261B5" w:rsidRDefault="000C4E29" w:rsidP="000C4E29">
      <w:pPr>
        <w:spacing w:after="0" w:line="240" w:lineRule="auto"/>
        <w:rPr>
          <w:i/>
        </w:rPr>
      </w:pPr>
      <w:r>
        <w:rPr>
          <w:i/>
        </w:rPr>
        <w:t>3.1 Introduction</w:t>
      </w:r>
    </w:p>
    <w:p w14:paraId="6A6118AC" w14:textId="779144E3" w:rsidR="007334B5" w:rsidRDefault="007334B5" w:rsidP="00AA52A6">
      <w:pPr>
        <w:spacing w:after="0" w:line="240" w:lineRule="auto"/>
        <w:ind w:firstLine="720"/>
      </w:pPr>
      <w:r>
        <w:t xml:space="preserve">For the purposes of this section, I use the </w:t>
      </w:r>
      <w:r w:rsidR="00AB58B0">
        <w:t>standards of 2006, as do</w:t>
      </w:r>
      <w:r w:rsidRPr="005C3789">
        <w:t xml:space="preserve"> </w:t>
      </w:r>
      <w:r>
        <w:t>PB</w:t>
      </w:r>
      <w:r w:rsidRPr="005C3789">
        <w:t>.</w:t>
      </w:r>
      <w:r w:rsidR="00AB58B0">
        <w:t xml:space="preserve"> Subsequent</w:t>
      </w:r>
      <w:r>
        <w:t xml:space="preserve"> changes to</w:t>
      </w:r>
      <w:r w:rsidR="00AB58B0">
        <w:t xml:space="preserve"> the</w:t>
      </w:r>
      <w:r>
        <w:t xml:space="preserve"> standards are discussed in Section 5. PB and BGP refer to “Chinese Accounting Standards” (CAS) but some authors</w:t>
      </w:r>
      <w:r>
        <w:rPr>
          <w:rStyle w:val="FootnoteReference"/>
        </w:rPr>
        <w:footnoteReference w:id="4"/>
      </w:r>
      <w:r>
        <w:t xml:space="preserve"> call them “Accounting Standards for Business Enterprises” (ASBEs), which is a more proximate translation</w:t>
      </w:r>
      <w:r>
        <w:rPr>
          <w:rStyle w:val="FootnoteReference"/>
        </w:rPr>
        <w:footnoteReference w:id="5"/>
      </w:r>
      <w:r>
        <w:t xml:space="preserve"> of the title of the documents, so I use “ASBE” from now on. BGP do not use the term “Accounting Standards for Business Enterprises”</w:t>
      </w:r>
      <w:r>
        <w:rPr>
          <w:rStyle w:val="FootnoteReference"/>
        </w:rPr>
        <w:footnoteReference w:id="6"/>
      </w:r>
      <w:r>
        <w:t xml:space="preserve"> but they mistakenly report</w:t>
      </w:r>
      <w:r w:rsidRPr="008446F7">
        <w:t xml:space="preserve"> </w:t>
      </w:r>
      <w:r>
        <w:t xml:space="preserve">(in </w:t>
      </w:r>
      <w:r>
        <w:lastRenderedPageBreak/>
        <w:t>their Table I) that the confusingly similar</w:t>
      </w:r>
      <w:r w:rsidR="00265685">
        <w:t>ly named</w:t>
      </w:r>
      <w:r>
        <w:t xml:space="preserve"> “Accounting System for Business Enterprises” was introduced in 2006, though actually it was </w:t>
      </w:r>
      <w:r>
        <w:rPr>
          <w:i/>
        </w:rPr>
        <w:t xml:space="preserve">superseded </w:t>
      </w:r>
      <w:r>
        <w:t>then.</w:t>
      </w:r>
      <w:r w:rsidR="00C532C4">
        <w:rPr>
          <w:rStyle w:val="FootnoteReference"/>
        </w:rPr>
        <w:footnoteReference w:id="7"/>
      </w:r>
      <w:r w:rsidRPr="0033627E">
        <w:t xml:space="preserve"> </w:t>
      </w:r>
    </w:p>
    <w:p w14:paraId="0D140000" w14:textId="70E60CC7" w:rsidR="00F24842" w:rsidRDefault="00105619" w:rsidP="00F24842">
      <w:pPr>
        <w:spacing w:after="0" w:line="240" w:lineRule="auto"/>
        <w:ind w:firstLine="720"/>
      </w:pPr>
      <w:r>
        <w:rPr>
          <w:rFonts w:eastAsia="SimSun"/>
        </w:rPr>
        <w:t>The Appendix to</w:t>
      </w:r>
      <w:r w:rsidR="00F24842">
        <w:rPr>
          <w:rFonts w:eastAsia="SimSun"/>
        </w:rPr>
        <w:t xml:space="preserve"> this paper records my scores for the references to fair value in ASBEs. The scores are explained below. </w:t>
      </w:r>
      <w:r w:rsidR="00F24842">
        <w:t xml:space="preserve">Information in italics and square brackets in the Appendix relates to changes after 2006, and these are discussed later, in Section 5. The sources of the information are shown at the foot of the table in the Appendix, and they are all publicly available at the time of writing. </w:t>
      </w:r>
    </w:p>
    <w:p w14:paraId="62559657" w14:textId="77777777" w:rsidR="008C51E6" w:rsidRPr="007334B5" w:rsidRDefault="008C51E6" w:rsidP="00971F85">
      <w:pPr>
        <w:spacing w:after="0" w:line="240" w:lineRule="auto"/>
      </w:pPr>
    </w:p>
    <w:p w14:paraId="3D427F81" w14:textId="05A18B4F" w:rsidR="000261B5" w:rsidRPr="000261B5" w:rsidRDefault="000C4E29" w:rsidP="00AA52A6">
      <w:pPr>
        <w:spacing w:after="0" w:line="240" w:lineRule="auto"/>
        <w:rPr>
          <w:i/>
        </w:rPr>
      </w:pPr>
      <w:r>
        <w:rPr>
          <w:i/>
        </w:rPr>
        <w:t>3.2</w:t>
      </w:r>
      <w:r w:rsidR="006B37C7">
        <w:rPr>
          <w:i/>
        </w:rPr>
        <w:t xml:space="preserve"> </w:t>
      </w:r>
      <w:r w:rsidR="000A0499">
        <w:rPr>
          <w:i/>
        </w:rPr>
        <w:t>Initial</w:t>
      </w:r>
      <w:r w:rsidR="000261B5" w:rsidRPr="000261B5">
        <w:rPr>
          <w:i/>
        </w:rPr>
        <w:t xml:space="preserve"> measurement at fair value</w:t>
      </w:r>
    </w:p>
    <w:p w14:paraId="1E4B736D" w14:textId="6A07518E" w:rsidR="000A0499" w:rsidRDefault="005C2DFB" w:rsidP="000A0499">
      <w:pPr>
        <w:spacing w:after="0" w:line="240" w:lineRule="auto"/>
        <w:ind w:firstLine="720"/>
        <w:rPr>
          <w:rFonts w:eastAsia="SimSun"/>
        </w:rPr>
      </w:pPr>
      <w:r>
        <w:rPr>
          <w:rFonts w:eastAsia="SimSun"/>
        </w:rPr>
        <w:t xml:space="preserve">I </w:t>
      </w:r>
      <w:r w:rsidR="00E352AB">
        <w:rPr>
          <w:rFonts w:eastAsia="SimSun"/>
        </w:rPr>
        <w:t xml:space="preserve">start </w:t>
      </w:r>
      <w:r>
        <w:rPr>
          <w:rFonts w:eastAsia="SimSun"/>
        </w:rPr>
        <w:t xml:space="preserve">by identifying standards which involve </w:t>
      </w:r>
      <w:r w:rsidR="00E352AB">
        <w:rPr>
          <w:rFonts w:eastAsia="SimSun"/>
        </w:rPr>
        <w:t>initial measurement</w:t>
      </w:r>
      <w:r w:rsidR="00F24842">
        <w:rPr>
          <w:rFonts w:eastAsia="SimSun"/>
        </w:rPr>
        <w:t xml:space="preserve"> at fair value</w:t>
      </w:r>
      <w:r w:rsidR="00E352AB">
        <w:rPr>
          <w:rFonts w:eastAsia="SimSun"/>
        </w:rPr>
        <w:t xml:space="preserve">. </w:t>
      </w:r>
      <w:r w:rsidR="000A0499" w:rsidRPr="0000374A">
        <w:rPr>
          <w:rFonts w:eastAsia="SimSun"/>
        </w:rPr>
        <w:t xml:space="preserve">The </w:t>
      </w:r>
      <w:r w:rsidR="000A0499">
        <w:rPr>
          <w:rFonts w:eastAsia="SimSun"/>
        </w:rPr>
        <w:t>widespread</w:t>
      </w:r>
      <w:r w:rsidR="000A0499" w:rsidRPr="0000374A">
        <w:rPr>
          <w:rFonts w:eastAsia="SimSun"/>
        </w:rPr>
        <w:t xml:space="preserve"> example of this is where, under ASBE 20, the assets and liabilities of newly acquired subsidiaries are recognised at initial cost (to the acquirer) by estimating fair values at the date of acquisit</w:t>
      </w:r>
      <w:r w:rsidR="000A0499">
        <w:rPr>
          <w:rFonts w:eastAsia="SimSun"/>
        </w:rPr>
        <w:t>ion, and this “cost” is subsequently used</w:t>
      </w:r>
      <w:r w:rsidR="000A0499" w:rsidRPr="0000374A">
        <w:rPr>
          <w:rFonts w:eastAsia="SimSun"/>
        </w:rPr>
        <w:t xml:space="preserve"> as part of historical cost accounting. Although this involves the term “fair value”</w:t>
      </w:r>
      <w:r w:rsidR="000A0499">
        <w:rPr>
          <w:rFonts w:eastAsia="SimSun"/>
        </w:rPr>
        <w:t>,</w:t>
      </w:r>
      <w:r w:rsidR="000A0499" w:rsidRPr="0000374A">
        <w:rPr>
          <w:rFonts w:eastAsia="SimSun"/>
        </w:rPr>
        <w:t xml:space="preserve"> it </w:t>
      </w:r>
      <w:r w:rsidR="000A0499">
        <w:rPr>
          <w:rFonts w:eastAsia="SimSun"/>
        </w:rPr>
        <w:t>is vital to distinguish it from</w:t>
      </w:r>
      <w:r w:rsidR="000A0499" w:rsidRPr="0000374A">
        <w:rPr>
          <w:rFonts w:eastAsia="SimSun"/>
        </w:rPr>
        <w:t xml:space="preserve"> </w:t>
      </w:r>
      <w:r w:rsidR="000A0499">
        <w:rPr>
          <w:rFonts w:eastAsia="SimSun"/>
        </w:rPr>
        <w:t>SMFV. Unlike SMFV (which is continuous measurement at fair value), initial measurement is a one-off use of fair value to estimate cost</w:t>
      </w:r>
      <w:r w:rsidR="000A0499" w:rsidRPr="0000374A">
        <w:rPr>
          <w:rFonts w:eastAsia="SimSun"/>
        </w:rPr>
        <w:t>,</w:t>
      </w:r>
      <w:r w:rsidR="000A0499">
        <w:rPr>
          <w:rFonts w:eastAsia="SimSun"/>
        </w:rPr>
        <w:t xml:space="preserve"> and it was introduc</w:t>
      </w:r>
      <w:r w:rsidR="000A0499" w:rsidRPr="0000374A">
        <w:rPr>
          <w:rFonts w:eastAsia="SimSun"/>
        </w:rPr>
        <w:t xml:space="preserve">ed in many countries well before any discussion or practice of </w:t>
      </w:r>
      <w:r w:rsidR="000A0499">
        <w:rPr>
          <w:rFonts w:eastAsia="SimSun"/>
        </w:rPr>
        <w:t>SMFV</w:t>
      </w:r>
      <w:r w:rsidR="000A0499" w:rsidRPr="0000374A">
        <w:rPr>
          <w:rFonts w:eastAsia="SimSun"/>
        </w:rPr>
        <w:t>.</w:t>
      </w:r>
      <w:r w:rsidR="000A0499">
        <w:rPr>
          <w:rStyle w:val="FootnoteReference"/>
          <w:rFonts w:eastAsia="SimSun"/>
        </w:rPr>
        <w:footnoteReference w:id="8"/>
      </w:r>
      <w:r w:rsidR="000A0499" w:rsidRPr="0000374A">
        <w:rPr>
          <w:rFonts w:eastAsia="SimSun"/>
        </w:rPr>
        <w:t xml:space="preserve"> </w:t>
      </w:r>
    </w:p>
    <w:p w14:paraId="540C394D" w14:textId="4C6C6F37" w:rsidR="005D356F" w:rsidRDefault="00F24842" w:rsidP="000A0499">
      <w:pPr>
        <w:spacing w:after="0" w:line="240" w:lineRule="auto"/>
        <w:ind w:firstLine="720"/>
        <w:rPr>
          <w:rFonts w:eastAsia="SimSun"/>
        </w:rPr>
      </w:pPr>
      <w:r>
        <w:rPr>
          <w:rFonts w:eastAsia="SimSun"/>
        </w:rPr>
        <w:t xml:space="preserve">Column 2 of the </w:t>
      </w:r>
      <w:r w:rsidR="00105619">
        <w:rPr>
          <w:rFonts w:eastAsia="SimSun"/>
        </w:rPr>
        <w:t>table in the Appendix</w:t>
      </w:r>
      <w:r w:rsidR="005C2DFB">
        <w:rPr>
          <w:rFonts w:eastAsia="SimSun"/>
        </w:rPr>
        <w:t xml:space="preserve"> concerns this</w:t>
      </w:r>
      <w:r>
        <w:rPr>
          <w:rFonts w:eastAsia="SimSun"/>
        </w:rPr>
        <w:t xml:space="preserve"> use of</w:t>
      </w:r>
      <w:r w:rsidRPr="0000374A">
        <w:rPr>
          <w:rFonts w:eastAsia="SimSun"/>
        </w:rPr>
        <w:t xml:space="preserve"> fair value to estimate initial cost.</w:t>
      </w:r>
      <w:r>
        <w:rPr>
          <w:rFonts w:eastAsia="SimSun"/>
        </w:rPr>
        <w:t xml:space="preserve"> As may be seen, I score ASBE 20 as one of </w:t>
      </w:r>
      <w:r w:rsidR="00B32556">
        <w:rPr>
          <w:rFonts w:eastAsia="SimSun"/>
        </w:rPr>
        <w:t>12</w:t>
      </w:r>
      <w:r w:rsidR="000A0499">
        <w:rPr>
          <w:rFonts w:eastAsia="SimSun"/>
        </w:rPr>
        <w:t xml:space="preserve"> standards </w:t>
      </w:r>
      <w:r>
        <w:rPr>
          <w:rFonts w:eastAsia="SimSun"/>
        </w:rPr>
        <w:t xml:space="preserve">which involve </w:t>
      </w:r>
      <w:r w:rsidR="000A0499">
        <w:rPr>
          <w:rFonts w:eastAsia="SimSun"/>
        </w:rPr>
        <w:t xml:space="preserve">initial measurement </w:t>
      </w:r>
      <w:r w:rsidR="005C2DFB">
        <w:rPr>
          <w:rFonts w:eastAsia="SimSun"/>
        </w:rPr>
        <w:t xml:space="preserve">at fair value </w:t>
      </w:r>
      <w:r>
        <w:rPr>
          <w:rFonts w:eastAsia="SimSun"/>
        </w:rPr>
        <w:t>at least for some assets or under some circumstances</w:t>
      </w:r>
      <w:r w:rsidR="000A0499">
        <w:rPr>
          <w:rFonts w:eastAsia="SimSun"/>
        </w:rPr>
        <w:t>. By contrast, PB state that</w:t>
      </w:r>
      <w:r w:rsidR="000A0499" w:rsidRPr="002B395E">
        <w:rPr>
          <w:rFonts w:eastAsia="SimSun"/>
        </w:rPr>
        <w:t xml:space="preserve"> </w:t>
      </w:r>
      <w:r w:rsidR="000A0499">
        <w:rPr>
          <w:rFonts w:eastAsia="SimSun"/>
        </w:rPr>
        <w:t>“</w:t>
      </w:r>
      <w:r w:rsidR="000A0499" w:rsidRPr="005029B8">
        <w:rPr>
          <w:rFonts w:cstheme="minorHAnsi"/>
        </w:rPr>
        <w:t>17 require the use of fair value in the initial measurement</w:t>
      </w:r>
      <w:r w:rsidR="000A0499">
        <w:rPr>
          <w:rFonts w:cstheme="minorHAnsi"/>
          <w:sz w:val="20"/>
          <w:szCs w:val="20"/>
        </w:rPr>
        <w:t>”</w:t>
      </w:r>
      <w:r w:rsidR="000A0499" w:rsidRPr="00723606">
        <w:rPr>
          <w:rFonts w:eastAsia="SimSun"/>
        </w:rPr>
        <w:t xml:space="preserve"> </w:t>
      </w:r>
      <w:r w:rsidR="000A0499">
        <w:rPr>
          <w:rFonts w:eastAsia="SimSun"/>
        </w:rPr>
        <w:t>(as quoted above)</w:t>
      </w:r>
      <w:r w:rsidR="000A0499">
        <w:rPr>
          <w:rFonts w:cstheme="minorHAnsi"/>
          <w:sz w:val="20"/>
          <w:szCs w:val="20"/>
        </w:rPr>
        <w:t>.</w:t>
      </w:r>
      <w:r w:rsidR="000A0499" w:rsidRPr="0000374A">
        <w:rPr>
          <w:rFonts w:eastAsia="SimSun"/>
        </w:rPr>
        <w:t xml:space="preserve"> </w:t>
      </w:r>
      <w:r w:rsidR="000A0499">
        <w:rPr>
          <w:rFonts w:eastAsia="SimSun"/>
        </w:rPr>
        <w:t>The scores are different because PB counted ASBE</w:t>
      </w:r>
      <w:r w:rsidR="00895DD1">
        <w:rPr>
          <w:rFonts w:eastAsia="SimSun"/>
        </w:rPr>
        <w:t xml:space="preserve"> 24 even though it does not deal directly with measurement but </w:t>
      </w:r>
      <w:r w:rsidR="000A0499">
        <w:rPr>
          <w:rFonts w:eastAsia="SimSun"/>
        </w:rPr>
        <w:t xml:space="preserve">merely </w:t>
      </w:r>
      <w:r w:rsidR="00895DD1">
        <w:rPr>
          <w:rFonts w:eastAsia="SimSun"/>
        </w:rPr>
        <w:t xml:space="preserve">sets out </w:t>
      </w:r>
      <w:r w:rsidR="000A0499">
        <w:rPr>
          <w:rFonts w:eastAsia="SimSun"/>
        </w:rPr>
        <w:t>criteri</w:t>
      </w:r>
      <w:r w:rsidR="00895DD1">
        <w:rPr>
          <w:rFonts w:eastAsia="SimSun"/>
        </w:rPr>
        <w:t>a for allowing hedge accounting</w:t>
      </w:r>
      <w:r w:rsidR="000C4E29">
        <w:rPr>
          <w:rFonts w:eastAsia="SimSun"/>
        </w:rPr>
        <w:t xml:space="preserve"> (see 3.6</w:t>
      </w:r>
      <w:r w:rsidR="00735608">
        <w:rPr>
          <w:rFonts w:eastAsia="SimSun"/>
        </w:rPr>
        <w:t xml:space="preserve"> below)</w:t>
      </w:r>
      <w:r w:rsidR="000A0499">
        <w:rPr>
          <w:rFonts w:eastAsia="SimSun"/>
        </w:rPr>
        <w:t>, and PB erroneously included the major asset standards, ASBEs 1, 4, 5 and 6.</w:t>
      </w:r>
      <w:r w:rsidR="00A75DCE" w:rsidRPr="00A75DCE">
        <w:rPr>
          <w:rFonts w:eastAsia="SimSun"/>
        </w:rPr>
        <w:t xml:space="preserve"> </w:t>
      </w:r>
      <w:r w:rsidR="00A75DCE">
        <w:rPr>
          <w:rFonts w:eastAsia="SimSun"/>
        </w:rPr>
        <w:t>This is because they believed</w:t>
      </w:r>
      <w:r w:rsidR="00A75DCE" w:rsidRPr="0000374A">
        <w:rPr>
          <w:rFonts w:eastAsia="SimSun"/>
          <w:vertAlign w:val="superscript"/>
        </w:rPr>
        <w:footnoteReference w:id="9"/>
      </w:r>
      <w:r w:rsidR="00A75DCE" w:rsidRPr="0000374A">
        <w:rPr>
          <w:rFonts w:eastAsia="SimSun"/>
        </w:rPr>
        <w:t xml:space="preserve"> that cost and fair value are the same at initial recognition, and thus</w:t>
      </w:r>
      <w:r w:rsidR="00A75DCE">
        <w:rPr>
          <w:rFonts w:eastAsia="SimSun"/>
        </w:rPr>
        <w:t xml:space="preserve"> they deliberately scored “fair value” even though</w:t>
      </w:r>
      <w:r w:rsidR="005D356F">
        <w:rPr>
          <w:rFonts w:eastAsia="SimSun"/>
        </w:rPr>
        <w:t xml:space="preserve"> the standard requires</w:t>
      </w:r>
      <w:r w:rsidR="00A75DCE" w:rsidRPr="0000374A">
        <w:rPr>
          <w:rFonts w:eastAsia="SimSun"/>
        </w:rPr>
        <w:t xml:space="preserve"> “cost”.</w:t>
      </w:r>
      <w:r w:rsidR="000A0499" w:rsidRPr="0000374A">
        <w:rPr>
          <w:rFonts w:eastAsia="SimSun"/>
        </w:rPr>
        <w:t xml:space="preserve"> </w:t>
      </w:r>
      <w:r w:rsidR="005C2DFB">
        <w:rPr>
          <w:rFonts w:eastAsia="SimSun"/>
        </w:rPr>
        <w:t>However, these two measures are not the same</w:t>
      </w:r>
      <w:r w:rsidR="00735608">
        <w:rPr>
          <w:rFonts w:eastAsia="SimSun"/>
        </w:rPr>
        <w:t xml:space="preserve"> in principle, nor generally in practice. </w:t>
      </w:r>
      <w:r w:rsidR="000A0499" w:rsidRPr="0000374A">
        <w:rPr>
          <w:rFonts w:eastAsia="SimSun"/>
        </w:rPr>
        <w:t xml:space="preserve">To take the </w:t>
      </w:r>
      <w:r w:rsidR="000A0499">
        <w:rPr>
          <w:rFonts w:eastAsia="SimSun"/>
        </w:rPr>
        <w:t xml:space="preserve">example of inventories, </w:t>
      </w:r>
      <w:r w:rsidR="000A0499" w:rsidRPr="0000374A">
        <w:rPr>
          <w:rFonts w:eastAsia="SimSun"/>
        </w:rPr>
        <w:t>ASBE 1 requires</w:t>
      </w:r>
      <w:r w:rsidR="000A0499">
        <w:rPr>
          <w:rFonts w:eastAsia="SimSun"/>
        </w:rPr>
        <w:t xml:space="preserve"> “cost” to include not only the market price</w:t>
      </w:r>
      <w:r w:rsidR="000A0499" w:rsidRPr="0000374A">
        <w:rPr>
          <w:rFonts w:eastAsia="SimSun"/>
        </w:rPr>
        <w:t xml:space="preserve"> </w:t>
      </w:r>
      <w:r w:rsidR="00B32556">
        <w:rPr>
          <w:rFonts w:eastAsia="SimSun"/>
        </w:rPr>
        <w:t xml:space="preserve">of buying </w:t>
      </w:r>
      <w:r w:rsidR="000A0499" w:rsidRPr="0000374A">
        <w:rPr>
          <w:rFonts w:eastAsia="SimSun"/>
        </w:rPr>
        <w:t xml:space="preserve">but also various taxes, handling fees and insurance (Article 5). Similarly, </w:t>
      </w:r>
      <w:r w:rsidR="000A0499">
        <w:rPr>
          <w:rFonts w:eastAsia="SimSun"/>
        </w:rPr>
        <w:t>the</w:t>
      </w:r>
      <w:r w:rsidR="000A0499" w:rsidRPr="0000374A">
        <w:rPr>
          <w:rFonts w:eastAsia="SimSun"/>
        </w:rPr>
        <w:t xml:space="preserve"> “cost” of tangible, intangible</w:t>
      </w:r>
      <w:r w:rsidR="000A0499">
        <w:rPr>
          <w:rFonts w:eastAsia="SimSun"/>
        </w:rPr>
        <w:t xml:space="preserve"> and biological assets</w:t>
      </w:r>
      <w:r w:rsidR="000A0499" w:rsidRPr="0000374A">
        <w:rPr>
          <w:rFonts w:eastAsia="SimSun"/>
        </w:rPr>
        <w:t xml:space="preserve"> includes taxes and legal fees of purchas</w:t>
      </w:r>
      <w:r w:rsidR="000A0499">
        <w:rPr>
          <w:rFonts w:eastAsia="SimSun"/>
        </w:rPr>
        <w:t>e. So, cost is nearly always high</w:t>
      </w:r>
      <w:r w:rsidR="000A0499" w:rsidRPr="0000374A">
        <w:rPr>
          <w:rFonts w:eastAsia="SimSun"/>
        </w:rPr>
        <w:t>er than fair value at initial recognition.</w:t>
      </w:r>
      <w:r w:rsidR="000A0499">
        <w:rPr>
          <w:rFonts w:eastAsia="SimSun"/>
        </w:rPr>
        <w:t xml:space="preserve"> </w:t>
      </w:r>
    </w:p>
    <w:p w14:paraId="4F97ED12" w14:textId="05DD00B3" w:rsidR="000A0499" w:rsidRPr="005D356F" w:rsidRDefault="005D356F" w:rsidP="005D356F">
      <w:pPr>
        <w:pStyle w:val="FootnoteText"/>
        <w:ind w:firstLine="720"/>
        <w:rPr>
          <w:sz w:val="22"/>
          <w:szCs w:val="22"/>
        </w:rPr>
      </w:pPr>
      <w:r w:rsidRPr="005D356F">
        <w:rPr>
          <w:rFonts w:eastAsia="SimSun"/>
          <w:sz w:val="22"/>
          <w:szCs w:val="22"/>
        </w:rPr>
        <w:t>Two details should also be mentioned. The asset standards</w:t>
      </w:r>
      <w:r w:rsidRPr="005D356F">
        <w:rPr>
          <w:rStyle w:val="FootnoteReference"/>
          <w:rFonts w:eastAsia="SimSun"/>
          <w:sz w:val="22"/>
          <w:szCs w:val="22"/>
        </w:rPr>
        <w:footnoteReference w:id="10"/>
      </w:r>
      <w:r>
        <w:rPr>
          <w:sz w:val="22"/>
          <w:szCs w:val="22"/>
        </w:rPr>
        <w:t xml:space="preserve"> </w:t>
      </w:r>
      <w:r w:rsidRPr="005D356F">
        <w:rPr>
          <w:sz w:val="22"/>
          <w:szCs w:val="22"/>
        </w:rPr>
        <w:t xml:space="preserve">refer to the possibility of purchase contracts which are unfair but the standards do not </w:t>
      </w:r>
      <w:r w:rsidR="00016488">
        <w:rPr>
          <w:sz w:val="22"/>
          <w:szCs w:val="22"/>
        </w:rPr>
        <w:t xml:space="preserve">explain what this means or </w:t>
      </w:r>
      <w:r w:rsidRPr="005D356F">
        <w:rPr>
          <w:sz w:val="22"/>
          <w:szCs w:val="22"/>
        </w:rPr>
        <w:t>state what should</w:t>
      </w:r>
      <w:r w:rsidR="00016488" w:rsidRPr="00016488">
        <w:rPr>
          <w:sz w:val="22"/>
          <w:szCs w:val="22"/>
        </w:rPr>
        <w:t xml:space="preserve"> </w:t>
      </w:r>
      <w:r w:rsidR="00016488" w:rsidRPr="005D356F">
        <w:rPr>
          <w:sz w:val="22"/>
          <w:szCs w:val="22"/>
        </w:rPr>
        <w:t>then</w:t>
      </w:r>
      <w:r w:rsidRPr="005D356F">
        <w:rPr>
          <w:sz w:val="22"/>
          <w:szCs w:val="22"/>
        </w:rPr>
        <w:t xml:space="preserve"> be done</w:t>
      </w:r>
      <w:r w:rsidR="00016488">
        <w:rPr>
          <w:sz w:val="22"/>
          <w:szCs w:val="22"/>
        </w:rPr>
        <w:t>, so I do not consider this to be a use of fair value measurement</w:t>
      </w:r>
      <w:r w:rsidRPr="005D356F">
        <w:rPr>
          <w:sz w:val="22"/>
          <w:szCs w:val="22"/>
        </w:rPr>
        <w:t xml:space="preserve">. </w:t>
      </w:r>
      <w:r>
        <w:rPr>
          <w:sz w:val="22"/>
          <w:szCs w:val="22"/>
        </w:rPr>
        <w:t xml:space="preserve">Also, </w:t>
      </w:r>
      <w:r w:rsidRPr="005D356F">
        <w:rPr>
          <w:sz w:val="22"/>
          <w:szCs w:val="22"/>
        </w:rPr>
        <w:t xml:space="preserve">ASBE 4 (Article 8) deals with the purchase of more than one item for a single cost. That cost should be split up in proportion to the fair values of the purchased assets, but this means that the assets are held at proportions of the cost not at fair value. This is recorded in column 6 of the Appendix. </w:t>
      </w:r>
    </w:p>
    <w:p w14:paraId="126EA887" w14:textId="6EEE2668" w:rsidR="000A0499" w:rsidRDefault="00016488" w:rsidP="000A0499">
      <w:pPr>
        <w:spacing w:after="0" w:line="240" w:lineRule="auto"/>
        <w:ind w:firstLine="720"/>
        <w:rPr>
          <w:rFonts w:eastAsia="SimSun"/>
        </w:rPr>
      </w:pPr>
      <w:r>
        <w:rPr>
          <w:rFonts w:eastAsia="SimSun"/>
        </w:rPr>
        <w:t>A vital</w:t>
      </w:r>
      <w:r w:rsidR="005D356F">
        <w:rPr>
          <w:rFonts w:eastAsia="SimSun"/>
        </w:rPr>
        <w:t xml:space="preserve"> overall point about in</w:t>
      </w:r>
      <w:r>
        <w:rPr>
          <w:rFonts w:eastAsia="SimSun"/>
        </w:rPr>
        <w:t xml:space="preserve">itial measurement is </w:t>
      </w:r>
      <w:r w:rsidR="00F24842">
        <w:rPr>
          <w:rFonts w:eastAsia="SimSun"/>
        </w:rPr>
        <w:t>that PB’s</w:t>
      </w:r>
      <w:r w:rsidR="000A0499">
        <w:rPr>
          <w:rFonts w:eastAsia="SimSun"/>
        </w:rPr>
        <w:t xml:space="preserve"> words “require th</w:t>
      </w:r>
      <w:r w:rsidR="005D356F">
        <w:rPr>
          <w:rFonts w:eastAsia="SimSun"/>
        </w:rPr>
        <w:t xml:space="preserve">e use of fair value” </w:t>
      </w:r>
      <w:r w:rsidR="000A0499">
        <w:rPr>
          <w:rFonts w:eastAsia="SimSun"/>
        </w:rPr>
        <w:t>could easily be misunderstood by readers</w:t>
      </w:r>
      <w:r w:rsidR="008C51E6">
        <w:rPr>
          <w:rFonts w:eastAsia="SimSun"/>
        </w:rPr>
        <w:t>. As column 2</w:t>
      </w:r>
      <w:r w:rsidR="000A0499">
        <w:rPr>
          <w:rFonts w:eastAsia="SimSun"/>
        </w:rPr>
        <w:t xml:space="preserve"> </w:t>
      </w:r>
      <w:r w:rsidR="00735608">
        <w:rPr>
          <w:rFonts w:eastAsia="SimSun"/>
        </w:rPr>
        <w:t xml:space="preserve">of the Appendix </w:t>
      </w:r>
      <w:r w:rsidR="000A0499">
        <w:rPr>
          <w:rFonts w:eastAsia="SimSun"/>
        </w:rPr>
        <w:t xml:space="preserve">shows, the requirement in several standards relates only to </w:t>
      </w:r>
      <w:r w:rsidR="00F24842">
        <w:rPr>
          <w:rFonts w:eastAsia="SimSun"/>
        </w:rPr>
        <w:t xml:space="preserve">particular assets or to </w:t>
      </w:r>
      <w:r w:rsidR="000A0499">
        <w:rPr>
          <w:rFonts w:eastAsia="SimSun"/>
        </w:rPr>
        <w:t xml:space="preserve">special circumstances, such as </w:t>
      </w:r>
      <w:r w:rsidR="000A0499" w:rsidRPr="0000374A">
        <w:rPr>
          <w:rFonts w:eastAsia="SimSun"/>
        </w:rPr>
        <w:t>paying for an asset (or receiving a government grant) in a form other than cash.</w:t>
      </w:r>
      <w:r w:rsidR="000A0499">
        <w:rPr>
          <w:rFonts w:eastAsia="SimSun"/>
        </w:rPr>
        <w:t xml:space="preserve"> </w:t>
      </w:r>
    </w:p>
    <w:p w14:paraId="1949D23B" w14:textId="77777777" w:rsidR="008C51E6" w:rsidRDefault="008C51E6" w:rsidP="000A0499">
      <w:pPr>
        <w:spacing w:after="0" w:line="240" w:lineRule="auto"/>
        <w:ind w:firstLine="720"/>
        <w:rPr>
          <w:rFonts w:eastAsia="SimSun"/>
        </w:rPr>
      </w:pPr>
    </w:p>
    <w:p w14:paraId="6A04CCE1" w14:textId="7AD241D2" w:rsidR="000A0499" w:rsidRPr="00971F85" w:rsidRDefault="000C4E29" w:rsidP="00971F85">
      <w:pPr>
        <w:spacing w:after="0" w:line="240" w:lineRule="auto"/>
        <w:rPr>
          <w:i/>
        </w:rPr>
      </w:pPr>
      <w:r>
        <w:rPr>
          <w:i/>
        </w:rPr>
        <w:t>3.3</w:t>
      </w:r>
      <w:r w:rsidR="000A0499">
        <w:rPr>
          <w:i/>
        </w:rPr>
        <w:t xml:space="preserve"> Subsequent</w:t>
      </w:r>
      <w:r w:rsidR="008C51E6">
        <w:rPr>
          <w:i/>
        </w:rPr>
        <w:t xml:space="preserve"> measurement at fair value</w:t>
      </w:r>
    </w:p>
    <w:p w14:paraId="513D9652" w14:textId="455B133A" w:rsidR="00691956" w:rsidRDefault="000A0499" w:rsidP="00971F85">
      <w:pPr>
        <w:spacing w:after="0" w:line="240" w:lineRule="auto"/>
        <w:ind w:firstLine="720"/>
      </w:pPr>
      <w:r>
        <w:t>I now turn to</w:t>
      </w:r>
      <w:r w:rsidR="004F4D8E">
        <w:t xml:space="preserve"> </w:t>
      </w:r>
      <w:r w:rsidR="00EF4544">
        <w:t>SMFV</w:t>
      </w:r>
      <w:r w:rsidR="00722B74">
        <w:t xml:space="preserve">, </w:t>
      </w:r>
      <w:r w:rsidR="004F4D8E">
        <w:t>as defined in Section 2</w:t>
      </w:r>
      <w:r w:rsidR="00722B74">
        <w:t>.</w:t>
      </w:r>
      <w:r w:rsidR="00EA14AB" w:rsidRPr="00EA14AB">
        <w:t xml:space="preserve"> </w:t>
      </w:r>
      <w:r w:rsidR="00FC100D">
        <w:t>PB state</w:t>
      </w:r>
      <w:r w:rsidR="00481EC7">
        <w:t>,</w:t>
      </w:r>
      <w:r w:rsidR="00FC100D">
        <w:t xml:space="preserve"> </w:t>
      </w:r>
      <w:r w:rsidR="004A74A9">
        <w:t xml:space="preserve">about </w:t>
      </w:r>
      <w:r w:rsidR="00481EC7">
        <w:t xml:space="preserve">fair value in </w:t>
      </w:r>
      <w:r w:rsidR="007B0D87">
        <w:t>Chinese standards</w:t>
      </w:r>
      <w:r w:rsidR="00481EC7">
        <w:t>,</w:t>
      </w:r>
      <w:r w:rsidR="007B0D87">
        <w:t xml:space="preserve"> that</w:t>
      </w:r>
      <w:r w:rsidR="004F4D8E">
        <w:t xml:space="preserve">: </w:t>
      </w:r>
      <w:r w:rsidR="004F4D8E" w:rsidRPr="00414384">
        <w:t>“</w:t>
      </w:r>
      <w:r w:rsidR="004F4D8E" w:rsidRPr="00414384">
        <w:rPr>
          <w:rFonts w:cstheme="minorHAnsi"/>
        </w:rPr>
        <w:t>eight require its use in subsequent measurement</w:t>
      </w:r>
      <w:r w:rsidR="004F4D8E" w:rsidRPr="00414384">
        <w:t>”</w:t>
      </w:r>
      <w:r w:rsidR="007B0D87" w:rsidRPr="007B0D87">
        <w:t xml:space="preserve"> </w:t>
      </w:r>
      <w:r w:rsidR="007B0D87">
        <w:t>(as quoted Section 1)</w:t>
      </w:r>
      <w:r w:rsidR="004F4D8E">
        <w:t xml:space="preserve">.  </w:t>
      </w:r>
      <w:r w:rsidR="00BA3F3A">
        <w:t>Let us ask so</w:t>
      </w:r>
      <w:r w:rsidR="004F4D8E">
        <w:t xml:space="preserve">me </w:t>
      </w:r>
      <w:r w:rsidR="00A81547">
        <w:lastRenderedPageBreak/>
        <w:t>precise questions: (a) h</w:t>
      </w:r>
      <w:r w:rsidR="00BA3F3A">
        <w:t xml:space="preserve">ow many of the </w:t>
      </w:r>
      <w:r w:rsidR="00444B08">
        <w:t xml:space="preserve">38 </w:t>
      </w:r>
      <w:r w:rsidR="00BA3F3A">
        <w:t xml:space="preserve">standards </w:t>
      </w:r>
      <w:r w:rsidR="00BA3F3A">
        <w:rPr>
          <w:i/>
        </w:rPr>
        <w:t>require</w:t>
      </w:r>
      <w:r w:rsidR="00BA3F3A">
        <w:t xml:space="preserve"> </w:t>
      </w:r>
      <w:r w:rsidR="00EF4544">
        <w:t>SMFV</w:t>
      </w:r>
      <w:r w:rsidR="00BA3F3A">
        <w:t xml:space="preserve"> </w:t>
      </w:r>
      <w:r w:rsidR="00D7126A">
        <w:t xml:space="preserve">for all </w:t>
      </w:r>
      <w:r w:rsidR="003D46B8">
        <w:t xml:space="preserve">the </w:t>
      </w:r>
      <w:r w:rsidR="00D7126A">
        <w:t xml:space="preserve">items </w:t>
      </w:r>
      <w:r w:rsidR="00722B74">
        <w:t xml:space="preserve">they </w:t>
      </w:r>
      <w:r w:rsidR="00D7126A">
        <w:t>cover</w:t>
      </w:r>
      <w:r w:rsidR="00BA3F3A">
        <w:t xml:space="preserve">? </w:t>
      </w:r>
      <w:r w:rsidR="00D7126A">
        <w:t xml:space="preserve">(b) how many standards </w:t>
      </w:r>
      <w:r w:rsidR="00D7126A">
        <w:rPr>
          <w:i/>
        </w:rPr>
        <w:t>require</w:t>
      </w:r>
      <w:r w:rsidR="008446F7">
        <w:t xml:space="preserve"> </w:t>
      </w:r>
      <w:r w:rsidR="00EF4544">
        <w:t>SMFV</w:t>
      </w:r>
      <w:r w:rsidR="00D7126A">
        <w:t xml:space="preserve"> for </w:t>
      </w:r>
      <w:r w:rsidR="008D7D7B">
        <w:t xml:space="preserve">at least </w:t>
      </w:r>
      <w:r w:rsidR="00D7126A">
        <w:t>some items? and (c</w:t>
      </w:r>
      <w:r w:rsidR="008D7D7B">
        <w:t>) how many other standards</w:t>
      </w:r>
      <w:r w:rsidR="00BA3F3A">
        <w:t xml:space="preserve"> </w:t>
      </w:r>
      <w:r w:rsidR="00BA3F3A">
        <w:rPr>
          <w:i/>
        </w:rPr>
        <w:t xml:space="preserve">allow </w:t>
      </w:r>
      <w:r w:rsidR="00EF4544">
        <w:t>SMFV</w:t>
      </w:r>
      <w:r w:rsidR="00D7126A">
        <w:t xml:space="preserve"> for some items</w:t>
      </w:r>
      <w:r w:rsidR="00AF282A">
        <w:t xml:space="preserve">? </w:t>
      </w:r>
      <w:r w:rsidR="00105619">
        <w:t xml:space="preserve">The </w:t>
      </w:r>
      <w:r w:rsidR="00850839">
        <w:t>Appendix</w:t>
      </w:r>
      <w:r w:rsidR="00BA3F3A">
        <w:t xml:space="preserve"> </w:t>
      </w:r>
      <w:r w:rsidR="00AF282A">
        <w:t>addresses those questions</w:t>
      </w:r>
      <w:r w:rsidR="00F0364D">
        <w:t xml:space="preserve"> in its columns </w:t>
      </w:r>
      <w:r>
        <w:t>3</w:t>
      </w:r>
      <w:r w:rsidR="00F0364D">
        <w:t xml:space="preserve"> and </w:t>
      </w:r>
      <w:r>
        <w:t>4</w:t>
      </w:r>
      <w:r w:rsidR="00AF282A">
        <w:t xml:space="preserve">. </w:t>
      </w:r>
    </w:p>
    <w:p w14:paraId="02A4A997" w14:textId="41444749" w:rsidR="00AF282A" w:rsidRDefault="00155CFC" w:rsidP="00AA52A6">
      <w:pPr>
        <w:spacing w:after="0" w:line="240" w:lineRule="auto"/>
        <w:ind w:firstLine="720"/>
      </w:pPr>
      <w:r>
        <w:t>I</w:t>
      </w:r>
      <w:r w:rsidR="00BA3F3A">
        <w:t xml:space="preserve">nspection of </w:t>
      </w:r>
      <w:r w:rsidR="00784B41">
        <w:t>column</w:t>
      </w:r>
      <w:r w:rsidR="00BB3126">
        <w:t xml:space="preserve"> </w:t>
      </w:r>
      <w:r w:rsidR="000A0499">
        <w:t>3</w:t>
      </w:r>
      <w:r w:rsidR="00784B41">
        <w:t xml:space="preserve"> shows that </w:t>
      </w:r>
      <w:r w:rsidR="00D7126A">
        <w:t xml:space="preserve">no standard </w:t>
      </w:r>
      <w:r w:rsidR="00324B96">
        <w:t xml:space="preserve">issued in 2006 </w:t>
      </w:r>
      <w:r w:rsidR="00D7126A">
        <w:t xml:space="preserve">requires </w:t>
      </w:r>
      <w:r w:rsidR="00EF4544">
        <w:t>SMFV</w:t>
      </w:r>
      <w:r w:rsidR="004F4D8E">
        <w:t xml:space="preserve"> for all </w:t>
      </w:r>
      <w:r w:rsidR="003A739C">
        <w:t>the assets or liabilities it covers</w:t>
      </w:r>
      <w:r w:rsidR="004F4D8E">
        <w:t xml:space="preserve">, </w:t>
      </w:r>
      <w:r w:rsidR="003A739C">
        <w:t>but</w:t>
      </w:r>
      <w:r w:rsidR="004F4D8E">
        <w:t xml:space="preserve"> f</w:t>
      </w:r>
      <w:r w:rsidR="00784B41">
        <w:t>our</w:t>
      </w:r>
      <w:r w:rsidR="00BB17C5">
        <w:t xml:space="preserve"> of the </w:t>
      </w:r>
      <w:r w:rsidR="00BA3F3A">
        <w:t xml:space="preserve">standards </w:t>
      </w:r>
      <w:r w:rsidR="00BA3F3A" w:rsidRPr="00793565">
        <w:t xml:space="preserve">require </w:t>
      </w:r>
      <w:r w:rsidR="00EF4544">
        <w:t>SMFV</w:t>
      </w:r>
      <w:r w:rsidR="00AF282A">
        <w:t xml:space="preserve"> for some items </w:t>
      </w:r>
      <w:r w:rsidR="00016488">
        <w:t xml:space="preserve">or </w:t>
      </w:r>
      <w:r w:rsidR="00AF282A">
        <w:t xml:space="preserve">under some circumstances. </w:t>
      </w:r>
      <w:r w:rsidR="00BA3F3A">
        <w:t xml:space="preserve">However, even this </w:t>
      </w:r>
      <w:r w:rsidR="005D4902">
        <w:t>might give readers an exaggerated</w:t>
      </w:r>
      <w:r w:rsidR="00B913DB">
        <w:t xml:space="preserve"> impression about the scope of SMFV</w:t>
      </w:r>
      <w:r w:rsidR="00784B41">
        <w:t xml:space="preserve"> because three</w:t>
      </w:r>
      <w:r w:rsidR="00BA3F3A">
        <w:t xml:space="preserve"> </w:t>
      </w:r>
      <w:r w:rsidR="00AF282A">
        <w:t xml:space="preserve">of those </w:t>
      </w:r>
      <w:r w:rsidR="00265685">
        <w:t xml:space="preserve">four </w:t>
      </w:r>
      <w:r w:rsidR="00B0654D">
        <w:t>standards (ASBEs 10</w:t>
      </w:r>
      <w:r w:rsidR="00784B41">
        <w:t xml:space="preserve">, </w:t>
      </w:r>
      <w:r w:rsidR="00BA3F3A">
        <w:t>11 and 22) deal with the same type of asset: su</w:t>
      </w:r>
      <w:r w:rsidR="00A81547">
        <w:t>b-categories of investments</w:t>
      </w:r>
      <w:r w:rsidR="00B66908">
        <w:t>, including</w:t>
      </w:r>
      <w:r w:rsidR="00BA3F3A">
        <w:t xml:space="preserve"> equities.</w:t>
      </w:r>
      <w:r w:rsidR="00BA3F3A">
        <w:rPr>
          <w:rStyle w:val="FootnoteReference"/>
        </w:rPr>
        <w:footnoteReference w:id="11"/>
      </w:r>
      <w:r w:rsidR="00AF282A">
        <w:t xml:space="preserve"> </w:t>
      </w:r>
      <w:r w:rsidR="00307202">
        <w:t>One of th</w:t>
      </w:r>
      <w:r w:rsidR="00AF282A">
        <w:t>os</w:t>
      </w:r>
      <w:r w:rsidR="00B0654D">
        <w:t>e three</w:t>
      </w:r>
      <w:r w:rsidR="008446F7">
        <w:t xml:space="preserve"> standards</w:t>
      </w:r>
      <w:r w:rsidR="00A81547">
        <w:t xml:space="preserve"> </w:t>
      </w:r>
      <w:r w:rsidR="00481EC7">
        <w:t>(ASBE 11) only requires SMFV for</w:t>
      </w:r>
      <w:r w:rsidR="00657418">
        <w:t xml:space="preserve"> a special type of item</w:t>
      </w:r>
      <w:r w:rsidR="00FB3048">
        <w:t xml:space="preserve">: </w:t>
      </w:r>
      <w:r w:rsidR="00B0654D">
        <w:t>ca</w:t>
      </w:r>
      <w:r w:rsidR="00FB3048">
        <w:t>sh-settled share-based payments</w:t>
      </w:r>
      <w:r w:rsidR="00B0654D">
        <w:t>. The four</w:t>
      </w:r>
      <w:r w:rsidR="00AF282A">
        <w:t>th</w:t>
      </w:r>
      <w:r w:rsidR="00307202">
        <w:t xml:space="preserve"> standard </w:t>
      </w:r>
      <w:r w:rsidR="00BB3126">
        <w:t xml:space="preserve">which might require </w:t>
      </w:r>
      <w:r w:rsidR="000948DC">
        <w:t>SMFV</w:t>
      </w:r>
      <w:r w:rsidR="00AF282A">
        <w:t xml:space="preserve"> under some circumstances </w:t>
      </w:r>
      <w:r w:rsidR="00307202">
        <w:t>(ASBE 5</w:t>
      </w:r>
      <w:r w:rsidR="002C6F5B">
        <w:t xml:space="preserve">) deals with biological assets. </w:t>
      </w:r>
      <w:r w:rsidR="00BA67B9">
        <w:t>However,</w:t>
      </w:r>
      <w:r>
        <w:t xml:space="preserve"> it</w:t>
      </w:r>
      <w:r w:rsidR="00444B08">
        <w:t xml:space="preserve"> requires </w:t>
      </w:r>
      <w:r w:rsidR="00EF7B85">
        <w:t>historical</w:t>
      </w:r>
      <w:r w:rsidR="00444B08">
        <w:t xml:space="preserve"> cost </w:t>
      </w:r>
      <w:r w:rsidR="00EF7B85">
        <w:t>accounting</w:t>
      </w:r>
      <w:r w:rsidR="00444B08">
        <w:t xml:space="preserve"> </w:t>
      </w:r>
      <w:r w:rsidR="00423599">
        <w:t xml:space="preserve">(Article 6) </w:t>
      </w:r>
      <w:r w:rsidR="00B0654D">
        <w:t xml:space="preserve">unless there is “conclusive evidence” that </w:t>
      </w:r>
      <w:r w:rsidR="00444B08">
        <w:t>fair value</w:t>
      </w:r>
      <w:r w:rsidR="00B0654D">
        <w:t xml:space="preserve"> can be measured reliably on a co</w:t>
      </w:r>
      <w:r w:rsidR="003B16D5">
        <w:t>ntinuing basis</w:t>
      </w:r>
      <w:r w:rsidR="008D7D7B">
        <w:t xml:space="preserve"> </w:t>
      </w:r>
      <w:r w:rsidR="00B0654D">
        <w:t>(Article 22)</w:t>
      </w:r>
      <w:r w:rsidR="00307202">
        <w:t xml:space="preserve">. </w:t>
      </w:r>
      <w:r w:rsidR="00C45758">
        <w:t xml:space="preserve">By contrast, </w:t>
      </w:r>
      <w:r w:rsidR="00B95585">
        <w:t xml:space="preserve">the analogous part of IFRS </w:t>
      </w:r>
      <w:r w:rsidR="00C45758">
        <w:t>makes “a presumption that fair value can be measured reliably for a biological asset” (</w:t>
      </w:r>
      <w:r w:rsidR="00B66908">
        <w:t xml:space="preserve">IAS 41 </w:t>
      </w:r>
      <w:r w:rsidR="00B66908" w:rsidRPr="00276005">
        <w:rPr>
          <w:i/>
        </w:rPr>
        <w:t>Biological Assets</w:t>
      </w:r>
      <w:r w:rsidR="00B66908">
        <w:t>, para.</w:t>
      </w:r>
      <w:r w:rsidR="00C45758">
        <w:t xml:space="preserve"> 30).</w:t>
      </w:r>
      <w:r w:rsidR="002C6F5B" w:rsidRPr="002C6F5B">
        <w:t xml:space="preserve"> </w:t>
      </w:r>
      <w:r w:rsidR="00DC2AA1">
        <w:t>Xiao and Hu</w:t>
      </w:r>
      <w:r w:rsidR="00142F15">
        <w:t xml:space="preserve"> (2017, Table 3) </w:t>
      </w:r>
      <w:r w:rsidR="0057095C">
        <w:t xml:space="preserve">survey 147 Chinese companies and </w:t>
      </w:r>
      <w:r w:rsidR="00142F15">
        <w:t xml:space="preserve">find that, of the </w:t>
      </w:r>
      <w:r w:rsidR="00DC2AA1">
        <w:t>few companies in their sa</w:t>
      </w:r>
      <w:r w:rsidR="00142F15">
        <w:t xml:space="preserve">mple which had biological assets, </w:t>
      </w:r>
      <w:r w:rsidR="00DC2AA1">
        <w:t xml:space="preserve">none of them used </w:t>
      </w:r>
      <w:r w:rsidR="00EF4544">
        <w:t>SMFV</w:t>
      </w:r>
      <w:r w:rsidR="00DC2AA1">
        <w:t>.</w:t>
      </w:r>
      <w:r w:rsidR="0037172C">
        <w:t xml:space="preserve"> </w:t>
      </w:r>
    </w:p>
    <w:p w14:paraId="5CF8DBA0" w14:textId="651FCFA4" w:rsidR="003946A1" w:rsidRDefault="003946A1" w:rsidP="00AA52A6">
      <w:pPr>
        <w:spacing w:after="0" w:line="240" w:lineRule="auto"/>
      </w:pPr>
      <w:r>
        <w:tab/>
      </w:r>
      <w:r w:rsidR="00414384">
        <w:t>Why do I sco</w:t>
      </w:r>
      <w:r w:rsidR="002227EA">
        <w:t xml:space="preserve">re </w:t>
      </w:r>
      <w:r w:rsidR="000948DC">
        <w:t xml:space="preserve">only </w:t>
      </w:r>
      <w:r w:rsidR="003A739C">
        <w:t xml:space="preserve">these </w:t>
      </w:r>
      <w:r w:rsidR="002227EA">
        <w:t>four</w:t>
      </w:r>
      <w:r w:rsidR="003E14D5">
        <w:t xml:space="preserve"> </w:t>
      </w:r>
      <w:r w:rsidR="00155CFC">
        <w:t xml:space="preserve">standards </w:t>
      </w:r>
      <w:r w:rsidR="00EF4544">
        <w:t xml:space="preserve">as </w:t>
      </w:r>
      <w:r w:rsidR="00EF4544" w:rsidRPr="00A4102C">
        <w:rPr>
          <w:i/>
        </w:rPr>
        <w:t>requiring</w:t>
      </w:r>
      <w:r w:rsidR="00EF4544">
        <w:t xml:space="preserve"> SMFV </w:t>
      </w:r>
      <w:r w:rsidR="003E14D5">
        <w:t>when PB scored eight?</w:t>
      </w:r>
      <w:r w:rsidR="007E2CC5">
        <w:t xml:space="preserve"> PB erroneously include ASBEs 3, 23, 24 and 27.</w:t>
      </w:r>
      <w:r w:rsidR="005D4902">
        <w:rPr>
          <w:rStyle w:val="FootnoteReference"/>
        </w:rPr>
        <w:footnoteReference w:id="12"/>
      </w:r>
      <w:r w:rsidR="003E14D5">
        <w:t xml:space="preserve"> </w:t>
      </w:r>
      <w:r w:rsidR="00414384">
        <w:t xml:space="preserve">The first of these, ASBE 3, involves an </w:t>
      </w:r>
      <w:r w:rsidR="00414384" w:rsidRPr="00414384">
        <w:rPr>
          <w:i/>
        </w:rPr>
        <w:t>option</w:t>
      </w:r>
      <w:r w:rsidR="00414384">
        <w:t xml:space="preserve"> not a requirement to use </w:t>
      </w:r>
      <w:r w:rsidR="00EF4544">
        <w:t>SMFV</w:t>
      </w:r>
      <w:r w:rsidR="00414384">
        <w:t xml:space="preserve"> for investment property. It is therefore discussed </w:t>
      </w:r>
      <w:r w:rsidR="005D4902">
        <w:t>in my</w:t>
      </w:r>
      <w:r w:rsidR="00265685">
        <w:t xml:space="preserve"> next paragraph</w:t>
      </w:r>
      <w:r w:rsidR="00414384">
        <w:t xml:space="preserve">. ASBE 23 concerns </w:t>
      </w:r>
      <w:r w:rsidR="00414384" w:rsidRPr="00155CFC">
        <w:rPr>
          <w:i/>
        </w:rPr>
        <w:t xml:space="preserve">initial </w:t>
      </w:r>
      <w:r w:rsidR="00414384">
        <w:t>measure</w:t>
      </w:r>
      <w:r w:rsidR="00F15E98">
        <w:t xml:space="preserve">ment </w:t>
      </w:r>
      <w:r w:rsidR="003A739C">
        <w:t xml:space="preserve">(not SMFV) </w:t>
      </w:r>
      <w:r w:rsidR="00F15E98">
        <w:t>of transferred assets</w:t>
      </w:r>
      <w:r w:rsidR="007E2CC5">
        <w:t xml:space="preserve">, so it is included in </w:t>
      </w:r>
      <w:r w:rsidR="00735608">
        <w:t xml:space="preserve">the scores in </w:t>
      </w:r>
      <w:r w:rsidR="00952A0B">
        <w:t>column 2 of the Appendix</w:t>
      </w:r>
      <w:r w:rsidR="00F15E98">
        <w:t xml:space="preserve">. </w:t>
      </w:r>
      <w:r w:rsidR="00414384">
        <w:t>ASBE 24 concerns criteria for allowing hedge accounting</w:t>
      </w:r>
      <w:r w:rsidR="002227EA">
        <w:t xml:space="preserve"> rather than itself requiring or allowing </w:t>
      </w:r>
      <w:r w:rsidR="000948DC">
        <w:t>SMFV</w:t>
      </w:r>
      <w:r w:rsidR="000C4E29">
        <w:t xml:space="preserve">, so it is included </w:t>
      </w:r>
      <w:r w:rsidR="00952A0B">
        <w:t xml:space="preserve">in column 6 and </w:t>
      </w:r>
      <w:r w:rsidR="000C4E29">
        <w:t>in 3.6</w:t>
      </w:r>
      <w:r w:rsidR="00D66924">
        <w:t xml:space="preserve"> below</w:t>
      </w:r>
      <w:r w:rsidR="00414384">
        <w:t>.</w:t>
      </w:r>
      <w:r w:rsidR="002227EA">
        <w:t xml:space="preserve"> ASBE 27 concerns extractive industries and, like the main standards on tangible and intangible assets (ASBEs 4 and 6), it requires the cost basis.</w:t>
      </w:r>
      <w:r w:rsidR="005029B8">
        <w:rPr>
          <w:rStyle w:val="FootnoteReference"/>
        </w:rPr>
        <w:footnoteReference w:id="13"/>
      </w:r>
      <w:r w:rsidR="002227EA">
        <w:t xml:space="preserve"> Songlan Peng has kindly confir</w:t>
      </w:r>
      <w:r w:rsidR="003E14D5">
        <w:t>med that this was an error in PB</w:t>
      </w:r>
      <w:r w:rsidR="002227EA">
        <w:t>.</w:t>
      </w:r>
      <w:r w:rsidR="002227EA">
        <w:rPr>
          <w:rStyle w:val="FootnoteReference"/>
        </w:rPr>
        <w:footnoteReference w:id="14"/>
      </w:r>
      <w:r w:rsidR="00155CFC">
        <w:t xml:space="preserve"> U</w:t>
      </w:r>
      <w:r w:rsidR="003E14D5">
        <w:t>nlike PB</w:t>
      </w:r>
      <w:r w:rsidR="00414384">
        <w:t xml:space="preserve"> and BGP, I provide </w:t>
      </w:r>
      <w:r w:rsidR="00F15E98">
        <w:t xml:space="preserve">in </w:t>
      </w:r>
      <w:r w:rsidR="00105619">
        <w:t xml:space="preserve">the </w:t>
      </w:r>
      <w:r w:rsidR="00850839">
        <w:t>Appendix</w:t>
      </w:r>
      <w:r w:rsidR="00F15E98">
        <w:t xml:space="preserve"> </w:t>
      </w:r>
      <w:r w:rsidR="00414384">
        <w:t xml:space="preserve">the detailed references within the standards, so that readers can check my conclusions. </w:t>
      </w:r>
    </w:p>
    <w:p w14:paraId="5EED3B67" w14:textId="6FF27CAB" w:rsidR="00307202" w:rsidRDefault="00307202" w:rsidP="00AA52A6">
      <w:pPr>
        <w:spacing w:after="0" w:line="240" w:lineRule="auto"/>
        <w:ind w:firstLine="720"/>
      </w:pPr>
      <w:r>
        <w:t xml:space="preserve">Is </w:t>
      </w:r>
      <w:r w:rsidR="00EF4544">
        <w:t>SMFV</w:t>
      </w:r>
      <w:r>
        <w:t xml:space="preserve"> </w:t>
      </w:r>
      <w:r>
        <w:rPr>
          <w:i/>
        </w:rPr>
        <w:t>allowed</w:t>
      </w:r>
      <w:r w:rsidR="00AF282A">
        <w:t xml:space="preserve"> </w:t>
      </w:r>
      <w:r w:rsidR="00276005">
        <w:t xml:space="preserve">by ASBEs </w:t>
      </w:r>
      <w:r w:rsidR="00AF282A">
        <w:t xml:space="preserve">for any other type of asset? </w:t>
      </w:r>
      <w:r w:rsidR="00952A0B">
        <w:t>C</w:t>
      </w:r>
      <w:r>
        <w:t xml:space="preserve">olumn </w:t>
      </w:r>
      <w:r w:rsidR="00952A0B">
        <w:t xml:space="preserve">4 </w:t>
      </w:r>
      <w:r>
        <w:t xml:space="preserve">of </w:t>
      </w:r>
      <w:r w:rsidR="00105619">
        <w:t xml:space="preserve">the </w:t>
      </w:r>
      <w:r w:rsidR="00850839">
        <w:t>Appendix</w:t>
      </w:r>
      <w:r>
        <w:t xml:space="preserve"> shows that permission to use</w:t>
      </w:r>
      <w:r w:rsidR="00D754A8">
        <w:t xml:space="preserve"> </w:t>
      </w:r>
      <w:r w:rsidR="00EF4544">
        <w:t>SMFV</w:t>
      </w:r>
      <w:r w:rsidR="00D754A8">
        <w:t xml:space="preserve"> </w:t>
      </w:r>
      <w:r>
        <w:t>is only extended to two further typ</w:t>
      </w:r>
      <w:r w:rsidR="00AF282A">
        <w:t xml:space="preserve">es of asset, both investments: </w:t>
      </w:r>
      <w:r>
        <w:t>some types of financial instruments for which ASBE 22</w:t>
      </w:r>
      <w:r w:rsidR="00AF282A">
        <w:t xml:space="preserve"> does not already require </w:t>
      </w:r>
      <w:r w:rsidR="00EF4544">
        <w:t>SMFV</w:t>
      </w:r>
      <w:r w:rsidR="00AC0407">
        <w:t>, and investment property (ASBE 3)</w:t>
      </w:r>
      <w:r w:rsidR="00AF282A">
        <w:t xml:space="preserve">. </w:t>
      </w:r>
      <w:r w:rsidR="00D754A8">
        <w:t xml:space="preserve">However, </w:t>
      </w:r>
      <w:r w:rsidR="005C3789">
        <w:t xml:space="preserve">whereas </w:t>
      </w:r>
      <w:r w:rsidR="00D754A8">
        <w:t xml:space="preserve">IAS 40 </w:t>
      </w:r>
      <w:r w:rsidR="005C3789">
        <w:t xml:space="preserve">(paragraph 30) offers a free choice of </w:t>
      </w:r>
      <w:r w:rsidR="00EF4544">
        <w:t>SMFV</w:t>
      </w:r>
      <w:r w:rsidR="005C3789">
        <w:t xml:space="preserve"> </w:t>
      </w:r>
      <w:r w:rsidR="00D754A8">
        <w:t>for investment properties</w:t>
      </w:r>
      <w:r w:rsidR="00F274F8">
        <w:t xml:space="preserve"> but for “exceptional cases”,</w:t>
      </w:r>
      <w:r w:rsidR="003B3978">
        <w:rPr>
          <w:rStyle w:val="FootnoteReference"/>
        </w:rPr>
        <w:footnoteReference w:id="15"/>
      </w:r>
      <w:r w:rsidR="00F274F8">
        <w:t xml:space="preserve"> </w:t>
      </w:r>
      <w:r w:rsidR="00A81547">
        <w:t>ASBE 3</w:t>
      </w:r>
      <w:r w:rsidR="00D754A8">
        <w:t xml:space="preserve"> (Article 10) </w:t>
      </w:r>
      <w:r w:rsidR="005D4902">
        <w:t>constrains that option</w:t>
      </w:r>
      <w:r w:rsidR="00BA67B9">
        <w:t xml:space="preserve"> </w:t>
      </w:r>
      <w:r w:rsidR="00D66924">
        <w:t>by requiring</w:t>
      </w:r>
      <w:r w:rsidR="00D754A8">
        <w:t xml:space="preserve"> </w:t>
      </w:r>
      <w:r w:rsidR="00F274F8">
        <w:t>“</w:t>
      </w:r>
      <w:r w:rsidR="00D754A8">
        <w:t>conclusive evidence</w:t>
      </w:r>
      <w:r w:rsidR="00F274F8">
        <w:t>”</w:t>
      </w:r>
      <w:r w:rsidR="00D754A8">
        <w:t xml:space="preserve"> about the continuing reliability of fair value measurement</w:t>
      </w:r>
      <w:r w:rsidR="003B3978">
        <w:t>, including the existence of</w:t>
      </w:r>
      <w:r w:rsidR="003B16D5">
        <w:t xml:space="preserve"> an active market</w:t>
      </w:r>
      <w:r w:rsidR="00D754A8">
        <w:t xml:space="preserve">. </w:t>
      </w:r>
      <w:r w:rsidR="005C3789">
        <w:t>Indeed, t</w:t>
      </w:r>
      <w:r w:rsidR="0065251D">
        <w:t xml:space="preserve">here is </w:t>
      </w:r>
      <w:r>
        <w:t xml:space="preserve">evidence that </w:t>
      </w:r>
      <w:r w:rsidR="00EF4544">
        <w:t>SMFV</w:t>
      </w:r>
      <w:r>
        <w:t xml:space="preserve"> is </w:t>
      </w:r>
      <w:r w:rsidR="00EF7B85">
        <w:t>little used</w:t>
      </w:r>
      <w:r w:rsidR="0065251D">
        <w:t xml:space="preserve"> for investment properties</w:t>
      </w:r>
      <w:r w:rsidR="00A81547">
        <w:t xml:space="preserve"> under ASBE 3</w:t>
      </w:r>
      <w:r w:rsidR="0065251D">
        <w:t xml:space="preserve">. </w:t>
      </w:r>
      <w:r>
        <w:t>For example</w:t>
      </w:r>
      <w:r w:rsidR="0065251D">
        <w:t>, Beijing North Star prepares both</w:t>
      </w:r>
      <w:r w:rsidR="008C1426">
        <w:t xml:space="preserve"> IFRS a</w:t>
      </w:r>
      <w:r w:rsidR="003F1381">
        <w:t>nd ASBE financial statements, choosing</w:t>
      </w:r>
      <w:r w:rsidR="002827F7">
        <w:t xml:space="preserve"> SMFV</w:t>
      </w:r>
      <w:r w:rsidR="008C1426">
        <w:t xml:space="preserve"> </w:t>
      </w:r>
      <w:r w:rsidR="003F1381">
        <w:t xml:space="preserve">under IFRS but </w:t>
      </w:r>
      <w:r w:rsidR="00EF7B85">
        <w:t xml:space="preserve">using </w:t>
      </w:r>
      <w:r w:rsidR="008C1426">
        <w:t>cost under ASBE 3.</w:t>
      </w:r>
      <w:r w:rsidR="008C1426">
        <w:rPr>
          <w:rStyle w:val="FootnoteReference"/>
        </w:rPr>
        <w:footnoteReference w:id="16"/>
      </w:r>
      <w:r w:rsidR="003341B8">
        <w:t xml:space="preserve"> </w:t>
      </w:r>
      <w:r w:rsidR="00874C6E">
        <w:t>PB (</w:t>
      </w:r>
      <w:r w:rsidR="00C15835">
        <w:t xml:space="preserve">p. </w:t>
      </w:r>
      <w:r w:rsidR="007A44E4">
        <w:t>997</w:t>
      </w:r>
      <w:r w:rsidR="00C15835">
        <w:t xml:space="preserve">) found that only 3% of Chinese companies in their sample chose </w:t>
      </w:r>
      <w:r w:rsidR="00EF4544">
        <w:t>SMFV</w:t>
      </w:r>
      <w:r w:rsidR="00C15835">
        <w:t xml:space="preserve"> for investment properties in 2007 and 2008. </w:t>
      </w:r>
      <w:r w:rsidR="003341B8">
        <w:t>Xiao and Hu (2017</w:t>
      </w:r>
      <w:r w:rsidR="00A818D0">
        <w:t>, p. 13</w:t>
      </w:r>
      <w:r w:rsidR="003341B8">
        <w:t>) find that</w:t>
      </w:r>
      <w:r w:rsidR="00DC2AA1">
        <w:t xml:space="preserve"> onl</w:t>
      </w:r>
      <w:r w:rsidR="008D7D7B">
        <w:t>y 8.6% of Chinese companies which had</w:t>
      </w:r>
      <w:r w:rsidR="00DC2AA1">
        <w:t xml:space="preserve"> investment properties</w:t>
      </w:r>
      <w:r w:rsidR="008D7D7B" w:rsidRPr="008D7D7B">
        <w:t xml:space="preserve"> </w:t>
      </w:r>
      <w:r w:rsidR="008D7D7B">
        <w:t xml:space="preserve">used </w:t>
      </w:r>
      <w:r w:rsidR="00EF4544">
        <w:t>SMFV</w:t>
      </w:r>
      <w:r w:rsidR="008D7D7B">
        <w:t xml:space="preserve"> </w:t>
      </w:r>
      <w:r w:rsidR="00142F15">
        <w:t xml:space="preserve">to account </w:t>
      </w:r>
      <w:r w:rsidR="008D7D7B">
        <w:t>for them</w:t>
      </w:r>
      <w:r w:rsidR="007A44E4">
        <w:t xml:space="preserve"> in 2007 to 2011</w:t>
      </w:r>
      <w:r w:rsidR="00DC2AA1">
        <w:t>.</w:t>
      </w:r>
      <w:r w:rsidR="00DC2AA1">
        <w:rPr>
          <w:rStyle w:val="FootnoteReference"/>
        </w:rPr>
        <w:footnoteReference w:id="17"/>
      </w:r>
      <w:r w:rsidR="00E332DA">
        <w:t xml:space="preserve"> In conclusion, PB record ASBE 3 as </w:t>
      </w:r>
      <w:r w:rsidR="00E332DA" w:rsidRPr="00A4102C">
        <w:rPr>
          <w:i/>
        </w:rPr>
        <w:t>r</w:t>
      </w:r>
      <w:r w:rsidR="008F4533" w:rsidRPr="00A4102C">
        <w:rPr>
          <w:i/>
        </w:rPr>
        <w:t>equiring</w:t>
      </w:r>
      <w:r w:rsidR="008F4533">
        <w:t xml:space="preserve"> SMFV, whereas fair value</w:t>
      </w:r>
      <w:r w:rsidR="00E332DA">
        <w:t xml:space="preserve"> is </w:t>
      </w:r>
      <w:r w:rsidR="008F4533">
        <w:t xml:space="preserve">actually </w:t>
      </w:r>
      <w:r w:rsidR="00E332DA">
        <w:t xml:space="preserve">only a constrained option, and </w:t>
      </w:r>
      <w:r w:rsidR="00AC0407">
        <w:t>is</w:t>
      </w:r>
      <w:r w:rsidR="00E332DA">
        <w:t xml:space="preserve"> rarely used.</w:t>
      </w:r>
    </w:p>
    <w:p w14:paraId="6166F2DD" w14:textId="4DE5A8DD" w:rsidR="000D0602" w:rsidRDefault="00307202" w:rsidP="00AA52A6">
      <w:pPr>
        <w:spacing w:after="0" w:line="240" w:lineRule="auto"/>
      </w:pPr>
      <w:r>
        <w:tab/>
      </w:r>
      <w:r w:rsidR="00874C6E">
        <w:t xml:space="preserve">We can now summarise the position on </w:t>
      </w:r>
      <w:r w:rsidR="00EF4544">
        <w:t>SMFV</w:t>
      </w:r>
      <w:r w:rsidR="00874C6E">
        <w:t xml:space="preserve">. </w:t>
      </w:r>
      <w:r w:rsidR="00845C8F">
        <w:t>PB report that eight</w:t>
      </w:r>
      <w:r w:rsidR="000D0602">
        <w:t xml:space="preserve"> </w:t>
      </w:r>
      <w:r w:rsidR="00874C6E">
        <w:t xml:space="preserve">Chinese standards of 2006 require </w:t>
      </w:r>
      <w:r w:rsidR="000948DC">
        <w:t>SMFV</w:t>
      </w:r>
      <w:r w:rsidR="003E14D5">
        <w:t xml:space="preserve">, but </w:t>
      </w:r>
      <w:r w:rsidR="00845C8F">
        <w:t>m</w:t>
      </w:r>
      <w:r w:rsidR="000D0602">
        <w:t xml:space="preserve">y assessment </w:t>
      </w:r>
      <w:r w:rsidR="00BB17C5">
        <w:t xml:space="preserve">above </w:t>
      </w:r>
      <w:r w:rsidR="000D0602">
        <w:t>is that</w:t>
      </w:r>
      <w:r>
        <w:t xml:space="preserve"> </w:t>
      </w:r>
      <w:r w:rsidR="00EF4544">
        <w:t>SMFV</w:t>
      </w:r>
      <w:r>
        <w:t xml:space="preserve"> is only required </w:t>
      </w:r>
      <w:r w:rsidR="002827F7">
        <w:t>by four standards</w:t>
      </w:r>
      <w:r w:rsidR="00601884">
        <w:rPr>
          <w:rStyle w:val="FootnoteReference"/>
        </w:rPr>
        <w:footnoteReference w:id="18"/>
      </w:r>
      <w:r w:rsidR="002827F7">
        <w:t xml:space="preserve"> </w:t>
      </w:r>
      <w:r w:rsidR="00874C6E">
        <w:t xml:space="preserve">and </w:t>
      </w:r>
      <w:r w:rsidR="00F15E98">
        <w:lastRenderedPageBreak/>
        <w:t xml:space="preserve">is </w:t>
      </w:r>
      <w:r w:rsidR="00874C6E">
        <w:t>allowed by a further one.</w:t>
      </w:r>
      <w:r w:rsidR="00601884">
        <w:rPr>
          <w:rStyle w:val="FootnoteReference"/>
        </w:rPr>
        <w:footnoteReference w:id="19"/>
      </w:r>
      <w:r w:rsidR="00874C6E">
        <w:t xml:space="preserve"> The assets concerned are </w:t>
      </w:r>
      <w:r>
        <w:t>certain types of investm</w:t>
      </w:r>
      <w:r w:rsidR="00874C6E">
        <w:t>ents and</w:t>
      </w:r>
      <w:r w:rsidR="00AF282A">
        <w:t xml:space="preserve"> biological assets</w:t>
      </w:r>
      <w:r w:rsidR="002775EA">
        <w:t>. F</w:t>
      </w:r>
      <w:r w:rsidR="005D6B2C">
        <w:t>urthermore, f</w:t>
      </w:r>
      <w:r w:rsidR="002775EA">
        <w:t>or</w:t>
      </w:r>
      <w:r w:rsidR="00AC0407">
        <w:t xml:space="preserve"> </w:t>
      </w:r>
      <w:r w:rsidR="000257AA">
        <w:t xml:space="preserve">the </w:t>
      </w:r>
      <w:r w:rsidR="0020373A">
        <w:t xml:space="preserve">assets </w:t>
      </w:r>
      <w:r w:rsidR="00AC0407">
        <w:t>other than</w:t>
      </w:r>
      <w:r w:rsidR="00891CB5">
        <w:t xml:space="preserve"> financial instruments</w:t>
      </w:r>
      <w:r w:rsidR="00AC0407">
        <w:t>,</w:t>
      </w:r>
      <w:r w:rsidR="00891CB5">
        <w:t xml:space="preserve"> the use of fair value is constrained by tough conditions about reliability</w:t>
      </w:r>
      <w:r w:rsidR="00AF282A">
        <w:t>.</w:t>
      </w:r>
      <w:r w:rsidR="00A818D0">
        <w:t xml:space="preserve"> </w:t>
      </w:r>
      <w:r w:rsidR="009974F1">
        <w:t>This is a far cry from the impression given by BGP (see the quotations</w:t>
      </w:r>
      <w:r w:rsidR="009974F1" w:rsidRPr="00F15E98">
        <w:t xml:space="preserve"> </w:t>
      </w:r>
      <w:r w:rsidR="009974F1">
        <w:t>above in Section</w:t>
      </w:r>
      <w:r w:rsidR="00845C8F">
        <w:t xml:space="preserve"> 1</w:t>
      </w:r>
      <w:r w:rsidR="009974F1">
        <w:t xml:space="preserve">). </w:t>
      </w:r>
      <w:r w:rsidR="00A818D0">
        <w:t xml:space="preserve">In practice, </w:t>
      </w:r>
      <w:r w:rsidR="00EF4544">
        <w:t>SMFV</w:t>
      </w:r>
      <w:r>
        <w:t xml:space="preserve"> is generally restricted to </w:t>
      </w:r>
      <w:r w:rsidR="00AF282A">
        <w:t>a sub-set of financial assets</w:t>
      </w:r>
      <w:r w:rsidR="00A818D0">
        <w:t xml:space="preserve"> because the other </w:t>
      </w:r>
      <w:r w:rsidR="00891CB5">
        <w:t xml:space="preserve">assets seldom meet the </w:t>
      </w:r>
      <w:r w:rsidR="00A818D0">
        <w:t>reliability thr</w:t>
      </w:r>
      <w:r w:rsidR="00BA67B9">
        <w:t>eshold</w:t>
      </w:r>
      <w:r w:rsidR="00AF282A">
        <w:t>.</w:t>
      </w:r>
      <w:r w:rsidR="009974F1">
        <w:t xml:space="preserve"> The two empirical surveys quoted above</w:t>
      </w:r>
      <w:r w:rsidR="009974F1">
        <w:rPr>
          <w:rStyle w:val="FootnoteReference"/>
        </w:rPr>
        <w:footnoteReference w:id="20"/>
      </w:r>
      <w:r w:rsidR="009974F1">
        <w:t xml:space="preserve"> confirm for particular assets</w:t>
      </w:r>
      <w:r w:rsidR="00A521CD">
        <w:t xml:space="preserve"> the scarce</w:t>
      </w:r>
      <w:r w:rsidR="008F4533">
        <w:t xml:space="preserve"> use of fair value</w:t>
      </w:r>
      <w:r w:rsidR="00265685">
        <w:t xml:space="preserve">. </w:t>
      </w:r>
      <w:r w:rsidR="009974F1">
        <w:t>Yang</w:t>
      </w:r>
      <w:r w:rsidR="00B73770">
        <w:t>, Clark, Wu and Farley</w:t>
      </w:r>
      <w:r w:rsidR="009974F1">
        <w:t xml:space="preserve"> (2018, p. 24) observe </w:t>
      </w:r>
      <w:r w:rsidR="008F4533">
        <w:t xml:space="preserve">more </w:t>
      </w:r>
      <w:r w:rsidR="009974F1">
        <w:t>generally that: “Historical cost accounting dominates accounting practice in China; not many companies surveyed chose to use fair value accounting”</w:t>
      </w:r>
      <w:r w:rsidR="00AF282A">
        <w:t xml:space="preserve">. </w:t>
      </w:r>
    </w:p>
    <w:p w14:paraId="4D3DA52A" w14:textId="77777777" w:rsidR="00647959" w:rsidRDefault="00647959" w:rsidP="00AA52A6">
      <w:pPr>
        <w:spacing w:after="0" w:line="240" w:lineRule="auto"/>
      </w:pPr>
    </w:p>
    <w:p w14:paraId="4144D704" w14:textId="39FE8D8E" w:rsidR="007334B5" w:rsidRPr="003F2B41" w:rsidRDefault="000C4E29" w:rsidP="00AA52A6">
      <w:pPr>
        <w:spacing w:after="0" w:line="240" w:lineRule="auto"/>
        <w:rPr>
          <w:rFonts w:eastAsia="SimSun"/>
          <w:i/>
        </w:rPr>
      </w:pPr>
      <w:r>
        <w:rPr>
          <w:rFonts w:eastAsia="SimSun"/>
          <w:i/>
        </w:rPr>
        <w:t>3.4</w:t>
      </w:r>
      <w:r w:rsidR="007334B5" w:rsidRPr="003F2B41">
        <w:rPr>
          <w:rFonts w:eastAsia="SimSun"/>
          <w:i/>
        </w:rPr>
        <w:t xml:space="preserve"> </w:t>
      </w:r>
      <w:r w:rsidR="00265685" w:rsidRPr="003F2B41">
        <w:rPr>
          <w:rFonts w:eastAsia="SimSun"/>
          <w:i/>
        </w:rPr>
        <w:t>Reconciling our scores?</w:t>
      </w:r>
    </w:p>
    <w:p w14:paraId="13F8E0FE" w14:textId="49F0543C" w:rsidR="000261B5" w:rsidRDefault="007334B5" w:rsidP="00AA52A6">
      <w:pPr>
        <w:spacing w:after="0" w:line="240" w:lineRule="auto"/>
        <w:ind w:firstLine="720"/>
        <w:rPr>
          <w:rFonts w:cstheme="minorHAnsi"/>
        </w:rPr>
      </w:pPr>
      <w:r>
        <w:t>One</w:t>
      </w:r>
      <w:r w:rsidR="000261B5" w:rsidRPr="00AD16BF">
        <w:t xml:space="preserve"> way of </w:t>
      </w:r>
      <w:r w:rsidR="005D6B2C">
        <w:t xml:space="preserve">trying to </w:t>
      </w:r>
      <w:r w:rsidR="000261B5" w:rsidRPr="00AD16BF">
        <w:t>reconcil</w:t>
      </w:r>
      <w:r w:rsidR="005D6B2C">
        <w:t>e</w:t>
      </w:r>
      <w:r w:rsidR="000261B5" w:rsidRPr="00AD16BF">
        <w:t xml:space="preserve"> PB’s analysis with mine </w:t>
      </w:r>
      <w:r w:rsidR="000A7C72">
        <w:t>would be to assume</w:t>
      </w:r>
      <w:r w:rsidR="000261B5" w:rsidRPr="00AD16BF">
        <w:t xml:space="preserve"> that</w:t>
      </w:r>
      <w:r w:rsidR="000261B5">
        <w:t>,</w:t>
      </w:r>
      <w:r w:rsidR="000261B5" w:rsidRPr="00AD16BF">
        <w:t xml:space="preserve"> when PB refer to the use of fair value “</w:t>
      </w:r>
      <w:r w:rsidR="000261B5" w:rsidRPr="009C4279">
        <w:rPr>
          <w:rFonts w:cstheme="minorHAnsi"/>
        </w:rPr>
        <w:t xml:space="preserve">in the initial measurement of assets and liabilities” or “in subsequent measurement”, they are carefully </w:t>
      </w:r>
      <w:r w:rsidR="00F80738">
        <w:rPr>
          <w:rFonts w:cstheme="minorHAnsi"/>
        </w:rPr>
        <w:t>writ</w:t>
      </w:r>
      <w:r w:rsidR="002775EA">
        <w:rPr>
          <w:rFonts w:cstheme="minorHAnsi"/>
        </w:rPr>
        <w:t>ing</w:t>
      </w:r>
      <w:r w:rsidR="000261B5" w:rsidRPr="009C4279">
        <w:rPr>
          <w:rFonts w:cstheme="minorHAnsi"/>
        </w:rPr>
        <w:t xml:space="preserve"> “in” </w:t>
      </w:r>
      <w:r w:rsidR="002775EA">
        <w:rPr>
          <w:rFonts w:cstheme="minorHAnsi"/>
        </w:rPr>
        <w:t>rather than</w:t>
      </w:r>
      <w:r w:rsidR="000261B5" w:rsidRPr="009C4279">
        <w:rPr>
          <w:rFonts w:cstheme="minorHAnsi"/>
        </w:rPr>
        <w:t xml:space="preserve"> “for”. That is, </w:t>
      </w:r>
      <w:r w:rsidR="00882CE3">
        <w:rPr>
          <w:rFonts w:cstheme="minorHAnsi"/>
        </w:rPr>
        <w:t xml:space="preserve">this would assume that </w:t>
      </w:r>
      <w:r w:rsidR="000261B5" w:rsidRPr="009C4279">
        <w:rPr>
          <w:rFonts w:cstheme="minorHAnsi"/>
        </w:rPr>
        <w:t xml:space="preserve">PB are including cases where fair value is not the measurement basis but where fair value is sometimes referred to, however rarely, in the </w:t>
      </w:r>
      <w:r w:rsidR="002775EA">
        <w:rPr>
          <w:rFonts w:cstheme="minorHAnsi"/>
        </w:rPr>
        <w:t xml:space="preserve">measurement </w:t>
      </w:r>
      <w:r w:rsidR="000261B5" w:rsidRPr="009C4279">
        <w:rPr>
          <w:rFonts w:cstheme="minorHAnsi"/>
        </w:rPr>
        <w:t>process.</w:t>
      </w:r>
      <w:r w:rsidR="000261B5">
        <w:rPr>
          <w:rStyle w:val="FootnoteReference"/>
          <w:rFonts w:cstheme="minorHAnsi"/>
        </w:rPr>
        <w:footnoteReference w:id="21"/>
      </w:r>
      <w:r w:rsidR="000261B5" w:rsidRPr="009C4279">
        <w:rPr>
          <w:rFonts w:cstheme="minorHAnsi"/>
        </w:rPr>
        <w:t xml:space="preserve"> This would fit a research goal of </w:t>
      </w:r>
      <w:r w:rsidR="000261B5">
        <w:rPr>
          <w:rFonts w:cstheme="minorHAnsi"/>
        </w:rPr>
        <w:t xml:space="preserve">trying to </w:t>
      </w:r>
      <w:r w:rsidR="000261B5" w:rsidRPr="00404DE9">
        <w:rPr>
          <w:rFonts w:cstheme="minorHAnsi"/>
        </w:rPr>
        <w:t>show</w:t>
      </w:r>
      <w:r w:rsidR="000261B5" w:rsidRPr="009C4279">
        <w:rPr>
          <w:rFonts w:cstheme="minorHAnsi"/>
        </w:rPr>
        <w:t xml:space="preserve"> a great increase in the use of fair value in 2006. However, it does not fit </w:t>
      </w:r>
      <w:r w:rsidR="004D1788">
        <w:rPr>
          <w:rFonts w:cstheme="minorHAnsi"/>
        </w:rPr>
        <w:t>PB’s</w:t>
      </w:r>
      <w:r w:rsidR="000261B5" w:rsidRPr="009C4279">
        <w:rPr>
          <w:rFonts w:cstheme="minorHAnsi"/>
        </w:rPr>
        <w:t xml:space="preserve"> own description of their findings. For example, PB </w:t>
      </w:r>
      <w:r w:rsidR="000261B5">
        <w:rPr>
          <w:rFonts w:cstheme="minorHAnsi"/>
        </w:rPr>
        <w:t xml:space="preserve">unambiguously </w:t>
      </w:r>
      <w:r w:rsidR="000261B5" w:rsidRPr="009C4279">
        <w:rPr>
          <w:rFonts w:cstheme="minorHAnsi"/>
        </w:rPr>
        <w:t>say</w:t>
      </w:r>
      <w:r w:rsidR="000261B5">
        <w:rPr>
          <w:rFonts w:cstheme="minorHAnsi"/>
        </w:rPr>
        <w:t xml:space="preserve"> that</w:t>
      </w:r>
      <w:r w:rsidR="000261B5" w:rsidRPr="009C4279">
        <w:rPr>
          <w:rFonts w:cstheme="minorHAnsi"/>
        </w:rPr>
        <w:t xml:space="preserve">: </w:t>
      </w:r>
      <w:r w:rsidR="000261B5">
        <w:rPr>
          <w:rFonts w:cstheme="minorHAnsi"/>
        </w:rPr>
        <w:t xml:space="preserve">“a majority of assets and liabilities are required to be measured at fair value at initial recognition” (p. 988); and “at fair value” appears </w:t>
      </w:r>
      <w:r w:rsidR="006B37C7">
        <w:rPr>
          <w:rFonts w:cstheme="minorHAnsi"/>
        </w:rPr>
        <w:t>four</w:t>
      </w:r>
      <w:r w:rsidR="000261B5">
        <w:rPr>
          <w:rFonts w:cstheme="minorHAnsi"/>
        </w:rPr>
        <w:t xml:space="preserve"> times on that page. </w:t>
      </w:r>
      <w:r w:rsidR="00F92ACC">
        <w:rPr>
          <w:rFonts w:cstheme="minorHAnsi"/>
        </w:rPr>
        <w:t xml:space="preserve">Thus, whenever PB </w:t>
      </w:r>
      <w:r w:rsidR="000A7C72">
        <w:rPr>
          <w:rFonts w:cstheme="minorHAnsi"/>
        </w:rPr>
        <w:t xml:space="preserve">are clear, they can be seen to have adopted the same meaning as I have: we are all purporting to assess the prevalence of requirements or permission to measure assets </w:t>
      </w:r>
      <w:r w:rsidR="000A7C72" w:rsidRPr="000257AA">
        <w:rPr>
          <w:rFonts w:cstheme="minorHAnsi"/>
          <w:i/>
        </w:rPr>
        <w:t>at</w:t>
      </w:r>
      <w:r w:rsidR="000A7C72">
        <w:rPr>
          <w:rFonts w:cstheme="minorHAnsi"/>
        </w:rPr>
        <w:t xml:space="preserve"> fair value. </w:t>
      </w:r>
      <w:r w:rsidR="00E4536C">
        <w:rPr>
          <w:rFonts w:cstheme="minorHAnsi"/>
        </w:rPr>
        <w:t>On this basis</w:t>
      </w:r>
      <w:r w:rsidR="000A7C72">
        <w:rPr>
          <w:rFonts w:cstheme="minorHAnsi"/>
        </w:rPr>
        <w:t xml:space="preserve">, </w:t>
      </w:r>
      <w:r w:rsidR="00F92ACC">
        <w:rPr>
          <w:rFonts w:cstheme="minorHAnsi"/>
        </w:rPr>
        <w:t xml:space="preserve">I confirm my </w:t>
      </w:r>
      <w:r w:rsidR="00D66924">
        <w:rPr>
          <w:rFonts w:cstheme="minorHAnsi"/>
        </w:rPr>
        <w:t xml:space="preserve">above </w:t>
      </w:r>
      <w:r w:rsidR="00F92ACC">
        <w:rPr>
          <w:rFonts w:cstheme="minorHAnsi"/>
        </w:rPr>
        <w:t xml:space="preserve">assessment that PB overstate </w:t>
      </w:r>
      <w:r w:rsidR="005D6B2C">
        <w:rPr>
          <w:rFonts w:cstheme="minorHAnsi"/>
        </w:rPr>
        <w:t xml:space="preserve">the </w:t>
      </w:r>
      <w:r w:rsidR="00F92ACC">
        <w:rPr>
          <w:rFonts w:cstheme="minorHAnsi"/>
        </w:rPr>
        <w:t>prevalence</w:t>
      </w:r>
      <w:r w:rsidR="004D1788">
        <w:rPr>
          <w:rFonts w:cstheme="minorHAnsi"/>
        </w:rPr>
        <w:t xml:space="preserve"> </w:t>
      </w:r>
      <w:r w:rsidR="005D6B2C">
        <w:rPr>
          <w:rFonts w:cstheme="minorHAnsi"/>
        </w:rPr>
        <w:t>of</w:t>
      </w:r>
      <w:r w:rsidR="00EF0B28">
        <w:rPr>
          <w:rFonts w:cstheme="minorHAnsi"/>
        </w:rPr>
        <w:t xml:space="preserve"> the requirement to use</w:t>
      </w:r>
      <w:r w:rsidR="005D6B2C">
        <w:rPr>
          <w:rFonts w:cstheme="minorHAnsi"/>
        </w:rPr>
        <w:t xml:space="preserve"> fair value </w:t>
      </w:r>
      <w:r w:rsidR="004D1788">
        <w:rPr>
          <w:rFonts w:cstheme="minorHAnsi"/>
        </w:rPr>
        <w:t xml:space="preserve">for </w:t>
      </w:r>
      <w:r w:rsidR="005D6B2C">
        <w:rPr>
          <w:rFonts w:cstheme="minorHAnsi"/>
        </w:rPr>
        <w:t xml:space="preserve">initial and for </w:t>
      </w:r>
      <w:r w:rsidR="004D1788">
        <w:rPr>
          <w:rFonts w:cstheme="minorHAnsi"/>
        </w:rPr>
        <w:t xml:space="preserve">subsequent </w:t>
      </w:r>
      <w:r w:rsidR="00F92ACC">
        <w:rPr>
          <w:rFonts w:cstheme="minorHAnsi"/>
        </w:rPr>
        <w:t>measurement</w:t>
      </w:r>
      <w:r w:rsidR="00E4536C">
        <w:rPr>
          <w:rFonts w:cstheme="minorHAnsi"/>
        </w:rPr>
        <w:t>.</w:t>
      </w:r>
    </w:p>
    <w:p w14:paraId="35886955" w14:textId="77777777" w:rsidR="00647959" w:rsidRDefault="00647959" w:rsidP="00AA52A6">
      <w:pPr>
        <w:spacing w:after="0" w:line="240" w:lineRule="auto"/>
        <w:ind w:firstLine="720"/>
        <w:rPr>
          <w:rFonts w:cstheme="minorHAnsi"/>
        </w:rPr>
      </w:pPr>
    </w:p>
    <w:p w14:paraId="4C4F56FE" w14:textId="31DD5395" w:rsidR="000261B5" w:rsidRPr="006B37C7" w:rsidRDefault="006B37C7" w:rsidP="00AA52A6">
      <w:pPr>
        <w:spacing w:after="0" w:line="240" w:lineRule="auto"/>
        <w:rPr>
          <w:i/>
        </w:rPr>
      </w:pPr>
      <w:r>
        <w:rPr>
          <w:rFonts w:cstheme="minorHAnsi"/>
          <w:i/>
        </w:rPr>
        <w:t>3.</w:t>
      </w:r>
      <w:r w:rsidR="000C4E29">
        <w:rPr>
          <w:rFonts w:cstheme="minorHAnsi"/>
          <w:i/>
        </w:rPr>
        <w:t>5</w:t>
      </w:r>
      <w:r>
        <w:rPr>
          <w:rFonts w:cstheme="minorHAnsi"/>
          <w:i/>
        </w:rPr>
        <w:t xml:space="preserve"> </w:t>
      </w:r>
      <w:r w:rsidRPr="006B37C7">
        <w:rPr>
          <w:rFonts w:cstheme="minorHAnsi"/>
          <w:i/>
        </w:rPr>
        <w:t xml:space="preserve">Fair value </w:t>
      </w:r>
      <w:r w:rsidR="00FC133D">
        <w:rPr>
          <w:rFonts w:cstheme="minorHAnsi"/>
          <w:i/>
        </w:rPr>
        <w:t xml:space="preserve">used </w:t>
      </w:r>
      <w:r w:rsidRPr="006B37C7">
        <w:rPr>
          <w:rFonts w:cstheme="minorHAnsi"/>
          <w:i/>
        </w:rPr>
        <w:t>when lower than cost</w:t>
      </w:r>
    </w:p>
    <w:p w14:paraId="07530307" w14:textId="68FCA5BF" w:rsidR="008F609E" w:rsidRDefault="002B395E" w:rsidP="00AA52A6">
      <w:pPr>
        <w:spacing w:after="0" w:line="240" w:lineRule="auto"/>
        <w:ind w:firstLine="720"/>
        <w:rPr>
          <w:rFonts w:eastAsia="SimSun"/>
        </w:rPr>
      </w:pPr>
      <w:r>
        <w:rPr>
          <w:rFonts w:eastAsia="SimSun"/>
        </w:rPr>
        <w:t>We can now turn to the final use of fair value</w:t>
      </w:r>
      <w:r w:rsidR="0047476E" w:rsidRPr="0047476E">
        <w:rPr>
          <w:rFonts w:eastAsia="SimSun"/>
        </w:rPr>
        <w:t xml:space="preserve"> </w:t>
      </w:r>
      <w:r w:rsidR="0047476E">
        <w:rPr>
          <w:rFonts w:eastAsia="SimSun"/>
        </w:rPr>
        <w:t xml:space="preserve">for </w:t>
      </w:r>
      <w:r w:rsidR="00C56DC6">
        <w:rPr>
          <w:rFonts w:eastAsia="SimSun"/>
        </w:rPr>
        <w:t xml:space="preserve">asset </w:t>
      </w:r>
      <w:r w:rsidR="0047476E">
        <w:rPr>
          <w:rFonts w:eastAsia="SimSun"/>
        </w:rPr>
        <w:t>measurement</w:t>
      </w:r>
      <w:r>
        <w:rPr>
          <w:rFonts w:eastAsia="SimSun"/>
        </w:rPr>
        <w:t xml:space="preserve">: </w:t>
      </w:r>
      <w:r w:rsidR="008F48BE">
        <w:rPr>
          <w:rFonts w:eastAsia="SimSun"/>
        </w:rPr>
        <w:t>standards in which</w:t>
      </w:r>
      <w:r w:rsidR="008E1F04">
        <w:rPr>
          <w:rFonts w:eastAsia="SimSun"/>
        </w:rPr>
        <w:t xml:space="preserve"> fair value</w:t>
      </w:r>
      <w:r w:rsidR="0000374A" w:rsidRPr="0000374A">
        <w:rPr>
          <w:rFonts w:eastAsia="SimSun"/>
        </w:rPr>
        <w:t xml:space="preserve"> is </w:t>
      </w:r>
      <w:r w:rsidR="00B13F8B">
        <w:rPr>
          <w:rFonts w:eastAsia="SimSun"/>
        </w:rPr>
        <w:t xml:space="preserve">sometimes </w:t>
      </w:r>
      <w:r w:rsidR="008F48BE">
        <w:rPr>
          <w:rFonts w:eastAsia="SimSun"/>
        </w:rPr>
        <w:t xml:space="preserve">used </w:t>
      </w:r>
      <w:r w:rsidR="00787190">
        <w:rPr>
          <w:rFonts w:eastAsia="SimSun"/>
        </w:rPr>
        <w:t xml:space="preserve">for </w:t>
      </w:r>
      <w:r w:rsidR="000A0499">
        <w:rPr>
          <w:rFonts w:eastAsia="SimSun"/>
        </w:rPr>
        <w:t xml:space="preserve">subsequent </w:t>
      </w:r>
      <w:r w:rsidR="00B13F8B">
        <w:rPr>
          <w:rFonts w:eastAsia="SimSun"/>
        </w:rPr>
        <w:t xml:space="preserve">measurement </w:t>
      </w:r>
      <w:r w:rsidR="000257AA">
        <w:rPr>
          <w:rFonts w:eastAsia="SimSun"/>
        </w:rPr>
        <w:t>but only when fair value</w:t>
      </w:r>
      <w:r w:rsidR="00FD0971">
        <w:rPr>
          <w:rFonts w:eastAsia="SimSun"/>
        </w:rPr>
        <w:t xml:space="preserve"> is </w:t>
      </w:r>
      <w:r w:rsidR="0000374A" w:rsidRPr="0000374A">
        <w:rPr>
          <w:rFonts w:eastAsia="SimSun"/>
        </w:rPr>
        <w:t>lower than cost</w:t>
      </w:r>
      <w:r w:rsidR="008F48BE">
        <w:rPr>
          <w:rFonts w:eastAsia="SimSun"/>
        </w:rPr>
        <w:t>, principally because of impairment</w:t>
      </w:r>
      <w:r w:rsidR="0000374A" w:rsidRPr="0000374A">
        <w:rPr>
          <w:rFonts w:eastAsia="SimSun"/>
        </w:rPr>
        <w:t xml:space="preserve">. </w:t>
      </w:r>
      <w:r w:rsidR="007E29D9">
        <w:rPr>
          <w:rFonts w:eastAsia="SimSun"/>
        </w:rPr>
        <w:t>PB state that “</w:t>
      </w:r>
      <w:r w:rsidR="007E29D9" w:rsidRPr="00EC2BE3">
        <w:rPr>
          <w:rFonts w:cstheme="minorHAnsi"/>
        </w:rPr>
        <w:t>11 require it in asset impairment testing</w:t>
      </w:r>
      <w:r w:rsidR="007E29D9">
        <w:rPr>
          <w:rFonts w:eastAsia="SimSun"/>
        </w:rPr>
        <w:t>”</w:t>
      </w:r>
      <w:r w:rsidR="00702B07">
        <w:rPr>
          <w:rFonts w:eastAsia="SimSun"/>
        </w:rPr>
        <w:t xml:space="preserve">, but </w:t>
      </w:r>
      <w:r w:rsidR="00DD3682">
        <w:rPr>
          <w:rFonts w:eastAsia="SimSun"/>
        </w:rPr>
        <w:t xml:space="preserve">this high number is caused by </w:t>
      </w:r>
      <w:r w:rsidR="00702B07">
        <w:rPr>
          <w:rFonts w:eastAsia="SimSun"/>
        </w:rPr>
        <w:t>PB</w:t>
      </w:r>
      <w:r w:rsidR="00DD3682">
        <w:rPr>
          <w:rFonts w:eastAsia="SimSun"/>
        </w:rPr>
        <w:t xml:space="preserve"> </w:t>
      </w:r>
      <w:r w:rsidR="00702B07">
        <w:rPr>
          <w:rFonts w:eastAsia="SimSun"/>
        </w:rPr>
        <w:t>scor</w:t>
      </w:r>
      <w:r w:rsidR="00B13F8B">
        <w:rPr>
          <w:rFonts w:eastAsia="SimSun"/>
        </w:rPr>
        <w:t>ing</w:t>
      </w:r>
      <w:r w:rsidR="00702B07">
        <w:rPr>
          <w:rFonts w:eastAsia="SimSun"/>
        </w:rPr>
        <w:t xml:space="preserve"> all the asset standa</w:t>
      </w:r>
      <w:r w:rsidR="009F5E4E">
        <w:rPr>
          <w:rFonts w:eastAsia="SimSun"/>
        </w:rPr>
        <w:t>r</w:t>
      </w:r>
      <w:r w:rsidR="00702B07">
        <w:rPr>
          <w:rFonts w:eastAsia="SimSun"/>
        </w:rPr>
        <w:t xml:space="preserve">ds </w:t>
      </w:r>
      <w:r w:rsidR="009F5E4E">
        <w:rPr>
          <w:rFonts w:eastAsia="SimSun"/>
        </w:rPr>
        <w:t xml:space="preserve">irrespective of </w:t>
      </w:r>
      <w:r w:rsidR="00702B07">
        <w:rPr>
          <w:rFonts w:eastAsia="SimSun"/>
        </w:rPr>
        <w:t>whether</w:t>
      </w:r>
      <w:r w:rsidR="009F5E4E">
        <w:rPr>
          <w:rFonts w:eastAsia="SimSun"/>
        </w:rPr>
        <w:t xml:space="preserve"> </w:t>
      </w:r>
      <w:r w:rsidR="00DD3682">
        <w:rPr>
          <w:rFonts w:eastAsia="SimSun"/>
        </w:rPr>
        <w:t xml:space="preserve">or not </w:t>
      </w:r>
      <w:r w:rsidR="00E9374E">
        <w:rPr>
          <w:rFonts w:eastAsia="SimSun"/>
        </w:rPr>
        <w:t xml:space="preserve">their </w:t>
      </w:r>
      <w:r w:rsidR="009F5E4E">
        <w:rPr>
          <w:rFonts w:eastAsia="SimSun"/>
        </w:rPr>
        <w:t xml:space="preserve">impairment </w:t>
      </w:r>
      <w:r w:rsidR="00E9374E">
        <w:rPr>
          <w:rFonts w:eastAsia="SimSun"/>
        </w:rPr>
        <w:t xml:space="preserve">tests </w:t>
      </w:r>
      <w:r w:rsidR="009F5E4E">
        <w:rPr>
          <w:rFonts w:eastAsia="SimSun"/>
        </w:rPr>
        <w:t>involve fair value</w:t>
      </w:r>
      <w:r w:rsidR="00970C40">
        <w:rPr>
          <w:rFonts w:eastAsia="SimSun"/>
        </w:rPr>
        <w:t>, as I</w:t>
      </w:r>
      <w:r w:rsidR="00E9374E">
        <w:rPr>
          <w:rFonts w:eastAsia="SimSun"/>
        </w:rPr>
        <w:t xml:space="preserve"> will explain</w:t>
      </w:r>
      <w:r w:rsidR="007E29D9">
        <w:rPr>
          <w:rFonts w:eastAsia="SimSun"/>
        </w:rPr>
        <w:t xml:space="preserve">. </w:t>
      </w:r>
      <w:r w:rsidR="00FD0971">
        <w:rPr>
          <w:rFonts w:eastAsia="SimSun"/>
        </w:rPr>
        <w:t xml:space="preserve">By dramatic contrast, </w:t>
      </w:r>
      <w:r w:rsidR="00D16337">
        <w:rPr>
          <w:rFonts w:eastAsia="SimSun"/>
        </w:rPr>
        <w:t>c</w:t>
      </w:r>
      <w:r w:rsidR="008F48BE">
        <w:rPr>
          <w:rFonts w:eastAsia="SimSun"/>
        </w:rPr>
        <w:t>olum</w:t>
      </w:r>
      <w:r w:rsidR="00133C3F">
        <w:rPr>
          <w:rFonts w:eastAsia="SimSun"/>
        </w:rPr>
        <w:t xml:space="preserve">n 5 of my </w:t>
      </w:r>
      <w:r w:rsidR="00850839">
        <w:rPr>
          <w:rFonts w:eastAsia="SimSun"/>
        </w:rPr>
        <w:t>Appendix</w:t>
      </w:r>
      <w:r w:rsidR="00133C3F">
        <w:rPr>
          <w:rFonts w:eastAsia="SimSun"/>
        </w:rPr>
        <w:t xml:space="preserve"> shows only three</w:t>
      </w:r>
      <w:r w:rsidR="009F5E4E">
        <w:rPr>
          <w:rFonts w:eastAsia="SimSun"/>
        </w:rPr>
        <w:t xml:space="preserve"> standards </w:t>
      </w:r>
      <w:r w:rsidR="00221CF7">
        <w:rPr>
          <w:rFonts w:eastAsia="SimSun"/>
        </w:rPr>
        <w:t xml:space="preserve">of 2006 </w:t>
      </w:r>
      <w:r w:rsidR="009F5E4E">
        <w:rPr>
          <w:rFonts w:eastAsia="SimSun"/>
        </w:rPr>
        <w:t xml:space="preserve">which impose reference to fair value </w:t>
      </w:r>
      <w:r w:rsidR="00EE5223">
        <w:rPr>
          <w:rFonts w:eastAsia="SimSun"/>
        </w:rPr>
        <w:t xml:space="preserve">in this context of </w:t>
      </w:r>
      <w:r w:rsidR="008F48BE" w:rsidRPr="0000374A">
        <w:rPr>
          <w:rFonts w:eastAsia="SimSun"/>
        </w:rPr>
        <w:t>physical or economic damage to assets</w:t>
      </w:r>
      <w:r w:rsidR="008F48BE">
        <w:rPr>
          <w:rFonts w:eastAsia="SimSun"/>
        </w:rPr>
        <w:t>.</w:t>
      </w:r>
    </w:p>
    <w:p w14:paraId="63EBFA15" w14:textId="18846B66" w:rsidR="007B6590" w:rsidRDefault="008F48BE" w:rsidP="00AA52A6">
      <w:pPr>
        <w:spacing w:after="0" w:line="240" w:lineRule="auto"/>
        <w:ind w:firstLine="720"/>
        <w:rPr>
          <w:rFonts w:eastAsia="SimSun"/>
        </w:rPr>
      </w:pPr>
      <w:r>
        <w:rPr>
          <w:rFonts w:eastAsia="SimSun"/>
        </w:rPr>
        <w:t xml:space="preserve"> </w:t>
      </w:r>
      <w:r w:rsidR="008F609E">
        <w:rPr>
          <w:rFonts w:eastAsia="SimSun"/>
        </w:rPr>
        <w:t xml:space="preserve">PB’s wording on this issue (about requiring fair value in impairment </w:t>
      </w:r>
      <w:r w:rsidR="008F609E" w:rsidRPr="008C6D4F">
        <w:rPr>
          <w:rFonts w:eastAsia="SimSun"/>
          <w:i/>
        </w:rPr>
        <w:t>testing</w:t>
      </w:r>
      <w:r w:rsidR="008F609E">
        <w:rPr>
          <w:rFonts w:eastAsia="SimSun"/>
        </w:rPr>
        <w:t xml:space="preserve">) needs to be de-constructed. It implies, correctly, that the impaired asset is not necessarily actually </w:t>
      </w:r>
      <w:r w:rsidR="008F609E" w:rsidRPr="00953FBF">
        <w:rPr>
          <w:rFonts w:eastAsia="SimSun"/>
          <w:i/>
        </w:rPr>
        <w:t>measured</w:t>
      </w:r>
      <w:r w:rsidR="008F609E">
        <w:rPr>
          <w:rFonts w:eastAsia="SimSun"/>
        </w:rPr>
        <w:t xml:space="preserve"> at fair value, but that fair value is considered along the way. </w:t>
      </w:r>
      <w:r w:rsidRPr="0000374A">
        <w:rPr>
          <w:rFonts w:eastAsia="SimSun"/>
        </w:rPr>
        <w:t>The simpl</w:t>
      </w:r>
      <w:r w:rsidR="00133C3F">
        <w:rPr>
          <w:rFonts w:eastAsia="SimSun"/>
        </w:rPr>
        <w:t>est</w:t>
      </w:r>
      <w:r>
        <w:rPr>
          <w:rFonts w:eastAsia="SimSun"/>
        </w:rPr>
        <w:t xml:space="preserve"> </w:t>
      </w:r>
      <w:r w:rsidR="008F609E">
        <w:rPr>
          <w:rFonts w:eastAsia="SimSun"/>
        </w:rPr>
        <w:t xml:space="preserve">example of this </w:t>
      </w:r>
      <w:r w:rsidRPr="0000374A">
        <w:rPr>
          <w:rFonts w:eastAsia="SimSun"/>
        </w:rPr>
        <w:t>is the “lower of cost and net realisable value” rule for inventory measurement in ASBE 1.</w:t>
      </w:r>
      <w:r w:rsidRPr="001E07ED">
        <w:rPr>
          <w:rFonts w:eastAsia="SimSun"/>
        </w:rPr>
        <w:t xml:space="preserve"> </w:t>
      </w:r>
      <w:r w:rsidR="00E9374E">
        <w:rPr>
          <w:rFonts w:eastAsia="SimSun"/>
        </w:rPr>
        <w:t>Here, n</w:t>
      </w:r>
      <w:r>
        <w:rPr>
          <w:rFonts w:eastAsia="SimSun"/>
        </w:rPr>
        <w:t>et realisable value (</w:t>
      </w:r>
      <w:r w:rsidR="000257AA">
        <w:rPr>
          <w:rFonts w:eastAsia="SimSun"/>
        </w:rPr>
        <w:t>which could</w:t>
      </w:r>
      <w:r w:rsidR="004D1788">
        <w:rPr>
          <w:rFonts w:eastAsia="SimSun"/>
        </w:rPr>
        <w:t xml:space="preserve"> be seen as </w:t>
      </w:r>
      <w:r>
        <w:rPr>
          <w:rFonts w:eastAsia="SimSun"/>
        </w:rPr>
        <w:t>a version of fair value)</w:t>
      </w:r>
      <w:r w:rsidRPr="0000374A">
        <w:rPr>
          <w:rFonts w:eastAsia="SimSun"/>
          <w:vertAlign w:val="superscript"/>
        </w:rPr>
        <w:footnoteReference w:id="22"/>
      </w:r>
      <w:r w:rsidRPr="0000374A">
        <w:rPr>
          <w:rFonts w:eastAsia="SimSun"/>
        </w:rPr>
        <w:t xml:space="preserve"> </w:t>
      </w:r>
      <w:r>
        <w:rPr>
          <w:rFonts w:eastAsia="SimSun"/>
        </w:rPr>
        <w:t xml:space="preserve">is </w:t>
      </w:r>
      <w:r w:rsidR="0059537D">
        <w:rPr>
          <w:rFonts w:eastAsia="SimSun"/>
        </w:rPr>
        <w:t>sometimes used</w:t>
      </w:r>
      <w:r w:rsidR="004D1788">
        <w:rPr>
          <w:rFonts w:eastAsia="SimSun"/>
        </w:rPr>
        <w:t>,</w:t>
      </w:r>
      <w:r w:rsidR="0059537D">
        <w:rPr>
          <w:rFonts w:eastAsia="SimSun"/>
        </w:rPr>
        <w:t xml:space="preserve"> but </w:t>
      </w:r>
      <w:r w:rsidR="00DB3D55">
        <w:rPr>
          <w:rFonts w:eastAsia="SimSun"/>
        </w:rPr>
        <w:t xml:space="preserve">it </w:t>
      </w:r>
      <w:r w:rsidR="0059537D">
        <w:rPr>
          <w:rFonts w:eastAsia="SimSun"/>
        </w:rPr>
        <w:t xml:space="preserve">is </w:t>
      </w:r>
      <w:r>
        <w:rPr>
          <w:rFonts w:eastAsia="SimSun"/>
        </w:rPr>
        <w:t xml:space="preserve">not the </w:t>
      </w:r>
      <w:r w:rsidRPr="001E07ED">
        <w:rPr>
          <w:rFonts w:eastAsia="SimSun"/>
          <w:i/>
        </w:rPr>
        <w:t>required</w:t>
      </w:r>
      <w:r>
        <w:rPr>
          <w:rFonts w:eastAsia="SimSun"/>
        </w:rPr>
        <w:t xml:space="preserve"> measurement basis </w:t>
      </w:r>
      <w:r w:rsidR="00585A53">
        <w:rPr>
          <w:rFonts w:eastAsia="SimSun"/>
        </w:rPr>
        <w:t xml:space="preserve">for inventories </w:t>
      </w:r>
      <w:r w:rsidR="00970C40">
        <w:rPr>
          <w:rFonts w:eastAsia="SimSun"/>
        </w:rPr>
        <w:t>b</w:t>
      </w:r>
      <w:r w:rsidR="00DB3D55">
        <w:rPr>
          <w:rFonts w:eastAsia="SimSun"/>
        </w:rPr>
        <w:t>ecause it</w:t>
      </w:r>
      <w:r w:rsidR="00970C40">
        <w:rPr>
          <w:rFonts w:eastAsia="SimSun"/>
        </w:rPr>
        <w:t xml:space="preserve"> is </w:t>
      </w:r>
      <w:r w:rsidR="00DB3D55">
        <w:rPr>
          <w:rFonts w:eastAsia="SimSun"/>
        </w:rPr>
        <w:t xml:space="preserve">only </w:t>
      </w:r>
      <w:r w:rsidR="00970C40">
        <w:rPr>
          <w:rFonts w:eastAsia="SimSun"/>
        </w:rPr>
        <w:t>used</w:t>
      </w:r>
      <w:r>
        <w:rPr>
          <w:rFonts w:eastAsia="SimSun"/>
        </w:rPr>
        <w:t xml:space="preserve"> when it is lower than cost. </w:t>
      </w:r>
      <w:r w:rsidR="00DD3682">
        <w:rPr>
          <w:rFonts w:eastAsia="SimSun"/>
        </w:rPr>
        <w:t>Although t</w:t>
      </w:r>
      <w:r w:rsidRPr="0000374A">
        <w:rPr>
          <w:rFonts w:eastAsia="SimSun"/>
        </w:rPr>
        <w:t xml:space="preserve">his </w:t>
      </w:r>
      <w:r w:rsidR="004D1788">
        <w:rPr>
          <w:rFonts w:eastAsia="SimSun"/>
        </w:rPr>
        <w:t xml:space="preserve">compound measurement basis </w:t>
      </w:r>
      <w:r w:rsidR="00DD3682">
        <w:rPr>
          <w:rFonts w:eastAsia="SimSun"/>
        </w:rPr>
        <w:t xml:space="preserve">involves reference to a version of fair value, it </w:t>
      </w:r>
      <w:r w:rsidR="00970C40">
        <w:rPr>
          <w:rFonts w:eastAsia="SimSun"/>
        </w:rPr>
        <w:t>should</w:t>
      </w:r>
      <w:r w:rsidRPr="0000374A">
        <w:rPr>
          <w:rFonts w:eastAsia="SimSun"/>
        </w:rPr>
        <w:t xml:space="preserve"> surely not be called FVA because the inventory is never valued above cost.</w:t>
      </w:r>
      <w:r>
        <w:rPr>
          <w:rFonts w:eastAsia="SimSun"/>
        </w:rPr>
        <w:t xml:space="preserve"> </w:t>
      </w:r>
      <w:r w:rsidR="00665400">
        <w:rPr>
          <w:rFonts w:eastAsia="SimSun"/>
        </w:rPr>
        <w:t xml:space="preserve">A similar result arises when </w:t>
      </w:r>
      <w:r w:rsidR="004A61BB">
        <w:rPr>
          <w:rFonts w:eastAsia="SimSun"/>
        </w:rPr>
        <w:t>“fixed”</w:t>
      </w:r>
      <w:r w:rsidR="00E9374E">
        <w:rPr>
          <w:rFonts w:eastAsia="SimSun"/>
        </w:rPr>
        <w:t xml:space="preserve"> assets are ex</w:t>
      </w:r>
      <w:r w:rsidR="00A521CD">
        <w:rPr>
          <w:rFonts w:eastAsia="SimSun"/>
        </w:rPr>
        <w:t>pected to be sold, as recorded</w:t>
      </w:r>
      <w:r w:rsidR="00E9374E">
        <w:rPr>
          <w:rFonts w:eastAsia="SimSun"/>
        </w:rPr>
        <w:t xml:space="preserve"> for </w:t>
      </w:r>
      <w:r w:rsidR="001324D1">
        <w:rPr>
          <w:rFonts w:eastAsia="SimSun"/>
        </w:rPr>
        <w:t>ASBE 4</w:t>
      </w:r>
      <w:r w:rsidR="00E9374E">
        <w:rPr>
          <w:rFonts w:eastAsia="SimSun"/>
        </w:rPr>
        <w:t xml:space="preserve"> in </w:t>
      </w:r>
      <w:r w:rsidR="00D16337">
        <w:rPr>
          <w:rFonts w:eastAsia="SimSun"/>
        </w:rPr>
        <w:t xml:space="preserve">column 5 of </w:t>
      </w:r>
      <w:r w:rsidR="00105619">
        <w:rPr>
          <w:rFonts w:eastAsia="SimSun"/>
        </w:rPr>
        <w:t xml:space="preserve">the </w:t>
      </w:r>
      <w:r w:rsidR="00850839">
        <w:rPr>
          <w:rFonts w:eastAsia="SimSun"/>
        </w:rPr>
        <w:t>Appendix</w:t>
      </w:r>
      <w:r w:rsidR="00665400">
        <w:rPr>
          <w:rFonts w:eastAsia="SimSun"/>
        </w:rPr>
        <w:t>.</w:t>
      </w:r>
    </w:p>
    <w:p w14:paraId="27F00F11" w14:textId="77777777" w:rsidR="009B0794" w:rsidRDefault="003A54DD" w:rsidP="009B0794">
      <w:pPr>
        <w:spacing w:after="0" w:line="240" w:lineRule="auto"/>
        <w:ind w:firstLine="720"/>
        <w:rPr>
          <w:rFonts w:eastAsia="SimSun"/>
        </w:rPr>
      </w:pPr>
      <w:r>
        <w:rPr>
          <w:rFonts w:eastAsia="SimSun"/>
        </w:rPr>
        <w:t xml:space="preserve">Thus, I score </w:t>
      </w:r>
      <w:r w:rsidR="004A61BB">
        <w:rPr>
          <w:rFonts w:eastAsia="SimSun"/>
        </w:rPr>
        <w:t>ASBEs 1 and 4</w:t>
      </w:r>
      <w:r w:rsidR="00D26876" w:rsidRPr="00D26876">
        <w:rPr>
          <w:rFonts w:eastAsia="SimSun"/>
        </w:rPr>
        <w:t xml:space="preserve"> </w:t>
      </w:r>
      <w:r w:rsidR="00D26876">
        <w:rPr>
          <w:rFonts w:eastAsia="SimSun"/>
        </w:rPr>
        <w:t>in column 5</w:t>
      </w:r>
      <w:r w:rsidR="004A61BB">
        <w:rPr>
          <w:rFonts w:eastAsia="SimSun"/>
        </w:rPr>
        <w:t xml:space="preserve">. </w:t>
      </w:r>
      <w:r w:rsidR="00133C3F">
        <w:rPr>
          <w:rFonts w:eastAsia="SimSun"/>
        </w:rPr>
        <w:t>My third</w:t>
      </w:r>
      <w:r w:rsidR="001324D1">
        <w:rPr>
          <w:rFonts w:eastAsia="SimSun"/>
        </w:rPr>
        <w:t xml:space="preserve"> “impairment”</w:t>
      </w:r>
      <w:r w:rsidR="008F48BE">
        <w:rPr>
          <w:rFonts w:eastAsia="SimSun"/>
        </w:rPr>
        <w:t xml:space="preserve"> score is for the </w:t>
      </w:r>
      <w:r w:rsidR="002E64AD">
        <w:rPr>
          <w:rFonts w:eastAsia="SimSun"/>
        </w:rPr>
        <w:t xml:space="preserve">general </w:t>
      </w:r>
      <w:r w:rsidR="008F48BE">
        <w:rPr>
          <w:rFonts w:eastAsia="SimSun"/>
        </w:rPr>
        <w:t>standard</w:t>
      </w:r>
      <w:r w:rsidR="002E64AD" w:rsidRPr="002E64AD">
        <w:rPr>
          <w:rFonts w:eastAsia="SimSun"/>
        </w:rPr>
        <w:t xml:space="preserve"> </w:t>
      </w:r>
      <w:r w:rsidR="002E64AD">
        <w:rPr>
          <w:rFonts w:eastAsia="SimSun"/>
        </w:rPr>
        <w:t>on impairment</w:t>
      </w:r>
      <w:r w:rsidR="008F609E">
        <w:rPr>
          <w:rFonts w:eastAsia="SimSun"/>
        </w:rPr>
        <w:t>, ASBE 8</w:t>
      </w:r>
      <w:r w:rsidR="00D26876">
        <w:rPr>
          <w:rFonts w:eastAsia="SimSun"/>
        </w:rPr>
        <w:t>. However</w:t>
      </w:r>
      <w:r w:rsidR="008F609E">
        <w:rPr>
          <w:rFonts w:eastAsia="SimSun"/>
        </w:rPr>
        <w:t xml:space="preserve">, under </w:t>
      </w:r>
      <w:r w:rsidR="00D26876">
        <w:rPr>
          <w:rFonts w:eastAsia="SimSun"/>
        </w:rPr>
        <w:t xml:space="preserve">that standard </w:t>
      </w:r>
      <w:r w:rsidR="0000374A" w:rsidRPr="0000374A">
        <w:rPr>
          <w:rFonts w:eastAsia="SimSun"/>
        </w:rPr>
        <w:t>th</w:t>
      </w:r>
      <w:r w:rsidR="00953FBF">
        <w:rPr>
          <w:rFonts w:eastAsia="SimSun"/>
        </w:rPr>
        <w:t xml:space="preserve">e use of </w:t>
      </w:r>
      <w:r w:rsidR="0047476E">
        <w:rPr>
          <w:rFonts w:eastAsia="SimSun"/>
        </w:rPr>
        <w:t>fair value to</w:t>
      </w:r>
      <w:r w:rsidR="00953FBF">
        <w:rPr>
          <w:rFonts w:eastAsia="SimSun"/>
        </w:rPr>
        <w:t xml:space="preserve"> measur</w:t>
      </w:r>
      <w:r w:rsidR="0047476E">
        <w:rPr>
          <w:rFonts w:eastAsia="SimSun"/>
        </w:rPr>
        <w:t>e</w:t>
      </w:r>
      <w:r w:rsidR="0000374A" w:rsidRPr="0000374A">
        <w:rPr>
          <w:rFonts w:eastAsia="SimSun"/>
        </w:rPr>
        <w:t xml:space="preserve"> an </w:t>
      </w:r>
      <w:r w:rsidR="0047476E">
        <w:rPr>
          <w:rFonts w:eastAsia="SimSun"/>
        </w:rPr>
        <w:t>impaired asset</w:t>
      </w:r>
      <w:r w:rsidR="0000374A" w:rsidRPr="0000374A">
        <w:rPr>
          <w:rFonts w:eastAsia="SimSun"/>
        </w:rPr>
        <w:t xml:space="preserve"> is conditional on four things about the asset: (a) observing an indication of impairment, (b) fair value being higher than discounted cash flows</w:t>
      </w:r>
      <w:r w:rsidR="00953FBF">
        <w:rPr>
          <w:rFonts w:eastAsia="SimSun"/>
        </w:rPr>
        <w:t xml:space="preserve"> (DCF)</w:t>
      </w:r>
      <w:r w:rsidR="0000374A" w:rsidRPr="0000374A">
        <w:rPr>
          <w:rFonts w:eastAsia="SimSun"/>
        </w:rPr>
        <w:t xml:space="preserve"> and therefore being the recoverable amount, (c) the recoverable amount being lower than the previous carrying value, and </w:t>
      </w:r>
      <w:r w:rsidR="0000374A" w:rsidRPr="0000374A">
        <w:rPr>
          <w:rFonts w:eastAsia="SimSun"/>
        </w:rPr>
        <w:lastRenderedPageBreak/>
        <w:t>(d) the fair value being measurable reliably (Articles 6 to 8). As a result of this quadruple conditionality, the use of fair value to measu</w:t>
      </w:r>
      <w:r w:rsidR="001E07ED">
        <w:rPr>
          <w:rFonts w:eastAsia="SimSun"/>
        </w:rPr>
        <w:t>re impairment might be rare, though</w:t>
      </w:r>
      <w:r w:rsidR="0000374A" w:rsidRPr="0000374A">
        <w:rPr>
          <w:rFonts w:eastAsia="SimSun"/>
        </w:rPr>
        <w:t xml:space="preserve"> company disclosures do not enable one to check this (Xiao and Hu, 2017, p. 13).</w:t>
      </w:r>
      <w:r w:rsidR="00953FBF">
        <w:rPr>
          <w:rFonts w:eastAsia="SimSun"/>
        </w:rPr>
        <w:t xml:space="preserve"> In fact, as long as DCF is found to be higher than carrying amount, it is not necessary to estimate fair value at all. </w:t>
      </w:r>
      <w:r w:rsidR="001C03D9">
        <w:rPr>
          <w:rFonts w:eastAsia="SimSun"/>
        </w:rPr>
        <w:t xml:space="preserve">So, fair value is not the </w:t>
      </w:r>
      <w:r w:rsidR="001C03D9" w:rsidRPr="00270640">
        <w:rPr>
          <w:rFonts w:eastAsia="SimSun"/>
          <w:i/>
        </w:rPr>
        <w:t>required</w:t>
      </w:r>
      <w:r w:rsidR="00953FBF" w:rsidRPr="00270640">
        <w:rPr>
          <w:rFonts w:eastAsia="SimSun"/>
          <w:i/>
        </w:rPr>
        <w:t xml:space="preserve"> </w:t>
      </w:r>
      <w:r w:rsidR="00270640" w:rsidRPr="00270640">
        <w:rPr>
          <w:rFonts w:eastAsia="SimSun"/>
        </w:rPr>
        <w:t>measurement</w:t>
      </w:r>
      <w:r w:rsidR="00270640">
        <w:rPr>
          <w:rFonts w:eastAsia="SimSun"/>
          <w:i/>
        </w:rPr>
        <w:t xml:space="preserve"> </w:t>
      </w:r>
      <w:r w:rsidR="001C03D9">
        <w:rPr>
          <w:rFonts w:eastAsia="SimSun"/>
        </w:rPr>
        <w:t>basis under ASBE</w:t>
      </w:r>
      <w:r w:rsidR="00D16337">
        <w:rPr>
          <w:rFonts w:eastAsia="SimSun"/>
        </w:rPr>
        <w:t xml:space="preserve"> 8 (because of </w:t>
      </w:r>
      <w:r w:rsidR="001C03D9">
        <w:rPr>
          <w:rFonts w:eastAsia="SimSun"/>
        </w:rPr>
        <w:t xml:space="preserve">the </w:t>
      </w:r>
      <w:r w:rsidR="00D16337">
        <w:rPr>
          <w:rFonts w:eastAsia="SimSun"/>
        </w:rPr>
        <w:t xml:space="preserve">four </w:t>
      </w:r>
      <w:r w:rsidR="001C03D9">
        <w:rPr>
          <w:rFonts w:eastAsia="SimSun"/>
        </w:rPr>
        <w:t>conditions), nor is it the required basis if an impairment is actually recorded (because DCF might be u</w:t>
      </w:r>
      <w:r w:rsidR="00585A53">
        <w:rPr>
          <w:rFonts w:eastAsia="SimSun"/>
        </w:rPr>
        <w:t xml:space="preserve">sed) and nor does an entity </w:t>
      </w:r>
      <w:r w:rsidR="00270640">
        <w:rPr>
          <w:rFonts w:eastAsia="SimSun"/>
        </w:rPr>
        <w:t>necessar</w:t>
      </w:r>
      <w:r w:rsidR="00585A53">
        <w:rPr>
          <w:rFonts w:eastAsia="SimSun"/>
        </w:rPr>
        <w:t>il</w:t>
      </w:r>
      <w:r w:rsidR="00270640">
        <w:rPr>
          <w:rFonts w:eastAsia="SimSun"/>
        </w:rPr>
        <w:t>y</w:t>
      </w:r>
      <w:r w:rsidR="001C03D9">
        <w:rPr>
          <w:rFonts w:eastAsia="SimSun"/>
        </w:rPr>
        <w:t xml:space="preserve"> </w:t>
      </w:r>
      <w:r w:rsidR="00882CE3">
        <w:rPr>
          <w:rFonts w:eastAsia="SimSun"/>
        </w:rPr>
        <w:t xml:space="preserve">even </w:t>
      </w:r>
      <w:r w:rsidR="00585A53">
        <w:rPr>
          <w:rFonts w:eastAsia="SimSun"/>
        </w:rPr>
        <w:t xml:space="preserve">need </w:t>
      </w:r>
      <w:r w:rsidR="00270640">
        <w:rPr>
          <w:rFonts w:eastAsia="SimSun"/>
        </w:rPr>
        <w:t xml:space="preserve">to estimate fair value </w:t>
      </w:r>
      <w:r w:rsidR="001C03D9">
        <w:rPr>
          <w:rFonts w:eastAsia="SimSun"/>
        </w:rPr>
        <w:t xml:space="preserve">as part of </w:t>
      </w:r>
      <w:r w:rsidR="001C03D9" w:rsidRPr="008F609E">
        <w:rPr>
          <w:rFonts w:eastAsia="SimSun"/>
          <w:i/>
        </w:rPr>
        <w:t>testing</w:t>
      </w:r>
      <w:r w:rsidR="00270640">
        <w:rPr>
          <w:rFonts w:eastAsia="SimSun"/>
        </w:rPr>
        <w:t xml:space="preserve"> for impairment</w:t>
      </w:r>
      <w:r w:rsidR="001C03D9">
        <w:rPr>
          <w:rFonts w:eastAsia="SimSun"/>
        </w:rPr>
        <w:t xml:space="preserve"> (if DCF is </w:t>
      </w:r>
      <w:r w:rsidR="00270640">
        <w:rPr>
          <w:rFonts w:eastAsia="SimSun"/>
        </w:rPr>
        <w:t xml:space="preserve">found to be </w:t>
      </w:r>
      <w:r w:rsidR="001C03D9">
        <w:rPr>
          <w:rFonts w:eastAsia="SimSun"/>
        </w:rPr>
        <w:t xml:space="preserve">higher than </w:t>
      </w:r>
      <w:r w:rsidR="003E14D5">
        <w:rPr>
          <w:rFonts w:eastAsia="SimSun"/>
        </w:rPr>
        <w:t>carrying amo</w:t>
      </w:r>
      <w:r w:rsidR="007B6590">
        <w:rPr>
          <w:rFonts w:eastAsia="SimSun"/>
        </w:rPr>
        <w:t>unt).</w:t>
      </w:r>
      <w:r w:rsidR="009B0794" w:rsidRPr="009B0794">
        <w:rPr>
          <w:rFonts w:eastAsia="SimSun"/>
        </w:rPr>
        <w:t xml:space="preserve"> </w:t>
      </w:r>
    </w:p>
    <w:p w14:paraId="2102B0E6" w14:textId="041ACFB3" w:rsidR="009B0794" w:rsidRDefault="009B0794" w:rsidP="009B0794">
      <w:pPr>
        <w:spacing w:after="0" w:line="240" w:lineRule="auto"/>
        <w:ind w:firstLine="720"/>
        <w:rPr>
          <w:rFonts w:eastAsia="SimSun"/>
        </w:rPr>
      </w:pPr>
      <w:r>
        <w:rPr>
          <w:rFonts w:eastAsia="SimSun"/>
        </w:rPr>
        <w:t>Thus</w:t>
      </w:r>
      <w:r w:rsidR="00995C9F">
        <w:rPr>
          <w:rFonts w:eastAsia="SimSun"/>
        </w:rPr>
        <w:t>, for the general impairment standard</w:t>
      </w:r>
      <w:r w:rsidR="00585A53">
        <w:rPr>
          <w:rFonts w:eastAsia="SimSun"/>
        </w:rPr>
        <w:t>, fair value does not</w:t>
      </w:r>
      <w:r w:rsidR="00BF772F">
        <w:rPr>
          <w:rFonts w:eastAsia="SimSun"/>
        </w:rPr>
        <w:t xml:space="preserve"> necessarily</w:t>
      </w:r>
      <w:r w:rsidR="00585A53">
        <w:rPr>
          <w:rFonts w:eastAsia="SimSun"/>
        </w:rPr>
        <w:t xml:space="preserve"> even need to be </w:t>
      </w:r>
      <w:r w:rsidR="00585A53" w:rsidRPr="00BF772F">
        <w:rPr>
          <w:rFonts w:eastAsia="SimSun"/>
          <w:i/>
        </w:rPr>
        <w:t xml:space="preserve">considered </w:t>
      </w:r>
      <w:r w:rsidR="00585A53">
        <w:rPr>
          <w:rFonts w:eastAsia="SimSun"/>
        </w:rPr>
        <w:t>in the process</w:t>
      </w:r>
      <w:r w:rsidR="00BF772F">
        <w:rPr>
          <w:rFonts w:eastAsia="SimSun"/>
        </w:rPr>
        <w:t xml:space="preserve"> of impairment.</w:t>
      </w:r>
      <w:r w:rsidR="00585A53">
        <w:rPr>
          <w:rFonts w:eastAsia="SimSun"/>
        </w:rPr>
        <w:t xml:space="preserve"> </w:t>
      </w:r>
      <w:r w:rsidR="00BF772F">
        <w:rPr>
          <w:rFonts w:eastAsia="SimSun"/>
        </w:rPr>
        <w:t>So, PB’s “required”</w:t>
      </w:r>
      <w:r w:rsidR="00FD0971">
        <w:rPr>
          <w:rFonts w:eastAsia="SimSun"/>
        </w:rPr>
        <w:t xml:space="preserve"> </w:t>
      </w:r>
      <w:r w:rsidR="00BF772F">
        <w:rPr>
          <w:rFonts w:eastAsia="SimSun"/>
        </w:rPr>
        <w:t>is incorrect</w:t>
      </w:r>
      <w:r w:rsidR="005E350B">
        <w:rPr>
          <w:rFonts w:eastAsia="SimSun"/>
        </w:rPr>
        <w:t xml:space="preserve"> for </w:t>
      </w:r>
      <w:r w:rsidR="003A54DD">
        <w:rPr>
          <w:rFonts w:eastAsia="SimSun"/>
        </w:rPr>
        <w:t xml:space="preserve">several of </w:t>
      </w:r>
      <w:r w:rsidR="00335D3E">
        <w:rPr>
          <w:rFonts w:eastAsia="SimSun"/>
        </w:rPr>
        <w:t>their 11 standards</w:t>
      </w:r>
      <w:r w:rsidR="003A54DD">
        <w:rPr>
          <w:rStyle w:val="FootnoteReference"/>
          <w:rFonts w:eastAsia="SimSun"/>
        </w:rPr>
        <w:footnoteReference w:id="23"/>
      </w:r>
      <w:r w:rsidR="005E350B">
        <w:rPr>
          <w:rFonts w:eastAsia="SimSun"/>
        </w:rPr>
        <w:t xml:space="preserve"> even for impairment testing, let alone for impairment measurement</w:t>
      </w:r>
      <w:r w:rsidR="00BF772F">
        <w:rPr>
          <w:rFonts w:eastAsia="SimSun"/>
        </w:rPr>
        <w:t xml:space="preserve">. Even if PB had meant “impairment </w:t>
      </w:r>
      <w:r w:rsidR="00BF772F" w:rsidRPr="00023D1C">
        <w:rPr>
          <w:rFonts w:eastAsia="SimSun"/>
          <w:i/>
        </w:rPr>
        <w:t>sometimes</w:t>
      </w:r>
      <w:r w:rsidR="00BF772F">
        <w:rPr>
          <w:rFonts w:eastAsia="SimSun"/>
        </w:rPr>
        <w:t xml:space="preserve"> involves </w:t>
      </w:r>
      <w:r w:rsidR="002E64AD" w:rsidRPr="00023D1C">
        <w:rPr>
          <w:rFonts w:eastAsia="SimSun"/>
          <w:i/>
        </w:rPr>
        <w:t>considering</w:t>
      </w:r>
      <w:r w:rsidR="002E64AD">
        <w:rPr>
          <w:rFonts w:eastAsia="SimSun"/>
        </w:rPr>
        <w:t xml:space="preserve"> </w:t>
      </w:r>
      <w:r w:rsidR="00BF772F">
        <w:rPr>
          <w:rFonts w:eastAsia="SimSun"/>
        </w:rPr>
        <w:t xml:space="preserve">fair value”, </w:t>
      </w:r>
      <w:r w:rsidR="00FD0971">
        <w:rPr>
          <w:rFonts w:eastAsia="SimSun"/>
        </w:rPr>
        <w:t xml:space="preserve">I </w:t>
      </w:r>
      <w:r w:rsidR="00BF772F">
        <w:rPr>
          <w:rFonts w:eastAsia="SimSun"/>
        </w:rPr>
        <w:t xml:space="preserve">would </w:t>
      </w:r>
      <w:r w:rsidR="00023D1C">
        <w:rPr>
          <w:rFonts w:eastAsia="SimSun"/>
        </w:rPr>
        <w:t>suggest not scor</w:t>
      </w:r>
      <w:r w:rsidR="00BF772F">
        <w:rPr>
          <w:rFonts w:eastAsia="SimSun"/>
        </w:rPr>
        <w:t>ing</w:t>
      </w:r>
      <w:r>
        <w:rPr>
          <w:rFonts w:eastAsia="SimSun"/>
        </w:rPr>
        <w:t xml:space="preserve"> each </w:t>
      </w:r>
      <w:r w:rsidR="00FD0971">
        <w:rPr>
          <w:rFonts w:eastAsia="SimSun"/>
        </w:rPr>
        <w:t xml:space="preserve">asset standard </w:t>
      </w:r>
      <w:r w:rsidR="00023D1C">
        <w:rPr>
          <w:rFonts w:eastAsia="SimSun"/>
        </w:rPr>
        <w:t xml:space="preserve">for this, </w:t>
      </w:r>
      <w:r w:rsidR="00FD0971">
        <w:rPr>
          <w:rFonts w:eastAsia="SimSun"/>
        </w:rPr>
        <w:t>because th</w:t>
      </w:r>
      <w:r w:rsidR="00602CBF">
        <w:rPr>
          <w:rFonts w:eastAsia="SimSun"/>
        </w:rPr>
        <w:t>ose standards</w:t>
      </w:r>
      <w:r w:rsidR="00FD0971">
        <w:rPr>
          <w:rStyle w:val="FootnoteReference"/>
          <w:rFonts w:eastAsia="SimSun"/>
        </w:rPr>
        <w:footnoteReference w:id="24"/>
      </w:r>
      <w:r w:rsidR="00FD0971">
        <w:rPr>
          <w:rFonts w:eastAsia="SimSun"/>
        </w:rPr>
        <w:t xml:space="preserve"> send readers to ASBE 8, which PB </w:t>
      </w:r>
      <w:r w:rsidR="004A61BB">
        <w:rPr>
          <w:rFonts w:eastAsia="SimSun"/>
        </w:rPr>
        <w:t xml:space="preserve">and I </w:t>
      </w:r>
      <w:r w:rsidR="00FD0971">
        <w:rPr>
          <w:rFonts w:eastAsia="SimSun"/>
        </w:rPr>
        <w:t>also count</w:t>
      </w:r>
      <w:r w:rsidR="00BF772F">
        <w:rPr>
          <w:rFonts w:eastAsia="SimSun"/>
        </w:rPr>
        <w:t xml:space="preserve"> as </w:t>
      </w:r>
      <w:r w:rsidR="00602CBF">
        <w:rPr>
          <w:rFonts w:eastAsia="SimSun"/>
        </w:rPr>
        <w:t>involv</w:t>
      </w:r>
      <w:r w:rsidR="00BF772F">
        <w:rPr>
          <w:rFonts w:eastAsia="SimSun"/>
        </w:rPr>
        <w:t>ing fair value</w:t>
      </w:r>
      <w:r w:rsidR="008B272E">
        <w:rPr>
          <w:rFonts w:eastAsia="SimSun"/>
        </w:rPr>
        <w:t>. I</w:t>
      </w:r>
      <w:r w:rsidR="00FD0971">
        <w:rPr>
          <w:rFonts w:eastAsia="SimSun"/>
        </w:rPr>
        <w:t xml:space="preserve">f a standard does not mention fair value but sends readers to another standard which does, I score only the latter, in </w:t>
      </w:r>
      <w:r w:rsidR="008B272E">
        <w:rPr>
          <w:rFonts w:eastAsia="SimSun"/>
        </w:rPr>
        <w:t>order to avoid double-counting</w:t>
      </w:r>
      <w:r w:rsidR="002E64AD">
        <w:rPr>
          <w:rFonts w:eastAsia="SimSun"/>
        </w:rPr>
        <w:t>. O</w:t>
      </w:r>
      <w:r w:rsidR="00FD0971">
        <w:rPr>
          <w:rFonts w:eastAsia="SimSun"/>
        </w:rPr>
        <w:t xml:space="preserve">n this </w:t>
      </w:r>
      <w:r w:rsidR="00BF772F">
        <w:rPr>
          <w:rFonts w:eastAsia="SimSun"/>
        </w:rPr>
        <w:t xml:space="preserve">last </w:t>
      </w:r>
      <w:r w:rsidR="00FD0971">
        <w:rPr>
          <w:rFonts w:eastAsia="SimSun"/>
        </w:rPr>
        <w:t xml:space="preserve">issue, my preference is a matter of opinion. </w:t>
      </w:r>
      <w:r>
        <w:rPr>
          <w:rFonts w:eastAsia="SimSun"/>
        </w:rPr>
        <w:t>However, ASBE 27 (</w:t>
      </w:r>
      <w:r w:rsidRPr="00995C9F">
        <w:rPr>
          <w:rFonts w:eastAsia="SimSun"/>
          <w:i/>
        </w:rPr>
        <w:t>Extractive Industries</w:t>
      </w:r>
      <w:r>
        <w:rPr>
          <w:rFonts w:eastAsia="SimSun"/>
        </w:rPr>
        <w:t>)</w:t>
      </w:r>
      <w:r w:rsidR="00105AC5">
        <w:rPr>
          <w:rFonts w:eastAsia="SimSun"/>
        </w:rPr>
        <w:t>,</w:t>
      </w:r>
      <w:r>
        <w:rPr>
          <w:rFonts w:eastAsia="SimSun"/>
        </w:rPr>
        <w:t xml:space="preserve"> </w:t>
      </w:r>
      <w:r w:rsidR="00105AC5">
        <w:rPr>
          <w:rFonts w:eastAsia="SimSun"/>
        </w:rPr>
        <w:t xml:space="preserve">although generally relying on ASBE 8, </w:t>
      </w:r>
      <w:r>
        <w:rPr>
          <w:rFonts w:eastAsia="SimSun"/>
        </w:rPr>
        <w:t xml:space="preserve">has its own particular </w:t>
      </w:r>
      <w:r w:rsidR="00105AC5">
        <w:rPr>
          <w:rFonts w:eastAsia="SimSun"/>
        </w:rPr>
        <w:t xml:space="preserve">impairment test </w:t>
      </w:r>
      <w:r>
        <w:rPr>
          <w:rFonts w:eastAsia="SimSun"/>
        </w:rPr>
        <w:t>f</w:t>
      </w:r>
      <w:r w:rsidR="00105AC5">
        <w:rPr>
          <w:rFonts w:eastAsia="SimSun"/>
        </w:rPr>
        <w:t>or unproven rights (Art. 7). This involves fair value, so</w:t>
      </w:r>
      <w:r>
        <w:rPr>
          <w:rFonts w:eastAsia="SimSun"/>
        </w:rPr>
        <w:t xml:space="preserve"> I also score ASBE 27 in column 5. </w:t>
      </w:r>
    </w:p>
    <w:p w14:paraId="6969E096" w14:textId="7F493A6D" w:rsidR="00953FBF" w:rsidRDefault="008B272E" w:rsidP="00AA52A6">
      <w:pPr>
        <w:spacing w:after="0" w:line="240" w:lineRule="auto"/>
        <w:ind w:firstLine="720"/>
        <w:rPr>
          <w:rFonts w:eastAsia="SimSun"/>
        </w:rPr>
      </w:pPr>
      <w:r>
        <w:rPr>
          <w:rFonts w:eastAsia="SimSun"/>
        </w:rPr>
        <w:t>Final</w:t>
      </w:r>
      <w:r w:rsidR="00BF772F">
        <w:rPr>
          <w:rFonts w:eastAsia="SimSun"/>
        </w:rPr>
        <w:t xml:space="preserve">ly, another reason for the difference in our scores is that, in a few cases, PB recorded a score </w:t>
      </w:r>
      <w:r w:rsidR="00665400">
        <w:rPr>
          <w:rFonts w:eastAsia="SimSun"/>
        </w:rPr>
        <w:t xml:space="preserve">for fair value </w:t>
      </w:r>
      <w:r w:rsidR="00BF772F">
        <w:rPr>
          <w:rFonts w:eastAsia="SimSun"/>
        </w:rPr>
        <w:t xml:space="preserve">even though the impairment </w:t>
      </w:r>
      <w:r w:rsidR="00BF772F" w:rsidRPr="00970C40">
        <w:rPr>
          <w:rFonts w:eastAsia="SimSun"/>
        </w:rPr>
        <w:t>process</w:t>
      </w:r>
      <w:r w:rsidR="00665400" w:rsidRPr="00970C40">
        <w:rPr>
          <w:rFonts w:eastAsia="SimSun"/>
        </w:rPr>
        <w:t xml:space="preserve"> </w:t>
      </w:r>
      <w:r w:rsidR="00665400">
        <w:rPr>
          <w:rFonts w:eastAsia="SimSun"/>
        </w:rPr>
        <w:t>does not even “involve” fair value.</w:t>
      </w:r>
      <w:r w:rsidR="00BF772F">
        <w:rPr>
          <w:rStyle w:val="FootnoteReference"/>
          <w:rFonts w:eastAsia="SimSun"/>
        </w:rPr>
        <w:footnoteReference w:id="25"/>
      </w:r>
      <w:r w:rsidR="00953FBF">
        <w:rPr>
          <w:rFonts w:eastAsia="SimSun"/>
        </w:rPr>
        <w:t xml:space="preserve"> </w:t>
      </w:r>
    </w:p>
    <w:p w14:paraId="7887D9BA" w14:textId="77777777" w:rsidR="00AB7778" w:rsidRDefault="00AB7778" w:rsidP="00AA52A6">
      <w:pPr>
        <w:spacing w:after="0" w:line="240" w:lineRule="auto"/>
        <w:ind w:firstLine="720"/>
        <w:rPr>
          <w:rFonts w:eastAsia="SimSun"/>
        </w:rPr>
      </w:pPr>
    </w:p>
    <w:p w14:paraId="0C21A973" w14:textId="257BB065" w:rsidR="006B37C7" w:rsidRPr="006B37C7" w:rsidRDefault="006B37C7" w:rsidP="00AA52A6">
      <w:pPr>
        <w:spacing w:after="0" w:line="240" w:lineRule="auto"/>
        <w:rPr>
          <w:rFonts w:eastAsia="SimSun"/>
          <w:i/>
        </w:rPr>
      </w:pPr>
      <w:r>
        <w:rPr>
          <w:rFonts w:eastAsia="SimSun"/>
          <w:i/>
        </w:rPr>
        <w:t>3.</w:t>
      </w:r>
      <w:r w:rsidR="000C4E29">
        <w:rPr>
          <w:rFonts w:eastAsia="SimSun"/>
          <w:i/>
        </w:rPr>
        <w:t>6</w:t>
      </w:r>
      <w:r>
        <w:rPr>
          <w:rFonts w:eastAsia="SimSun"/>
          <w:i/>
        </w:rPr>
        <w:t xml:space="preserve"> </w:t>
      </w:r>
      <w:r w:rsidRPr="006B37C7">
        <w:rPr>
          <w:rFonts w:eastAsia="SimSun"/>
          <w:i/>
        </w:rPr>
        <w:t>Summary on uses of fair value</w:t>
      </w:r>
      <w:r w:rsidR="0083328C">
        <w:rPr>
          <w:rFonts w:eastAsia="SimSun"/>
          <w:i/>
        </w:rPr>
        <w:t xml:space="preserve"> in the ASBEs of 2006</w:t>
      </w:r>
    </w:p>
    <w:p w14:paraId="37ED6C81" w14:textId="15973633" w:rsidR="000050B1" w:rsidRDefault="00AE32C7" w:rsidP="00AA52A6">
      <w:pPr>
        <w:spacing w:after="0" w:line="240" w:lineRule="auto"/>
        <w:ind w:firstLine="720"/>
      </w:pPr>
      <w:r>
        <w:t>In sum</w:t>
      </w:r>
      <w:r w:rsidR="003A76BE">
        <w:t xml:space="preserve">, </w:t>
      </w:r>
      <w:r w:rsidR="00100EA4">
        <w:t>five</w:t>
      </w:r>
      <w:r w:rsidR="003A76BE">
        <w:t xml:space="preserve"> ASBEs </w:t>
      </w:r>
      <w:r w:rsidR="003560C4">
        <w:t xml:space="preserve">of 2006 </w:t>
      </w:r>
      <w:r w:rsidR="00DC09EC">
        <w:t xml:space="preserve">require </w:t>
      </w:r>
      <w:r w:rsidR="00DD03B6">
        <w:t xml:space="preserve">or allow </w:t>
      </w:r>
      <w:r w:rsidR="00CE414E">
        <w:t>SMFV</w:t>
      </w:r>
      <w:r w:rsidR="00DD03B6">
        <w:t xml:space="preserve"> </w:t>
      </w:r>
      <w:r w:rsidR="0063324C">
        <w:t xml:space="preserve">for some assets, </w:t>
      </w:r>
      <w:r w:rsidR="00DD03B6">
        <w:t>some</w:t>
      </w:r>
      <w:r w:rsidR="0063324C">
        <w:t>times</w:t>
      </w:r>
      <w:r w:rsidR="00DD03B6">
        <w:t xml:space="preserve"> relating to</w:t>
      </w:r>
      <w:r w:rsidR="00FB3048">
        <w:t xml:space="preserve"> special cases</w:t>
      </w:r>
      <w:r w:rsidR="00EF5249" w:rsidRPr="00EF5249">
        <w:t xml:space="preserve"> </w:t>
      </w:r>
      <w:r w:rsidR="00EF5249">
        <w:t>and some</w:t>
      </w:r>
      <w:r w:rsidR="0063324C">
        <w:t>times</w:t>
      </w:r>
      <w:r w:rsidR="00EF5249">
        <w:t xml:space="preserve"> imposing tough conditions</w:t>
      </w:r>
      <w:r w:rsidR="0063324C">
        <w:t>. T</w:t>
      </w:r>
      <w:r w:rsidR="009A7EE2">
        <w:t xml:space="preserve">wo of these </w:t>
      </w:r>
      <w:r w:rsidR="00EF5249">
        <w:t>standards</w:t>
      </w:r>
      <w:r w:rsidR="00B53506">
        <w:rPr>
          <w:rStyle w:val="FootnoteReference"/>
        </w:rPr>
        <w:footnoteReference w:id="26"/>
      </w:r>
      <w:r w:rsidR="00EF5249">
        <w:t xml:space="preserve"> </w:t>
      </w:r>
      <w:r w:rsidR="009A7EE2">
        <w:t xml:space="preserve">plus a further </w:t>
      </w:r>
      <w:r w:rsidR="00EF5249">
        <w:t>ten require initial m</w:t>
      </w:r>
      <w:r w:rsidR="00342F15">
        <w:t>easurement at fair value (for several of them,</w:t>
      </w:r>
      <w:r w:rsidR="00EF5249">
        <w:t xml:space="preserve"> only under special circumstances).</w:t>
      </w:r>
      <w:r w:rsidR="00DC09EC">
        <w:t xml:space="preserve"> </w:t>
      </w:r>
      <w:r w:rsidR="00335D3E">
        <w:t xml:space="preserve">A </w:t>
      </w:r>
      <w:r w:rsidR="00FF3D7A">
        <w:t>further four</w:t>
      </w:r>
      <w:r w:rsidR="00342F15">
        <w:t xml:space="preserve"> </w:t>
      </w:r>
      <w:r w:rsidR="00335D3E">
        <w:t xml:space="preserve">standards </w:t>
      </w:r>
      <w:r w:rsidR="002E64AD">
        <w:t xml:space="preserve">sometimes involve </w:t>
      </w:r>
      <w:r w:rsidR="002E64AD" w:rsidRPr="00CB012A">
        <w:rPr>
          <w:i/>
        </w:rPr>
        <w:t>consideration of</w:t>
      </w:r>
      <w:r w:rsidR="002E64AD">
        <w:t xml:space="preserve"> fair value in the context of measurement</w:t>
      </w:r>
      <w:r w:rsidR="00342F15">
        <w:t xml:space="preserve"> below cost</w:t>
      </w:r>
      <w:r w:rsidR="00B40541">
        <w:t xml:space="preserve">. </w:t>
      </w:r>
      <w:r w:rsidR="00FF3D7A">
        <w:t>This comes to 19</w:t>
      </w:r>
      <w:r w:rsidR="00B53506">
        <w:t xml:space="preserve"> of the standards.</w:t>
      </w:r>
    </w:p>
    <w:p w14:paraId="31A8FE4D" w14:textId="688472FA" w:rsidR="00F93178" w:rsidRDefault="00B53506" w:rsidP="00AA52A6">
      <w:pPr>
        <w:spacing w:after="0" w:line="240" w:lineRule="auto"/>
        <w:ind w:firstLine="720"/>
      </w:pPr>
      <w:r>
        <w:t>Thus</w:t>
      </w:r>
      <w:r w:rsidR="00E43AFB">
        <w:t>, according to</w:t>
      </w:r>
      <w:r w:rsidR="00850839">
        <w:t xml:space="preserve"> </w:t>
      </w:r>
      <w:r w:rsidR="00105619">
        <w:t xml:space="preserve">the </w:t>
      </w:r>
      <w:r w:rsidR="00850839">
        <w:t>Appendix</w:t>
      </w:r>
      <w:r w:rsidR="00E43AFB">
        <w:t>,</w:t>
      </w:r>
      <w:r w:rsidR="00FF3D7A">
        <w:t xml:space="preserve"> the other half</w:t>
      </w:r>
      <w:r w:rsidR="009A7EE2">
        <w:t xml:space="preserve"> of the ASBEs</w:t>
      </w:r>
      <w:r w:rsidR="00C60332">
        <w:t xml:space="preserve"> of 2006</w:t>
      </w:r>
      <w:r w:rsidR="00FF3D7A">
        <w:t xml:space="preserve"> </w:t>
      </w:r>
      <w:r w:rsidR="00232097">
        <w:t>neither require/allow</w:t>
      </w:r>
      <w:r w:rsidR="000A1481">
        <w:t xml:space="preserve"> </w:t>
      </w:r>
      <w:r w:rsidR="00CE414E">
        <w:t>SMFV</w:t>
      </w:r>
      <w:r w:rsidR="00D463C5">
        <w:t xml:space="preserve"> nor otherwise lead to measurement at fair value under some circumstances</w:t>
      </w:r>
      <w:r w:rsidR="00E43AFB">
        <w:t xml:space="preserve">. </w:t>
      </w:r>
      <w:r w:rsidR="00FF3D7A">
        <w:t>One further standard</w:t>
      </w:r>
      <w:r w:rsidR="00887AA8">
        <w:t xml:space="preserve">, </w:t>
      </w:r>
      <w:r w:rsidR="00A71FB0">
        <w:t>alr</w:t>
      </w:r>
      <w:r w:rsidR="00887AA8">
        <w:t>eady mentioned in passing above,</w:t>
      </w:r>
      <w:r w:rsidR="00D31C9D">
        <w:t xml:space="preserve"> do</w:t>
      </w:r>
      <w:r w:rsidR="00FF3D7A">
        <w:t>es</w:t>
      </w:r>
      <w:r w:rsidR="00A71FB0">
        <w:t xml:space="preserve"> “involve” fair valu</w:t>
      </w:r>
      <w:r w:rsidR="00887AA8">
        <w:t xml:space="preserve">e </w:t>
      </w:r>
      <w:r w:rsidR="00FF3D7A">
        <w:t>(ASBE 24</w:t>
      </w:r>
      <w:r w:rsidR="00A71FB0">
        <w:t>; see</w:t>
      </w:r>
      <w:r w:rsidR="00D16337">
        <w:t xml:space="preserve"> column 6 of</w:t>
      </w:r>
      <w:r w:rsidR="00105619">
        <w:t xml:space="preserve"> the</w:t>
      </w:r>
      <w:r w:rsidR="00A71FB0">
        <w:t xml:space="preserve"> </w:t>
      </w:r>
      <w:r w:rsidR="00850839">
        <w:t>Appendix</w:t>
      </w:r>
      <w:r w:rsidR="00A71FB0">
        <w:t>)</w:t>
      </w:r>
      <w:r w:rsidR="00887AA8" w:rsidRPr="00887AA8">
        <w:t xml:space="preserve"> </w:t>
      </w:r>
      <w:r w:rsidR="00887AA8">
        <w:t>but was not scored above because it does not itself require or allow measurement at fair value</w:t>
      </w:r>
      <w:r w:rsidR="00A71FB0">
        <w:t xml:space="preserve">. Finally, </w:t>
      </w:r>
      <w:r w:rsidR="00887AA8">
        <w:t>some of th</w:t>
      </w:r>
      <w:r w:rsidR="00C23F5C">
        <w:t xml:space="preserve">e </w:t>
      </w:r>
      <w:r w:rsidR="00887AA8">
        <w:t xml:space="preserve">scored </w:t>
      </w:r>
      <w:r w:rsidR="00C23F5C">
        <w:t xml:space="preserve">standards plus a further two </w:t>
      </w:r>
      <w:r w:rsidR="000A1481">
        <w:t xml:space="preserve">require </w:t>
      </w:r>
      <w:r w:rsidR="000A1481" w:rsidRPr="00E43AFB">
        <w:rPr>
          <w:i/>
        </w:rPr>
        <w:t>disclosures</w:t>
      </w:r>
      <w:r w:rsidR="00E81CCF">
        <w:t xml:space="preserve"> about</w:t>
      </w:r>
      <w:r w:rsidR="000A1481">
        <w:t xml:space="preserve"> fair value</w:t>
      </w:r>
      <w:r w:rsidR="00E81CCF">
        <w:t>s</w:t>
      </w:r>
      <w:r w:rsidR="00D26876">
        <w:t>. That is, a</w:t>
      </w:r>
      <w:r w:rsidR="00B4253A">
        <w:t xml:space="preserve">s recorded in column 6 of </w:t>
      </w:r>
      <w:r w:rsidR="00105619">
        <w:t xml:space="preserve">the </w:t>
      </w:r>
      <w:r w:rsidR="00850839">
        <w:t>Appendix</w:t>
      </w:r>
      <w:r w:rsidR="00B4253A">
        <w:t xml:space="preserve">, </w:t>
      </w:r>
      <w:r w:rsidR="00B40541">
        <w:t>ASBE</w:t>
      </w:r>
      <w:r w:rsidR="003560C4">
        <w:t>s 30 and</w:t>
      </w:r>
      <w:r w:rsidR="00B40541">
        <w:t xml:space="preserve"> 31</w:t>
      </w:r>
      <w:r w:rsidR="00FB3751">
        <w:t xml:space="preserve"> require</w:t>
      </w:r>
      <w:r w:rsidR="002E6712">
        <w:t xml:space="preserve"> </w:t>
      </w:r>
      <w:r w:rsidR="008B272E">
        <w:t xml:space="preserve">a note </w:t>
      </w:r>
      <w:r w:rsidR="00100EA4">
        <w:t xml:space="preserve">if </w:t>
      </w:r>
      <w:r w:rsidR="003560C4">
        <w:t xml:space="preserve">income or cash </w:t>
      </w:r>
      <w:r w:rsidR="00100EA4">
        <w:t>flows from operat</w:t>
      </w:r>
      <w:r w:rsidR="00B40541">
        <w:t>ing activit</w:t>
      </w:r>
      <w:r w:rsidR="0035294F">
        <w:t>ies relate to</w:t>
      </w:r>
      <w:r w:rsidR="00100EA4">
        <w:t xml:space="preserve"> a change in fair value</w:t>
      </w:r>
      <w:r w:rsidR="003A76BE">
        <w:t xml:space="preserve">, though </w:t>
      </w:r>
      <w:r w:rsidR="00D16337">
        <w:t xml:space="preserve">the </w:t>
      </w:r>
      <w:r w:rsidR="00DD03B6">
        <w:t xml:space="preserve">discussion </w:t>
      </w:r>
      <w:r w:rsidR="00D16337">
        <w:t xml:space="preserve">in </w:t>
      </w:r>
      <w:r w:rsidR="00850839">
        <w:t xml:space="preserve">Section </w:t>
      </w:r>
      <w:r w:rsidR="00D16337">
        <w:t>3.</w:t>
      </w:r>
      <w:r w:rsidR="000C4E29">
        <w:t>3</w:t>
      </w:r>
      <w:r w:rsidR="00D16337">
        <w:t xml:space="preserve"> </w:t>
      </w:r>
      <w:r w:rsidR="00DD03B6">
        <w:t xml:space="preserve">suggests that it must be rare for </w:t>
      </w:r>
      <w:r w:rsidR="00DD03B6" w:rsidRPr="00AE32C7">
        <w:rPr>
          <w:i/>
        </w:rPr>
        <w:t>operating</w:t>
      </w:r>
      <w:r w:rsidR="00DD03B6">
        <w:t xml:space="preserve"> activities </w:t>
      </w:r>
      <w:r w:rsidR="008B272E">
        <w:t xml:space="preserve">to include </w:t>
      </w:r>
      <w:r w:rsidR="00AB7778">
        <w:t>changes in fair value</w:t>
      </w:r>
      <w:r w:rsidR="0035294F">
        <w:t>, except in financial institutions</w:t>
      </w:r>
      <w:r w:rsidR="002E6712">
        <w:t xml:space="preserve">. </w:t>
      </w:r>
      <w:r w:rsidR="00A71FB0">
        <w:t xml:space="preserve">In many cases, the standards discussed </w:t>
      </w:r>
      <w:r w:rsidR="00887AA8">
        <w:t>in this section</w:t>
      </w:r>
      <w:r w:rsidR="00D31C9D">
        <w:t xml:space="preserve"> </w:t>
      </w:r>
      <w:r w:rsidR="00A71FB0">
        <w:t>also require disclosures about fair v</w:t>
      </w:r>
      <w:r w:rsidR="0063324C">
        <w:t>alue, but I have not scored th</w:t>
      </w:r>
      <w:r w:rsidR="00AB7778">
        <w:t>ose standards</w:t>
      </w:r>
      <w:r w:rsidR="00A71FB0">
        <w:t xml:space="preserve"> in column 6 because the disclosures relate to entries in other columns for the same standard. </w:t>
      </w:r>
    </w:p>
    <w:p w14:paraId="06405100" w14:textId="0620D3DE" w:rsidR="00E91EE8" w:rsidRDefault="00E91EE8" w:rsidP="00E91EE8">
      <w:pPr>
        <w:spacing w:after="0" w:line="240" w:lineRule="auto"/>
        <w:ind w:firstLine="720"/>
      </w:pPr>
      <w:r>
        <w:t xml:space="preserve">Table I summarises the discussion of this section. Its column 1 lists the various uses of fair value. Column 2 records PB’s scores </w:t>
      </w:r>
      <w:r w:rsidR="00D463C5">
        <w:t xml:space="preserve">for these uses </w:t>
      </w:r>
      <w:r>
        <w:t>from their Table I. Column 3 records my scores</w:t>
      </w:r>
      <w:r w:rsidR="00984ACC">
        <w:t>, as discussed in this</w:t>
      </w:r>
      <w:r w:rsidR="00D463C5">
        <w:t xml:space="preserve"> section,</w:t>
      </w:r>
      <w:r w:rsidR="00FC133D">
        <w:t xml:space="preserve"> relating to the same standards</w:t>
      </w:r>
      <w:r>
        <w:t>.</w:t>
      </w:r>
    </w:p>
    <w:p w14:paraId="53CC2562" w14:textId="77777777" w:rsidR="00AA2E26" w:rsidRDefault="00AA2E26" w:rsidP="00E91EE8">
      <w:pPr>
        <w:spacing w:after="0" w:line="240" w:lineRule="auto"/>
        <w:ind w:firstLine="720"/>
      </w:pPr>
    </w:p>
    <w:p w14:paraId="59C305C1" w14:textId="29C09F32" w:rsidR="00AA2E26" w:rsidRPr="00105619" w:rsidRDefault="00AA2E26" w:rsidP="00E91EE8">
      <w:pPr>
        <w:spacing w:after="0" w:line="240" w:lineRule="auto"/>
        <w:ind w:firstLine="720"/>
        <w:rPr>
          <w:i/>
        </w:rPr>
      </w:pPr>
      <w:r w:rsidRPr="00105619">
        <w:rPr>
          <w:i/>
        </w:rPr>
        <w:t>[Insert Table I near here.]</w:t>
      </w:r>
    </w:p>
    <w:p w14:paraId="702CB8A7" w14:textId="77777777" w:rsidR="0083328C" w:rsidRDefault="0083328C" w:rsidP="00E91EE8">
      <w:pPr>
        <w:spacing w:after="0" w:line="240" w:lineRule="auto"/>
      </w:pPr>
    </w:p>
    <w:p w14:paraId="01F7ECB8" w14:textId="4EF0A0AC" w:rsidR="00E271FE" w:rsidRDefault="00691956" w:rsidP="00AA52A6">
      <w:pPr>
        <w:spacing w:after="0" w:line="240" w:lineRule="auto"/>
        <w:rPr>
          <w:b/>
        </w:rPr>
      </w:pPr>
      <w:r>
        <w:rPr>
          <w:b/>
        </w:rPr>
        <w:t>4</w:t>
      </w:r>
      <w:r w:rsidR="00E271FE">
        <w:rPr>
          <w:b/>
        </w:rPr>
        <w:t xml:space="preserve">.  Did China want FVA or </w:t>
      </w:r>
      <w:r w:rsidR="00444B08">
        <w:rPr>
          <w:b/>
        </w:rPr>
        <w:t xml:space="preserve">did it want </w:t>
      </w:r>
      <w:r w:rsidR="00E271FE">
        <w:rPr>
          <w:b/>
        </w:rPr>
        <w:t>IFRS?</w:t>
      </w:r>
    </w:p>
    <w:p w14:paraId="43CCBB06" w14:textId="6CD095A6" w:rsidR="00691956" w:rsidRDefault="00845C8F" w:rsidP="00AA52A6">
      <w:pPr>
        <w:spacing w:after="0" w:line="240" w:lineRule="auto"/>
        <w:ind w:firstLine="720"/>
      </w:pPr>
      <w:r>
        <w:lastRenderedPageBreak/>
        <w:t xml:space="preserve">We can now turn to BGP’s analysis. </w:t>
      </w:r>
      <w:r w:rsidR="00691956">
        <w:t>BGP do not provide information that would enable readers to consult the Chinese standards or a commentary on them. BGP refer (p. 1275) to electronic documents by “Li” and “Liu”, which might have contained relevant information about the standards but are no longer available. BGP report that they accessed those documents in January 2008, presumably because the documents were no longer available when they wrote their 2018 paper.</w:t>
      </w:r>
      <w:r w:rsidR="00691956" w:rsidRPr="006A70C0">
        <w:t xml:space="preserve"> </w:t>
      </w:r>
      <w:r w:rsidR="00691956">
        <w:t>BGP thus refer us back to PB when th</w:t>
      </w:r>
      <w:r w:rsidR="00984ACC">
        <w:t xml:space="preserve">ey report that China issued </w:t>
      </w:r>
      <w:r w:rsidR="00691956">
        <w:t>38 standards</w:t>
      </w:r>
      <w:r w:rsidR="00984ACC">
        <w:t xml:space="preserve"> in 2006,</w:t>
      </w:r>
      <w:r w:rsidR="00691956">
        <w:t xml:space="preserve"> of which “25 require or allow fair value” (BGP’s Table I) and “at least 27 involved fair value” (p.</w:t>
      </w:r>
      <w:r w:rsidR="00F342BE">
        <w:t xml:space="preserve"> </w:t>
      </w:r>
      <w:r w:rsidR="00691956">
        <w:t>1261). On this basis</w:t>
      </w:r>
      <w:r>
        <w:t>,</w:t>
      </w:r>
      <w:r w:rsidR="00691956">
        <w:t xml:space="preserve"> BGP infer great </w:t>
      </w:r>
      <w:r w:rsidR="004A61BB">
        <w:t xml:space="preserve">Chinese </w:t>
      </w:r>
      <w:r w:rsidR="00691956">
        <w:t>enthusiasm for FVA, as quoted in my Section 1.</w:t>
      </w:r>
      <w:r w:rsidR="00287BFA" w:rsidRPr="00287BFA">
        <w:t xml:space="preserve"> </w:t>
      </w:r>
      <w:r w:rsidR="00287BFA">
        <w:t>However, I have shown in Section 3 that only five standards require or allow FVA</w:t>
      </w:r>
      <w:r w:rsidR="00C62882">
        <w:t xml:space="preserve"> in its full sense (SMFV</w:t>
      </w:r>
      <w:r w:rsidR="00287BFA">
        <w:t>)</w:t>
      </w:r>
      <w:r w:rsidR="00C62882">
        <w:t>, that SMFV</w:t>
      </w:r>
      <w:r w:rsidR="00960645">
        <w:t xml:space="preserve"> only applies to </w:t>
      </w:r>
      <w:r w:rsidR="00D31C9D">
        <w:t>some of the items cover</w:t>
      </w:r>
      <w:r w:rsidR="00960645">
        <w:t>ed by those standards</w:t>
      </w:r>
      <w:r w:rsidR="00287BFA">
        <w:t xml:space="preserve">, and </w:t>
      </w:r>
      <w:r w:rsidR="00960645">
        <w:t xml:space="preserve">that </w:t>
      </w:r>
      <w:r w:rsidR="00287BFA">
        <w:t>some</w:t>
      </w:r>
      <w:r w:rsidR="00D31C9D">
        <w:t xml:space="preserve"> of tho</w:t>
      </w:r>
      <w:r w:rsidR="00CA4E92">
        <w:t>se standards impose</w:t>
      </w:r>
      <w:r w:rsidR="00287BFA">
        <w:t xml:space="preserve"> tough conditions</w:t>
      </w:r>
      <w:r w:rsidR="00230541">
        <w:t xml:space="preserve"> </w:t>
      </w:r>
      <w:r w:rsidR="00C62882">
        <w:t>that severely constrain the use of SMFV</w:t>
      </w:r>
      <w:r w:rsidR="00287BFA">
        <w:t xml:space="preserve">. </w:t>
      </w:r>
      <w:r w:rsidR="00960645">
        <w:t>Some</w:t>
      </w:r>
      <w:r w:rsidR="00D64FCA">
        <w:t xml:space="preserve"> </w:t>
      </w:r>
      <w:r w:rsidR="00287BFA">
        <w:t>other standards involve fair value</w:t>
      </w:r>
      <w:r w:rsidR="00230541">
        <w:t xml:space="preserve"> measurement</w:t>
      </w:r>
      <w:r w:rsidR="00287BFA">
        <w:t xml:space="preserve"> in</w:t>
      </w:r>
      <w:r w:rsidR="00D64FCA">
        <w:t xml:space="preserve"> certain</w:t>
      </w:r>
      <w:r w:rsidR="00287BFA">
        <w:t xml:space="preserve"> cir</w:t>
      </w:r>
      <w:r w:rsidR="00C62882">
        <w:t>cumstances as part of historical cost accounting</w:t>
      </w:r>
      <w:r w:rsidR="00287BFA">
        <w:t>.</w:t>
      </w:r>
    </w:p>
    <w:p w14:paraId="4AF856F9" w14:textId="0702C901" w:rsidR="00E271FE" w:rsidRDefault="00E271FE" w:rsidP="00AA52A6">
      <w:pPr>
        <w:spacing w:after="0" w:line="240" w:lineRule="auto"/>
        <w:ind w:firstLine="720"/>
      </w:pPr>
      <w:r>
        <w:t>In this section</w:t>
      </w:r>
      <w:r w:rsidR="00773785">
        <w:t>,</w:t>
      </w:r>
      <w:r>
        <w:t xml:space="preserve"> I suggest that BGP have their pr</w:t>
      </w:r>
      <w:r w:rsidR="00444B08">
        <w:t>oposition the wrong way round. I suggest that</w:t>
      </w:r>
      <w:r w:rsidR="00E43AFB">
        <w:t xml:space="preserve"> </w:t>
      </w:r>
      <w:r>
        <w:t xml:space="preserve">China did not </w:t>
      </w:r>
      <w:r w:rsidR="00E43AFB">
        <w:t>become enthusiastic about FVA</w:t>
      </w:r>
      <w:r w:rsidR="008B3489">
        <w:t xml:space="preserve"> but, instead,</w:t>
      </w:r>
      <w:r>
        <w:t xml:space="preserve"> became enthusiastic about IFRS</w:t>
      </w:r>
      <w:r w:rsidR="00F76A83">
        <w:t>. Then, as part of approximately adopting IFRS, China</w:t>
      </w:r>
      <w:r>
        <w:t xml:space="preserve"> reluctantly adopted some of the FVA in IFRS but deleted or</w:t>
      </w:r>
      <w:r w:rsidR="00E43AFB">
        <w:t xml:space="preserve"> downgraded other bits of FVA. </w:t>
      </w:r>
      <w:r w:rsidR="00A80A4E">
        <w:t>Table II</w:t>
      </w:r>
      <w:r w:rsidR="001A7D4A">
        <w:t xml:space="preserve"> provides the evidence for this </w:t>
      </w:r>
      <w:r w:rsidR="00A80A4E">
        <w:t xml:space="preserve">latter point </w:t>
      </w:r>
      <w:r w:rsidR="001A7D4A">
        <w:t>by examining the</w:t>
      </w:r>
      <w:r w:rsidR="00B4253A">
        <w:t xml:space="preserve"> </w:t>
      </w:r>
      <w:r w:rsidR="00C62882">
        <w:t xml:space="preserve">relevant </w:t>
      </w:r>
      <w:r w:rsidR="00204DD9">
        <w:t>dif</w:t>
      </w:r>
      <w:r w:rsidR="00B4253A">
        <w:t>ferences between ASBEs and IFRS</w:t>
      </w:r>
      <w:r w:rsidR="00A80A4E">
        <w:t xml:space="preserve"> in 2006</w:t>
      </w:r>
      <w:r w:rsidR="00C62882">
        <w:t>. Such</w:t>
      </w:r>
      <w:r w:rsidR="009F0E48">
        <w:t xml:space="preserve"> </w:t>
      </w:r>
      <w:r w:rsidR="004A61BB">
        <w:t xml:space="preserve">differences </w:t>
      </w:r>
      <w:r>
        <w:t>are not specifically mentioned by BGP</w:t>
      </w:r>
      <w:r w:rsidR="0035294F">
        <w:t xml:space="preserve"> but </w:t>
      </w:r>
      <w:r w:rsidR="00C62882">
        <w:t xml:space="preserve">some </w:t>
      </w:r>
      <w:r w:rsidR="0035294F">
        <w:t xml:space="preserve">are </w:t>
      </w:r>
      <w:r w:rsidR="008B3489">
        <w:t>list</w:t>
      </w:r>
      <w:r w:rsidR="00085B45">
        <w:t xml:space="preserve">ed by PB in their </w:t>
      </w:r>
      <w:r w:rsidR="0035294F">
        <w:t>Table II</w:t>
      </w:r>
      <w:r w:rsidR="00711954">
        <w:t>I</w:t>
      </w:r>
      <w:r w:rsidR="00085B45">
        <w:t xml:space="preserve">, though three of its nine items are in </w:t>
      </w:r>
      <w:r w:rsidR="000243E6">
        <w:t>error</w:t>
      </w:r>
      <w:r>
        <w:t>.</w:t>
      </w:r>
      <w:r w:rsidR="000243E6">
        <w:rPr>
          <w:rStyle w:val="FootnoteReference"/>
        </w:rPr>
        <w:footnoteReference w:id="27"/>
      </w:r>
      <w:r w:rsidR="00AE32C7" w:rsidRPr="00AE32C7">
        <w:t xml:space="preserve"> </w:t>
      </w:r>
    </w:p>
    <w:p w14:paraId="13CAB66E" w14:textId="77777777" w:rsidR="00AA2E26" w:rsidRDefault="00AA2E26" w:rsidP="00AA52A6">
      <w:pPr>
        <w:spacing w:after="0" w:line="240" w:lineRule="auto"/>
        <w:ind w:firstLine="720"/>
      </w:pPr>
    </w:p>
    <w:p w14:paraId="44E8427E" w14:textId="1D4BA49B" w:rsidR="00AA2E26" w:rsidRPr="00105619" w:rsidRDefault="00AA2E26" w:rsidP="00AA2E26">
      <w:pPr>
        <w:spacing w:after="0" w:line="240" w:lineRule="auto"/>
        <w:ind w:firstLine="720"/>
        <w:rPr>
          <w:i/>
        </w:rPr>
      </w:pPr>
      <w:r w:rsidRPr="00105619">
        <w:rPr>
          <w:i/>
        </w:rPr>
        <w:t>[Insert Table II near here.]</w:t>
      </w:r>
    </w:p>
    <w:p w14:paraId="62C544AB" w14:textId="77777777" w:rsidR="00AA2E26" w:rsidRDefault="00AA2E26" w:rsidP="00AA52A6">
      <w:pPr>
        <w:spacing w:after="0" w:line="240" w:lineRule="auto"/>
        <w:ind w:firstLine="720"/>
      </w:pPr>
    </w:p>
    <w:p w14:paraId="652EE882" w14:textId="61A9FA04" w:rsidR="00E271FE" w:rsidRDefault="00E271FE" w:rsidP="00AA52A6">
      <w:pPr>
        <w:spacing w:after="0" w:line="240" w:lineRule="auto"/>
      </w:pPr>
      <w:r>
        <w:tab/>
      </w:r>
      <w:r w:rsidR="001B3CE6">
        <w:t>As</w:t>
      </w:r>
      <w:r w:rsidR="00C62882">
        <w:t xml:space="preserve"> my</w:t>
      </w:r>
      <w:r w:rsidR="001B3CE6">
        <w:t xml:space="preserve"> Table </w:t>
      </w:r>
      <w:r w:rsidR="00C62882">
        <w:t>II shows, the Chinese adaptation of</w:t>
      </w:r>
      <w:r w:rsidR="00F342BE">
        <w:t xml:space="preserve"> </w:t>
      </w:r>
      <w:r w:rsidR="001B3CE6">
        <w:t xml:space="preserve">IFRS eliminated </w:t>
      </w:r>
      <w:r w:rsidR="00F342BE">
        <w:t xml:space="preserve">fair value </w:t>
      </w:r>
      <w:r w:rsidR="001B3CE6">
        <w:t>or co</w:t>
      </w:r>
      <w:r w:rsidR="00F342BE">
        <w:t xml:space="preserve">nstrained its use </w:t>
      </w:r>
      <w:r w:rsidR="001B3CE6">
        <w:t xml:space="preserve">in eight ways. The first six </w:t>
      </w:r>
      <w:r w:rsidR="00105AC5">
        <w:t xml:space="preserve">of these restraints on fair value </w:t>
      </w:r>
      <w:r w:rsidR="001B3CE6">
        <w:t>concern the full-scale version of FVA (called SMFV in this paper). Item</w:t>
      </w:r>
      <w:r w:rsidR="002D11E2">
        <w:t xml:space="preserve"> 7 relates to the only type of non-financial asset for which IFRS generally requires a version of fair value for initial measurement. Item 8 relates to the</w:t>
      </w:r>
      <w:r w:rsidR="00AA2E26">
        <w:t xml:space="preserve"> </w:t>
      </w:r>
      <w:r w:rsidR="00C62882">
        <w:t xml:space="preserve">Chinese </w:t>
      </w:r>
      <w:r w:rsidR="001F31DD">
        <w:t>ban on reversal</w:t>
      </w:r>
      <w:r w:rsidR="002D11E2">
        <w:t>s of impairment</w:t>
      </w:r>
      <w:r w:rsidR="00662B43">
        <w:t>, which</w:t>
      </w:r>
      <w:r w:rsidR="00204DD9">
        <w:t xml:space="preserve"> </w:t>
      </w:r>
      <w:r w:rsidR="001F31DD">
        <w:t>avoid</w:t>
      </w:r>
      <w:r w:rsidR="00662B43">
        <w:t>s</w:t>
      </w:r>
      <w:r w:rsidR="001F31DD">
        <w:t xml:space="preserve"> the need to re-assess recoverable amount which, as discussed </w:t>
      </w:r>
      <w:r w:rsidR="00F23D3F">
        <w:t xml:space="preserve">in </w:t>
      </w:r>
      <w:r w:rsidR="000C4E29">
        <w:t>3.5</w:t>
      </w:r>
      <w:r w:rsidR="002F122C">
        <w:t xml:space="preserve"> </w:t>
      </w:r>
      <w:r w:rsidR="001F31DD">
        <w:t xml:space="preserve">above, </w:t>
      </w:r>
      <w:r w:rsidR="00CE414E">
        <w:t xml:space="preserve">can </w:t>
      </w:r>
      <w:r w:rsidR="001F31DD">
        <w:t>involve fair value.</w:t>
      </w:r>
    </w:p>
    <w:p w14:paraId="5E0B5945" w14:textId="3F77B5BC" w:rsidR="00A9006D" w:rsidRDefault="00A9006D" w:rsidP="00AA52A6">
      <w:pPr>
        <w:spacing w:after="0" w:line="240" w:lineRule="auto"/>
      </w:pPr>
      <w:r>
        <w:tab/>
        <w:t>Th</w:t>
      </w:r>
      <w:r w:rsidR="00C53D55">
        <w:t>is</w:t>
      </w:r>
      <w:r>
        <w:t xml:space="preserve"> reluctance to introduce </w:t>
      </w:r>
      <w:r w:rsidR="00CE414E">
        <w:t>SMFV</w:t>
      </w:r>
      <w:r>
        <w:t xml:space="preserve"> in China</w:t>
      </w:r>
      <w:r w:rsidR="00E43AFB">
        <w:t xml:space="preserve">, </w:t>
      </w:r>
      <w:r w:rsidR="00204DD9">
        <w:t xml:space="preserve">largely confining the practice </w:t>
      </w:r>
      <w:r w:rsidR="00E43AFB">
        <w:t>to a subset of financial assets,</w:t>
      </w:r>
      <w:r>
        <w:t xml:space="preserve"> fits well with BGP’s information about the a</w:t>
      </w:r>
      <w:r w:rsidR="00E43AFB">
        <w:t xml:space="preserve">ttitudes of Chinese officials. </w:t>
      </w:r>
      <w:r w:rsidR="002B2671">
        <w:t>BGP tell us (p.</w:t>
      </w:r>
      <w:r w:rsidR="00F342BE">
        <w:t xml:space="preserve"> </w:t>
      </w:r>
      <w:r w:rsidR="002B2671">
        <w:t xml:space="preserve">1274) that a Vice-Minister assured his audience that “the new Chinese Accounting Standards have set up many restrictions to the application of fair value accounting”. </w:t>
      </w:r>
      <w:r>
        <w:t xml:space="preserve">BGP </w:t>
      </w:r>
      <w:r w:rsidR="002B2671">
        <w:t xml:space="preserve">also </w:t>
      </w:r>
      <w:r>
        <w:t xml:space="preserve">note </w:t>
      </w:r>
      <w:r w:rsidR="002B2671">
        <w:t>(p.</w:t>
      </w:r>
      <w:r w:rsidR="00F342BE">
        <w:t xml:space="preserve"> </w:t>
      </w:r>
      <w:r w:rsidR="002B2671">
        <w:t xml:space="preserve">1271) </w:t>
      </w:r>
      <w:r>
        <w:t xml:space="preserve">that a Vice-Minister stated that </w:t>
      </w:r>
      <w:r w:rsidR="00B913DB">
        <w:t xml:space="preserve">full adoption of </w:t>
      </w:r>
      <w:r>
        <w:t xml:space="preserve">FVA “does not fit in the general </w:t>
      </w:r>
      <w:r w:rsidR="00E43AFB">
        <w:t xml:space="preserve">conditions of China”. </w:t>
      </w:r>
      <w:r w:rsidR="00BD17A1">
        <w:t>BGP could</w:t>
      </w:r>
      <w:r>
        <w:t xml:space="preserve"> have added that the Vice-Minister’s example of </w:t>
      </w:r>
      <w:r w:rsidR="00E43AFB">
        <w:t xml:space="preserve">unreliable </w:t>
      </w:r>
      <w:r>
        <w:t xml:space="preserve">prices in </w:t>
      </w:r>
      <w:r w:rsidR="00E43AFB">
        <w:t>an antiques market</w:t>
      </w:r>
      <w:r>
        <w:t xml:space="preserve"> is irrelevant because IFRS does not require </w:t>
      </w:r>
      <w:r w:rsidR="00CE414E">
        <w:t>SMFV</w:t>
      </w:r>
      <w:r>
        <w:t xml:space="preserve"> for antiques and it probably would not allow it.</w:t>
      </w:r>
      <w:r>
        <w:rPr>
          <w:rStyle w:val="FootnoteReference"/>
        </w:rPr>
        <w:footnoteReference w:id="28"/>
      </w:r>
      <w:r w:rsidR="00E43AFB">
        <w:t xml:space="preserve"> </w:t>
      </w:r>
      <w:r w:rsidR="00F274F8">
        <w:t xml:space="preserve">The point is that one cannot show that fair value is unreliable for </w:t>
      </w:r>
      <w:r w:rsidR="002B2671">
        <w:t>an asset</w:t>
      </w:r>
      <w:r w:rsidR="00F274F8">
        <w:t xml:space="preserve"> for which </w:t>
      </w:r>
      <w:r w:rsidR="00CE414E">
        <w:t>SMFV</w:t>
      </w:r>
      <w:r w:rsidR="00F274F8">
        <w:t xml:space="preserve"> </w:t>
      </w:r>
      <w:r w:rsidR="00120420">
        <w:t xml:space="preserve">is </w:t>
      </w:r>
      <w:r w:rsidR="00F274F8">
        <w:t>requir</w:t>
      </w:r>
      <w:r w:rsidR="004A61BB">
        <w:t>ed (e.</w:t>
      </w:r>
      <w:r w:rsidR="002B2671">
        <w:t>g. equities) or for another asset</w:t>
      </w:r>
      <w:r w:rsidR="00F274F8">
        <w:t xml:space="preserve"> for which it is all</w:t>
      </w:r>
      <w:r w:rsidR="002B2671">
        <w:t>owed (e.g. investment property</w:t>
      </w:r>
      <w:r w:rsidR="00F274F8">
        <w:t>) by giving an extreme exa</w:t>
      </w:r>
      <w:r w:rsidR="00AE32C7">
        <w:t>mple of a volatile market for</w:t>
      </w:r>
      <w:r w:rsidR="0047362E">
        <w:t xml:space="preserve"> a type of </w:t>
      </w:r>
      <w:r w:rsidR="00F274F8">
        <w:t xml:space="preserve">asset for which </w:t>
      </w:r>
      <w:r w:rsidR="00CE414E">
        <w:t>SMFV</w:t>
      </w:r>
      <w:r w:rsidR="00F274F8">
        <w:t xml:space="preserve"> is not proposed</w:t>
      </w:r>
      <w:r w:rsidR="002B2671">
        <w:t xml:space="preserve"> by the IASB or </w:t>
      </w:r>
      <w:r w:rsidR="004A61BB">
        <w:t xml:space="preserve">by </w:t>
      </w:r>
      <w:r w:rsidR="002B2671">
        <w:t>anybody</w:t>
      </w:r>
      <w:r w:rsidR="00120420">
        <w:t xml:space="preserve"> else</w:t>
      </w:r>
      <w:r w:rsidR="00F274F8">
        <w:t xml:space="preserve">. </w:t>
      </w:r>
    </w:p>
    <w:p w14:paraId="02E70EA1" w14:textId="7A6E53FB" w:rsidR="00847A6A" w:rsidRDefault="00A9006D" w:rsidP="00AA52A6">
      <w:pPr>
        <w:spacing w:after="0" w:line="240" w:lineRule="auto"/>
      </w:pPr>
      <w:r>
        <w:tab/>
      </w:r>
      <w:r w:rsidR="00BD17A1">
        <w:t xml:space="preserve">BGP discern a coalition of actors which </w:t>
      </w:r>
      <w:r w:rsidR="00662B43">
        <w:t xml:space="preserve">allegedly </w:t>
      </w:r>
      <w:r w:rsidR="00981E17">
        <w:t>put momentum behind</w:t>
      </w:r>
      <w:r w:rsidR="00BD17A1">
        <w:t xml:space="preserve"> China</w:t>
      </w:r>
      <w:r w:rsidR="00981E17">
        <w:t>’s</w:t>
      </w:r>
      <w:r w:rsidR="00BD17A1">
        <w:t xml:space="preserve"> adopt</w:t>
      </w:r>
      <w:r w:rsidR="00981E17">
        <w:t>ion of</w:t>
      </w:r>
      <w:r w:rsidR="00BD17A1">
        <w:t xml:space="preserve"> FVA: the World Trade Organization (WTO)</w:t>
      </w:r>
      <w:r w:rsidR="00287BB9">
        <w:t>,</w:t>
      </w:r>
      <w:r w:rsidR="00287BB9" w:rsidRPr="00287BB9">
        <w:t xml:space="preserve"> </w:t>
      </w:r>
      <w:r w:rsidR="00287BB9">
        <w:t xml:space="preserve">the World Bank </w:t>
      </w:r>
      <w:r w:rsidR="00BD17A1">
        <w:t xml:space="preserve">and the global accounting firms. </w:t>
      </w:r>
      <w:r w:rsidR="00C53D55">
        <w:t xml:space="preserve">However, </w:t>
      </w:r>
      <w:r w:rsidR="00287BB9">
        <w:t>BGP (p.</w:t>
      </w:r>
      <w:r w:rsidR="00F342BE">
        <w:t xml:space="preserve"> </w:t>
      </w:r>
      <w:r w:rsidR="00287BB9">
        <w:t xml:space="preserve">1268) make it clear that the WTO required China to accept international standards </w:t>
      </w:r>
      <w:r w:rsidR="00287BB9">
        <w:lastRenderedPageBreak/>
        <w:t xml:space="preserve">rather than to accept FVA, though convergence brought some FVA as a knock-on effect. </w:t>
      </w:r>
      <w:r>
        <w:t>I suggest that</w:t>
      </w:r>
      <w:r w:rsidR="00E43AFB">
        <w:t xml:space="preserve"> </w:t>
      </w:r>
      <w:r w:rsidR="00204DD9">
        <w:t>the</w:t>
      </w:r>
      <w:r w:rsidR="00287BB9">
        <w:t xml:space="preserve"> same applies to the other</w:t>
      </w:r>
      <w:r w:rsidR="00204DD9">
        <w:t xml:space="preserve"> t</w:t>
      </w:r>
      <w:r w:rsidR="00287BB9">
        <w:t>wo</w:t>
      </w:r>
      <w:r w:rsidR="00204DD9">
        <w:t xml:space="preserve"> actors</w:t>
      </w:r>
      <w:r w:rsidR="00566482">
        <w:t xml:space="preserve"> and</w:t>
      </w:r>
      <w:r w:rsidR="00230541">
        <w:t xml:space="preserve"> to</w:t>
      </w:r>
      <w:r w:rsidR="00566482">
        <w:t xml:space="preserve"> </w:t>
      </w:r>
      <w:r w:rsidR="00E43AFB">
        <w:t>China</w:t>
      </w:r>
      <w:r w:rsidR="00287BB9">
        <w:t>. That is</w:t>
      </w:r>
      <w:r w:rsidR="00E43AFB">
        <w:t>,</w:t>
      </w:r>
      <w:r>
        <w:t xml:space="preserve"> instead of deve</w:t>
      </w:r>
      <w:r w:rsidR="00E43AFB">
        <w:t xml:space="preserve">loping </w:t>
      </w:r>
      <w:r w:rsidR="0047362E">
        <w:t xml:space="preserve">an </w:t>
      </w:r>
      <w:r w:rsidR="00E43AFB">
        <w:t>enthusiasm for FVA,</w:t>
      </w:r>
      <w:r>
        <w:t xml:space="preserve"> </w:t>
      </w:r>
      <w:r w:rsidR="00287BB9">
        <w:t xml:space="preserve">they </w:t>
      </w:r>
      <w:r>
        <w:t xml:space="preserve">became convinced </w:t>
      </w:r>
      <w:r w:rsidR="00981E17">
        <w:t>that</w:t>
      </w:r>
      <w:r w:rsidR="00E43AFB">
        <w:t xml:space="preserve"> </w:t>
      </w:r>
      <w:r w:rsidR="00566482">
        <w:t>Chinese</w:t>
      </w:r>
      <w:r w:rsidR="00323A35">
        <w:t xml:space="preserve"> standards</w:t>
      </w:r>
      <w:r w:rsidR="00566482">
        <w:t xml:space="preserve"> </w:t>
      </w:r>
      <w:r w:rsidR="00981E17">
        <w:t xml:space="preserve">should </w:t>
      </w:r>
      <w:r w:rsidR="00E43AFB">
        <w:t xml:space="preserve">converge with IFRS. </w:t>
      </w:r>
      <w:r>
        <w:t>This</w:t>
      </w:r>
      <w:r w:rsidR="00E43AFB">
        <w:t xml:space="preserve"> latter issue</w:t>
      </w:r>
      <w:r>
        <w:t xml:space="preserve">, surely, was the motivation for pressure </w:t>
      </w:r>
      <w:r w:rsidR="00E43AFB">
        <w:t xml:space="preserve">on China </w:t>
      </w:r>
      <w:r>
        <w:t>from the World Bank</w:t>
      </w:r>
      <w:r w:rsidR="00E43AFB">
        <w:t>,</w:t>
      </w:r>
      <w:r>
        <w:t xml:space="preserve"> as various remarks by BGP imply (pp.</w:t>
      </w:r>
      <w:r w:rsidR="00F342BE">
        <w:t xml:space="preserve"> </w:t>
      </w:r>
      <w:r>
        <w:t>1264, 1269, 1270).</w:t>
      </w:r>
      <w:r w:rsidR="00E43AFB">
        <w:t xml:space="preserve"> </w:t>
      </w:r>
      <w:r w:rsidR="00287BB9">
        <w:t>Similar</w:t>
      </w:r>
      <w:r w:rsidR="000A64F9">
        <w:t xml:space="preserve">ly, </w:t>
      </w:r>
      <w:r w:rsidR="00287BB9">
        <w:t xml:space="preserve">although </w:t>
      </w:r>
      <w:r w:rsidR="00847A6A">
        <w:t>BGP imply (p.</w:t>
      </w:r>
      <w:r w:rsidR="00F342BE">
        <w:t xml:space="preserve"> </w:t>
      </w:r>
      <w:r w:rsidR="00847A6A">
        <w:t xml:space="preserve">1278) that </w:t>
      </w:r>
      <w:r w:rsidR="00950879">
        <w:t xml:space="preserve">China was influenced by </w:t>
      </w:r>
      <w:r w:rsidR="002F122C">
        <w:t xml:space="preserve">support for FVA from </w:t>
      </w:r>
      <w:r w:rsidR="00847A6A">
        <w:t>the global accounting firms</w:t>
      </w:r>
      <w:r w:rsidR="00287BB9">
        <w:t xml:space="preserve">, </w:t>
      </w:r>
      <w:r w:rsidR="00950879">
        <w:t>BGP offer no evidence that</w:t>
      </w:r>
      <w:r w:rsidR="00847A6A">
        <w:t xml:space="preserve"> </w:t>
      </w:r>
      <w:r w:rsidR="00227E1D">
        <w:t xml:space="preserve">the firms supported FVA or that </w:t>
      </w:r>
      <w:r w:rsidR="00950879">
        <w:t>C</w:t>
      </w:r>
      <w:r w:rsidR="00227E1D">
        <w:t>hina was thus influenced</w:t>
      </w:r>
      <w:r w:rsidR="00950879">
        <w:t xml:space="preserve">. BGP’s three </w:t>
      </w:r>
      <w:r w:rsidR="00847A6A">
        <w:t>references</w:t>
      </w:r>
      <w:r w:rsidR="00E3216C">
        <w:t xml:space="preserve"> in the sentence on this matter</w:t>
      </w:r>
      <w:r w:rsidR="00847A6A">
        <w:t xml:space="preserve"> </w:t>
      </w:r>
      <w:r w:rsidR="00950879">
        <w:t xml:space="preserve">(Hopwood, 1994; </w:t>
      </w:r>
      <w:r w:rsidR="00E43AFB">
        <w:t>Sikka, 2001;</w:t>
      </w:r>
      <w:r w:rsidR="00950879">
        <w:t xml:space="preserve"> </w:t>
      </w:r>
      <w:r w:rsidR="00AE32C7">
        <w:t xml:space="preserve">and </w:t>
      </w:r>
      <w:r w:rsidR="00950879">
        <w:t>Arnold, 2009) discuss the firms’</w:t>
      </w:r>
      <w:r w:rsidR="00847A6A">
        <w:t xml:space="preserve"> support for global </w:t>
      </w:r>
      <w:r w:rsidR="00E3216C">
        <w:t xml:space="preserve">standards rather than for FVA. </w:t>
      </w:r>
      <w:r w:rsidR="00770763">
        <w:t xml:space="preserve">Indeed, </w:t>
      </w:r>
      <w:r w:rsidR="00626C85">
        <w:t xml:space="preserve">none of the references </w:t>
      </w:r>
      <w:r w:rsidR="00E43AFB">
        <w:t>mention</w:t>
      </w:r>
      <w:r w:rsidR="0047362E">
        <w:t>s</w:t>
      </w:r>
      <w:r w:rsidR="00E43AFB">
        <w:t xml:space="preserve"> </w:t>
      </w:r>
      <w:r w:rsidR="00770763">
        <w:t xml:space="preserve">China </w:t>
      </w:r>
      <w:r w:rsidR="00E43AFB">
        <w:t>at all</w:t>
      </w:r>
      <w:r w:rsidR="00770763">
        <w:t xml:space="preserve">. </w:t>
      </w:r>
      <w:r w:rsidR="00626C85">
        <w:t>The first two do not mention FVA either, though t</w:t>
      </w:r>
      <w:r w:rsidR="00770763">
        <w:t xml:space="preserve">he third (Arnold, 2009) does </w:t>
      </w:r>
      <w:r w:rsidR="0047362E">
        <w:t>so</w:t>
      </w:r>
      <w:r w:rsidR="00770763">
        <w:t xml:space="preserve"> once (p. 59)</w:t>
      </w:r>
      <w:r w:rsidR="00770763" w:rsidRPr="00770763">
        <w:t xml:space="preserve"> </w:t>
      </w:r>
      <w:r w:rsidR="00770763">
        <w:t>in the context</w:t>
      </w:r>
      <w:r w:rsidR="00626C85">
        <w:t xml:space="preserve"> that financialisation drove it</w:t>
      </w:r>
      <w:r w:rsidR="00770763">
        <w:t>, but the paper is about the internationalisation of accounting not about FVA</w:t>
      </w:r>
      <w:r w:rsidR="00626C85">
        <w:t xml:space="preserve"> or China</w:t>
      </w:r>
      <w:r w:rsidR="00E43AFB">
        <w:t>.</w:t>
      </w:r>
    </w:p>
    <w:p w14:paraId="2E5BA705" w14:textId="68C86B0A" w:rsidR="000D0379" w:rsidRDefault="000D0379" w:rsidP="00AA52A6">
      <w:pPr>
        <w:spacing w:after="0" w:line="240" w:lineRule="auto"/>
      </w:pPr>
      <w:r>
        <w:tab/>
        <w:t>My conclusion accords with that of Yang et al. (2018, p. 22</w:t>
      </w:r>
      <w:r w:rsidR="00B824C7">
        <w:t>)</w:t>
      </w:r>
      <w:r>
        <w:t>: “Fair value measurement was introduced in 2006 CAS in China in a very cautious way by the Chinese government in it</w:t>
      </w:r>
      <w:r w:rsidR="009974F1">
        <w:t>s efforts to harmonise with IFRS</w:t>
      </w:r>
      <w:r>
        <w:t xml:space="preserve"> standards”.</w:t>
      </w:r>
      <w:r w:rsidR="00626879">
        <w:t xml:space="preserve"> Indeed, PB themselves </w:t>
      </w:r>
      <w:r w:rsidR="007F7649">
        <w:t>start</w:t>
      </w:r>
      <w:r w:rsidR="00626879">
        <w:t xml:space="preserve"> by referring to “China adapting to fair value (FVA) accounting as part of its overall convergence with International Financial Reporting Standards” (p. 982) but th</w:t>
      </w:r>
      <w:r w:rsidR="007F7649">
        <w:t>ey</w:t>
      </w:r>
      <w:r w:rsidR="00626879">
        <w:t xml:space="preserve"> gradually shift to “adopting and implementing IFRS FVA”</w:t>
      </w:r>
      <w:r w:rsidR="00016490">
        <w:t xml:space="preserve"> (p. 984) and conclude with</w:t>
      </w:r>
      <w:r w:rsidR="00626879">
        <w:t xml:space="preserve"> “adoption of FVA” (pp. 1003, 1007). </w:t>
      </w:r>
      <w:r w:rsidR="00016490">
        <w:t xml:space="preserve">BGP’s paper </w:t>
      </w:r>
      <w:r w:rsidR="007F7649">
        <w:t>carries on from</w:t>
      </w:r>
      <w:r w:rsidR="00016490">
        <w:t xml:space="preserve"> PB’s conclusion but would </w:t>
      </w:r>
      <w:r w:rsidR="007F7649">
        <w:t xml:space="preserve">have </w:t>
      </w:r>
      <w:r w:rsidR="00016490">
        <w:t>fit</w:t>
      </w:r>
      <w:r w:rsidR="007F7649">
        <w:t>ted</w:t>
      </w:r>
      <w:r w:rsidR="00016490">
        <w:t xml:space="preserve"> better with </w:t>
      </w:r>
      <w:r w:rsidR="009678A8">
        <w:t>PB’s</w:t>
      </w:r>
      <w:r w:rsidR="00016490">
        <w:t xml:space="preserve"> starting point.</w:t>
      </w:r>
    </w:p>
    <w:p w14:paraId="4303BB7F" w14:textId="77777777" w:rsidR="0083328C" w:rsidRDefault="0083328C" w:rsidP="00AA52A6">
      <w:pPr>
        <w:spacing w:after="0" w:line="240" w:lineRule="auto"/>
      </w:pPr>
    </w:p>
    <w:p w14:paraId="4888678A" w14:textId="786B6F00" w:rsidR="003A20E3" w:rsidRDefault="00691956" w:rsidP="00AA52A6">
      <w:pPr>
        <w:spacing w:after="0" w:line="240" w:lineRule="auto"/>
        <w:rPr>
          <w:b/>
        </w:rPr>
      </w:pPr>
      <w:r>
        <w:rPr>
          <w:b/>
        </w:rPr>
        <w:t>5</w:t>
      </w:r>
      <w:r w:rsidR="00847A6A">
        <w:rPr>
          <w:b/>
        </w:rPr>
        <w:t xml:space="preserve">.  </w:t>
      </w:r>
      <w:r w:rsidR="003A20E3">
        <w:rPr>
          <w:b/>
        </w:rPr>
        <w:t xml:space="preserve">Changes </w:t>
      </w:r>
      <w:r w:rsidR="00E75F3A">
        <w:rPr>
          <w:b/>
        </w:rPr>
        <w:t>to</w:t>
      </w:r>
      <w:r w:rsidR="003A20E3">
        <w:rPr>
          <w:b/>
        </w:rPr>
        <w:t xml:space="preserve"> Chinese standards since 2006</w:t>
      </w:r>
    </w:p>
    <w:p w14:paraId="066AF5DE" w14:textId="1C5FDE19" w:rsidR="005A17C2" w:rsidRDefault="00A52382" w:rsidP="00AA52A6">
      <w:pPr>
        <w:tabs>
          <w:tab w:val="left" w:pos="6708"/>
        </w:tabs>
        <w:spacing w:after="0" w:line="240" w:lineRule="auto"/>
      </w:pPr>
      <w:r>
        <w:t xml:space="preserve">          </w:t>
      </w:r>
      <w:r w:rsidR="003A20E3">
        <w:t xml:space="preserve">BGP </w:t>
      </w:r>
      <w:r w:rsidR="001572A5">
        <w:t xml:space="preserve">focus on trying to </w:t>
      </w:r>
      <w:r w:rsidR="00905762">
        <w:t xml:space="preserve">explain the changes of 2006. Thus, </w:t>
      </w:r>
      <w:r w:rsidR="001572A5">
        <w:t>even though</w:t>
      </w:r>
      <w:r w:rsidR="003A20E3">
        <w:t xml:space="preserve"> their paper </w:t>
      </w:r>
      <w:r w:rsidR="001572A5">
        <w:t xml:space="preserve">was </w:t>
      </w:r>
      <w:r w:rsidR="00905762">
        <w:t>published in 2018,</w:t>
      </w:r>
      <w:r w:rsidR="003A20E3">
        <w:t xml:space="preserve"> </w:t>
      </w:r>
      <w:r w:rsidR="008E65BE">
        <w:t xml:space="preserve">they </w:t>
      </w:r>
      <w:r w:rsidR="003A20E3">
        <w:t>do not tell us that several of the Chinese standards were withdr</w:t>
      </w:r>
      <w:r w:rsidR="00204DD9">
        <w:t>awn, some amended and some newly issued</w:t>
      </w:r>
      <w:r w:rsidR="003A20E3">
        <w:t xml:space="preserve"> </w:t>
      </w:r>
      <w:r w:rsidR="00863400">
        <w:t>from</w:t>
      </w:r>
      <w:r w:rsidR="003A20E3">
        <w:t xml:space="preserve"> 2014</w:t>
      </w:r>
      <w:r w:rsidR="008E65BE">
        <w:t xml:space="preserve"> onwards</w:t>
      </w:r>
      <w:r w:rsidR="003A20E3">
        <w:t xml:space="preserve">. For example, in order approximately </w:t>
      </w:r>
      <w:r w:rsidR="00232F71">
        <w:t xml:space="preserve">to </w:t>
      </w:r>
      <w:r w:rsidR="003A20E3">
        <w:t>follow the IASB’s new standards on group accounting (</w:t>
      </w:r>
      <w:r w:rsidR="00303A16">
        <w:t xml:space="preserve">i.e. </w:t>
      </w:r>
      <w:r w:rsidR="003A20E3">
        <w:t>IFRSs 10 to 12), ASBE 3</w:t>
      </w:r>
      <w:r w:rsidR="00232F71">
        <w:t>3 was amended</w:t>
      </w:r>
      <w:r w:rsidR="00232F71" w:rsidRPr="00232F71">
        <w:t xml:space="preserve"> </w:t>
      </w:r>
      <w:r w:rsidR="00232F71">
        <w:t xml:space="preserve">and ASBEs 40 and 41 </w:t>
      </w:r>
      <w:r w:rsidR="00204DD9">
        <w:t>were issued</w:t>
      </w:r>
      <w:r w:rsidR="00321E6C">
        <w:t xml:space="preserve"> in 2014</w:t>
      </w:r>
      <w:r w:rsidR="00232F71">
        <w:t>.</w:t>
      </w:r>
      <w:r w:rsidR="000C4612">
        <w:t xml:space="preserve"> </w:t>
      </w:r>
      <w:r w:rsidR="00863400">
        <w:t xml:space="preserve">Readers might find it useful to see an extension of the analysis of ASBEs to include the changes </w:t>
      </w:r>
      <w:r w:rsidR="007414E3">
        <w:t xml:space="preserve">after 2006, </w:t>
      </w:r>
      <w:r w:rsidR="00863400">
        <w:t xml:space="preserve">up to the </w:t>
      </w:r>
      <w:r w:rsidR="007F7649">
        <w:t>middle</w:t>
      </w:r>
      <w:r w:rsidR="00863400">
        <w:t xml:space="preserve"> of 201</w:t>
      </w:r>
      <w:r w:rsidR="007F7649">
        <w:t>9</w:t>
      </w:r>
      <w:r w:rsidR="00863400">
        <w:t>. I provide that here, and it also enables an assessment of whether</w:t>
      </w:r>
      <w:r w:rsidR="000C4612">
        <w:t xml:space="preserve"> </w:t>
      </w:r>
      <w:r w:rsidR="00232F71">
        <w:t>the alleged</w:t>
      </w:r>
      <w:r w:rsidR="000C4612">
        <w:t xml:space="preserve"> </w:t>
      </w:r>
      <w:r w:rsidR="00863400">
        <w:t xml:space="preserve">“aggressive” </w:t>
      </w:r>
      <w:r w:rsidR="000C4612">
        <w:t>onset of FVA eventually arrive</w:t>
      </w:r>
      <w:r w:rsidR="00863400">
        <w:t>d</w:t>
      </w:r>
      <w:r w:rsidR="000C4612">
        <w:t xml:space="preserve"> after a delay of more than a decade</w:t>
      </w:r>
      <w:r w:rsidR="00863400">
        <w:t>.</w:t>
      </w:r>
      <w:r w:rsidR="00232F71">
        <w:t xml:space="preserve"> </w:t>
      </w:r>
    </w:p>
    <w:p w14:paraId="5D99CC3F" w14:textId="22E8FFFE" w:rsidR="000C4612" w:rsidRDefault="005A17C2" w:rsidP="00AA52A6">
      <w:pPr>
        <w:tabs>
          <w:tab w:val="left" w:pos="6708"/>
        </w:tabs>
        <w:spacing w:after="0" w:line="240" w:lineRule="auto"/>
      </w:pPr>
      <w:r>
        <w:t xml:space="preserve">           </w:t>
      </w:r>
      <w:r w:rsidR="00105619">
        <w:t xml:space="preserve">The </w:t>
      </w:r>
      <w:r w:rsidR="00850839">
        <w:t>Appendix</w:t>
      </w:r>
      <w:r w:rsidR="00105619">
        <w:t xml:space="preserve"> </w:t>
      </w:r>
      <w:r w:rsidR="000C4612">
        <w:t xml:space="preserve">shows, in italics and square brackets, </w:t>
      </w:r>
      <w:r w:rsidR="00232F71">
        <w:t xml:space="preserve">the changes to </w:t>
      </w:r>
      <w:r w:rsidR="00D622AC">
        <w:t>SMFV</w:t>
      </w:r>
      <w:r w:rsidR="00232F71">
        <w:t xml:space="preserve"> and </w:t>
      </w:r>
      <w:r>
        <w:t xml:space="preserve">to </w:t>
      </w:r>
      <w:r w:rsidR="00303A16">
        <w:t xml:space="preserve">the </w:t>
      </w:r>
      <w:r w:rsidR="00232F71">
        <w:t>other uses of fair value</w:t>
      </w:r>
      <w:r w:rsidR="00662B43">
        <w:t>, which occurred in 2014, 2017 and 2018</w:t>
      </w:r>
      <w:r w:rsidR="00232F71">
        <w:t xml:space="preserve">. As may be seen, </w:t>
      </w:r>
      <w:r w:rsidR="00E352AB">
        <w:t>f</w:t>
      </w:r>
      <w:r w:rsidR="00E332DA">
        <w:t xml:space="preserve">or </w:t>
      </w:r>
      <w:r w:rsidR="003A3D47">
        <w:t>the use of fair value for initial measurement</w:t>
      </w:r>
      <w:r w:rsidR="005353E4">
        <w:t xml:space="preserve"> (see column </w:t>
      </w:r>
      <w:r w:rsidR="008C51E6">
        <w:t>2</w:t>
      </w:r>
      <w:r w:rsidR="005353E4">
        <w:t>)</w:t>
      </w:r>
      <w:r w:rsidR="003A3D47">
        <w:t xml:space="preserve">, </w:t>
      </w:r>
      <w:r w:rsidR="00E332DA">
        <w:t xml:space="preserve">there is a </w:t>
      </w:r>
      <w:r w:rsidR="00E332DA" w:rsidRPr="00340D6B">
        <w:rPr>
          <w:i/>
        </w:rPr>
        <w:t>decrease</w:t>
      </w:r>
      <w:r w:rsidR="005353E4">
        <w:t xml:space="preserve"> in </w:t>
      </w:r>
      <w:r w:rsidR="00E332DA">
        <w:t>that</w:t>
      </w:r>
      <w:r w:rsidR="003A3D47">
        <w:t xml:space="preserve"> it is no longer </w:t>
      </w:r>
      <w:r w:rsidR="00920653">
        <w:t xml:space="preserve">sometimes </w:t>
      </w:r>
      <w:r w:rsidR="003A3D47">
        <w:t>used by lessees</w:t>
      </w:r>
      <w:r w:rsidR="0059537D">
        <w:t xml:space="preserve"> to measure leased assets</w:t>
      </w:r>
      <w:r w:rsidR="003A3D47">
        <w:t xml:space="preserve"> (ASBE 21), but </w:t>
      </w:r>
      <w:r w:rsidR="0059537D">
        <w:t xml:space="preserve">there is </w:t>
      </w:r>
      <w:r w:rsidR="00905762">
        <w:t xml:space="preserve">an </w:t>
      </w:r>
      <w:r w:rsidR="00D17237">
        <w:t xml:space="preserve">increase </w:t>
      </w:r>
      <w:r w:rsidR="00905762">
        <w:t>in the special case of</w:t>
      </w:r>
      <w:r w:rsidR="00D17237">
        <w:t xml:space="preserve"> non-monetary employee benefits (ASBE 9).</w:t>
      </w:r>
      <w:r w:rsidR="00D17237">
        <w:rPr>
          <w:rStyle w:val="FootnoteReference"/>
        </w:rPr>
        <w:footnoteReference w:id="29"/>
      </w:r>
      <w:r w:rsidR="00D17237">
        <w:t xml:space="preserve"> </w:t>
      </w:r>
      <w:r w:rsidR="00E352AB">
        <w:t>T</w:t>
      </w:r>
      <w:r w:rsidR="008C51E6">
        <w:t>here is very little extension of SMFV</w:t>
      </w:r>
      <w:r w:rsidR="007F7649">
        <w:t xml:space="preserve"> (see column 3)</w:t>
      </w:r>
      <w:r w:rsidR="008C51E6">
        <w:t>: only (i) ASBE 9’s</w:t>
      </w:r>
      <w:r w:rsidR="007F7649">
        <w:t xml:space="preserve"> new</w:t>
      </w:r>
      <w:r w:rsidR="008C51E6">
        <w:t xml:space="preserve"> instruction to measure pension plan assets at fair value in those rare</w:t>
      </w:r>
      <w:r w:rsidR="008C51E6">
        <w:rPr>
          <w:rStyle w:val="FootnoteReference"/>
        </w:rPr>
        <w:footnoteReference w:id="30"/>
      </w:r>
      <w:r w:rsidR="008C51E6">
        <w:t xml:space="preserve"> Chinese companies which run defined benefit pension plans, and (ii) ASBE 33’s</w:t>
      </w:r>
      <w:r w:rsidR="008C51E6">
        <w:rPr>
          <w:b/>
        </w:rPr>
        <w:t xml:space="preserve"> </w:t>
      </w:r>
      <w:r w:rsidR="007F7649" w:rsidRPr="00A80A4E">
        <w:t xml:space="preserve">new </w:t>
      </w:r>
      <w:r w:rsidR="008C51E6" w:rsidRPr="000C4612">
        <w:t>instruction</w:t>
      </w:r>
      <w:r w:rsidR="008C51E6">
        <w:t xml:space="preserve"> that the subsidiaries of a special type of company (investment entities) should be accounted for with SMFV rather than consolidation. There</w:t>
      </w:r>
      <w:r w:rsidR="00E352AB" w:rsidRPr="00E352AB">
        <w:t xml:space="preserve"> </w:t>
      </w:r>
      <w:r w:rsidR="00E352AB">
        <w:t xml:space="preserve">are no additions to column 4 on </w:t>
      </w:r>
      <w:r w:rsidR="00E352AB">
        <w:rPr>
          <w:i/>
        </w:rPr>
        <w:t>permission</w:t>
      </w:r>
      <w:r w:rsidR="00E352AB">
        <w:t xml:space="preserve"> to use SMFV. </w:t>
      </w:r>
      <w:r w:rsidR="00D17237">
        <w:t>At first sight, there is an addition to column 5 (use of fair value when lower than carrying amount), but this relates to ASBE 42, which replaces the sa</w:t>
      </w:r>
      <w:r w:rsidR="00147315">
        <w:t xml:space="preserve">me instruction </w:t>
      </w:r>
      <w:r w:rsidR="009678A8">
        <w:t xml:space="preserve">that was </w:t>
      </w:r>
      <w:r w:rsidR="00147315">
        <w:t>in ASBE 4</w:t>
      </w:r>
      <w:r w:rsidR="00D17237">
        <w:t xml:space="preserve">, </w:t>
      </w:r>
      <w:r>
        <w:t xml:space="preserve">though </w:t>
      </w:r>
      <w:r w:rsidR="00D17237">
        <w:t xml:space="preserve">broadening it </w:t>
      </w:r>
      <w:r w:rsidR="007414E3">
        <w:t xml:space="preserve">from tangible fixed assets </w:t>
      </w:r>
      <w:r w:rsidR="00D17237">
        <w:t xml:space="preserve">to </w:t>
      </w:r>
      <w:r w:rsidR="007414E3">
        <w:t>other</w:t>
      </w:r>
      <w:r w:rsidR="005353E4">
        <w:t xml:space="preserve"> formerly non-current</w:t>
      </w:r>
      <w:r w:rsidR="00D17237">
        <w:t xml:space="preserve"> asset</w:t>
      </w:r>
      <w:r w:rsidR="00DF7780">
        <w:t>s</w:t>
      </w:r>
      <w:r>
        <w:t xml:space="preserve"> which </w:t>
      </w:r>
      <w:r w:rsidR="007414E3">
        <w:t>are</w:t>
      </w:r>
      <w:r>
        <w:t xml:space="preserve"> about to be sold. </w:t>
      </w:r>
      <w:r w:rsidR="00F16EBC">
        <w:t>There are two</w:t>
      </w:r>
      <w:r w:rsidR="00905762">
        <w:t xml:space="preserve"> increases for ‘other</w:t>
      </w:r>
      <w:r w:rsidR="00662B43">
        <w:t xml:space="preserve"> uses</w:t>
      </w:r>
      <w:r w:rsidR="00905762">
        <w:t>’ in column 6.</w:t>
      </w:r>
    </w:p>
    <w:p w14:paraId="700F91D1" w14:textId="5AF990C9" w:rsidR="003A20E3" w:rsidRDefault="005A17C2" w:rsidP="00AA52A6">
      <w:pPr>
        <w:tabs>
          <w:tab w:val="left" w:pos="6708"/>
        </w:tabs>
        <w:spacing w:after="0" w:line="240" w:lineRule="auto"/>
      </w:pPr>
      <w:r>
        <w:t xml:space="preserve">             In sum, in the decade or so after 2006, there w</w:t>
      </w:r>
      <w:r w:rsidR="00E332DA">
        <w:t>as on balance a</w:t>
      </w:r>
      <w:r>
        <w:t xml:space="preserve"> slight extension to various uses of fair value</w:t>
      </w:r>
      <w:r w:rsidR="00DF7780">
        <w:t>, though</w:t>
      </w:r>
      <w:r>
        <w:t xml:space="preserve"> th</w:t>
      </w:r>
      <w:r w:rsidR="007414E3">
        <w:t>is</w:t>
      </w:r>
      <w:r>
        <w:t xml:space="preserve"> might not affect most companies in most years.</w:t>
      </w:r>
      <w:r w:rsidR="00E91EE8">
        <w:t xml:space="preserve"> Table I’s column 4 records the position for 2018, showing the slight </w:t>
      </w:r>
      <w:r w:rsidR="00920653">
        <w:t xml:space="preserve">net </w:t>
      </w:r>
      <w:r w:rsidR="00E91EE8">
        <w:t>increase from the 2006 scores of column 3.</w:t>
      </w:r>
    </w:p>
    <w:p w14:paraId="013CD553" w14:textId="77777777" w:rsidR="0083328C" w:rsidRPr="005A17C2" w:rsidRDefault="0083328C" w:rsidP="00AA52A6">
      <w:pPr>
        <w:tabs>
          <w:tab w:val="left" w:pos="6708"/>
        </w:tabs>
        <w:spacing w:after="0" w:line="240" w:lineRule="auto"/>
      </w:pPr>
    </w:p>
    <w:p w14:paraId="2C050642" w14:textId="69DF0ADF" w:rsidR="00847A6A" w:rsidRDefault="00691956" w:rsidP="00AA52A6">
      <w:pPr>
        <w:tabs>
          <w:tab w:val="left" w:pos="6708"/>
        </w:tabs>
        <w:spacing w:after="0" w:line="240" w:lineRule="auto"/>
        <w:rPr>
          <w:b/>
        </w:rPr>
      </w:pPr>
      <w:r>
        <w:rPr>
          <w:b/>
        </w:rPr>
        <w:t>6</w:t>
      </w:r>
      <w:r w:rsidR="003A20E3">
        <w:rPr>
          <w:b/>
        </w:rPr>
        <w:t xml:space="preserve">. </w:t>
      </w:r>
      <w:r w:rsidR="00847A6A">
        <w:rPr>
          <w:b/>
        </w:rPr>
        <w:t>Conclusions</w:t>
      </w:r>
      <w:r w:rsidR="00232F71">
        <w:rPr>
          <w:b/>
        </w:rPr>
        <w:tab/>
      </w:r>
    </w:p>
    <w:p w14:paraId="6D7284BD" w14:textId="630BC167" w:rsidR="00DB0D5E" w:rsidRDefault="00847A6A" w:rsidP="00AA52A6">
      <w:pPr>
        <w:spacing w:after="0" w:line="240" w:lineRule="auto"/>
      </w:pPr>
      <w:r>
        <w:lastRenderedPageBreak/>
        <w:tab/>
        <w:t xml:space="preserve">Guthrie and Parker (2017, p.11) </w:t>
      </w:r>
      <w:r w:rsidR="00FB3048">
        <w:t>fear that sometimes</w:t>
      </w:r>
      <w:r w:rsidR="0083013F">
        <w:t xml:space="preserve"> </w:t>
      </w:r>
      <w:r w:rsidR="00523CC2">
        <w:t xml:space="preserve">a paper’s </w:t>
      </w:r>
      <w:r>
        <w:t xml:space="preserve">subject </w:t>
      </w:r>
      <w:r w:rsidR="0083013F">
        <w:t xml:space="preserve">matter and empirics are </w:t>
      </w:r>
      <w:r w:rsidR="00FB3048">
        <w:t>displaced by theory</w:t>
      </w:r>
      <w:r w:rsidR="0083013F">
        <w:t>.</w:t>
      </w:r>
      <w:r>
        <w:t xml:space="preserve"> </w:t>
      </w:r>
      <w:r w:rsidR="00FB3048">
        <w:t xml:space="preserve">I suggest that </w:t>
      </w:r>
      <w:r>
        <w:t>BGP</w:t>
      </w:r>
      <w:r w:rsidR="002553A3">
        <w:t xml:space="preserve"> is an example of this:</w:t>
      </w:r>
      <w:r>
        <w:t xml:space="preserve"> many pages are devoted to </w:t>
      </w:r>
      <w:r w:rsidR="00F07464">
        <w:t>theory,</w:t>
      </w:r>
      <w:r>
        <w:t xml:space="preserve"> but the subject matter is </w:t>
      </w:r>
      <w:r w:rsidR="0083013F">
        <w:t xml:space="preserve">left </w:t>
      </w:r>
      <w:r>
        <w:t>vague.</w:t>
      </w:r>
      <w:r w:rsidR="00950879">
        <w:t xml:space="preserve"> </w:t>
      </w:r>
      <w:r>
        <w:t>BGP mention FVA over 160 times in the context of Chin</w:t>
      </w:r>
      <w:r w:rsidR="00950879">
        <w:t xml:space="preserve">a’s accounting reform of 2006, </w:t>
      </w:r>
      <w:r w:rsidR="001076CD">
        <w:t xml:space="preserve">claiming that 25 out of 38 standards require or allow fair value, </w:t>
      </w:r>
      <w:r w:rsidR="00950879">
        <w:t>but they</w:t>
      </w:r>
      <w:r>
        <w:t xml:space="preserve"> do not distinguish </w:t>
      </w:r>
      <w:r w:rsidR="00DB0D5E">
        <w:t>measurement at fair value at each balance sheet</w:t>
      </w:r>
      <w:r w:rsidR="00E578AA">
        <w:t xml:space="preserve"> (called SMFV here</w:t>
      </w:r>
      <w:r w:rsidR="00DB0D5E">
        <w:t xml:space="preserve">) </w:t>
      </w:r>
      <w:r>
        <w:t xml:space="preserve">from </w:t>
      </w:r>
      <w:r w:rsidR="00DB0D5E">
        <w:t xml:space="preserve">standards that </w:t>
      </w:r>
      <w:r w:rsidR="00950879">
        <w:t>“involve”</w:t>
      </w:r>
      <w:r w:rsidR="00DB0D5E">
        <w:t xml:space="preserve"> fair value in various ways</w:t>
      </w:r>
      <w:r w:rsidR="001076CD">
        <w:t xml:space="preserve"> as part of historical cost accounting</w:t>
      </w:r>
      <w:r w:rsidR="00A24264">
        <w:t xml:space="preserve"> or as disclosures</w:t>
      </w:r>
      <w:r w:rsidR="003E14D5">
        <w:t>. BGP</w:t>
      </w:r>
      <w:r w:rsidR="00863400">
        <w:t>’s purpose is not to analyse the Chinese standards technically, so they</w:t>
      </w:r>
      <w:r w:rsidR="003E14D5">
        <w:t xml:space="preserve"> rely on an earlier paper (PB) which </w:t>
      </w:r>
      <w:r w:rsidR="00DF7780">
        <w:t>attempts</w:t>
      </w:r>
      <w:r w:rsidR="003E14D5">
        <w:t xml:space="preserve"> </w:t>
      </w:r>
      <w:r w:rsidR="00E578AA">
        <w:t>that</w:t>
      </w:r>
      <w:r w:rsidR="003E14D5">
        <w:t xml:space="preserve">, but </w:t>
      </w:r>
      <w:r w:rsidR="00303A16">
        <w:t xml:space="preserve">greatly </w:t>
      </w:r>
      <w:r w:rsidR="003F3A0C">
        <w:t>oversta</w:t>
      </w:r>
      <w:r w:rsidR="003E14D5">
        <w:t xml:space="preserve">tes the amount of </w:t>
      </w:r>
      <w:r w:rsidR="00D622AC">
        <w:t>SMFV</w:t>
      </w:r>
      <w:r w:rsidR="003E14D5">
        <w:t xml:space="preserve"> and the other uses of fair value.</w:t>
      </w:r>
      <w:r w:rsidR="005165F4">
        <w:t xml:space="preserve"> </w:t>
      </w:r>
    </w:p>
    <w:p w14:paraId="39D8D26E" w14:textId="4F4759F3" w:rsidR="00DA513B" w:rsidRDefault="00147315" w:rsidP="00AA52A6">
      <w:pPr>
        <w:spacing w:after="0" w:line="240" w:lineRule="auto"/>
        <w:ind w:firstLine="720"/>
      </w:pPr>
      <w:r>
        <w:t>I show</w:t>
      </w:r>
      <w:r w:rsidR="00690900">
        <w:t xml:space="preserve"> that only four</w:t>
      </w:r>
      <w:r w:rsidR="00847A6A">
        <w:t xml:space="preserve"> of the </w:t>
      </w:r>
      <w:r w:rsidR="00303A16">
        <w:t xml:space="preserve">original </w:t>
      </w:r>
      <w:r w:rsidR="003E14D5">
        <w:t xml:space="preserve">Chinese </w:t>
      </w:r>
      <w:r w:rsidR="00847A6A">
        <w:t>standards</w:t>
      </w:r>
      <w:r>
        <w:t xml:space="preserve"> (not eight as claimed by PB)</w:t>
      </w:r>
      <w:r w:rsidR="00847A6A">
        <w:t xml:space="preserve"> </w:t>
      </w:r>
      <w:r w:rsidR="00847A6A" w:rsidRPr="005931FF">
        <w:rPr>
          <w:i/>
        </w:rPr>
        <w:t>requ</w:t>
      </w:r>
      <w:r w:rsidR="00A05D39" w:rsidRPr="005931FF">
        <w:rPr>
          <w:i/>
        </w:rPr>
        <w:t>ire</w:t>
      </w:r>
      <w:r w:rsidR="005A17C2">
        <w:rPr>
          <w:i/>
        </w:rPr>
        <w:t>d</w:t>
      </w:r>
      <w:r w:rsidR="00A05D39">
        <w:t xml:space="preserve"> </w:t>
      </w:r>
      <w:r w:rsidR="00D622AC">
        <w:t>SMFV</w:t>
      </w:r>
      <w:r w:rsidR="00A05D39">
        <w:t xml:space="preserve"> for some items, and one</w:t>
      </w:r>
      <w:r w:rsidR="0083013F">
        <w:t xml:space="preserve"> more</w:t>
      </w:r>
      <w:r w:rsidR="00DF7780">
        <w:t xml:space="preserve"> standard</w:t>
      </w:r>
      <w:r w:rsidR="0083013F">
        <w:t xml:space="preserve"> </w:t>
      </w:r>
      <w:r w:rsidR="0083013F" w:rsidRPr="005931FF">
        <w:rPr>
          <w:i/>
        </w:rPr>
        <w:t>allow</w:t>
      </w:r>
      <w:r w:rsidR="005A17C2">
        <w:rPr>
          <w:i/>
        </w:rPr>
        <w:t>ed</w:t>
      </w:r>
      <w:r w:rsidR="0083013F">
        <w:t xml:space="preserve"> it. </w:t>
      </w:r>
      <w:r w:rsidR="00BD17A1">
        <w:t xml:space="preserve">Some </w:t>
      </w:r>
      <w:r w:rsidR="00B87943">
        <w:t xml:space="preserve">of the </w:t>
      </w:r>
      <w:r w:rsidR="00BD17A1">
        <w:t xml:space="preserve">other standards </w:t>
      </w:r>
      <w:r w:rsidR="00FB3751">
        <w:t>entail</w:t>
      </w:r>
      <w:r w:rsidR="00A05D39">
        <w:t xml:space="preserve"> fair value measurement</w:t>
      </w:r>
      <w:r w:rsidR="00AE1139">
        <w:t xml:space="preserve"> </w:t>
      </w:r>
      <w:r w:rsidR="00A05D39">
        <w:t>as part of th</w:t>
      </w:r>
      <w:r w:rsidR="003E14D5">
        <w:t>e historical cost system</w:t>
      </w:r>
      <w:r w:rsidR="00AE1139">
        <w:t xml:space="preserve">, </w:t>
      </w:r>
      <w:r w:rsidR="00A05D39">
        <w:t xml:space="preserve">when </w:t>
      </w:r>
      <w:r w:rsidR="00AE1139">
        <w:t xml:space="preserve">initial </w:t>
      </w:r>
      <w:r w:rsidR="00A05D39">
        <w:t xml:space="preserve">cost is hard to measure or when cost </w:t>
      </w:r>
      <w:r w:rsidR="00AE1139">
        <w:t>has become</w:t>
      </w:r>
      <w:r w:rsidR="00A05D39">
        <w:t xml:space="preserve"> </w:t>
      </w:r>
      <w:r w:rsidR="005A17C2">
        <w:t>too high</w:t>
      </w:r>
      <w:r w:rsidR="005165F4">
        <w:t xml:space="preserve"> a measure because of impairment</w:t>
      </w:r>
      <w:r w:rsidR="005A17C2">
        <w:t xml:space="preserve">. </w:t>
      </w:r>
      <w:r w:rsidR="00577BA8">
        <w:t xml:space="preserve">I have a </w:t>
      </w:r>
      <w:r>
        <w:t>lower score than PB for initial measurement at fair value</w:t>
      </w:r>
      <w:r w:rsidR="00577BA8">
        <w:t xml:space="preserve"> and a much lower score </w:t>
      </w:r>
      <w:r w:rsidR="005165F4">
        <w:t xml:space="preserve">than PB </w:t>
      </w:r>
      <w:r w:rsidR="00577BA8">
        <w:t>for fair value in the context</w:t>
      </w:r>
      <w:r w:rsidR="00AE1139">
        <w:t xml:space="preserve"> </w:t>
      </w:r>
      <w:r w:rsidR="00577BA8">
        <w:t>of impairment.</w:t>
      </w:r>
      <w:r>
        <w:t xml:space="preserve"> </w:t>
      </w:r>
      <w:r w:rsidR="00A33C14">
        <w:t xml:space="preserve">Table I (columns 2 and 3) summarises the differences in our scores. </w:t>
      </w:r>
      <w:r w:rsidR="00DA513B">
        <w:t>Th</w:t>
      </w:r>
      <w:r w:rsidR="001C6168">
        <w:t>e differences</w:t>
      </w:r>
      <w:r w:rsidR="00A33C14">
        <w:t xml:space="preserve"> on</w:t>
      </w:r>
      <w:r w:rsidR="001C6168">
        <w:t xml:space="preserve"> </w:t>
      </w:r>
      <w:r w:rsidR="00DA513B">
        <w:t>initial and subsequent measurement cannot be reconciled by differently specified scopes of</w:t>
      </w:r>
      <w:r w:rsidR="001C6168">
        <w:t xml:space="preserve"> “use of fair value” because we all specify “measurement </w:t>
      </w:r>
      <w:r w:rsidR="001C6168" w:rsidRPr="00EC03E8">
        <w:rPr>
          <w:i/>
        </w:rPr>
        <w:t>at</w:t>
      </w:r>
      <w:r w:rsidR="001C6168">
        <w:t xml:space="preserve"> fair value”.</w:t>
      </w:r>
    </w:p>
    <w:p w14:paraId="4DA39683" w14:textId="3E5F5DB2" w:rsidR="00DF7780" w:rsidRDefault="009F0E48" w:rsidP="00AA52A6">
      <w:pPr>
        <w:spacing w:after="0" w:line="240" w:lineRule="auto"/>
        <w:ind w:firstLine="720"/>
      </w:pPr>
      <w:r>
        <w:t>Nevertheless, my</w:t>
      </w:r>
      <w:r w:rsidR="00787190">
        <w:t xml:space="preserve"> total</w:t>
      </w:r>
      <w:r>
        <w:t xml:space="preserve"> score </w:t>
      </w:r>
      <w:r w:rsidR="00787190">
        <w:t xml:space="preserve">for </w:t>
      </w:r>
      <w:r w:rsidR="001C6168">
        <w:t>t</w:t>
      </w:r>
      <w:r w:rsidR="005353E4">
        <w:t xml:space="preserve">he standards which sometimes involve measurement </w:t>
      </w:r>
      <w:r w:rsidR="00920653">
        <w:t xml:space="preserve">of assets or liabilities </w:t>
      </w:r>
      <w:r w:rsidR="005353E4">
        <w:t>at</w:t>
      </w:r>
      <w:r w:rsidR="001C6168">
        <w:t xml:space="preserve"> fair value </w:t>
      </w:r>
      <w:r>
        <w:t>comes to</w:t>
      </w:r>
      <w:r w:rsidR="00FF3D7A">
        <w:t xml:space="preserve"> 19</w:t>
      </w:r>
      <w:r w:rsidR="00970C40">
        <w:t xml:space="preserve">, and </w:t>
      </w:r>
      <w:r w:rsidR="00AE1139">
        <w:t xml:space="preserve">a further </w:t>
      </w:r>
      <w:r w:rsidR="00FF3D7A">
        <w:t>three</w:t>
      </w:r>
      <w:r w:rsidR="00B87943">
        <w:t xml:space="preserve"> </w:t>
      </w:r>
      <w:r w:rsidR="00DF7780">
        <w:t xml:space="preserve">standards </w:t>
      </w:r>
      <w:r w:rsidR="00B87943">
        <w:t>require</w:t>
      </w:r>
      <w:r w:rsidR="00634A2D">
        <w:t xml:space="preserve"> disclosures about fair value</w:t>
      </w:r>
      <w:r w:rsidR="00303A16">
        <w:t xml:space="preserve"> under rare</w:t>
      </w:r>
      <w:r w:rsidR="00B87943">
        <w:t xml:space="preserve"> circumstances</w:t>
      </w:r>
      <w:r w:rsidR="00C144FD">
        <w:t xml:space="preserve"> or refer to fair value in other ways</w:t>
      </w:r>
      <w:r w:rsidR="00634A2D">
        <w:t xml:space="preserve">. </w:t>
      </w:r>
      <w:r w:rsidR="00523CC2">
        <w:t>Thus</w:t>
      </w:r>
      <w:r w:rsidR="005931FF">
        <w:t xml:space="preserve">, </w:t>
      </w:r>
      <w:r w:rsidR="003E14D5">
        <w:t xml:space="preserve">I </w:t>
      </w:r>
      <w:r w:rsidR="00147315">
        <w:t>could</w:t>
      </w:r>
      <w:r w:rsidR="00C144FD">
        <w:t xml:space="preserve"> </w:t>
      </w:r>
      <w:r w:rsidR="003E14D5">
        <w:t xml:space="preserve">agree with PB and BGP that </w:t>
      </w:r>
      <w:r w:rsidR="00787190">
        <w:t>a slight</w:t>
      </w:r>
      <w:r w:rsidR="003E14D5">
        <w:t xml:space="preserve"> majority of the standards </w:t>
      </w:r>
      <w:r w:rsidR="00C144FD">
        <w:t>“</w:t>
      </w:r>
      <w:r w:rsidR="003E14D5">
        <w:t>involve</w:t>
      </w:r>
      <w:r w:rsidR="00147315">
        <w:t xml:space="preserve">” fair value. However, </w:t>
      </w:r>
      <w:r w:rsidR="003E14D5">
        <w:t>stating</w:t>
      </w:r>
      <w:r w:rsidR="005931FF">
        <w:t xml:space="preserve"> that </w:t>
      </w:r>
      <w:r w:rsidR="009A7EE2">
        <w:t>22</w:t>
      </w:r>
      <w:r w:rsidR="00634A2D">
        <w:t xml:space="preserve"> (or 25 or 27) of the </w:t>
      </w:r>
      <w:r w:rsidR="00523CC2">
        <w:t xml:space="preserve">38 </w:t>
      </w:r>
      <w:r w:rsidR="005931FF">
        <w:t xml:space="preserve">Chinese standards </w:t>
      </w:r>
      <w:r w:rsidR="00C144FD">
        <w:t>“involve fair value” may be</w:t>
      </w:r>
      <w:r w:rsidR="003E14D5">
        <w:t xml:space="preserve"> true, </w:t>
      </w:r>
      <w:r w:rsidR="00147315">
        <w:t xml:space="preserve">but </w:t>
      </w:r>
      <w:r w:rsidR="003E14D5">
        <w:t>it i</w:t>
      </w:r>
      <w:r w:rsidR="005A17C2">
        <w:t>s</w:t>
      </w:r>
      <w:r w:rsidR="00FB3751">
        <w:t xml:space="preserve"> not fair unless</w:t>
      </w:r>
      <w:r w:rsidR="00634A2D">
        <w:t xml:space="preserve"> </w:t>
      </w:r>
      <w:r w:rsidR="005A17C2">
        <w:t>an author</w:t>
      </w:r>
      <w:r w:rsidR="00634A2D">
        <w:t xml:space="preserve"> make</w:t>
      </w:r>
      <w:r w:rsidR="005A17C2">
        <w:t>s</w:t>
      </w:r>
      <w:r w:rsidR="003E14D5">
        <w:t xml:space="preserve"> </w:t>
      </w:r>
      <w:r w:rsidR="00C139D5">
        <w:t xml:space="preserve">clear that mostly </w:t>
      </w:r>
      <w:r w:rsidR="00634A2D">
        <w:t xml:space="preserve">the involvement </w:t>
      </w:r>
      <w:r w:rsidR="003E14D5">
        <w:t xml:space="preserve">is not </w:t>
      </w:r>
      <w:r w:rsidR="00E578AA">
        <w:t xml:space="preserve">the </w:t>
      </w:r>
      <w:r w:rsidR="00A33C14">
        <w:t xml:space="preserve">compulsory </w:t>
      </w:r>
      <w:r w:rsidR="00E578AA">
        <w:t>use of fair value as a continuing measurement basis (</w:t>
      </w:r>
      <w:r w:rsidR="00E75F3A">
        <w:t>SMFV</w:t>
      </w:r>
      <w:r w:rsidR="00E578AA">
        <w:t>)</w:t>
      </w:r>
      <w:r w:rsidR="00C139D5">
        <w:t xml:space="preserve"> and that</w:t>
      </w:r>
      <w:r w:rsidR="003E14D5">
        <w:t xml:space="preserve"> </w:t>
      </w:r>
      <w:r w:rsidR="00C139D5">
        <w:t xml:space="preserve">the use of fair value </w:t>
      </w:r>
      <w:r w:rsidR="003E14D5">
        <w:t xml:space="preserve">often </w:t>
      </w:r>
      <w:r w:rsidR="00634A2D">
        <w:t>relates to unusual companies</w:t>
      </w:r>
      <w:r w:rsidR="002327F7">
        <w:t xml:space="preserve"> or</w:t>
      </w:r>
      <w:r w:rsidR="00634A2D">
        <w:t xml:space="preserve"> </w:t>
      </w:r>
      <w:r w:rsidR="00FB3048">
        <w:t>speci</w:t>
      </w:r>
      <w:r w:rsidR="00523CC2">
        <w:t>al circumstances</w:t>
      </w:r>
      <w:r w:rsidR="00634A2D">
        <w:t>.</w:t>
      </w:r>
      <w:r w:rsidR="003E5C42">
        <w:t xml:space="preserve"> </w:t>
      </w:r>
      <w:r w:rsidR="00A33C14">
        <w:t>Column 3 of Table I records the</w:t>
      </w:r>
      <w:r w:rsidR="000A237F">
        <w:t xml:space="preserve"> uses of fair value in this more granular way.</w:t>
      </w:r>
    </w:p>
    <w:p w14:paraId="4518B964" w14:textId="38EE62D9" w:rsidR="00A24264" w:rsidRDefault="00035BCA" w:rsidP="00AA52A6">
      <w:pPr>
        <w:spacing w:after="0" w:line="240" w:lineRule="auto"/>
        <w:ind w:firstLine="720"/>
      </w:pPr>
      <w:r>
        <w:t>Another general issue is that some of PB’s scores are based on the notion that fair value can be the same as cost</w:t>
      </w:r>
      <w:r w:rsidR="008748B9">
        <w:t>. However, i</w:t>
      </w:r>
      <w:r w:rsidR="00573BA9">
        <w:t>f the two a</w:t>
      </w:r>
      <w:r>
        <w:t xml:space="preserve">re the same or nearly the same or often the same, then </w:t>
      </w:r>
      <w:r w:rsidR="00573BA9">
        <w:t>the whole of BGP</w:t>
      </w:r>
      <w:r>
        <w:t xml:space="preserve"> evaporate</w:t>
      </w:r>
      <w:r w:rsidR="00573BA9">
        <w:t>s</w:t>
      </w:r>
      <w:r>
        <w:t xml:space="preserve"> because </w:t>
      </w:r>
      <w:r w:rsidR="00E75F3A">
        <w:t>that paper</w:t>
      </w:r>
      <w:r>
        <w:t xml:space="preserve"> rests on fair v</w:t>
      </w:r>
      <w:r w:rsidR="00573BA9">
        <w:t xml:space="preserve">alue being importantly </w:t>
      </w:r>
      <w:r w:rsidR="00573BA9" w:rsidRPr="00087DF5">
        <w:rPr>
          <w:i/>
        </w:rPr>
        <w:t>different</w:t>
      </w:r>
      <w:r w:rsidR="00573BA9">
        <w:t xml:space="preserve"> fro</w:t>
      </w:r>
      <w:r w:rsidR="006A243E">
        <w:t xml:space="preserve">m cost: BGP describe FVA as a measurement system which has departed from the former transaction-based approach (p. 1261). </w:t>
      </w:r>
      <w:r w:rsidR="00573BA9">
        <w:t xml:space="preserve">Fortunately for the survival of </w:t>
      </w:r>
      <w:r w:rsidR="004460F8">
        <w:t xml:space="preserve">part of </w:t>
      </w:r>
      <w:r w:rsidR="00573BA9">
        <w:t>BGP</w:t>
      </w:r>
      <w:r w:rsidR="004460F8">
        <w:t>’s thesis</w:t>
      </w:r>
      <w:r w:rsidR="00573BA9">
        <w:t>, fair value and cost are different in principle: the former is a current exit value, whereas the latter is an historical entry value. They are also different in practice</w:t>
      </w:r>
      <w:r w:rsidR="003340D8">
        <w:t xml:space="preserve"> because few markets are perfect and because</w:t>
      </w:r>
      <w:r w:rsidR="00573BA9">
        <w:t xml:space="preserve">, even in highly </w:t>
      </w:r>
      <w:r w:rsidR="003340D8">
        <w:t>active markets,</w:t>
      </w:r>
      <w:r w:rsidR="00DF7780">
        <w:t xml:space="preserve"> “cost”</w:t>
      </w:r>
      <w:r w:rsidR="00573BA9">
        <w:t xml:space="preserve"> is </w:t>
      </w:r>
      <w:r w:rsidR="003340D8">
        <w:t xml:space="preserve">defined as being </w:t>
      </w:r>
      <w:r w:rsidR="00573BA9">
        <w:t xml:space="preserve">grossed up </w:t>
      </w:r>
      <w:r w:rsidR="008748B9">
        <w:t>by many items and is therefore</w:t>
      </w:r>
      <w:r w:rsidR="00573BA9">
        <w:t xml:space="preserve"> </w:t>
      </w:r>
      <w:r w:rsidR="008748B9">
        <w:t xml:space="preserve">usually initially </w:t>
      </w:r>
      <w:r w:rsidR="00573BA9">
        <w:t>above fair value.</w:t>
      </w:r>
      <w:r w:rsidR="008748B9">
        <w:t xml:space="preserve"> </w:t>
      </w:r>
    </w:p>
    <w:p w14:paraId="189510AF" w14:textId="5FB17309" w:rsidR="00287BB9" w:rsidRDefault="00A05D39" w:rsidP="00AA52A6">
      <w:pPr>
        <w:spacing w:after="0" w:line="240" w:lineRule="auto"/>
      </w:pPr>
      <w:r>
        <w:tab/>
      </w:r>
      <w:r w:rsidR="00287BB9">
        <w:t xml:space="preserve">One further general issue is the </w:t>
      </w:r>
      <w:r w:rsidR="009678A8">
        <w:t xml:space="preserve">choice of </w:t>
      </w:r>
      <w:r w:rsidR="00287BB9">
        <w:t>starting poi</w:t>
      </w:r>
      <w:r w:rsidR="00EC03E8">
        <w:t>nt of the analysis of change. PB focus on</w:t>
      </w:r>
      <w:r w:rsidR="00EC2F3C">
        <w:t xml:space="preserve"> the changes of 2006 and the resulting accounting practice, though they mention standards of 1998 which “contained limited introduction of FVA”.</w:t>
      </w:r>
      <w:r w:rsidR="00EC2F3C">
        <w:rPr>
          <w:rStyle w:val="FootnoteReference"/>
        </w:rPr>
        <w:footnoteReference w:id="31"/>
      </w:r>
      <w:r w:rsidR="00287BB9">
        <w:t xml:space="preserve"> BGP take a longer view, including a brief discussion of the </w:t>
      </w:r>
      <w:r w:rsidR="00C139D5">
        <w:t xml:space="preserve">1998 standards </w:t>
      </w:r>
      <w:r w:rsidR="00EC2F3C">
        <w:t>(e.g. see BGP’s Table I)</w:t>
      </w:r>
      <w:r w:rsidR="00287BB9">
        <w:t>.</w:t>
      </w:r>
      <w:r w:rsidR="00EC2F3C">
        <w:t xml:space="preserve"> It is not clear from this (or from other sources, such as Chen, Sun and Wang, 2002) exactly how much fair value was involved</w:t>
      </w:r>
      <w:r w:rsidR="007E04DB" w:rsidRPr="007E04DB">
        <w:t xml:space="preserve"> </w:t>
      </w:r>
      <w:r w:rsidR="007E04DB">
        <w:t>in the 1998 standards</w:t>
      </w:r>
      <w:r w:rsidR="00EC2F3C">
        <w:t>, though Chen et al. (2002, p.</w:t>
      </w:r>
      <w:r w:rsidR="00C0581A">
        <w:t xml:space="preserve"> 184</w:t>
      </w:r>
      <w:r w:rsidR="00EC2F3C">
        <w:t xml:space="preserve">) </w:t>
      </w:r>
      <w:r w:rsidR="006A243E">
        <w:t xml:space="preserve">record </w:t>
      </w:r>
      <w:r w:rsidR="00251CC5">
        <w:t xml:space="preserve">examples </w:t>
      </w:r>
      <w:r w:rsidR="006A243E">
        <w:t xml:space="preserve">of fair value requirements similar </w:t>
      </w:r>
      <w:r w:rsidR="00251CC5">
        <w:t>to BGP</w:t>
      </w:r>
      <w:r w:rsidR="006A243E">
        <w:t>’s</w:t>
      </w:r>
      <w:r w:rsidR="00251CC5">
        <w:t xml:space="preserve">, and they </w:t>
      </w:r>
      <w:r w:rsidR="00EC2F3C">
        <w:t>report that the 1998 standards were designed “</w:t>
      </w:r>
      <w:r w:rsidR="00C0581A">
        <w:t>to eliminate important discrepanci</w:t>
      </w:r>
      <w:r w:rsidR="00EC2F3C">
        <w:t>es between Chinese GAAP and IAS”</w:t>
      </w:r>
      <w:r w:rsidR="00C0581A">
        <w:t xml:space="preserve">. Thus if PB or BGP had prepared a 1998 table using the same </w:t>
      </w:r>
      <w:r w:rsidR="00251CC5">
        <w:t xml:space="preserve">broad </w:t>
      </w:r>
      <w:r w:rsidR="00C0581A">
        <w:t xml:space="preserve">approach </w:t>
      </w:r>
      <w:r w:rsidR="006A243E">
        <w:t xml:space="preserve">to fair value </w:t>
      </w:r>
      <w:r w:rsidR="00C0581A">
        <w:t xml:space="preserve">as for PB’s Table I relating to 2006, they </w:t>
      </w:r>
      <w:r w:rsidR="00EC03E8">
        <w:t>might have recorded extensive reference to</w:t>
      </w:r>
      <w:r w:rsidR="00C0581A">
        <w:t xml:space="preserve"> fair value</w:t>
      </w:r>
      <w:r w:rsidR="00251CC5">
        <w:t xml:space="preserve"> in 1998</w:t>
      </w:r>
      <w:r w:rsidR="00C0581A">
        <w:t>,</w:t>
      </w:r>
      <w:r w:rsidR="00C0581A">
        <w:rPr>
          <w:rStyle w:val="FootnoteReference"/>
        </w:rPr>
        <w:footnoteReference w:id="32"/>
      </w:r>
      <w:r w:rsidR="00251CC5" w:rsidRPr="00251CC5">
        <w:t xml:space="preserve"> </w:t>
      </w:r>
      <w:r w:rsidR="00251CC5">
        <w:t xml:space="preserve">thus rendering the story of </w:t>
      </w:r>
      <w:r w:rsidR="00EC03E8">
        <w:t xml:space="preserve">change in </w:t>
      </w:r>
      <w:r w:rsidR="00251CC5">
        <w:t xml:space="preserve">2006 less dramatic. </w:t>
      </w:r>
    </w:p>
    <w:p w14:paraId="1E6C2384" w14:textId="1B029A38" w:rsidR="00D84465" w:rsidRDefault="00A05D39" w:rsidP="007E04DB">
      <w:pPr>
        <w:spacing w:after="0" w:line="240" w:lineRule="auto"/>
        <w:ind w:firstLine="720"/>
      </w:pPr>
      <w:r>
        <w:t>In conclusion</w:t>
      </w:r>
      <w:r w:rsidR="00847A6A">
        <w:t xml:space="preserve">, </w:t>
      </w:r>
      <w:r w:rsidR="004460F8">
        <w:t>although there was a major change to Chinese standards in 2006</w:t>
      </w:r>
      <w:r w:rsidR="001C6168">
        <w:t xml:space="preserve"> (</w:t>
      </w:r>
      <w:r w:rsidR="00C139D5">
        <w:t xml:space="preserve">at least </w:t>
      </w:r>
      <w:r w:rsidR="001C6168">
        <w:t xml:space="preserve">compared to those immediately preceding them), including </w:t>
      </w:r>
      <w:r w:rsidR="00076B9D">
        <w:t>many references to fair value</w:t>
      </w:r>
      <w:r w:rsidR="004460F8">
        <w:t xml:space="preserve">, </w:t>
      </w:r>
      <w:r w:rsidR="003F6C2C">
        <w:t xml:space="preserve">the move to fair value </w:t>
      </w:r>
      <w:r w:rsidR="00E578AA">
        <w:t>was nowh</w:t>
      </w:r>
      <w:r w:rsidR="00D84465">
        <w:t>ere near as extensive as summarised</w:t>
      </w:r>
      <w:r w:rsidR="00E578AA">
        <w:t xml:space="preserve"> by PB in the quotation in my Section</w:t>
      </w:r>
      <w:r w:rsidR="00D84465">
        <w:t xml:space="preserve"> </w:t>
      </w:r>
      <w:r w:rsidR="00E578AA">
        <w:t xml:space="preserve">1. It </w:t>
      </w:r>
      <w:r w:rsidR="00087DF5">
        <w:t xml:space="preserve">should </w:t>
      </w:r>
      <w:r w:rsidR="00E578AA">
        <w:t xml:space="preserve">therefore </w:t>
      </w:r>
      <w:r w:rsidR="00087DF5">
        <w:t>not be seen (in BGP’s terms) as</w:t>
      </w:r>
      <w:r w:rsidR="00DF7780">
        <w:t xml:space="preserve"> an</w:t>
      </w:r>
      <w:r w:rsidR="00087DF5">
        <w:t xml:space="preserve"> “aggressive reintroduction” of fair value, </w:t>
      </w:r>
      <w:r w:rsidR="00087DF5">
        <w:lastRenderedPageBreak/>
        <w:t xml:space="preserve">“seeking admission for FVA”, “driving FVA ahead” or Chinese “actors promoting FVA”. </w:t>
      </w:r>
      <w:r w:rsidR="00AE1139">
        <w:t>For this to have been the case, it is not enough</w:t>
      </w:r>
      <w:r w:rsidR="00A50E70">
        <w:t xml:space="preserve"> to show that several of the standards mention fair value, because this is mostly in the context of </w:t>
      </w:r>
      <w:r w:rsidR="007E04DB">
        <w:t xml:space="preserve">disclosures or of estimating initial </w:t>
      </w:r>
      <w:r w:rsidR="00A50E70">
        <w:t xml:space="preserve">or unimpaired cost. </w:t>
      </w:r>
      <w:r w:rsidR="00087DF5">
        <w:t xml:space="preserve">Instead, </w:t>
      </w:r>
      <w:r w:rsidR="00A50E70">
        <w:t>the increased reference to fair value from 2006</w:t>
      </w:r>
      <w:r w:rsidR="00087DF5">
        <w:t xml:space="preserve"> </w:t>
      </w:r>
      <w:r w:rsidR="00847A6A">
        <w:t xml:space="preserve">can be characterised in the </w:t>
      </w:r>
      <w:r w:rsidR="005A17C2">
        <w:t>opposite way</w:t>
      </w:r>
      <w:r w:rsidR="00087DF5">
        <w:t>.</w:t>
      </w:r>
      <w:r w:rsidR="005A17C2">
        <w:t xml:space="preserve"> </w:t>
      </w:r>
      <w:r w:rsidR="00847A6A">
        <w:t xml:space="preserve">That is, </w:t>
      </w:r>
      <w:r w:rsidR="00F07464">
        <w:t xml:space="preserve">China </w:t>
      </w:r>
      <w:r w:rsidR="00CB012A">
        <w:t xml:space="preserve">did not </w:t>
      </w:r>
      <w:r w:rsidR="00F07464">
        <w:t>becom</w:t>
      </w:r>
      <w:r w:rsidR="00CB012A">
        <w:t>e</w:t>
      </w:r>
      <w:r w:rsidR="00F07464">
        <w:t xml:space="preserve"> keen to adopt FVA</w:t>
      </w:r>
      <w:r w:rsidR="00CB012A">
        <w:t xml:space="preserve"> but</w:t>
      </w:r>
      <w:r w:rsidR="00F07464">
        <w:t xml:space="preserve"> keen to adopt I</w:t>
      </w:r>
      <w:r w:rsidR="00523CC2">
        <w:t>FRS while remaining</w:t>
      </w:r>
      <w:r w:rsidR="0083013F">
        <w:t xml:space="preserve"> unkeen on FVA.</w:t>
      </w:r>
      <w:r w:rsidR="00F07464">
        <w:t xml:space="preserve"> As a result, China compromised its convergence with IFRS by deleting or downplaying the</w:t>
      </w:r>
      <w:r w:rsidR="00A46372">
        <w:t xml:space="preserve"> </w:t>
      </w:r>
      <w:r w:rsidR="00F07464">
        <w:t xml:space="preserve">FVA </w:t>
      </w:r>
      <w:r w:rsidR="00A46372">
        <w:t>content of</w:t>
      </w:r>
      <w:r w:rsidR="0083013F">
        <w:t xml:space="preserve"> IFRS</w:t>
      </w:r>
      <w:r w:rsidR="001611A6">
        <w:t xml:space="preserve"> (as recorded in Table II)</w:t>
      </w:r>
      <w:r w:rsidR="0083013F">
        <w:t xml:space="preserve">. </w:t>
      </w:r>
      <w:r w:rsidR="00F07464">
        <w:t>The case study data offered by BGP fit well with this reversed proposition.</w:t>
      </w:r>
      <w:r w:rsidR="00D84465">
        <w:t xml:space="preserve"> </w:t>
      </w:r>
      <w:r w:rsidR="00D84465" w:rsidDel="007E04DB">
        <w:t>Surveys of Chinese practice confirm the very limited use of fair value.</w:t>
      </w:r>
      <w:r w:rsidR="007E04DB" w:rsidDel="007E04DB">
        <w:t xml:space="preserve"> </w:t>
      </w:r>
    </w:p>
    <w:p w14:paraId="03420CA6" w14:textId="36120AA3" w:rsidR="005A17C2" w:rsidRDefault="00037450" w:rsidP="00971F85">
      <w:pPr>
        <w:spacing w:after="0" w:line="240" w:lineRule="auto"/>
        <w:ind w:firstLine="720"/>
      </w:pPr>
      <w:r>
        <w:t>This paper</w:t>
      </w:r>
      <w:r w:rsidR="005A17C2">
        <w:t xml:space="preserve"> also up-date</w:t>
      </w:r>
      <w:r>
        <w:t>s</w:t>
      </w:r>
      <w:r w:rsidR="005A17C2">
        <w:t xml:space="preserve"> </w:t>
      </w:r>
      <w:r w:rsidR="003E14D5">
        <w:t>PB</w:t>
      </w:r>
      <w:r w:rsidR="00085B45">
        <w:t xml:space="preserve"> and BGP</w:t>
      </w:r>
      <w:r w:rsidR="005A17C2">
        <w:t xml:space="preserve"> by considering </w:t>
      </w:r>
      <w:r>
        <w:t xml:space="preserve">the many </w:t>
      </w:r>
      <w:r w:rsidR="005A17C2">
        <w:t>changes to Chinese</w:t>
      </w:r>
      <w:r w:rsidR="00E36F39">
        <w:t xml:space="preserve"> standards </w:t>
      </w:r>
      <w:r w:rsidR="005A17C2">
        <w:t>since 2006</w:t>
      </w:r>
      <w:r w:rsidR="00E36F39">
        <w:t xml:space="preserve">. </w:t>
      </w:r>
      <w:r w:rsidR="000A237F">
        <w:t xml:space="preserve">Table I’s column 4 records that </w:t>
      </w:r>
      <w:r w:rsidR="00E36F39">
        <w:t xml:space="preserve">there </w:t>
      </w:r>
      <w:r w:rsidR="00E578AA">
        <w:t>has been</w:t>
      </w:r>
      <w:r w:rsidR="00E36F39">
        <w:t xml:space="preserve"> </w:t>
      </w:r>
      <w:r w:rsidR="005D24E6">
        <w:t xml:space="preserve">only </w:t>
      </w:r>
      <w:r w:rsidR="00E36F39">
        <w:t xml:space="preserve">a slight </w:t>
      </w:r>
      <w:r w:rsidR="00E578AA">
        <w:t xml:space="preserve">net </w:t>
      </w:r>
      <w:r w:rsidR="00E36F39">
        <w:t xml:space="preserve">extension of </w:t>
      </w:r>
      <w:r w:rsidR="00D622AC">
        <w:t>SMFV</w:t>
      </w:r>
      <w:r w:rsidR="00E36F39">
        <w:t xml:space="preserve"> and other uses of fair value, </w:t>
      </w:r>
      <w:r w:rsidR="000A237F">
        <w:t xml:space="preserve">and that </w:t>
      </w:r>
      <w:r w:rsidR="00E36F39">
        <w:t>this also relate</w:t>
      </w:r>
      <w:r w:rsidR="00E578AA">
        <w:t>s</w:t>
      </w:r>
      <w:r w:rsidR="00E36F39">
        <w:t xml:space="preserve"> to unusual companies or </w:t>
      </w:r>
      <w:r w:rsidR="00FB3048">
        <w:t>speci</w:t>
      </w:r>
      <w:r w:rsidR="00DF7780">
        <w:t xml:space="preserve">al </w:t>
      </w:r>
      <w:r w:rsidR="00E36F39">
        <w:t>circumstances. T</w:t>
      </w:r>
      <w:r w:rsidR="00577BA8">
        <w:t>hus</w:t>
      </w:r>
      <w:r w:rsidR="008A1249">
        <w:t>, the above conclusions stand</w:t>
      </w:r>
      <w:r w:rsidR="00E36F39">
        <w:t>.</w:t>
      </w:r>
    </w:p>
    <w:p w14:paraId="2BBAAA88" w14:textId="30A44C33" w:rsidR="00251CC5" w:rsidRDefault="00251CC5" w:rsidP="00AA52A6">
      <w:pPr>
        <w:spacing w:after="0" w:line="240" w:lineRule="auto"/>
      </w:pPr>
      <w:r>
        <w:tab/>
      </w:r>
      <w:r w:rsidR="00A46372">
        <w:t>T</w:t>
      </w:r>
      <w:r w:rsidR="008D59C4">
        <w:t>hree</w:t>
      </w:r>
      <w:r w:rsidR="00A46372">
        <w:t xml:space="preserve"> o</w:t>
      </w:r>
      <w:r>
        <w:t xml:space="preserve">verall lessons emerge for us as authors or as reviewers of journal papers. </w:t>
      </w:r>
      <w:r w:rsidR="00EC03E8">
        <w:t>First,</w:t>
      </w:r>
      <w:r w:rsidR="00A46372">
        <w:t xml:space="preserve"> i</w:t>
      </w:r>
      <w:r>
        <w:t>t would be useful to define key terms (such as, in this case, “fair value accounting”) with precision, and to stick exactly to definition</w:t>
      </w:r>
      <w:r w:rsidR="00DD06B4">
        <w:t>s</w:t>
      </w:r>
      <w:r>
        <w:t xml:space="preserve"> throughout a paper. </w:t>
      </w:r>
      <w:r w:rsidR="00A46372">
        <w:t>Secondly, d</w:t>
      </w:r>
      <w:r w:rsidR="00DD06B4">
        <w:t xml:space="preserve">ata (such as, in this case, analyses of the contents of accounting standards) need to be presented in such a way </w:t>
      </w:r>
      <w:r w:rsidR="00A46372">
        <w:t>that they</w:t>
      </w:r>
      <w:r w:rsidR="00DD06B4">
        <w:t xml:space="preserve"> can be checked by readers, by providing enough information about where to find the documents and which pages or paragraph numbers are relevant.</w:t>
      </w:r>
      <w:r w:rsidR="008D59C4">
        <w:t xml:space="preserve"> Thirdly, we should be alert for the conflation of FVA and IFRS (or a gradual shift between the two in a paper). For most companies, IFRS practice contains little use of FVA (in the sense of SMFV), and practice under ASBEs contains even less.</w:t>
      </w:r>
    </w:p>
    <w:p w14:paraId="75522650" w14:textId="08F9406C" w:rsidR="00F07464" w:rsidRDefault="00F07464" w:rsidP="00AA52A6">
      <w:pPr>
        <w:spacing w:line="240" w:lineRule="auto"/>
        <w:rPr>
          <w:b/>
        </w:rPr>
      </w:pPr>
      <w:r>
        <w:br w:type="page"/>
      </w:r>
      <w:r>
        <w:rPr>
          <w:b/>
        </w:rPr>
        <w:lastRenderedPageBreak/>
        <w:t>References</w:t>
      </w:r>
    </w:p>
    <w:p w14:paraId="27AC3136" w14:textId="3D48CCD2" w:rsidR="000C1BCF" w:rsidRDefault="000C1BCF" w:rsidP="00AA52A6">
      <w:pPr>
        <w:autoSpaceDE w:val="0"/>
        <w:autoSpaceDN w:val="0"/>
        <w:adjustRightInd w:val="0"/>
        <w:spacing w:after="0" w:line="240" w:lineRule="auto"/>
        <w:ind w:left="284" w:hanging="284"/>
        <w:rPr>
          <w:rFonts w:cstheme="minorHAnsi"/>
        </w:rPr>
      </w:pPr>
      <w:r w:rsidRPr="00F07464">
        <w:rPr>
          <w:rFonts w:cstheme="minorHAnsi"/>
        </w:rPr>
        <w:t>Arnold, P. (2009), “Institutional perspectives on the internationalization of accounting”, in Chapman, C.,</w:t>
      </w:r>
      <w:r>
        <w:rPr>
          <w:rFonts w:cstheme="minorHAnsi"/>
        </w:rPr>
        <w:t xml:space="preserve"> </w:t>
      </w:r>
      <w:r w:rsidRPr="00F07464">
        <w:rPr>
          <w:rFonts w:cstheme="minorHAnsi"/>
        </w:rPr>
        <w:t xml:space="preserve">Cooper, D. and Miller, P. (Eds), </w:t>
      </w:r>
      <w:r w:rsidRPr="00FF6792">
        <w:rPr>
          <w:rFonts w:cstheme="minorHAnsi"/>
          <w:i/>
        </w:rPr>
        <w:t>Accounting, Organizations, and Institutions: Essays in Honour of Anthony Hopwood</w:t>
      </w:r>
      <w:r w:rsidRPr="00F07464">
        <w:rPr>
          <w:rFonts w:cstheme="minorHAnsi"/>
        </w:rPr>
        <w:t>, Oxford University Press, Oxford, pp. 48-65.</w:t>
      </w:r>
    </w:p>
    <w:p w14:paraId="31B80ABD" w14:textId="15D090FF" w:rsidR="00EE357C" w:rsidRPr="00EE357C" w:rsidRDefault="003B4179" w:rsidP="00AA52A6">
      <w:pPr>
        <w:autoSpaceDE w:val="0"/>
        <w:autoSpaceDN w:val="0"/>
        <w:adjustRightInd w:val="0"/>
        <w:spacing w:after="0" w:line="240" w:lineRule="auto"/>
        <w:rPr>
          <w:rFonts w:cstheme="minorHAnsi"/>
        </w:rPr>
      </w:pPr>
      <w:r>
        <w:rPr>
          <w:rFonts w:cstheme="minorHAnsi"/>
        </w:rPr>
        <w:t>Beng</w:t>
      </w:r>
      <w:r w:rsidR="00F82FE3">
        <w:rPr>
          <w:rFonts w:cstheme="minorHAnsi"/>
        </w:rPr>
        <w:t>tsson</w:t>
      </w:r>
      <w:r w:rsidR="00EE357C" w:rsidRPr="00EE357C">
        <w:rPr>
          <w:rFonts w:cstheme="minorHAnsi"/>
        </w:rPr>
        <w:t>, E. (2011),</w:t>
      </w:r>
      <w:r w:rsidR="00EE357C">
        <w:rPr>
          <w:rFonts w:ascii="AdvOT8cb2ddbd" w:hAnsi="AdvOT8cb2ddbd" w:cs="AdvOT8cb2ddbd"/>
          <w:sz w:val="17"/>
          <w:szCs w:val="17"/>
        </w:rPr>
        <w:t xml:space="preserve"> </w:t>
      </w:r>
      <w:r w:rsidR="00EE357C" w:rsidRPr="00EE357C">
        <w:rPr>
          <w:rFonts w:cstheme="minorHAnsi"/>
        </w:rPr>
        <w:t>“Repoliticalization of accounting standard setting – the IASB, the EU and the</w:t>
      </w:r>
    </w:p>
    <w:p w14:paraId="3E5228DB" w14:textId="0A63596E" w:rsidR="003B4179" w:rsidRDefault="00EE357C" w:rsidP="00AA52A6">
      <w:pPr>
        <w:autoSpaceDE w:val="0"/>
        <w:autoSpaceDN w:val="0"/>
        <w:adjustRightInd w:val="0"/>
        <w:spacing w:after="0" w:line="240" w:lineRule="auto"/>
        <w:ind w:left="284"/>
        <w:rPr>
          <w:rFonts w:cstheme="minorHAnsi"/>
        </w:rPr>
      </w:pPr>
      <w:r w:rsidRPr="00EE357C">
        <w:rPr>
          <w:rFonts w:cstheme="minorHAnsi"/>
        </w:rPr>
        <w:t xml:space="preserve">global financial crisis”, </w:t>
      </w:r>
      <w:r w:rsidRPr="00EE357C">
        <w:rPr>
          <w:rFonts w:cstheme="minorHAnsi"/>
          <w:i/>
        </w:rPr>
        <w:t>Critical Perspectives on Accounting</w:t>
      </w:r>
      <w:r w:rsidRPr="00EE357C">
        <w:rPr>
          <w:rFonts w:cstheme="minorHAnsi"/>
        </w:rPr>
        <w:t>, Vol. 22 No. 6, pp. 567-580.</w:t>
      </w:r>
    </w:p>
    <w:p w14:paraId="0126DC0B" w14:textId="0D84E9C8" w:rsidR="000C1BCF" w:rsidRDefault="000C1BCF" w:rsidP="00AA52A6">
      <w:pPr>
        <w:autoSpaceDE w:val="0"/>
        <w:autoSpaceDN w:val="0"/>
        <w:adjustRightInd w:val="0"/>
        <w:spacing w:after="0" w:line="240" w:lineRule="auto"/>
        <w:ind w:left="284" w:hanging="284"/>
        <w:rPr>
          <w:rFonts w:cstheme="minorHAnsi"/>
        </w:rPr>
      </w:pPr>
      <w:r>
        <w:rPr>
          <w:rFonts w:cstheme="minorHAnsi"/>
        </w:rPr>
        <w:t xml:space="preserve">Bewley, K., Graham, C. and Peng, S. (2018), “The winding road to fair value accounting in China: a social movement analysis”, </w:t>
      </w:r>
      <w:r>
        <w:rPr>
          <w:rFonts w:cstheme="minorHAnsi"/>
          <w:i/>
        </w:rPr>
        <w:t>Accounting, Auditing and Accountability Journal</w:t>
      </w:r>
      <w:r w:rsidR="00FF6792">
        <w:rPr>
          <w:rFonts w:cstheme="minorHAnsi"/>
        </w:rPr>
        <w:t>, Vol. 31</w:t>
      </w:r>
      <w:r>
        <w:rPr>
          <w:rFonts w:cstheme="minorHAnsi"/>
        </w:rPr>
        <w:t xml:space="preserve"> No. 4, pp. 1257-1285.</w:t>
      </w:r>
    </w:p>
    <w:p w14:paraId="35A17235" w14:textId="34EC1376" w:rsidR="00EC03E8" w:rsidRPr="007152E1" w:rsidRDefault="007152E1" w:rsidP="00AA52A6">
      <w:pPr>
        <w:pStyle w:val="ReferencesFurtherreading"/>
        <w:spacing w:line="240" w:lineRule="auto"/>
        <w:rPr>
          <w:rFonts w:asciiTheme="minorHAnsi" w:hAnsiTheme="minorHAnsi" w:cstheme="minorHAnsi"/>
        </w:rPr>
      </w:pPr>
      <w:r w:rsidRPr="007152E1">
        <w:rPr>
          <w:rFonts w:asciiTheme="minorHAnsi" w:hAnsiTheme="minorHAnsi" w:cstheme="minorHAnsi"/>
        </w:rPr>
        <w:t>Chen, S., Sun, Z. and Wang, Y. (2002)</w:t>
      </w:r>
      <w:r>
        <w:rPr>
          <w:rFonts w:asciiTheme="minorHAnsi" w:hAnsiTheme="minorHAnsi" w:cstheme="minorHAnsi"/>
        </w:rPr>
        <w:t>, “</w:t>
      </w:r>
      <w:r w:rsidRPr="007152E1">
        <w:rPr>
          <w:rFonts w:asciiTheme="minorHAnsi" w:hAnsiTheme="minorHAnsi" w:cstheme="minorHAnsi"/>
        </w:rPr>
        <w:t>Evidence from China on whether harmonized accounting standards</w:t>
      </w:r>
      <w:r>
        <w:rPr>
          <w:rFonts w:asciiTheme="minorHAnsi" w:hAnsiTheme="minorHAnsi" w:cstheme="minorHAnsi"/>
        </w:rPr>
        <w:t xml:space="preserve"> harmonize accounting practices”</w:t>
      </w:r>
      <w:r w:rsidRPr="007152E1">
        <w:rPr>
          <w:rFonts w:asciiTheme="minorHAnsi" w:hAnsiTheme="minorHAnsi" w:cstheme="minorHAnsi"/>
        </w:rPr>
        <w:t xml:space="preserve">, </w:t>
      </w:r>
      <w:r w:rsidRPr="007152E1">
        <w:rPr>
          <w:rFonts w:asciiTheme="minorHAnsi" w:hAnsiTheme="minorHAnsi" w:cstheme="minorHAnsi"/>
          <w:i/>
        </w:rPr>
        <w:t>Accounting Horizons</w:t>
      </w:r>
      <w:r>
        <w:rPr>
          <w:rFonts w:asciiTheme="minorHAnsi" w:hAnsiTheme="minorHAnsi" w:cstheme="minorHAnsi"/>
        </w:rPr>
        <w:t>, Vol. 16 No. 3, pp. 183-1</w:t>
      </w:r>
      <w:r w:rsidRPr="007152E1">
        <w:rPr>
          <w:rFonts w:asciiTheme="minorHAnsi" w:hAnsiTheme="minorHAnsi" w:cstheme="minorHAnsi"/>
        </w:rPr>
        <w:t>97.</w:t>
      </w:r>
    </w:p>
    <w:p w14:paraId="148A5F07" w14:textId="70DD7739" w:rsidR="00C45758" w:rsidRDefault="00C45758" w:rsidP="00AA52A6">
      <w:pPr>
        <w:autoSpaceDE w:val="0"/>
        <w:autoSpaceDN w:val="0"/>
        <w:adjustRightInd w:val="0"/>
        <w:spacing w:after="0" w:line="240" w:lineRule="auto"/>
        <w:ind w:left="284" w:hanging="284"/>
        <w:rPr>
          <w:rFonts w:cstheme="minorHAnsi"/>
        </w:rPr>
      </w:pPr>
      <w:r>
        <w:rPr>
          <w:rFonts w:cstheme="minorHAnsi"/>
        </w:rPr>
        <w:t xml:space="preserve">Deloitte (2006), </w:t>
      </w:r>
      <w:r w:rsidRPr="00C45758">
        <w:rPr>
          <w:rFonts w:cstheme="minorHAnsi"/>
          <w:i/>
        </w:rPr>
        <w:t>China’s New Accounting Standards</w:t>
      </w:r>
      <w:r>
        <w:rPr>
          <w:rFonts w:cstheme="minorHAnsi"/>
        </w:rPr>
        <w:t xml:space="preserve">, Deloitte, Hong Kong. Available at: </w:t>
      </w:r>
      <w:hyperlink r:id="rId8" w:history="1">
        <w:r w:rsidR="005B0CA6" w:rsidRPr="00571AB5">
          <w:rPr>
            <w:rStyle w:val="Hyperlink"/>
            <w:rFonts w:cstheme="minorHAnsi"/>
          </w:rPr>
          <w:t>https://www.iasplus.com/en/publications/china/other/pub1136</w:t>
        </w:r>
      </w:hyperlink>
      <w:r w:rsidR="005B0CA6">
        <w:rPr>
          <w:rFonts w:cstheme="minorHAnsi"/>
        </w:rPr>
        <w:t xml:space="preserve"> (accessed 19 September 2018).</w:t>
      </w:r>
    </w:p>
    <w:p w14:paraId="40A13379" w14:textId="116E94D2" w:rsidR="00E96938" w:rsidRPr="000C1BCF" w:rsidRDefault="00E96938" w:rsidP="00AA52A6">
      <w:pPr>
        <w:autoSpaceDE w:val="0"/>
        <w:autoSpaceDN w:val="0"/>
        <w:adjustRightInd w:val="0"/>
        <w:spacing w:after="0" w:line="240" w:lineRule="auto"/>
        <w:ind w:left="284" w:hanging="284"/>
        <w:rPr>
          <w:rFonts w:cstheme="minorHAnsi"/>
        </w:rPr>
      </w:pPr>
      <w:r>
        <w:rPr>
          <w:rFonts w:cstheme="minorHAnsi"/>
        </w:rPr>
        <w:t xml:space="preserve">ESMA (2011), </w:t>
      </w:r>
      <w:r w:rsidRPr="00F82FE3">
        <w:rPr>
          <w:rFonts w:cstheme="minorHAnsi"/>
          <w:i/>
        </w:rPr>
        <w:t>Supplementary Progress Report on the Equivalence of Chinese Accounting Standards with</w:t>
      </w:r>
      <w:r w:rsidR="00F82FE3" w:rsidRPr="00F82FE3">
        <w:rPr>
          <w:rFonts w:cstheme="minorHAnsi"/>
          <w:i/>
        </w:rPr>
        <w:t xml:space="preserve"> International Financial Reporting Standards</w:t>
      </w:r>
      <w:r w:rsidR="00F82FE3">
        <w:rPr>
          <w:rFonts w:cstheme="minorHAnsi"/>
        </w:rPr>
        <w:t>, European Securities Markets Authority, Paris.</w:t>
      </w:r>
      <w:r w:rsidR="00F82FE3" w:rsidRPr="00F82FE3">
        <w:t xml:space="preserve"> </w:t>
      </w:r>
      <w:r w:rsidR="00F82FE3">
        <w:t xml:space="preserve">Available at: </w:t>
      </w:r>
      <w:hyperlink r:id="rId9" w:history="1">
        <w:r w:rsidR="00F82FE3" w:rsidRPr="00571AB5">
          <w:rPr>
            <w:rStyle w:val="Hyperlink"/>
            <w:rFonts w:cstheme="minorHAnsi"/>
          </w:rPr>
          <w:t>http://www.europarl.europa.eu/RegData/docs_autres_institutions/commission_europeenne/comitologie/info/2011/O018009-01/COM-AC_DI(2011)O018009-01(ANN2)_EN.pdf</w:t>
        </w:r>
      </w:hyperlink>
      <w:r w:rsidR="00F82FE3">
        <w:rPr>
          <w:rFonts w:cstheme="minorHAnsi"/>
        </w:rPr>
        <w:t xml:space="preserve"> (accessed 19 September 2018).</w:t>
      </w:r>
    </w:p>
    <w:p w14:paraId="63E67D60" w14:textId="2AB5CA65" w:rsidR="00E36786" w:rsidRDefault="007D7F6F" w:rsidP="00AA52A6">
      <w:pPr>
        <w:autoSpaceDE w:val="0"/>
        <w:autoSpaceDN w:val="0"/>
        <w:adjustRightInd w:val="0"/>
        <w:spacing w:after="0" w:line="240" w:lineRule="auto"/>
        <w:ind w:left="284" w:hanging="284"/>
        <w:rPr>
          <w:rFonts w:cstheme="minorHAnsi"/>
        </w:rPr>
      </w:pPr>
      <w:r>
        <w:rPr>
          <w:rFonts w:cstheme="minorHAnsi"/>
        </w:rPr>
        <w:t>Evans, L. (2018), “Language, translation and accounting: towards a critical research agenda</w:t>
      </w:r>
      <w:r w:rsidR="00E36786">
        <w:rPr>
          <w:rFonts w:cstheme="minorHAnsi"/>
        </w:rPr>
        <w:t xml:space="preserve">”, </w:t>
      </w:r>
      <w:r w:rsidR="00E36786">
        <w:rPr>
          <w:rFonts w:cstheme="minorHAnsi"/>
          <w:i/>
        </w:rPr>
        <w:t>Accounting, Auditing and Accountability Journal</w:t>
      </w:r>
      <w:r w:rsidR="002D6CEE">
        <w:rPr>
          <w:rFonts w:cstheme="minorHAnsi"/>
        </w:rPr>
        <w:t>, Vol. 31 No. 7, pp. 1844-1873.</w:t>
      </w:r>
    </w:p>
    <w:p w14:paraId="3941DEFB" w14:textId="1C64B467" w:rsidR="000C1BCF" w:rsidRDefault="000C1BCF" w:rsidP="00AA52A6">
      <w:pPr>
        <w:autoSpaceDE w:val="0"/>
        <w:autoSpaceDN w:val="0"/>
        <w:adjustRightInd w:val="0"/>
        <w:spacing w:after="0" w:line="240" w:lineRule="auto"/>
        <w:ind w:left="284" w:hanging="284"/>
        <w:rPr>
          <w:rFonts w:cstheme="minorHAnsi"/>
        </w:rPr>
      </w:pPr>
      <w:r>
        <w:rPr>
          <w:rFonts w:cstheme="minorHAnsi"/>
        </w:rPr>
        <w:t>Guthrie, J. and Parker, L.D. (2017),</w:t>
      </w:r>
      <w:r w:rsidR="00FF6792">
        <w:rPr>
          <w:rFonts w:cstheme="minorHAnsi"/>
        </w:rPr>
        <w:t xml:space="preserve"> “Reflections and projections. </w:t>
      </w:r>
      <w:r>
        <w:rPr>
          <w:rFonts w:cstheme="minorHAnsi"/>
        </w:rPr>
        <w:t xml:space="preserve">30 years of the interdisciplinary accounting, auditing and accountability search for a fairer society”, </w:t>
      </w:r>
      <w:r>
        <w:rPr>
          <w:rFonts w:cstheme="minorHAnsi"/>
          <w:i/>
        </w:rPr>
        <w:t>Accounting, Auditing and Accountability Journal</w:t>
      </w:r>
      <w:r w:rsidR="00FF6792">
        <w:rPr>
          <w:rFonts w:cstheme="minorHAnsi"/>
        </w:rPr>
        <w:t>, Vol. 3</w:t>
      </w:r>
      <w:r>
        <w:rPr>
          <w:rFonts w:cstheme="minorHAnsi"/>
        </w:rPr>
        <w:t xml:space="preserve"> No. 1, pp. 2-17.</w:t>
      </w:r>
    </w:p>
    <w:p w14:paraId="16E52914" w14:textId="1CF48163" w:rsidR="0007064E" w:rsidRDefault="0007064E" w:rsidP="00AA52A6">
      <w:pPr>
        <w:autoSpaceDE w:val="0"/>
        <w:autoSpaceDN w:val="0"/>
        <w:adjustRightInd w:val="0"/>
        <w:spacing w:after="0" w:line="240" w:lineRule="auto"/>
        <w:ind w:left="284" w:hanging="284"/>
        <w:rPr>
          <w:rFonts w:cstheme="minorHAnsi"/>
        </w:rPr>
      </w:pPr>
      <w:r>
        <w:rPr>
          <w:rFonts w:cstheme="minorHAnsi"/>
        </w:rPr>
        <w:t xml:space="preserve">Habib, A. (2015), “The new Chinese accounting standards and the audit lag”, </w:t>
      </w:r>
      <w:r w:rsidRPr="0007064E">
        <w:rPr>
          <w:rFonts w:cstheme="minorHAnsi"/>
          <w:i/>
        </w:rPr>
        <w:t>International Journal of Auditing</w:t>
      </w:r>
      <w:r>
        <w:rPr>
          <w:rFonts w:cstheme="minorHAnsi"/>
        </w:rPr>
        <w:t>, Vol. 19 No. 1, pp. 1-14.</w:t>
      </w:r>
    </w:p>
    <w:p w14:paraId="12BC095F" w14:textId="6FD832F5" w:rsidR="000001DE" w:rsidRPr="000C1BCF" w:rsidRDefault="000001DE" w:rsidP="00AA52A6">
      <w:pPr>
        <w:autoSpaceDE w:val="0"/>
        <w:autoSpaceDN w:val="0"/>
        <w:adjustRightInd w:val="0"/>
        <w:spacing w:after="0" w:line="240" w:lineRule="auto"/>
        <w:ind w:left="284" w:hanging="284"/>
        <w:rPr>
          <w:rFonts w:cstheme="minorHAnsi"/>
        </w:rPr>
      </w:pPr>
      <w:r>
        <w:rPr>
          <w:rFonts w:cstheme="minorHAnsi"/>
        </w:rPr>
        <w:t xml:space="preserve">Ho, </w:t>
      </w:r>
      <w:r w:rsidR="0007064E">
        <w:rPr>
          <w:rFonts w:cstheme="minorHAnsi"/>
        </w:rPr>
        <w:t xml:space="preserve">L., </w:t>
      </w:r>
      <w:r>
        <w:rPr>
          <w:rFonts w:cstheme="minorHAnsi"/>
        </w:rPr>
        <w:t>Liao,</w:t>
      </w:r>
      <w:r w:rsidR="0007064E">
        <w:rPr>
          <w:rFonts w:cstheme="minorHAnsi"/>
        </w:rPr>
        <w:t xml:space="preserve"> Q. and </w:t>
      </w:r>
      <w:r>
        <w:rPr>
          <w:rFonts w:cstheme="minorHAnsi"/>
        </w:rPr>
        <w:t xml:space="preserve">Taylor, M. (2015), “Real and accruals-based earnings management in the pre- and post-IFRS eras: evidence from China”, </w:t>
      </w:r>
      <w:r w:rsidRPr="000001DE">
        <w:rPr>
          <w:rFonts w:cstheme="minorHAnsi"/>
          <w:i/>
        </w:rPr>
        <w:t>Journal of International Financial Management and Accounting</w:t>
      </w:r>
      <w:r>
        <w:rPr>
          <w:rFonts w:cstheme="minorHAnsi"/>
        </w:rPr>
        <w:t>, Vol.</w:t>
      </w:r>
      <w:r w:rsidR="0007064E">
        <w:rPr>
          <w:rFonts w:cstheme="minorHAnsi"/>
        </w:rPr>
        <w:t xml:space="preserve"> 26 N</w:t>
      </w:r>
      <w:r>
        <w:rPr>
          <w:rFonts w:cstheme="minorHAnsi"/>
        </w:rPr>
        <w:t>o</w:t>
      </w:r>
      <w:r w:rsidR="0007064E">
        <w:rPr>
          <w:rFonts w:cstheme="minorHAnsi"/>
        </w:rPr>
        <w:t>.</w:t>
      </w:r>
      <w:r>
        <w:rPr>
          <w:rFonts w:cstheme="minorHAnsi"/>
        </w:rPr>
        <w:t xml:space="preserve"> 3, pp. </w:t>
      </w:r>
      <w:r w:rsidR="0007064E">
        <w:rPr>
          <w:rFonts w:cstheme="minorHAnsi"/>
        </w:rPr>
        <w:t>294-335.</w:t>
      </w:r>
    </w:p>
    <w:p w14:paraId="13E8B039" w14:textId="3E7B5FAE" w:rsidR="000C1BCF" w:rsidRDefault="000C1BCF" w:rsidP="00AA52A6">
      <w:pPr>
        <w:autoSpaceDE w:val="0"/>
        <w:autoSpaceDN w:val="0"/>
        <w:adjustRightInd w:val="0"/>
        <w:spacing w:after="0" w:line="240" w:lineRule="auto"/>
        <w:ind w:left="284" w:hanging="284"/>
        <w:rPr>
          <w:rFonts w:cstheme="minorHAnsi"/>
        </w:rPr>
      </w:pPr>
      <w:r w:rsidRPr="00F07464">
        <w:rPr>
          <w:rFonts w:cstheme="minorHAnsi"/>
        </w:rPr>
        <w:t xml:space="preserve">Hopwood, A.G. (1994), “Some reflections on ‘the harmonization of accounting within the EU’ ”, </w:t>
      </w:r>
      <w:r w:rsidRPr="000C1BCF">
        <w:rPr>
          <w:rFonts w:cstheme="minorHAnsi"/>
          <w:i/>
        </w:rPr>
        <w:t>European Accounting Review</w:t>
      </w:r>
      <w:r w:rsidRPr="00F07464">
        <w:rPr>
          <w:rFonts w:cstheme="minorHAnsi"/>
        </w:rPr>
        <w:t>, Vol. 3 No. 2, pp. 241-253.</w:t>
      </w:r>
    </w:p>
    <w:p w14:paraId="4A3109D3" w14:textId="0184EDB8" w:rsidR="008571B8" w:rsidRPr="008571B8" w:rsidRDefault="008571B8" w:rsidP="00AA52A6">
      <w:pPr>
        <w:pStyle w:val="ReferencesFurtherreading"/>
        <w:spacing w:line="240" w:lineRule="auto"/>
      </w:pPr>
      <w:r>
        <w:t xml:space="preserve">ICAS (2010) </w:t>
      </w:r>
      <w:r w:rsidRPr="00DA50DE">
        <w:rPr>
          <w:i/>
        </w:rPr>
        <w:t>Chinese Accounting Reform: Towards a Principles-based Global Regime</w:t>
      </w:r>
      <w:r>
        <w:t>, Institute of Chartered Accountants of Scotland Edinburgh; available at</w:t>
      </w:r>
      <w:r w:rsidRPr="008571B8">
        <w:t xml:space="preserve"> </w:t>
      </w:r>
      <w:hyperlink r:id="rId10" w:history="1">
        <w:r w:rsidRPr="008F3694">
          <w:rPr>
            <w:rStyle w:val="Hyperlink"/>
          </w:rPr>
          <w:t>https://www.iasplus.com/en/binary/china/1006icaschinaaccountingreform.pdf</w:t>
        </w:r>
      </w:hyperlink>
      <w:r>
        <w:t xml:space="preserve"> (accessed 22.2.2019).</w:t>
      </w:r>
    </w:p>
    <w:p w14:paraId="6F3BB301" w14:textId="173E18DC" w:rsidR="005B0CA6" w:rsidRPr="00F07464" w:rsidRDefault="005B0CA6" w:rsidP="00AA52A6">
      <w:pPr>
        <w:autoSpaceDE w:val="0"/>
        <w:autoSpaceDN w:val="0"/>
        <w:adjustRightInd w:val="0"/>
        <w:spacing w:after="0" w:line="240" w:lineRule="auto"/>
        <w:ind w:left="284" w:hanging="284"/>
        <w:rPr>
          <w:rFonts w:cstheme="minorHAnsi"/>
        </w:rPr>
      </w:pPr>
      <w:r>
        <w:rPr>
          <w:rFonts w:cstheme="minorHAnsi"/>
        </w:rPr>
        <w:t xml:space="preserve">Mirza, A.A. and Ankarath, N. (2012), </w:t>
      </w:r>
      <w:r w:rsidRPr="005B0CA6">
        <w:rPr>
          <w:rFonts w:cstheme="minorHAnsi"/>
          <w:i/>
        </w:rPr>
        <w:t>International Trends in Financial Reporting under IFRS: including Comparison</w:t>
      </w:r>
      <w:r w:rsidR="00FF6792">
        <w:rPr>
          <w:rFonts w:cstheme="minorHAnsi"/>
          <w:i/>
        </w:rPr>
        <w:t>s with US GAAP, China GAAP and</w:t>
      </w:r>
      <w:r w:rsidRPr="005B0CA6">
        <w:rPr>
          <w:rFonts w:cstheme="minorHAnsi"/>
          <w:i/>
        </w:rPr>
        <w:t xml:space="preserve"> India </w:t>
      </w:r>
      <w:r>
        <w:rPr>
          <w:rFonts w:cstheme="minorHAnsi"/>
          <w:i/>
        </w:rPr>
        <w:t xml:space="preserve">Accounting </w:t>
      </w:r>
      <w:r w:rsidRPr="005B0CA6">
        <w:rPr>
          <w:rFonts w:cstheme="minorHAnsi"/>
          <w:i/>
        </w:rPr>
        <w:t>Standards</w:t>
      </w:r>
      <w:r>
        <w:rPr>
          <w:rFonts w:cstheme="minorHAnsi"/>
        </w:rPr>
        <w:t xml:space="preserve">, Wiley, </w:t>
      </w:r>
      <w:r w:rsidR="0048659D">
        <w:rPr>
          <w:rFonts w:cstheme="minorHAnsi"/>
        </w:rPr>
        <w:t>Hoboken, NJ.</w:t>
      </w:r>
    </w:p>
    <w:p w14:paraId="00265166" w14:textId="21924C86" w:rsidR="00A226B1" w:rsidRDefault="00A226B1" w:rsidP="00AA52A6">
      <w:pPr>
        <w:autoSpaceDE w:val="0"/>
        <w:autoSpaceDN w:val="0"/>
        <w:adjustRightInd w:val="0"/>
        <w:spacing w:after="0" w:line="240" w:lineRule="auto"/>
        <w:ind w:left="284" w:hanging="284"/>
        <w:rPr>
          <w:rFonts w:cstheme="minorHAnsi"/>
        </w:rPr>
      </w:pPr>
      <w:r>
        <w:rPr>
          <w:rFonts w:cstheme="minorHAnsi"/>
        </w:rPr>
        <w:t xml:space="preserve">Olesen, K. and Cheng, F. (2011), “Convergence of accounting standards does not always lead to convergence of accounting practices”, </w:t>
      </w:r>
      <w:r w:rsidRPr="002D1EB9">
        <w:rPr>
          <w:rFonts w:cstheme="minorHAnsi"/>
          <w:i/>
        </w:rPr>
        <w:t>Asian Journal of Business and Accounting</w:t>
      </w:r>
      <w:r>
        <w:rPr>
          <w:rFonts w:cstheme="minorHAnsi"/>
        </w:rPr>
        <w:t>, Vol. 4 No. 1, pp. 23-58.</w:t>
      </w:r>
    </w:p>
    <w:p w14:paraId="60BD38BF" w14:textId="590D7452" w:rsidR="000C1BCF" w:rsidRPr="00F07464" w:rsidRDefault="000C1BCF" w:rsidP="00AA52A6">
      <w:pPr>
        <w:autoSpaceDE w:val="0"/>
        <w:autoSpaceDN w:val="0"/>
        <w:adjustRightInd w:val="0"/>
        <w:spacing w:after="0" w:line="240" w:lineRule="auto"/>
        <w:ind w:left="284" w:hanging="284"/>
        <w:rPr>
          <w:rFonts w:cstheme="minorHAnsi"/>
        </w:rPr>
      </w:pPr>
      <w:r w:rsidRPr="00F07464">
        <w:rPr>
          <w:rFonts w:cstheme="minorHAnsi"/>
        </w:rPr>
        <w:t>Peng, S. and Bewley, K. (2010), “Adaptability to fair value accounting in an emerging economy: a case</w:t>
      </w:r>
      <w:r>
        <w:rPr>
          <w:rFonts w:cstheme="minorHAnsi"/>
        </w:rPr>
        <w:t xml:space="preserve"> </w:t>
      </w:r>
      <w:r w:rsidRPr="00F07464">
        <w:rPr>
          <w:rFonts w:cstheme="minorHAnsi"/>
        </w:rPr>
        <w:t xml:space="preserve">study of China’s IFRS convergence”, </w:t>
      </w:r>
      <w:r w:rsidRPr="000C1BCF">
        <w:rPr>
          <w:rFonts w:cstheme="minorHAnsi"/>
          <w:i/>
        </w:rPr>
        <w:t>Accounting, Auditing and Accountability Journal</w:t>
      </w:r>
      <w:r w:rsidRPr="00F07464">
        <w:rPr>
          <w:rFonts w:cstheme="minorHAnsi"/>
        </w:rPr>
        <w:t>, Vol. 23</w:t>
      </w:r>
      <w:r>
        <w:rPr>
          <w:rFonts w:cstheme="minorHAnsi"/>
        </w:rPr>
        <w:t xml:space="preserve"> </w:t>
      </w:r>
      <w:r w:rsidRPr="00F07464">
        <w:rPr>
          <w:rFonts w:cstheme="minorHAnsi"/>
        </w:rPr>
        <w:t>No. 8, pp. 982-1011.</w:t>
      </w:r>
    </w:p>
    <w:p w14:paraId="5636E083" w14:textId="005A6C75" w:rsidR="000C1BCF" w:rsidRDefault="000C1BCF" w:rsidP="00AA52A6">
      <w:pPr>
        <w:autoSpaceDE w:val="0"/>
        <w:autoSpaceDN w:val="0"/>
        <w:adjustRightInd w:val="0"/>
        <w:spacing w:after="0" w:line="240" w:lineRule="auto"/>
        <w:ind w:left="284" w:hanging="284"/>
        <w:rPr>
          <w:rFonts w:cstheme="minorHAnsi"/>
        </w:rPr>
      </w:pPr>
      <w:r w:rsidRPr="00F07464">
        <w:rPr>
          <w:rFonts w:cstheme="minorHAnsi"/>
        </w:rPr>
        <w:t>Power, M. (2010), “Fair value accounting, financial economics and the transformation of reliability”,</w:t>
      </w:r>
      <w:r>
        <w:rPr>
          <w:rFonts w:cstheme="minorHAnsi"/>
        </w:rPr>
        <w:t xml:space="preserve"> </w:t>
      </w:r>
      <w:r w:rsidRPr="000C1BCF">
        <w:rPr>
          <w:rFonts w:cstheme="minorHAnsi"/>
          <w:i/>
        </w:rPr>
        <w:t>Accounting and Business Research</w:t>
      </w:r>
      <w:r w:rsidRPr="00F07464">
        <w:rPr>
          <w:rFonts w:cstheme="minorHAnsi"/>
        </w:rPr>
        <w:t>, Vol. 40 No. 3, pp. 197-210.</w:t>
      </w:r>
    </w:p>
    <w:p w14:paraId="5997080D" w14:textId="6BB9A2DE" w:rsidR="005D3708" w:rsidRDefault="005D3708" w:rsidP="00AA52A6">
      <w:pPr>
        <w:autoSpaceDE w:val="0"/>
        <w:autoSpaceDN w:val="0"/>
        <w:adjustRightInd w:val="0"/>
        <w:spacing w:after="0" w:line="240" w:lineRule="auto"/>
        <w:ind w:left="284" w:hanging="284"/>
        <w:rPr>
          <w:rFonts w:cstheme="minorHAnsi"/>
        </w:rPr>
      </w:pPr>
      <w:r>
        <w:rPr>
          <w:rFonts w:cstheme="minorHAnsi"/>
        </w:rPr>
        <w:t>PwC</w:t>
      </w:r>
      <w:r w:rsidR="004658F4">
        <w:rPr>
          <w:rFonts w:cstheme="minorHAnsi"/>
        </w:rPr>
        <w:t xml:space="preserve"> (2012</w:t>
      </w:r>
      <w:r w:rsidR="00FF6792">
        <w:rPr>
          <w:rFonts w:cstheme="minorHAnsi"/>
        </w:rPr>
        <w:t>),</w:t>
      </w:r>
      <w:r w:rsidR="00F82FE3" w:rsidRPr="00F82FE3">
        <w:rPr>
          <w:rFonts w:cstheme="minorHAnsi"/>
          <w:i/>
        </w:rPr>
        <w:t xml:space="preserve"> Accounting and Reporting</w:t>
      </w:r>
      <w:r w:rsidR="00F82FE3">
        <w:rPr>
          <w:rFonts w:cstheme="minorHAnsi"/>
        </w:rPr>
        <w:t xml:space="preserve">, available at: </w:t>
      </w:r>
      <w:hyperlink r:id="rId11" w:history="1">
        <w:r w:rsidR="00F82FE3" w:rsidRPr="00571AB5">
          <w:rPr>
            <w:rStyle w:val="Hyperlink"/>
            <w:rFonts w:cstheme="minorHAnsi"/>
          </w:rPr>
          <w:t>https://www.pwccn.com/en/migration/pdf/iic-ch10.pdf</w:t>
        </w:r>
      </w:hyperlink>
      <w:r w:rsidR="00F82FE3">
        <w:rPr>
          <w:rFonts w:cstheme="minorHAnsi"/>
        </w:rPr>
        <w:t xml:space="preserve"> (accessed 19 September 2018).</w:t>
      </w:r>
    </w:p>
    <w:p w14:paraId="2FBB7700" w14:textId="6E375474" w:rsidR="00966ABA" w:rsidRPr="00F07464" w:rsidRDefault="00966ABA" w:rsidP="00AA52A6">
      <w:pPr>
        <w:autoSpaceDE w:val="0"/>
        <w:autoSpaceDN w:val="0"/>
        <w:adjustRightInd w:val="0"/>
        <w:spacing w:after="0" w:line="240" w:lineRule="auto"/>
        <w:ind w:left="284" w:hanging="284"/>
        <w:rPr>
          <w:rFonts w:cstheme="minorHAnsi"/>
        </w:rPr>
      </w:pPr>
      <w:r>
        <w:t>Shan, Y. and Troshani</w:t>
      </w:r>
      <w:r w:rsidR="009C7ABA">
        <w:t>, I.</w:t>
      </w:r>
      <w:r>
        <w:t xml:space="preserve"> (2016)</w:t>
      </w:r>
      <w:r w:rsidR="009C7ABA">
        <w:t xml:space="preserve">, “The effect of mandatory XBRL and IFRS adoption on audit fees: evidence from the Shanghai Stock Exchange”, </w:t>
      </w:r>
      <w:r w:rsidR="009C7ABA" w:rsidRPr="009C7ABA">
        <w:rPr>
          <w:i/>
        </w:rPr>
        <w:t>International Journal of Managerial Finance</w:t>
      </w:r>
      <w:r w:rsidR="009C7ABA">
        <w:t>, Vol. 12 No. 2, pp. 109-135.</w:t>
      </w:r>
    </w:p>
    <w:p w14:paraId="124FD55D" w14:textId="3CDF1F96" w:rsidR="000C1BCF" w:rsidRDefault="000C1BCF" w:rsidP="00AA52A6">
      <w:pPr>
        <w:autoSpaceDE w:val="0"/>
        <w:autoSpaceDN w:val="0"/>
        <w:adjustRightInd w:val="0"/>
        <w:spacing w:after="0" w:line="240" w:lineRule="auto"/>
        <w:ind w:left="284" w:hanging="284"/>
        <w:rPr>
          <w:rFonts w:cstheme="minorHAnsi"/>
        </w:rPr>
      </w:pPr>
      <w:r w:rsidRPr="00F07464">
        <w:rPr>
          <w:rFonts w:cstheme="minorHAnsi"/>
        </w:rPr>
        <w:lastRenderedPageBreak/>
        <w:t xml:space="preserve">Sikka, </w:t>
      </w:r>
      <w:r w:rsidR="00B73770">
        <w:rPr>
          <w:rFonts w:cstheme="minorHAnsi"/>
        </w:rPr>
        <w:t>P</w:t>
      </w:r>
      <w:r w:rsidRPr="00F07464">
        <w:rPr>
          <w:rFonts w:cstheme="minorHAnsi"/>
        </w:rPr>
        <w:t xml:space="preserve">. (2001), “Regulation of accountancy and the power of capital: some observations”, </w:t>
      </w:r>
      <w:r w:rsidRPr="000C1BCF">
        <w:rPr>
          <w:rFonts w:cstheme="minorHAnsi"/>
          <w:i/>
        </w:rPr>
        <w:t>Critical Perspectives on Accounting</w:t>
      </w:r>
      <w:r w:rsidRPr="00F07464">
        <w:rPr>
          <w:rFonts w:cstheme="minorHAnsi"/>
        </w:rPr>
        <w:t>, Vol. 12 No. 2, pp. 199-221.</w:t>
      </w:r>
    </w:p>
    <w:p w14:paraId="6AD190E2" w14:textId="24743612" w:rsidR="003341B8" w:rsidRDefault="003341B8" w:rsidP="00AA52A6">
      <w:pPr>
        <w:autoSpaceDE w:val="0"/>
        <w:autoSpaceDN w:val="0"/>
        <w:adjustRightInd w:val="0"/>
        <w:spacing w:after="0" w:line="240" w:lineRule="auto"/>
        <w:ind w:left="284" w:hanging="284"/>
        <w:rPr>
          <w:rFonts w:cstheme="minorHAnsi"/>
        </w:rPr>
      </w:pPr>
      <w:r>
        <w:rPr>
          <w:rFonts w:cstheme="minorHAnsi"/>
        </w:rPr>
        <w:t xml:space="preserve">Xiao, J. and Hu, G. (2017) </w:t>
      </w:r>
      <w:r w:rsidRPr="003341B8">
        <w:rPr>
          <w:rFonts w:cstheme="minorHAnsi"/>
          <w:i/>
        </w:rPr>
        <w:t>Fair Value Accounting in China: Implementation and Usefulness</w:t>
      </w:r>
      <w:r>
        <w:rPr>
          <w:rFonts w:cstheme="minorHAnsi"/>
        </w:rPr>
        <w:t>, Institute of Chartered Accountants in England and Wales, London.</w:t>
      </w:r>
    </w:p>
    <w:p w14:paraId="606BE598" w14:textId="77777777" w:rsidR="00EC03E8" w:rsidRDefault="000D0379" w:rsidP="00AA52A6">
      <w:pPr>
        <w:autoSpaceDE w:val="0"/>
        <w:autoSpaceDN w:val="0"/>
        <w:adjustRightInd w:val="0"/>
        <w:spacing w:after="0" w:line="240" w:lineRule="auto"/>
        <w:rPr>
          <w:rFonts w:cstheme="minorHAnsi"/>
        </w:rPr>
      </w:pPr>
      <w:r>
        <w:rPr>
          <w:rFonts w:cstheme="minorHAnsi"/>
        </w:rPr>
        <w:t>Yang, H., Clark, C., Wu, C. and Farley, C. (2018), “Insights from accounting practitioners on China’s</w:t>
      </w:r>
    </w:p>
    <w:p w14:paraId="646E709B" w14:textId="2653E671" w:rsidR="000D0379" w:rsidRDefault="000D0379" w:rsidP="00AA52A6">
      <w:pPr>
        <w:autoSpaceDE w:val="0"/>
        <w:autoSpaceDN w:val="0"/>
        <w:adjustRightInd w:val="0"/>
        <w:spacing w:after="0" w:line="240" w:lineRule="auto"/>
        <w:ind w:firstLine="284"/>
        <w:rPr>
          <w:rFonts w:cstheme="minorHAnsi"/>
        </w:rPr>
      </w:pPr>
      <w:r>
        <w:rPr>
          <w:rFonts w:cstheme="minorHAnsi"/>
        </w:rPr>
        <w:t xml:space="preserve"> convergence with IFRS”, </w:t>
      </w:r>
      <w:r w:rsidRPr="002D1EB9">
        <w:rPr>
          <w:rFonts w:cstheme="minorHAnsi"/>
          <w:i/>
        </w:rPr>
        <w:t>Australian Accounting Review</w:t>
      </w:r>
      <w:r>
        <w:rPr>
          <w:rFonts w:cstheme="minorHAnsi"/>
        </w:rPr>
        <w:t xml:space="preserve">, Vol. 28 No. 1, pp. 14-27. </w:t>
      </w:r>
    </w:p>
    <w:p w14:paraId="61B471CF" w14:textId="049A4008" w:rsidR="005844F1" w:rsidRPr="00F07464" w:rsidRDefault="005844F1" w:rsidP="00AA52A6">
      <w:pPr>
        <w:autoSpaceDE w:val="0"/>
        <w:autoSpaceDN w:val="0"/>
        <w:adjustRightInd w:val="0"/>
        <w:spacing w:after="0" w:line="240" w:lineRule="auto"/>
        <w:ind w:left="284" w:hanging="284"/>
        <w:rPr>
          <w:rFonts w:cstheme="minorHAnsi"/>
        </w:rPr>
      </w:pPr>
      <w:r>
        <w:rPr>
          <w:rFonts w:cstheme="minorHAnsi"/>
        </w:rPr>
        <w:t>Zhang, Y</w:t>
      </w:r>
      <w:r w:rsidR="008571B8">
        <w:rPr>
          <w:rFonts w:cstheme="minorHAnsi"/>
        </w:rPr>
        <w:t xml:space="preserve">., </w:t>
      </w:r>
      <w:r>
        <w:rPr>
          <w:rFonts w:cstheme="minorHAnsi"/>
        </w:rPr>
        <w:t>Andrew, J. and Rudkin, K. (2012)</w:t>
      </w:r>
      <w:r w:rsidR="000D0379">
        <w:rPr>
          <w:rFonts w:cstheme="minorHAnsi"/>
        </w:rPr>
        <w:t>,</w:t>
      </w:r>
      <w:r>
        <w:rPr>
          <w:rFonts w:cstheme="minorHAnsi"/>
        </w:rPr>
        <w:t xml:space="preserve"> “Accounting as an instrument of neoliberalisation? Exploring the adoption of fair value accounting in China”, </w:t>
      </w:r>
      <w:r w:rsidRPr="000C1BCF">
        <w:rPr>
          <w:rFonts w:cstheme="minorHAnsi"/>
          <w:i/>
        </w:rPr>
        <w:t>Accounting, Auditing and Accountability Journal</w:t>
      </w:r>
      <w:r>
        <w:rPr>
          <w:rFonts w:cstheme="minorHAnsi"/>
        </w:rPr>
        <w:t>, Vol. 25 No. 8, pp. 1266-1289</w:t>
      </w:r>
      <w:r w:rsidRPr="00F07464">
        <w:rPr>
          <w:rFonts w:cstheme="minorHAnsi"/>
        </w:rPr>
        <w:t>.</w:t>
      </w:r>
    </w:p>
    <w:p w14:paraId="3E1F1825" w14:textId="1E0C876F" w:rsidR="00880095" w:rsidRPr="00F07464" w:rsidRDefault="00880095" w:rsidP="00A05D39">
      <w:pPr>
        <w:rPr>
          <w:rFonts w:cstheme="minorHAnsi"/>
        </w:rPr>
      </w:pPr>
      <w:r>
        <w:rPr>
          <w:rFonts w:cstheme="minorHAnsi"/>
        </w:rPr>
        <w:br w:type="page"/>
      </w:r>
    </w:p>
    <w:p w14:paraId="7A7FE25B" w14:textId="32A3644C" w:rsidR="00F07464" w:rsidRDefault="00F07464" w:rsidP="00F07464">
      <w:pPr>
        <w:spacing w:after="0" w:line="480" w:lineRule="auto"/>
        <w:ind w:left="284" w:hanging="284"/>
        <w:rPr>
          <w:rFonts w:cstheme="minorHAnsi"/>
        </w:rPr>
      </w:pPr>
    </w:p>
    <w:p w14:paraId="1767BFA0" w14:textId="4FE26066" w:rsidR="00AA2E26" w:rsidRPr="0062392F" w:rsidRDefault="00AA2E26" w:rsidP="00AA2E26">
      <w:pPr>
        <w:rPr>
          <w:b/>
          <w:bCs/>
          <w:sz w:val="24"/>
          <w:szCs w:val="24"/>
        </w:rPr>
      </w:pPr>
      <w:r w:rsidRPr="0062392F">
        <w:rPr>
          <w:b/>
          <w:bCs/>
          <w:sz w:val="24"/>
          <w:szCs w:val="24"/>
        </w:rPr>
        <w:t>Table I</w:t>
      </w:r>
      <w:r w:rsidR="00105619">
        <w:rPr>
          <w:b/>
          <w:bCs/>
          <w:sz w:val="24"/>
          <w:szCs w:val="24"/>
        </w:rPr>
        <w:t>.</w:t>
      </w:r>
      <w:r w:rsidRPr="0062392F">
        <w:rPr>
          <w:b/>
          <w:bCs/>
          <w:sz w:val="24"/>
          <w:szCs w:val="24"/>
        </w:rPr>
        <w:t xml:space="preserve"> </w:t>
      </w:r>
      <w:r w:rsidR="00066189">
        <w:rPr>
          <w:bCs/>
          <w:sz w:val="24"/>
          <w:szCs w:val="24"/>
        </w:rPr>
        <w:t>T</w:t>
      </w:r>
      <w:r w:rsidR="000967F5">
        <w:rPr>
          <w:bCs/>
          <w:sz w:val="24"/>
          <w:szCs w:val="24"/>
        </w:rPr>
        <w:t xml:space="preserve">he number of ASBEs which require or allow </w:t>
      </w:r>
      <w:r w:rsidRPr="00105619">
        <w:rPr>
          <w:bCs/>
          <w:sz w:val="24"/>
          <w:szCs w:val="24"/>
        </w:rPr>
        <w:t>fair</w:t>
      </w:r>
      <w:r w:rsidR="000967F5">
        <w:rPr>
          <w:bCs/>
          <w:sz w:val="24"/>
          <w:szCs w:val="24"/>
        </w:rPr>
        <w:t xml:space="preserve"> value</w:t>
      </w:r>
      <w:r w:rsidR="00066189">
        <w:rPr>
          <w:bCs/>
          <w:sz w:val="24"/>
          <w:szCs w:val="24"/>
        </w:rPr>
        <w:t>, according to PB and this paper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1559"/>
        <w:gridCol w:w="1559"/>
      </w:tblGrid>
      <w:tr w:rsidR="00AA2E26" w14:paraId="7107942A" w14:textId="77777777" w:rsidTr="00EA26F3">
        <w:tc>
          <w:tcPr>
            <w:tcW w:w="4536" w:type="dxa"/>
          </w:tcPr>
          <w:p w14:paraId="022F170C" w14:textId="355A9C8D" w:rsidR="00AA2E26" w:rsidRPr="00B751DE" w:rsidRDefault="000967F5" w:rsidP="00EA26F3">
            <w:pPr>
              <w:tabs>
                <w:tab w:val="left" w:pos="746"/>
              </w:tabs>
              <w:rPr>
                <w:rFonts w:cstheme="minorHAnsi"/>
                <w:b/>
                <w:i/>
              </w:rPr>
            </w:pPr>
            <w:r>
              <w:rPr>
                <w:rFonts w:cstheme="minorHAnsi"/>
                <w:b/>
                <w:i/>
              </w:rPr>
              <w:t xml:space="preserve">1.Type of use of </w:t>
            </w:r>
            <w:r w:rsidR="00EA26F3" w:rsidRPr="00B751DE">
              <w:rPr>
                <w:rFonts w:cstheme="minorHAnsi"/>
                <w:b/>
                <w:i/>
              </w:rPr>
              <w:t xml:space="preserve"> fair value</w:t>
            </w:r>
          </w:p>
        </w:tc>
        <w:tc>
          <w:tcPr>
            <w:tcW w:w="1560" w:type="dxa"/>
          </w:tcPr>
          <w:p w14:paraId="6393EA7E" w14:textId="7D2A5F3E" w:rsidR="00AA2E26" w:rsidRPr="00B751DE" w:rsidRDefault="00EA26F3" w:rsidP="00AA2E26">
            <w:pPr>
              <w:jc w:val="center"/>
              <w:rPr>
                <w:rFonts w:cstheme="minorHAnsi"/>
                <w:b/>
                <w:bCs/>
                <w:i/>
              </w:rPr>
            </w:pPr>
            <w:r w:rsidRPr="00B751DE">
              <w:rPr>
                <w:rFonts w:cstheme="minorHAnsi"/>
                <w:b/>
                <w:bCs/>
                <w:i/>
              </w:rPr>
              <w:t>2.</w:t>
            </w:r>
            <w:r w:rsidR="00AA2E26" w:rsidRPr="00B751DE">
              <w:rPr>
                <w:rFonts w:cstheme="minorHAnsi"/>
                <w:b/>
                <w:bCs/>
                <w:i/>
              </w:rPr>
              <w:t>PB</w:t>
            </w:r>
            <w:r w:rsidRPr="00B751DE">
              <w:rPr>
                <w:rFonts w:cstheme="minorHAnsi"/>
                <w:b/>
                <w:bCs/>
                <w:i/>
              </w:rPr>
              <w:t>’s Table I</w:t>
            </w:r>
          </w:p>
          <w:p w14:paraId="3C97DA63" w14:textId="77777777" w:rsidR="00AA2E26" w:rsidRPr="00B751DE" w:rsidRDefault="00AA2E26" w:rsidP="00AA2E26">
            <w:pPr>
              <w:jc w:val="center"/>
              <w:rPr>
                <w:rFonts w:cstheme="minorHAnsi"/>
                <w:b/>
                <w:bCs/>
                <w:i/>
              </w:rPr>
            </w:pPr>
            <w:r w:rsidRPr="00B751DE">
              <w:rPr>
                <w:rFonts w:cstheme="minorHAnsi"/>
                <w:b/>
                <w:bCs/>
                <w:i/>
              </w:rPr>
              <w:t>(ASBEs of 2006)</w:t>
            </w:r>
          </w:p>
        </w:tc>
        <w:tc>
          <w:tcPr>
            <w:tcW w:w="1559" w:type="dxa"/>
          </w:tcPr>
          <w:p w14:paraId="28A1E70D" w14:textId="5D660CA6" w:rsidR="00AA2E26" w:rsidRPr="00B751DE" w:rsidRDefault="00EA26F3" w:rsidP="00AA2E26">
            <w:pPr>
              <w:jc w:val="center"/>
              <w:rPr>
                <w:rFonts w:cstheme="minorHAnsi"/>
                <w:b/>
                <w:bCs/>
                <w:i/>
              </w:rPr>
            </w:pPr>
            <w:r w:rsidRPr="00B751DE">
              <w:rPr>
                <w:rFonts w:cstheme="minorHAnsi"/>
                <w:b/>
                <w:bCs/>
                <w:i/>
              </w:rPr>
              <w:t>3.</w:t>
            </w:r>
            <w:r w:rsidR="00AA2E26" w:rsidRPr="00B751DE">
              <w:rPr>
                <w:rFonts w:cstheme="minorHAnsi"/>
                <w:b/>
                <w:bCs/>
                <w:i/>
              </w:rPr>
              <w:t>This paper</w:t>
            </w:r>
          </w:p>
          <w:p w14:paraId="6629A474" w14:textId="77777777" w:rsidR="00AA2E26" w:rsidRPr="00B751DE" w:rsidRDefault="00AA2E26" w:rsidP="00AA2E26">
            <w:pPr>
              <w:jc w:val="center"/>
              <w:rPr>
                <w:rFonts w:cstheme="minorHAnsi"/>
                <w:b/>
                <w:bCs/>
                <w:i/>
              </w:rPr>
            </w:pPr>
            <w:r w:rsidRPr="00B751DE">
              <w:rPr>
                <w:rFonts w:cstheme="minorHAnsi"/>
                <w:b/>
                <w:bCs/>
                <w:i/>
              </w:rPr>
              <w:t>(ASBEs of 2006)</w:t>
            </w:r>
          </w:p>
        </w:tc>
        <w:tc>
          <w:tcPr>
            <w:tcW w:w="1559" w:type="dxa"/>
          </w:tcPr>
          <w:p w14:paraId="6696E1F6" w14:textId="2F001878" w:rsidR="00AA2E26" w:rsidRPr="00B751DE" w:rsidRDefault="00EA26F3" w:rsidP="00AA2E26">
            <w:pPr>
              <w:jc w:val="center"/>
              <w:rPr>
                <w:rFonts w:cstheme="minorHAnsi"/>
                <w:b/>
                <w:bCs/>
                <w:i/>
              </w:rPr>
            </w:pPr>
            <w:r w:rsidRPr="00B751DE">
              <w:rPr>
                <w:rFonts w:cstheme="minorHAnsi"/>
                <w:b/>
                <w:bCs/>
                <w:i/>
              </w:rPr>
              <w:t>4.</w:t>
            </w:r>
            <w:r w:rsidR="00AA2E26" w:rsidRPr="00B751DE">
              <w:rPr>
                <w:rFonts w:cstheme="minorHAnsi"/>
                <w:b/>
                <w:bCs/>
                <w:i/>
              </w:rPr>
              <w:t>This paper</w:t>
            </w:r>
          </w:p>
          <w:p w14:paraId="456782D1" w14:textId="4D639A59" w:rsidR="00AA2E26" w:rsidRPr="00B751DE" w:rsidRDefault="00105619" w:rsidP="00AA2E26">
            <w:pPr>
              <w:jc w:val="center"/>
              <w:rPr>
                <w:rFonts w:cstheme="minorHAnsi"/>
                <w:b/>
                <w:bCs/>
                <w:i/>
              </w:rPr>
            </w:pPr>
            <w:r>
              <w:rPr>
                <w:rFonts w:cstheme="minorHAnsi"/>
                <w:b/>
                <w:bCs/>
                <w:i/>
              </w:rPr>
              <w:t>(ASBEs in</w:t>
            </w:r>
            <w:r w:rsidR="00256DB4" w:rsidRPr="00B751DE">
              <w:rPr>
                <w:rFonts w:cstheme="minorHAnsi"/>
                <w:b/>
                <w:bCs/>
                <w:i/>
              </w:rPr>
              <w:t xml:space="preserve"> </w:t>
            </w:r>
            <w:r w:rsidR="00066189">
              <w:rPr>
                <w:rFonts w:cstheme="minorHAnsi"/>
                <w:b/>
                <w:bCs/>
                <w:i/>
              </w:rPr>
              <w:t>mid-2019</w:t>
            </w:r>
            <w:r w:rsidR="00AA2E26" w:rsidRPr="00B751DE">
              <w:rPr>
                <w:rFonts w:cstheme="minorHAnsi"/>
                <w:b/>
                <w:bCs/>
                <w:i/>
              </w:rPr>
              <w:t>)</w:t>
            </w:r>
          </w:p>
          <w:p w14:paraId="2F126DB5" w14:textId="77777777" w:rsidR="00AA2E26" w:rsidRPr="00B751DE" w:rsidRDefault="00AA2E26" w:rsidP="00AA2E26">
            <w:pPr>
              <w:jc w:val="center"/>
              <w:rPr>
                <w:rFonts w:cstheme="minorHAnsi"/>
                <w:b/>
                <w:bCs/>
                <w:i/>
              </w:rPr>
            </w:pPr>
          </w:p>
        </w:tc>
      </w:tr>
      <w:tr w:rsidR="00D02FA4" w14:paraId="09F6BDA8" w14:textId="77777777" w:rsidTr="00EA26F3">
        <w:tc>
          <w:tcPr>
            <w:tcW w:w="4536" w:type="dxa"/>
          </w:tcPr>
          <w:p w14:paraId="6ED28B4C" w14:textId="5680AD02" w:rsidR="00D02FA4" w:rsidRPr="00A161A2" w:rsidRDefault="00D02FA4" w:rsidP="00D02FA4">
            <w:pPr>
              <w:tabs>
                <w:tab w:val="left" w:pos="746"/>
              </w:tabs>
              <w:rPr>
                <w:rFonts w:cstheme="minorHAnsi"/>
                <w:b/>
                <w:bCs/>
              </w:rPr>
            </w:pPr>
            <w:r>
              <w:rPr>
                <w:rFonts w:cstheme="minorHAnsi"/>
                <w:b/>
                <w:bCs/>
                <w:sz w:val="22"/>
              </w:rPr>
              <w:t>Initial measurement at fair value:</w:t>
            </w:r>
          </w:p>
        </w:tc>
        <w:tc>
          <w:tcPr>
            <w:tcW w:w="1560" w:type="dxa"/>
          </w:tcPr>
          <w:p w14:paraId="1E36DAB9" w14:textId="77777777" w:rsidR="00D02FA4" w:rsidRPr="00A161A2" w:rsidRDefault="00D02FA4" w:rsidP="00D02FA4">
            <w:pPr>
              <w:tabs>
                <w:tab w:val="center" w:pos="597"/>
              </w:tabs>
              <w:rPr>
                <w:rFonts w:cstheme="minorHAnsi"/>
              </w:rPr>
            </w:pPr>
          </w:p>
        </w:tc>
        <w:tc>
          <w:tcPr>
            <w:tcW w:w="1559" w:type="dxa"/>
          </w:tcPr>
          <w:p w14:paraId="3971A547" w14:textId="77777777" w:rsidR="00D02FA4" w:rsidRDefault="00D02FA4" w:rsidP="00D02FA4">
            <w:pPr>
              <w:tabs>
                <w:tab w:val="center" w:pos="825"/>
              </w:tabs>
              <w:rPr>
                <w:rFonts w:cstheme="minorHAnsi"/>
              </w:rPr>
            </w:pPr>
          </w:p>
        </w:tc>
        <w:tc>
          <w:tcPr>
            <w:tcW w:w="1559" w:type="dxa"/>
          </w:tcPr>
          <w:p w14:paraId="57DE65DD" w14:textId="77777777" w:rsidR="00D02FA4" w:rsidRDefault="00D02FA4" w:rsidP="00D02FA4">
            <w:pPr>
              <w:tabs>
                <w:tab w:val="center" w:pos="825"/>
              </w:tabs>
              <w:rPr>
                <w:rFonts w:cstheme="minorHAnsi"/>
              </w:rPr>
            </w:pPr>
          </w:p>
        </w:tc>
      </w:tr>
      <w:tr w:rsidR="00D02FA4" w14:paraId="6C5A51DB" w14:textId="77777777" w:rsidTr="00EA26F3">
        <w:tc>
          <w:tcPr>
            <w:tcW w:w="4536" w:type="dxa"/>
          </w:tcPr>
          <w:p w14:paraId="09BCED6A" w14:textId="217A17D8" w:rsidR="00D02FA4" w:rsidRPr="00A161A2" w:rsidRDefault="00D02FA4" w:rsidP="00D02FA4">
            <w:pPr>
              <w:tabs>
                <w:tab w:val="left" w:pos="746"/>
              </w:tabs>
              <w:rPr>
                <w:rFonts w:cstheme="minorHAnsi"/>
                <w:b/>
                <w:bCs/>
              </w:rPr>
            </w:pPr>
            <w:r>
              <w:rPr>
                <w:rFonts w:cstheme="minorHAnsi"/>
                <w:b/>
                <w:bCs/>
              </w:rPr>
              <w:t xml:space="preserve">    </w:t>
            </w:r>
            <w:r>
              <w:rPr>
                <w:rFonts w:cstheme="minorHAnsi"/>
              </w:rPr>
              <w:t>Required</w:t>
            </w:r>
          </w:p>
        </w:tc>
        <w:tc>
          <w:tcPr>
            <w:tcW w:w="1560" w:type="dxa"/>
          </w:tcPr>
          <w:p w14:paraId="2FECAD43" w14:textId="63F18572" w:rsidR="00D02FA4" w:rsidRPr="00A161A2" w:rsidRDefault="00D02FA4" w:rsidP="00D02FA4">
            <w:pPr>
              <w:tabs>
                <w:tab w:val="center" w:pos="597"/>
              </w:tabs>
              <w:rPr>
                <w:rFonts w:cstheme="minorHAnsi"/>
              </w:rPr>
            </w:pPr>
            <w:r>
              <w:rPr>
                <w:rFonts w:cstheme="minorHAnsi"/>
              </w:rPr>
              <w:tab/>
              <w:t>17</w:t>
            </w:r>
          </w:p>
        </w:tc>
        <w:tc>
          <w:tcPr>
            <w:tcW w:w="1559" w:type="dxa"/>
          </w:tcPr>
          <w:p w14:paraId="25BFAE32" w14:textId="187CF73E" w:rsidR="00D02FA4" w:rsidRPr="00C65852" w:rsidRDefault="00D02FA4" w:rsidP="00D02FA4">
            <w:pPr>
              <w:tabs>
                <w:tab w:val="center" w:pos="825"/>
              </w:tabs>
              <w:rPr>
                <w:rFonts w:cstheme="minorHAnsi"/>
                <w:vertAlign w:val="superscript"/>
              </w:rPr>
            </w:pPr>
            <w:r>
              <w:rPr>
                <w:rFonts w:cstheme="minorHAnsi"/>
              </w:rPr>
              <w:tab/>
            </w:r>
            <w:r w:rsidR="00C65852">
              <w:rPr>
                <w:rFonts w:cstheme="minorHAnsi"/>
              </w:rPr>
              <w:t xml:space="preserve"> </w:t>
            </w:r>
            <w:r w:rsidR="008B1698">
              <w:rPr>
                <w:rFonts w:cstheme="minorHAnsi"/>
              </w:rPr>
              <w:t>3</w:t>
            </w:r>
            <w:r w:rsidR="00C65852">
              <w:rPr>
                <w:rFonts w:cstheme="minorHAnsi"/>
                <w:vertAlign w:val="superscript"/>
              </w:rPr>
              <w:t>a</w:t>
            </w:r>
          </w:p>
        </w:tc>
        <w:tc>
          <w:tcPr>
            <w:tcW w:w="1559" w:type="dxa"/>
          </w:tcPr>
          <w:p w14:paraId="458A793F" w14:textId="76111650" w:rsidR="00D02FA4" w:rsidRDefault="008B1698" w:rsidP="00D02FA4">
            <w:pPr>
              <w:tabs>
                <w:tab w:val="center" w:pos="825"/>
              </w:tabs>
              <w:rPr>
                <w:rFonts w:cstheme="minorHAnsi"/>
              </w:rPr>
            </w:pPr>
            <w:r>
              <w:rPr>
                <w:rFonts w:cstheme="minorHAnsi"/>
              </w:rPr>
              <w:tab/>
              <w:t>3</w:t>
            </w:r>
          </w:p>
        </w:tc>
      </w:tr>
      <w:tr w:rsidR="00D02FA4" w14:paraId="29A046AB" w14:textId="77777777" w:rsidTr="00EA26F3">
        <w:tc>
          <w:tcPr>
            <w:tcW w:w="4536" w:type="dxa"/>
          </w:tcPr>
          <w:p w14:paraId="04338AAA" w14:textId="40F1DEA2" w:rsidR="00D02FA4" w:rsidRPr="00A161A2" w:rsidRDefault="00D02FA4" w:rsidP="00D02FA4">
            <w:pPr>
              <w:tabs>
                <w:tab w:val="left" w:pos="746"/>
              </w:tabs>
              <w:rPr>
                <w:rFonts w:cstheme="minorHAnsi"/>
                <w:b/>
                <w:bCs/>
              </w:rPr>
            </w:pPr>
            <w:r>
              <w:rPr>
                <w:rFonts w:cstheme="minorHAnsi"/>
                <w:b/>
                <w:bCs/>
              </w:rPr>
              <w:t xml:space="preserve">    </w:t>
            </w:r>
            <w:r>
              <w:rPr>
                <w:rFonts w:cstheme="minorHAnsi"/>
              </w:rPr>
              <w:t>Required for some items</w:t>
            </w:r>
          </w:p>
        </w:tc>
        <w:tc>
          <w:tcPr>
            <w:tcW w:w="1560" w:type="dxa"/>
          </w:tcPr>
          <w:p w14:paraId="485B5A9F" w14:textId="19F6B7EF" w:rsidR="00D02FA4" w:rsidRPr="00A161A2" w:rsidRDefault="00D02FA4" w:rsidP="00D02FA4">
            <w:pPr>
              <w:tabs>
                <w:tab w:val="center" w:pos="597"/>
              </w:tabs>
              <w:rPr>
                <w:rFonts w:cstheme="minorHAnsi"/>
              </w:rPr>
            </w:pPr>
            <w:r>
              <w:rPr>
                <w:rFonts w:cstheme="minorHAnsi"/>
              </w:rPr>
              <w:tab/>
              <w:t>-</w:t>
            </w:r>
          </w:p>
        </w:tc>
        <w:tc>
          <w:tcPr>
            <w:tcW w:w="1559" w:type="dxa"/>
          </w:tcPr>
          <w:p w14:paraId="73B06ECF" w14:textId="7EA0DF5A" w:rsidR="00D02FA4" w:rsidRPr="006F4EA1" w:rsidRDefault="00D02FA4" w:rsidP="00D02FA4">
            <w:pPr>
              <w:tabs>
                <w:tab w:val="center" w:pos="825"/>
              </w:tabs>
              <w:rPr>
                <w:rFonts w:cstheme="minorHAnsi"/>
                <w:vertAlign w:val="superscript"/>
              </w:rPr>
            </w:pPr>
            <w:r>
              <w:rPr>
                <w:rFonts w:cstheme="minorHAnsi"/>
              </w:rPr>
              <w:tab/>
            </w:r>
            <w:r w:rsidR="006F4EA1">
              <w:rPr>
                <w:rFonts w:cstheme="minorHAnsi"/>
              </w:rPr>
              <w:t xml:space="preserve"> </w:t>
            </w:r>
            <w:r w:rsidR="008B1698">
              <w:rPr>
                <w:rFonts w:cstheme="minorHAnsi"/>
              </w:rPr>
              <w:t>8</w:t>
            </w:r>
            <w:r w:rsidR="006F4EA1">
              <w:rPr>
                <w:rFonts w:cstheme="minorHAnsi"/>
                <w:vertAlign w:val="superscript"/>
              </w:rPr>
              <w:t>b</w:t>
            </w:r>
          </w:p>
        </w:tc>
        <w:tc>
          <w:tcPr>
            <w:tcW w:w="1559" w:type="dxa"/>
          </w:tcPr>
          <w:p w14:paraId="5297EE5D" w14:textId="520BE22A" w:rsidR="00D02FA4" w:rsidRPr="00C24965" w:rsidRDefault="00CD305D" w:rsidP="00D02FA4">
            <w:pPr>
              <w:tabs>
                <w:tab w:val="center" w:pos="825"/>
              </w:tabs>
              <w:rPr>
                <w:rFonts w:cstheme="minorHAnsi"/>
                <w:vertAlign w:val="superscript"/>
              </w:rPr>
            </w:pPr>
            <w:r>
              <w:rPr>
                <w:rFonts w:cstheme="minorHAnsi"/>
              </w:rPr>
              <w:t xml:space="preserve">            </w:t>
            </w:r>
            <w:r w:rsidR="008B1698">
              <w:rPr>
                <w:rFonts w:cstheme="minorHAnsi"/>
              </w:rPr>
              <w:t xml:space="preserve">  9</w:t>
            </w:r>
            <w:r w:rsidR="00C24965">
              <w:rPr>
                <w:rFonts w:cstheme="minorHAnsi"/>
                <w:vertAlign w:val="superscript"/>
              </w:rPr>
              <w:t>m</w:t>
            </w:r>
          </w:p>
        </w:tc>
      </w:tr>
      <w:tr w:rsidR="00D02FA4" w14:paraId="1EEE8062" w14:textId="77777777" w:rsidTr="00EA26F3">
        <w:tc>
          <w:tcPr>
            <w:tcW w:w="4536" w:type="dxa"/>
          </w:tcPr>
          <w:p w14:paraId="48602DCA" w14:textId="12CED017" w:rsidR="00D02FA4" w:rsidRPr="00A161A2" w:rsidRDefault="00D02FA4" w:rsidP="00D02FA4">
            <w:pPr>
              <w:tabs>
                <w:tab w:val="left" w:pos="746"/>
              </w:tabs>
              <w:rPr>
                <w:rFonts w:cstheme="minorHAnsi"/>
                <w:b/>
                <w:bCs/>
              </w:rPr>
            </w:pPr>
            <w:r>
              <w:rPr>
                <w:rFonts w:cstheme="minorHAnsi"/>
              </w:rPr>
              <w:t xml:space="preserve">    R</w:t>
            </w:r>
            <w:r w:rsidR="009645BD">
              <w:rPr>
                <w:rFonts w:cstheme="minorHAnsi"/>
              </w:rPr>
              <w:t>equired if lower</w:t>
            </w:r>
          </w:p>
        </w:tc>
        <w:tc>
          <w:tcPr>
            <w:tcW w:w="1560" w:type="dxa"/>
          </w:tcPr>
          <w:p w14:paraId="2CC97F7E" w14:textId="49980082" w:rsidR="00D02FA4" w:rsidRPr="00A161A2" w:rsidRDefault="00D02FA4" w:rsidP="00D02FA4">
            <w:pPr>
              <w:tabs>
                <w:tab w:val="center" w:pos="597"/>
              </w:tabs>
              <w:rPr>
                <w:rFonts w:cstheme="minorHAnsi"/>
              </w:rPr>
            </w:pPr>
            <w:r>
              <w:rPr>
                <w:rFonts w:cstheme="minorHAnsi"/>
              </w:rPr>
              <w:tab/>
              <w:t>-</w:t>
            </w:r>
          </w:p>
        </w:tc>
        <w:tc>
          <w:tcPr>
            <w:tcW w:w="1559" w:type="dxa"/>
          </w:tcPr>
          <w:p w14:paraId="492CC7D6" w14:textId="0F291CDB" w:rsidR="00D02FA4" w:rsidRPr="00C65852" w:rsidRDefault="00D02FA4" w:rsidP="00D02FA4">
            <w:pPr>
              <w:tabs>
                <w:tab w:val="center" w:pos="825"/>
              </w:tabs>
              <w:rPr>
                <w:rFonts w:cstheme="minorHAnsi"/>
                <w:vertAlign w:val="superscript"/>
              </w:rPr>
            </w:pPr>
            <w:r>
              <w:rPr>
                <w:rFonts w:cstheme="minorHAnsi"/>
              </w:rPr>
              <w:tab/>
            </w:r>
            <w:r w:rsidR="00C65852">
              <w:rPr>
                <w:rFonts w:cstheme="minorHAnsi"/>
              </w:rPr>
              <w:t xml:space="preserve"> </w:t>
            </w:r>
            <w:r>
              <w:rPr>
                <w:rFonts w:cstheme="minorHAnsi"/>
              </w:rPr>
              <w:t>1</w:t>
            </w:r>
            <w:r w:rsidR="006F4EA1">
              <w:rPr>
                <w:rFonts w:cstheme="minorHAnsi"/>
                <w:vertAlign w:val="superscript"/>
              </w:rPr>
              <w:t>c</w:t>
            </w:r>
          </w:p>
        </w:tc>
        <w:tc>
          <w:tcPr>
            <w:tcW w:w="1559" w:type="dxa"/>
          </w:tcPr>
          <w:p w14:paraId="55FB2605" w14:textId="2E3F4CA8" w:rsidR="00D02FA4" w:rsidRPr="000967F5" w:rsidRDefault="000967F5" w:rsidP="00D02FA4">
            <w:pPr>
              <w:tabs>
                <w:tab w:val="center" w:pos="825"/>
              </w:tabs>
              <w:rPr>
                <w:rFonts w:cstheme="minorHAnsi"/>
                <w:vertAlign w:val="superscript"/>
              </w:rPr>
            </w:pPr>
            <w:r>
              <w:rPr>
                <w:rFonts w:cstheme="minorHAnsi"/>
              </w:rPr>
              <w:tab/>
            </w:r>
            <w:r w:rsidR="00CD305D">
              <w:rPr>
                <w:rFonts w:cstheme="minorHAnsi"/>
              </w:rPr>
              <w:t>-</w:t>
            </w:r>
          </w:p>
        </w:tc>
      </w:tr>
      <w:tr w:rsidR="00D02FA4" w14:paraId="13224B4F" w14:textId="77777777" w:rsidTr="00EA26F3">
        <w:tc>
          <w:tcPr>
            <w:tcW w:w="4536" w:type="dxa"/>
          </w:tcPr>
          <w:p w14:paraId="192A84F9" w14:textId="77777777" w:rsidR="00D02FA4" w:rsidRPr="00A161A2" w:rsidRDefault="00D02FA4" w:rsidP="00D02FA4">
            <w:pPr>
              <w:tabs>
                <w:tab w:val="left" w:pos="746"/>
              </w:tabs>
              <w:rPr>
                <w:rFonts w:cstheme="minorHAnsi"/>
                <w:b/>
                <w:bCs/>
              </w:rPr>
            </w:pPr>
          </w:p>
        </w:tc>
        <w:tc>
          <w:tcPr>
            <w:tcW w:w="1560" w:type="dxa"/>
          </w:tcPr>
          <w:p w14:paraId="0F3C03C6" w14:textId="77777777" w:rsidR="00D02FA4" w:rsidRPr="00A161A2" w:rsidRDefault="00D02FA4" w:rsidP="00D02FA4">
            <w:pPr>
              <w:tabs>
                <w:tab w:val="center" w:pos="597"/>
              </w:tabs>
              <w:rPr>
                <w:rFonts w:cstheme="minorHAnsi"/>
              </w:rPr>
            </w:pPr>
          </w:p>
        </w:tc>
        <w:tc>
          <w:tcPr>
            <w:tcW w:w="1559" w:type="dxa"/>
          </w:tcPr>
          <w:p w14:paraId="0C698911" w14:textId="77777777" w:rsidR="00D02FA4" w:rsidRDefault="00D02FA4" w:rsidP="00D02FA4">
            <w:pPr>
              <w:tabs>
                <w:tab w:val="center" w:pos="825"/>
              </w:tabs>
              <w:rPr>
                <w:rFonts w:cstheme="minorHAnsi"/>
              </w:rPr>
            </w:pPr>
          </w:p>
        </w:tc>
        <w:tc>
          <w:tcPr>
            <w:tcW w:w="1559" w:type="dxa"/>
          </w:tcPr>
          <w:p w14:paraId="47BC0540" w14:textId="77777777" w:rsidR="00D02FA4" w:rsidRDefault="00D02FA4" w:rsidP="00D02FA4">
            <w:pPr>
              <w:tabs>
                <w:tab w:val="center" w:pos="825"/>
              </w:tabs>
              <w:rPr>
                <w:rFonts w:cstheme="minorHAnsi"/>
              </w:rPr>
            </w:pPr>
          </w:p>
        </w:tc>
      </w:tr>
      <w:tr w:rsidR="00D02FA4" w14:paraId="79D74938" w14:textId="77777777" w:rsidTr="00EA26F3">
        <w:tc>
          <w:tcPr>
            <w:tcW w:w="4536" w:type="dxa"/>
          </w:tcPr>
          <w:p w14:paraId="5B0ACA6E" w14:textId="5702D64D" w:rsidR="00D02FA4" w:rsidRPr="00D02FA4" w:rsidRDefault="00D02FA4" w:rsidP="00D02FA4">
            <w:pPr>
              <w:tabs>
                <w:tab w:val="left" w:pos="746"/>
              </w:tabs>
              <w:rPr>
                <w:rFonts w:cstheme="minorHAnsi"/>
                <w:sz w:val="22"/>
              </w:rPr>
            </w:pPr>
            <w:r w:rsidRPr="00A161A2">
              <w:rPr>
                <w:rFonts w:cstheme="minorHAnsi"/>
                <w:b/>
                <w:bCs/>
                <w:sz w:val="22"/>
              </w:rPr>
              <w:t>SMFV:</w:t>
            </w:r>
            <w:r w:rsidRPr="00A161A2">
              <w:rPr>
                <w:rFonts w:cstheme="minorHAnsi"/>
                <w:sz w:val="22"/>
              </w:rPr>
              <w:tab/>
            </w:r>
          </w:p>
        </w:tc>
        <w:tc>
          <w:tcPr>
            <w:tcW w:w="1560" w:type="dxa"/>
          </w:tcPr>
          <w:p w14:paraId="4804C31D" w14:textId="77777777" w:rsidR="00D02FA4" w:rsidRPr="00A161A2" w:rsidRDefault="00D02FA4" w:rsidP="00D02FA4">
            <w:pPr>
              <w:tabs>
                <w:tab w:val="center" w:pos="597"/>
              </w:tabs>
              <w:rPr>
                <w:rFonts w:cstheme="minorHAnsi"/>
              </w:rPr>
            </w:pPr>
          </w:p>
        </w:tc>
        <w:tc>
          <w:tcPr>
            <w:tcW w:w="1559" w:type="dxa"/>
          </w:tcPr>
          <w:p w14:paraId="79BE119D" w14:textId="77777777" w:rsidR="00D02FA4" w:rsidRDefault="00D02FA4" w:rsidP="00D02FA4">
            <w:pPr>
              <w:tabs>
                <w:tab w:val="center" w:pos="825"/>
              </w:tabs>
              <w:rPr>
                <w:rFonts w:cstheme="minorHAnsi"/>
              </w:rPr>
            </w:pPr>
          </w:p>
        </w:tc>
        <w:tc>
          <w:tcPr>
            <w:tcW w:w="1559" w:type="dxa"/>
          </w:tcPr>
          <w:p w14:paraId="0BB6AB53" w14:textId="77777777" w:rsidR="00D02FA4" w:rsidRDefault="00D02FA4" w:rsidP="00D02FA4">
            <w:pPr>
              <w:tabs>
                <w:tab w:val="center" w:pos="825"/>
              </w:tabs>
              <w:rPr>
                <w:rFonts w:cstheme="minorHAnsi"/>
              </w:rPr>
            </w:pPr>
          </w:p>
        </w:tc>
      </w:tr>
      <w:tr w:rsidR="00D02FA4" w14:paraId="400618F6" w14:textId="77777777" w:rsidTr="00EA26F3">
        <w:tc>
          <w:tcPr>
            <w:tcW w:w="4536" w:type="dxa"/>
          </w:tcPr>
          <w:p w14:paraId="4ACC002D" w14:textId="5506F10C" w:rsidR="00D02FA4" w:rsidRPr="00A161A2" w:rsidRDefault="00D02FA4" w:rsidP="00D02FA4">
            <w:pPr>
              <w:tabs>
                <w:tab w:val="left" w:pos="746"/>
              </w:tabs>
              <w:rPr>
                <w:rFonts w:cstheme="minorHAnsi"/>
                <w:sz w:val="22"/>
              </w:rPr>
            </w:pPr>
            <w:r>
              <w:rPr>
                <w:rFonts w:cstheme="minorHAnsi"/>
                <w:sz w:val="22"/>
              </w:rPr>
              <w:t xml:space="preserve">    </w:t>
            </w:r>
            <w:r w:rsidRPr="00A161A2">
              <w:rPr>
                <w:rFonts w:cstheme="minorHAnsi"/>
                <w:sz w:val="22"/>
              </w:rPr>
              <w:t>Required</w:t>
            </w:r>
            <w:r w:rsidRPr="00A161A2">
              <w:rPr>
                <w:rFonts w:cstheme="minorHAnsi"/>
                <w:sz w:val="22"/>
              </w:rPr>
              <w:tab/>
            </w:r>
            <w:r w:rsidRPr="00A161A2">
              <w:rPr>
                <w:rFonts w:cstheme="minorHAnsi"/>
                <w:sz w:val="22"/>
              </w:rPr>
              <w:tab/>
            </w:r>
          </w:p>
        </w:tc>
        <w:tc>
          <w:tcPr>
            <w:tcW w:w="1560" w:type="dxa"/>
          </w:tcPr>
          <w:p w14:paraId="0F2F8E00" w14:textId="76699F21" w:rsidR="00D02FA4" w:rsidRPr="00A161A2" w:rsidRDefault="00D02FA4" w:rsidP="00D02FA4">
            <w:pPr>
              <w:tabs>
                <w:tab w:val="center" w:pos="597"/>
              </w:tabs>
              <w:rPr>
                <w:rFonts w:cstheme="minorHAnsi"/>
                <w:sz w:val="22"/>
              </w:rPr>
            </w:pPr>
            <w:r w:rsidRPr="00A161A2">
              <w:rPr>
                <w:rFonts w:cstheme="minorHAnsi"/>
                <w:sz w:val="22"/>
              </w:rPr>
              <w:tab/>
              <w:t>8</w:t>
            </w:r>
          </w:p>
        </w:tc>
        <w:tc>
          <w:tcPr>
            <w:tcW w:w="1559" w:type="dxa"/>
          </w:tcPr>
          <w:p w14:paraId="2E674CB3" w14:textId="081E84E0" w:rsidR="00D02FA4" w:rsidRPr="00A161A2" w:rsidRDefault="00D02FA4" w:rsidP="00D02FA4">
            <w:pPr>
              <w:tabs>
                <w:tab w:val="center" w:pos="825"/>
              </w:tabs>
              <w:rPr>
                <w:rFonts w:cstheme="minorHAnsi"/>
                <w:sz w:val="22"/>
              </w:rPr>
            </w:pPr>
            <w:r>
              <w:rPr>
                <w:rFonts w:cstheme="minorHAnsi"/>
                <w:sz w:val="22"/>
              </w:rPr>
              <w:tab/>
              <w:t xml:space="preserve"> -</w:t>
            </w:r>
          </w:p>
        </w:tc>
        <w:tc>
          <w:tcPr>
            <w:tcW w:w="1559" w:type="dxa"/>
          </w:tcPr>
          <w:p w14:paraId="4BF6396E" w14:textId="40FD7874" w:rsidR="00D02FA4" w:rsidRPr="00A161A2" w:rsidRDefault="00D02FA4" w:rsidP="00D02FA4">
            <w:pPr>
              <w:tabs>
                <w:tab w:val="center" w:pos="825"/>
              </w:tabs>
              <w:rPr>
                <w:rFonts w:cstheme="minorHAnsi"/>
                <w:sz w:val="22"/>
              </w:rPr>
            </w:pPr>
            <w:r>
              <w:rPr>
                <w:rFonts w:cstheme="minorHAnsi"/>
                <w:sz w:val="22"/>
              </w:rPr>
              <w:tab/>
              <w:t xml:space="preserve"> -</w:t>
            </w:r>
          </w:p>
        </w:tc>
      </w:tr>
      <w:tr w:rsidR="00D02FA4" w14:paraId="6AB7E61B" w14:textId="77777777" w:rsidTr="00EA26F3">
        <w:tc>
          <w:tcPr>
            <w:tcW w:w="4536" w:type="dxa"/>
          </w:tcPr>
          <w:p w14:paraId="44F873B4" w14:textId="4E2B6C40" w:rsidR="00D02FA4" w:rsidRPr="00A161A2" w:rsidRDefault="00D02FA4" w:rsidP="00D02FA4">
            <w:pPr>
              <w:tabs>
                <w:tab w:val="left" w:pos="746"/>
              </w:tabs>
              <w:rPr>
                <w:rFonts w:cstheme="minorHAnsi"/>
                <w:sz w:val="22"/>
              </w:rPr>
            </w:pPr>
            <w:r>
              <w:rPr>
                <w:rFonts w:cstheme="minorHAnsi"/>
                <w:sz w:val="22"/>
              </w:rPr>
              <w:t xml:space="preserve">    </w:t>
            </w:r>
            <w:r w:rsidRPr="00A161A2">
              <w:rPr>
                <w:rFonts w:cstheme="minorHAnsi"/>
                <w:sz w:val="22"/>
              </w:rPr>
              <w:t>Required for some items</w:t>
            </w:r>
          </w:p>
        </w:tc>
        <w:tc>
          <w:tcPr>
            <w:tcW w:w="1560" w:type="dxa"/>
          </w:tcPr>
          <w:p w14:paraId="0A7B8E2B" w14:textId="77777777" w:rsidR="00D02FA4" w:rsidRPr="00A161A2" w:rsidRDefault="00D02FA4" w:rsidP="00D02FA4">
            <w:pPr>
              <w:tabs>
                <w:tab w:val="center" w:pos="597"/>
              </w:tabs>
              <w:rPr>
                <w:rFonts w:cstheme="minorHAnsi"/>
                <w:sz w:val="22"/>
              </w:rPr>
            </w:pPr>
            <w:r w:rsidRPr="00A161A2">
              <w:rPr>
                <w:rFonts w:cstheme="minorHAnsi"/>
                <w:sz w:val="22"/>
              </w:rPr>
              <w:tab/>
              <w:t>-</w:t>
            </w:r>
          </w:p>
        </w:tc>
        <w:tc>
          <w:tcPr>
            <w:tcW w:w="1559" w:type="dxa"/>
          </w:tcPr>
          <w:p w14:paraId="4109CFED" w14:textId="6181F55A" w:rsidR="00D02FA4" w:rsidRPr="00C65852" w:rsidRDefault="00D02FA4" w:rsidP="00D02FA4">
            <w:pPr>
              <w:tabs>
                <w:tab w:val="center" w:pos="825"/>
              </w:tabs>
              <w:rPr>
                <w:rFonts w:cstheme="minorHAnsi"/>
                <w:sz w:val="22"/>
                <w:vertAlign w:val="superscript"/>
              </w:rPr>
            </w:pPr>
            <w:r>
              <w:rPr>
                <w:rFonts w:cstheme="minorHAnsi"/>
                <w:sz w:val="22"/>
              </w:rPr>
              <w:tab/>
            </w:r>
            <w:r w:rsidR="00C65852">
              <w:rPr>
                <w:rFonts w:cstheme="minorHAnsi"/>
                <w:sz w:val="22"/>
              </w:rPr>
              <w:t xml:space="preserve"> </w:t>
            </w:r>
            <w:r w:rsidR="00112414">
              <w:rPr>
                <w:rFonts w:cstheme="minorHAnsi"/>
                <w:sz w:val="22"/>
              </w:rPr>
              <w:t>2</w:t>
            </w:r>
            <w:r w:rsidR="006F4EA1">
              <w:rPr>
                <w:rFonts w:cstheme="minorHAnsi"/>
                <w:sz w:val="22"/>
                <w:vertAlign w:val="superscript"/>
              </w:rPr>
              <w:t>d</w:t>
            </w:r>
          </w:p>
        </w:tc>
        <w:tc>
          <w:tcPr>
            <w:tcW w:w="1559" w:type="dxa"/>
          </w:tcPr>
          <w:p w14:paraId="307A9BCD" w14:textId="0C341B42" w:rsidR="00D02FA4" w:rsidRPr="00C24965" w:rsidRDefault="00112414" w:rsidP="00D02FA4">
            <w:pPr>
              <w:tabs>
                <w:tab w:val="center" w:pos="825"/>
              </w:tabs>
              <w:rPr>
                <w:rFonts w:cstheme="minorHAnsi"/>
                <w:sz w:val="22"/>
                <w:vertAlign w:val="superscript"/>
              </w:rPr>
            </w:pPr>
            <w:r>
              <w:rPr>
                <w:rFonts w:cstheme="minorHAnsi"/>
                <w:sz w:val="22"/>
              </w:rPr>
              <w:tab/>
              <w:t>4</w:t>
            </w:r>
            <w:r w:rsidR="00C24965">
              <w:rPr>
                <w:rFonts w:cstheme="minorHAnsi"/>
                <w:sz w:val="22"/>
                <w:vertAlign w:val="superscript"/>
              </w:rPr>
              <w:t>n</w:t>
            </w:r>
          </w:p>
        </w:tc>
      </w:tr>
      <w:tr w:rsidR="00D02FA4" w14:paraId="40FF0614" w14:textId="77777777" w:rsidTr="00EA26F3">
        <w:tc>
          <w:tcPr>
            <w:tcW w:w="4536" w:type="dxa"/>
          </w:tcPr>
          <w:p w14:paraId="5294B394" w14:textId="3634BDAA" w:rsidR="00D02FA4" w:rsidRDefault="00D02FA4" w:rsidP="00D02FA4">
            <w:pPr>
              <w:tabs>
                <w:tab w:val="left" w:pos="746"/>
              </w:tabs>
              <w:rPr>
                <w:rFonts w:cstheme="minorHAnsi"/>
                <w:sz w:val="22"/>
              </w:rPr>
            </w:pPr>
            <w:r>
              <w:rPr>
                <w:rFonts w:cstheme="minorHAnsi"/>
                <w:sz w:val="22"/>
              </w:rPr>
              <w:t xml:space="preserve">    </w:t>
            </w:r>
            <w:r w:rsidRPr="00A161A2">
              <w:rPr>
                <w:rFonts w:cstheme="minorHAnsi"/>
                <w:sz w:val="22"/>
              </w:rPr>
              <w:t>Requi</w:t>
            </w:r>
            <w:r w:rsidR="00112414">
              <w:rPr>
                <w:rFonts w:cstheme="minorHAnsi"/>
                <w:sz w:val="22"/>
              </w:rPr>
              <w:t xml:space="preserve">red for some and </w:t>
            </w:r>
            <w:r w:rsidR="00112414" w:rsidRPr="00CD305D">
              <w:rPr>
                <w:rFonts w:cstheme="minorHAnsi"/>
                <w:i/>
                <w:sz w:val="22"/>
              </w:rPr>
              <w:t>allowed</w:t>
            </w:r>
            <w:r w:rsidR="00112414">
              <w:rPr>
                <w:rFonts w:cstheme="minorHAnsi"/>
                <w:sz w:val="22"/>
              </w:rPr>
              <w:t xml:space="preserve"> for others</w:t>
            </w:r>
          </w:p>
          <w:p w14:paraId="2C038376" w14:textId="4BF341BD" w:rsidR="001A0F43" w:rsidRPr="00A161A2" w:rsidRDefault="00112414" w:rsidP="00D02FA4">
            <w:pPr>
              <w:tabs>
                <w:tab w:val="left" w:pos="746"/>
              </w:tabs>
              <w:rPr>
                <w:rFonts w:cstheme="minorHAnsi"/>
                <w:sz w:val="22"/>
              </w:rPr>
            </w:pPr>
            <w:r>
              <w:rPr>
                <w:rFonts w:cstheme="minorHAnsi"/>
                <w:sz w:val="22"/>
              </w:rPr>
              <w:t xml:space="preserve">    Required in special circumstances</w:t>
            </w:r>
          </w:p>
        </w:tc>
        <w:tc>
          <w:tcPr>
            <w:tcW w:w="1560" w:type="dxa"/>
          </w:tcPr>
          <w:p w14:paraId="083E57A4" w14:textId="77777777" w:rsidR="00D02FA4" w:rsidRDefault="00D02FA4" w:rsidP="00D02FA4">
            <w:pPr>
              <w:tabs>
                <w:tab w:val="center" w:pos="597"/>
              </w:tabs>
              <w:rPr>
                <w:rFonts w:cstheme="minorHAnsi"/>
                <w:sz w:val="22"/>
              </w:rPr>
            </w:pPr>
            <w:r>
              <w:rPr>
                <w:rFonts w:cstheme="minorHAnsi"/>
                <w:sz w:val="22"/>
              </w:rPr>
              <w:tab/>
              <w:t>-</w:t>
            </w:r>
          </w:p>
          <w:p w14:paraId="1DD6FDB1" w14:textId="5AB4E3ED" w:rsidR="001A0F43" w:rsidRPr="00A161A2" w:rsidRDefault="001A0F43" w:rsidP="00D02FA4">
            <w:pPr>
              <w:tabs>
                <w:tab w:val="center" w:pos="597"/>
              </w:tabs>
              <w:rPr>
                <w:rFonts w:cstheme="minorHAnsi"/>
                <w:sz w:val="22"/>
              </w:rPr>
            </w:pPr>
            <w:r>
              <w:rPr>
                <w:rFonts w:cstheme="minorHAnsi"/>
                <w:sz w:val="22"/>
              </w:rPr>
              <w:t xml:space="preserve">           -</w:t>
            </w:r>
          </w:p>
        </w:tc>
        <w:tc>
          <w:tcPr>
            <w:tcW w:w="1559" w:type="dxa"/>
          </w:tcPr>
          <w:p w14:paraId="6898E186" w14:textId="2D34FCD5" w:rsidR="00D02FA4" w:rsidRPr="00112414" w:rsidRDefault="00112414" w:rsidP="00D02FA4">
            <w:pPr>
              <w:tabs>
                <w:tab w:val="center" w:pos="825"/>
              </w:tabs>
              <w:rPr>
                <w:rFonts w:cstheme="minorHAnsi"/>
                <w:sz w:val="22"/>
                <w:vertAlign w:val="superscript"/>
              </w:rPr>
            </w:pPr>
            <w:r>
              <w:rPr>
                <w:rFonts w:cstheme="minorHAnsi"/>
                <w:sz w:val="22"/>
              </w:rPr>
              <w:tab/>
              <w:t xml:space="preserve"> 1</w:t>
            </w:r>
            <w:r w:rsidR="006F4EA1">
              <w:rPr>
                <w:rFonts w:cstheme="minorHAnsi"/>
                <w:sz w:val="22"/>
                <w:vertAlign w:val="superscript"/>
              </w:rPr>
              <w:t>e</w:t>
            </w:r>
          </w:p>
          <w:p w14:paraId="5BCF2F23" w14:textId="3F11B077" w:rsidR="001A0F43" w:rsidRPr="00C65852" w:rsidRDefault="001A0F43" w:rsidP="00D02FA4">
            <w:pPr>
              <w:tabs>
                <w:tab w:val="center" w:pos="825"/>
              </w:tabs>
              <w:rPr>
                <w:rFonts w:cstheme="minorHAnsi"/>
                <w:sz w:val="22"/>
                <w:vertAlign w:val="superscript"/>
              </w:rPr>
            </w:pPr>
            <w:r>
              <w:rPr>
                <w:rFonts w:cstheme="minorHAnsi"/>
                <w:sz w:val="22"/>
              </w:rPr>
              <w:t xml:space="preserve">               1</w:t>
            </w:r>
            <w:r w:rsidR="006F4EA1">
              <w:rPr>
                <w:rFonts w:cstheme="minorHAnsi"/>
                <w:sz w:val="22"/>
                <w:vertAlign w:val="superscript"/>
              </w:rPr>
              <w:t>f</w:t>
            </w:r>
          </w:p>
        </w:tc>
        <w:tc>
          <w:tcPr>
            <w:tcW w:w="1559" w:type="dxa"/>
          </w:tcPr>
          <w:p w14:paraId="384E6AF2" w14:textId="4A5D5C3C" w:rsidR="00D02FA4" w:rsidRDefault="00112414" w:rsidP="00D02FA4">
            <w:pPr>
              <w:tabs>
                <w:tab w:val="center" w:pos="825"/>
              </w:tabs>
              <w:rPr>
                <w:rFonts w:cstheme="minorHAnsi"/>
                <w:sz w:val="22"/>
              </w:rPr>
            </w:pPr>
            <w:r>
              <w:rPr>
                <w:rFonts w:cstheme="minorHAnsi"/>
                <w:sz w:val="22"/>
              </w:rPr>
              <w:tab/>
              <w:t>1</w:t>
            </w:r>
          </w:p>
          <w:p w14:paraId="365048A1" w14:textId="3369865A" w:rsidR="001A0F43" w:rsidRPr="00A161A2" w:rsidRDefault="001A0F43" w:rsidP="00D02FA4">
            <w:pPr>
              <w:tabs>
                <w:tab w:val="center" w:pos="825"/>
              </w:tabs>
              <w:rPr>
                <w:rFonts w:cstheme="minorHAnsi"/>
                <w:sz w:val="22"/>
              </w:rPr>
            </w:pPr>
            <w:r>
              <w:rPr>
                <w:rFonts w:cstheme="minorHAnsi"/>
                <w:sz w:val="22"/>
              </w:rPr>
              <w:t xml:space="preserve">               1</w:t>
            </w:r>
          </w:p>
        </w:tc>
      </w:tr>
      <w:tr w:rsidR="00D02FA4" w14:paraId="7143E50A" w14:textId="77777777" w:rsidTr="00EA26F3">
        <w:tc>
          <w:tcPr>
            <w:tcW w:w="4536" w:type="dxa"/>
          </w:tcPr>
          <w:p w14:paraId="270EC64B" w14:textId="7CDA023C" w:rsidR="001A0F43" w:rsidRDefault="00D02FA4" w:rsidP="00D02FA4">
            <w:pPr>
              <w:tabs>
                <w:tab w:val="left" w:pos="746"/>
              </w:tabs>
              <w:rPr>
                <w:rFonts w:cstheme="minorHAnsi"/>
                <w:sz w:val="22"/>
              </w:rPr>
            </w:pPr>
            <w:r>
              <w:rPr>
                <w:rFonts w:cstheme="minorHAnsi"/>
                <w:sz w:val="22"/>
              </w:rPr>
              <w:t xml:space="preserve">    </w:t>
            </w:r>
            <w:r w:rsidRPr="00657418">
              <w:rPr>
                <w:rFonts w:cstheme="minorHAnsi"/>
                <w:i/>
                <w:sz w:val="22"/>
              </w:rPr>
              <w:t>Allowed</w:t>
            </w:r>
            <w:r>
              <w:rPr>
                <w:rFonts w:cstheme="minorHAnsi"/>
                <w:sz w:val="22"/>
              </w:rPr>
              <w:t xml:space="preserve"> for some items in special</w:t>
            </w:r>
          </w:p>
          <w:p w14:paraId="129912F2" w14:textId="1A2BC4BF" w:rsidR="00D02FA4" w:rsidRPr="00A161A2" w:rsidRDefault="00D02FA4" w:rsidP="00D02FA4">
            <w:pPr>
              <w:tabs>
                <w:tab w:val="left" w:pos="746"/>
              </w:tabs>
              <w:rPr>
                <w:rFonts w:cstheme="minorHAnsi"/>
                <w:sz w:val="22"/>
              </w:rPr>
            </w:pPr>
            <w:r>
              <w:rPr>
                <w:rFonts w:cstheme="minorHAnsi"/>
                <w:sz w:val="22"/>
              </w:rPr>
              <w:t xml:space="preserve">    circumstances</w:t>
            </w:r>
          </w:p>
        </w:tc>
        <w:tc>
          <w:tcPr>
            <w:tcW w:w="1560" w:type="dxa"/>
          </w:tcPr>
          <w:p w14:paraId="1578940D" w14:textId="77777777" w:rsidR="00D02FA4" w:rsidRPr="00A161A2" w:rsidRDefault="00D02FA4" w:rsidP="00D02FA4">
            <w:pPr>
              <w:tabs>
                <w:tab w:val="center" w:pos="597"/>
              </w:tabs>
              <w:rPr>
                <w:rFonts w:cstheme="minorHAnsi"/>
                <w:sz w:val="22"/>
              </w:rPr>
            </w:pPr>
            <w:r>
              <w:rPr>
                <w:rFonts w:cstheme="minorHAnsi"/>
                <w:sz w:val="22"/>
              </w:rPr>
              <w:tab/>
              <w:t>-</w:t>
            </w:r>
          </w:p>
        </w:tc>
        <w:tc>
          <w:tcPr>
            <w:tcW w:w="1559" w:type="dxa"/>
          </w:tcPr>
          <w:p w14:paraId="4DD46ACC" w14:textId="67EDFC9B" w:rsidR="00D02FA4" w:rsidRPr="00C65852" w:rsidRDefault="00D02FA4" w:rsidP="00D02FA4">
            <w:pPr>
              <w:tabs>
                <w:tab w:val="center" w:pos="825"/>
              </w:tabs>
              <w:rPr>
                <w:rFonts w:cstheme="minorHAnsi"/>
                <w:sz w:val="22"/>
                <w:vertAlign w:val="superscript"/>
              </w:rPr>
            </w:pPr>
            <w:r>
              <w:rPr>
                <w:rFonts w:cstheme="minorHAnsi"/>
                <w:sz w:val="22"/>
              </w:rPr>
              <w:tab/>
            </w:r>
            <w:r w:rsidR="00C65852">
              <w:rPr>
                <w:rFonts w:cstheme="minorHAnsi"/>
                <w:sz w:val="22"/>
              </w:rPr>
              <w:t xml:space="preserve"> </w:t>
            </w:r>
            <w:r>
              <w:rPr>
                <w:rFonts w:cstheme="minorHAnsi"/>
                <w:sz w:val="22"/>
              </w:rPr>
              <w:t>1</w:t>
            </w:r>
            <w:r w:rsidR="006F4EA1">
              <w:rPr>
                <w:rFonts w:cstheme="minorHAnsi"/>
                <w:sz w:val="22"/>
                <w:vertAlign w:val="superscript"/>
              </w:rPr>
              <w:t>g</w:t>
            </w:r>
          </w:p>
        </w:tc>
        <w:tc>
          <w:tcPr>
            <w:tcW w:w="1559" w:type="dxa"/>
          </w:tcPr>
          <w:p w14:paraId="6911F72A" w14:textId="019D1085" w:rsidR="00D02FA4" w:rsidRPr="00A161A2" w:rsidRDefault="00D02FA4" w:rsidP="00D02FA4">
            <w:pPr>
              <w:tabs>
                <w:tab w:val="center" w:pos="825"/>
              </w:tabs>
              <w:rPr>
                <w:rFonts w:cstheme="minorHAnsi"/>
                <w:sz w:val="22"/>
              </w:rPr>
            </w:pPr>
            <w:r>
              <w:rPr>
                <w:rFonts w:cstheme="minorHAnsi"/>
                <w:sz w:val="22"/>
              </w:rPr>
              <w:tab/>
              <w:t>1</w:t>
            </w:r>
          </w:p>
        </w:tc>
      </w:tr>
      <w:tr w:rsidR="00D02FA4" w14:paraId="3E7062CE" w14:textId="77777777" w:rsidTr="00EA26F3">
        <w:tc>
          <w:tcPr>
            <w:tcW w:w="4536" w:type="dxa"/>
          </w:tcPr>
          <w:p w14:paraId="526B98A9" w14:textId="77777777" w:rsidR="00D02FA4" w:rsidRPr="00A161A2" w:rsidRDefault="00D02FA4" w:rsidP="00D02FA4">
            <w:pPr>
              <w:tabs>
                <w:tab w:val="left" w:pos="746"/>
              </w:tabs>
              <w:rPr>
                <w:rFonts w:cstheme="minorHAnsi"/>
                <w:b/>
                <w:bCs/>
                <w:sz w:val="22"/>
              </w:rPr>
            </w:pPr>
          </w:p>
        </w:tc>
        <w:tc>
          <w:tcPr>
            <w:tcW w:w="1560" w:type="dxa"/>
          </w:tcPr>
          <w:p w14:paraId="04CC7BCA" w14:textId="77777777" w:rsidR="00D02FA4" w:rsidRPr="00A161A2" w:rsidRDefault="00D02FA4" w:rsidP="00D02FA4">
            <w:pPr>
              <w:tabs>
                <w:tab w:val="center" w:pos="597"/>
              </w:tabs>
              <w:rPr>
                <w:rFonts w:cstheme="minorHAnsi"/>
                <w:sz w:val="22"/>
              </w:rPr>
            </w:pPr>
          </w:p>
        </w:tc>
        <w:tc>
          <w:tcPr>
            <w:tcW w:w="1559" w:type="dxa"/>
          </w:tcPr>
          <w:p w14:paraId="33B5B98B" w14:textId="77777777" w:rsidR="00D02FA4" w:rsidRPr="00A161A2" w:rsidRDefault="00D02FA4" w:rsidP="00D02FA4">
            <w:pPr>
              <w:tabs>
                <w:tab w:val="center" w:pos="825"/>
              </w:tabs>
              <w:rPr>
                <w:rFonts w:cstheme="minorHAnsi"/>
                <w:sz w:val="22"/>
              </w:rPr>
            </w:pPr>
          </w:p>
        </w:tc>
        <w:tc>
          <w:tcPr>
            <w:tcW w:w="1559" w:type="dxa"/>
          </w:tcPr>
          <w:p w14:paraId="5D9BD612" w14:textId="77777777" w:rsidR="00D02FA4" w:rsidRPr="00A161A2" w:rsidRDefault="00D02FA4" w:rsidP="00D02FA4">
            <w:pPr>
              <w:tabs>
                <w:tab w:val="center" w:pos="825"/>
              </w:tabs>
              <w:rPr>
                <w:rFonts w:cstheme="minorHAnsi"/>
                <w:sz w:val="22"/>
              </w:rPr>
            </w:pPr>
          </w:p>
        </w:tc>
      </w:tr>
      <w:tr w:rsidR="00D02FA4" w14:paraId="6693C023" w14:textId="77777777" w:rsidTr="00EA26F3">
        <w:tc>
          <w:tcPr>
            <w:tcW w:w="4536" w:type="dxa"/>
          </w:tcPr>
          <w:p w14:paraId="3B0170B4" w14:textId="2EFA56E4" w:rsidR="00D02FA4" w:rsidRPr="00A161A2" w:rsidRDefault="00D02FA4" w:rsidP="00D02FA4">
            <w:pPr>
              <w:tabs>
                <w:tab w:val="left" w:pos="746"/>
              </w:tabs>
              <w:rPr>
                <w:rFonts w:cstheme="minorHAnsi"/>
              </w:rPr>
            </w:pPr>
            <w:r>
              <w:rPr>
                <w:rFonts w:cstheme="minorHAnsi"/>
                <w:b/>
                <w:bCs/>
              </w:rPr>
              <w:t>Fair value for impairment or similar:</w:t>
            </w:r>
          </w:p>
        </w:tc>
        <w:tc>
          <w:tcPr>
            <w:tcW w:w="1560" w:type="dxa"/>
          </w:tcPr>
          <w:p w14:paraId="414D8DB8" w14:textId="77777777" w:rsidR="00D02FA4" w:rsidRDefault="00D02FA4" w:rsidP="00D02FA4">
            <w:pPr>
              <w:tabs>
                <w:tab w:val="center" w:pos="597"/>
              </w:tabs>
              <w:rPr>
                <w:rFonts w:cstheme="minorHAnsi"/>
              </w:rPr>
            </w:pPr>
          </w:p>
        </w:tc>
        <w:tc>
          <w:tcPr>
            <w:tcW w:w="1559" w:type="dxa"/>
          </w:tcPr>
          <w:p w14:paraId="5742AE00" w14:textId="77777777" w:rsidR="00D02FA4" w:rsidRPr="00A161A2" w:rsidRDefault="00D02FA4" w:rsidP="00D02FA4">
            <w:pPr>
              <w:tabs>
                <w:tab w:val="center" w:pos="825"/>
              </w:tabs>
              <w:rPr>
                <w:rFonts w:cstheme="minorHAnsi"/>
              </w:rPr>
            </w:pPr>
          </w:p>
        </w:tc>
        <w:tc>
          <w:tcPr>
            <w:tcW w:w="1559" w:type="dxa"/>
          </w:tcPr>
          <w:p w14:paraId="341A0DE4" w14:textId="77777777" w:rsidR="00D02FA4" w:rsidRPr="00A161A2" w:rsidRDefault="00D02FA4" w:rsidP="00D02FA4">
            <w:pPr>
              <w:tabs>
                <w:tab w:val="center" w:pos="825"/>
              </w:tabs>
              <w:rPr>
                <w:rFonts w:cstheme="minorHAnsi"/>
              </w:rPr>
            </w:pPr>
          </w:p>
        </w:tc>
      </w:tr>
      <w:tr w:rsidR="00D02FA4" w14:paraId="7DD4C039" w14:textId="77777777" w:rsidTr="00EA26F3">
        <w:tc>
          <w:tcPr>
            <w:tcW w:w="4536" w:type="dxa"/>
          </w:tcPr>
          <w:p w14:paraId="61300636" w14:textId="7255FB92" w:rsidR="00D02FA4" w:rsidRDefault="00D02FA4" w:rsidP="00D02FA4">
            <w:pPr>
              <w:tabs>
                <w:tab w:val="left" w:pos="746"/>
              </w:tabs>
              <w:rPr>
                <w:rFonts w:cstheme="minorHAnsi"/>
              </w:rPr>
            </w:pPr>
            <w:r>
              <w:rPr>
                <w:rFonts w:cstheme="minorHAnsi"/>
                <w:b/>
                <w:bCs/>
              </w:rPr>
              <w:t xml:space="preserve">    </w:t>
            </w:r>
            <w:r>
              <w:rPr>
                <w:rFonts w:cstheme="minorHAnsi"/>
              </w:rPr>
              <w:t>Required</w:t>
            </w:r>
          </w:p>
          <w:p w14:paraId="0A6B22C2" w14:textId="250AD989" w:rsidR="00D02FA4" w:rsidRDefault="00D02FA4" w:rsidP="00D02FA4">
            <w:pPr>
              <w:tabs>
                <w:tab w:val="left" w:pos="746"/>
              </w:tabs>
              <w:rPr>
                <w:rFonts w:cstheme="minorHAnsi"/>
              </w:rPr>
            </w:pPr>
            <w:r>
              <w:rPr>
                <w:rFonts w:cstheme="minorHAnsi"/>
              </w:rPr>
              <w:t xml:space="preserve">    Required if lower</w:t>
            </w:r>
          </w:p>
          <w:p w14:paraId="4D3EF686" w14:textId="680DBFBB" w:rsidR="00D02FA4" w:rsidRPr="00A161A2" w:rsidRDefault="00D02FA4" w:rsidP="00D02FA4">
            <w:pPr>
              <w:tabs>
                <w:tab w:val="left" w:pos="746"/>
              </w:tabs>
              <w:rPr>
                <w:rFonts w:cstheme="minorHAnsi"/>
              </w:rPr>
            </w:pPr>
            <w:r>
              <w:rPr>
                <w:rFonts w:cstheme="minorHAnsi"/>
              </w:rPr>
              <w:t xml:space="preserve">    Required for some items if lower</w:t>
            </w:r>
          </w:p>
        </w:tc>
        <w:tc>
          <w:tcPr>
            <w:tcW w:w="1560" w:type="dxa"/>
          </w:tcPr>
          <w:p w14:paraId="2AACA30A" w14:textId="77777777" w:rsidR="00D02FA4" w:rsidRDefault="00D02FA4" w:rsidP="00D02FA4">
            <w:pPr>
              <w:tabs>
                <w:tab w:val="center" w:pos="597"/>
              </w:tabs>
              <w:rPr>
                <w:rFonts w:cstheme="minorHAnsi"/>
              </w:rPr>
            </w:pPr>
            <w:r>
              <w:rPr>
                <w:rFonts w:cstheme="minorHAnsi"/>
              </w:rPr>
              <w:tab/>
              <w:t>11</w:t>
            </w:r>
          </w:p>
          <w:p w14:paraId="3BF78D66" w14:textId="77777777" w:rsidR="00D02FA4" w:rsidRDefault="00D02FA4" w:rsidP="00D02FA4">
            <w:pPr>
              <w:tabs>
                <w:tab w:val="center" w:pos="597"/>
              </w:tabs>
              <w:rPr>
                <w:rFonts w:cstheme="minorHAnsi"/>
              </w:rPr>
            </w:pPr>
            <w:r>
              <w:rPr>
                <w:rFonts w:cstheme="minorHAnsi"/>
              </w:rPr>
              <w:t xml:space="preserve">           -</w:t>
            </w:r>
          </w:p>
          <w:p w14:paraId="03845D88" w14:textId="2363BDA7" w:rsidR="00D02FA4" w:rsidRDefault="00D02FA4" w:rsidP="00D02FA4">
            <w:pPr>
              <w:tabs>
                <w:tab w:val="center" w:pos="597"/>
              </w:tabs>
              <w:rPr>
                <w:rFonts w:cstheme="minorHAnsi"/>
              </w:rPr>
            </w:pPr>
            <w:r>
              <w:rPr>
                <w:rFonts w:cstheme="minorHAnsi"/>
              </w:rPr>
              <w:t xml:space="preserve">           -</w:t>
            </w:r>
          </w:p>
        </w:tc>
        <w:tc>
          <w:tcPr>
            <w:tcW w:w="1559" w:type="dxa"/>
          </w:tcPr>
          <w:p w14:paraId="79D0D886" w14:textId="77777777" w:rsidR="00D02FA4" w:rsidRDefault="00D02FA4" w:rsidP="00D02FA4">
            <w:pPr>
              <w:tabs>
                <w:tab w:val="center" w:pos="825"/>
              </w:tabs>
              <w:rPr>
                <w:rFonts w:cstheme="minorHAnsi"/>
              </w:rPr>
            </w:pPr>
            <w:r>
              <w:rPr>
                <w:rFonts w:cstheme="minorHAnsi"/>
              </w:rPr>
              <w:tab/>
              <w:t>-</w:t>
            </w:r>
          </w:p>
          <w:p w14:paraId="5C0F7EDE" w14:textId="24151795" w:rsidR="00D02FA4" w:rsidRPr="00C65852" w:rsidRDefault="00D02FA4" w:rsidP="00D02FA4">
            <w:pPr>
              <w:tabs>
                <w:tab w:val="center" w:pos="825"/>
              </w:tabs>
              <w:rPr>
                <w:rFonts w:cstheme="minorHAnsi"/>
                <w:vertAlign w:val="superscript"/>
              </w:rPr>
            </w:pPr>
            <w:r>
              <w:rPr>
                <w:rFonts w:cstheme="minorHAnsi"/>
              </w:rPr>
              <w:t xml:space="preserve">              1</w:t>
            </w:r>
            <w:r w:rsidR="006F4EA1">
              <w:rPr>
                <w:rFonts w:cstheme="minorHAnsi"/>
                <w:vertAlign w:val="superscript"/>
              </w:rPr>
              <w:t>h</w:t>
            </w:r>
          </w:p>
          <w:p w14:paraId="0804DEA3" w14:textId="3A0CDEFF" w:rsidR="00D02FA4" w:rsidRPr="00C65852" w:rsidRDefault="00D02FA4" w:rsidP="00D02FA4">
            <w:pPr>
              <w:tabs>
                <w:tab w:val="center" w:pos="825"/>
              </w:tabs>
              <w:rPr>
                <w:rFonts w:cstheme="minorHAnsi"/>
                <w:vertAlign w:val="superscript"/>
              </w:rPr>
            </w:pPr>
            <w:r>
              <w:rPr>
                <w:rFonts w:cstheme="minorHAnsi"/>
              </w:rPr>
              <w:t xml:space="preserve">              1</w:t>
            </w:r>
            <w:r w:rsidR="006F4EA1">
              <w:rPr>
                <w:rFonts w:cstheme="minorHAnsi"/>
                <w:vertAlign w:val="superscript"/>
              </w:rPr>
              <w:t>i</w:t>
            </w:r>
          </w:p>
        </w:tc>
        <w:tc>
          <w:tcPr>
            <w:tcW w:w="1559" w:type="dxa"/>
          </w:tcPr>
          <w:p w14:paraId="44207ABA" w14:textId="77777777" w:rsidR="00D02FA4" w:rsidRDefault="00D02FA4" w:rsidP="00D02FA4">
            <w:pPr>
              <w:tabs>
                <w:tab w:val="center" w:pos="825"/>
              </w:tabs>
              <w:rPr>
                <w:rFonts w:cstheme="minorHAnsi"/>
              </w:rPr>
            </w:pPr>
            <w:r>
              <w:rPr>
                <w:rFonts w:cstheme="minorHAnsi"/>
              </w:rPr>
              <w:tab/>
              <w:t>-</w:t>
            </w:r>
          </w:p>
          <w:p w14:paraId="6DAD9C40" w14:textId="78DFA29E" w:rsidR="00D02FA4" w:rsidRPr="00D2264B" w:rsidRDefault="00D02FA4" w:rsidP="00D02FA4">
            <w:pPr>
              <w:tabs>
                <w:tab w:val="center" w:pos="825"/>
              </w:tabs>
              <w:rPr>
                <w:rFonts w:cstheme="minorHAnsi"/>
                <w:vertAlign w:val="superscript"/>
              </w:rPr>
            </w:pPr>
            <w:r>
              <w:rPr>
                <w:rFonts w:cstheme="minorHAnsi"/>
              </w:rPr>
              <w:t xml:space="preserve">              2</w:t>
            </w:r>
            <w:r w:rsidR="00D2264B">
              <w:rPr>
                <w:rFonts w:cstheme="minorHAnsi"/>
                <w:vertAlign w:val="superscript"/>
              </w:rPr>
              <w:t>o</w:t>
            </w:r>
          </w:p>
          <w:p w14:paraId="3DDDB77B" w14:textId="56207D1A" w:rsidR="00D02FA4" w:rsidRPr="00A161A2" w:rsidRDefault="00D02FA4" w:rsidP="00D02FA4">
            <w:pPr>
              <w:tabs>
                <w:tab w:val="center" w:pos="825"/>
              </w:tabs>
              <w:rPr>
                <w:rFonts w:cstheme="minorHAnsi"/>
              </w:rPr>
            </w:pPr>
            <w:r>
              <w:rPr>
                <w:rFonts w:cstheme="minorHAnsi"/>
              </w:rPr>
              <w:t xml:space="preserve">              -</w:t>
            </w:r>
          </w:p>
        </w:tc>
      </w:tr>
      <w:tr w:rsidR="00D02FA4" w14:paraId="1B048096" w14:textId="77777777" w:rsidTr="00EA26F3">
        <w:tc>
          <w:tcPr>
            <w:tcW w:w="4536" w:type="dxa"/>
          </w:tcPr>
          <w:p w14:paraId="65DF430A" w14:textId="02400933" w:rsidR="00D02FA4" w:rsidRPr="00A161A2" w:rsidRDefault="00D02FA4" w:rsidP="00D02FA4">
            <w:pPr>
              <w:tabs>
                <w:tab w:val="left" w:pos="746"/>
              </w:tabs>
              <w:rPr>
                <w:rFonts w:cstheme="minorHAnsi"/>
              </w:rPr>
            </w:pPr>
            <w:r>
              <w:rPr>
                <w:rFonts w:cstheme="minorHAnsi"/>
                <w:b/>
                <w:bCs/>
              </w:rPr>
              <w:t xml:space="preserve">    </w:t>
            </w:r>
            <w:r>
              <w:rPr>
                <w:rFonts w:cstheme="minorHAnsi"/>
              </w:rPr>
              <w:t>Required in special circumstances if lower</w:t>
            </w:r>
          </w:p>
        </w:tc>
        <w:tc>
          <w:tcPr>
            <w:tcW w:w="1560" w:type="dxa"/>
          </w:tcPr>
          <w:p w14:paraId="411BCC0C" w14:textId="77777777" w:rsidR="00D02FA4" w:rsidRDefault="00D02FA4" w:rsidP="00D02FA4">
            <w:pPr>
              <w:tabs>
                <w:tab w:val="center" w:pos="597"/>
              </w:tabs>
              <w:rPr>
                <w:rFonts w:cstheme="minorHAnsi"/>
              </w:rPr>
            </w:pPr>
            <w:r>
              <w:rPr>
                <w:rFonts w:cstheme="minorHAnsi"/>
              </w:rPr>
              <w:tab/>
              <w:t>-</w:t>
            </w:r>
          </w:p>
        </w:tc>
        <w:tc>
          <w:tcPr>
            <w:tcW w:w="1559" w:type="dxa"/>
          </w:tcPr>
          <w:p w14:paraId="626FB409" w14:textId="2186BB56" w:rsidR="00D02FA4" w:rsidRPr="00C65852" w:rsidRDefault="00D02FA4" w:rsidP="00D02FA4">
            <w:pPr>
              <w:tabs>
                <w:tab w:val="center" w:pos="825"/>
              </w:tabs>
              <w:rPr>
                <w:rFonts w:cstheme="minorHAnsi"/>
                <w:vertAlign w:val="superscript"/>
              </w:rPr>
            </w:pPr>
            <w:r>
              <w:rPr>
                <w:rFonts w:cstheme="minorHAnsi"/>
              </w:rPr>
              <w:tab/>
            </w:r>
            <w:r w:rsidR="00C65852">
              <w:rPr>
                <w:rFonts w:cstheme="minorHAnsi"/>
              </w:rPr>
              <w:t xml:space="preserve"> </w:t>
            </w:r>
            <w:r w:rsidR="00FF3D7A">
              <w:rPr>
                <w:rFonts w:cstheme="minorHAnsi"/>
              </w:rPr>
              <w:t>2</w:t>
            </w:r>
            <w:r w:rsidR="006F4EA1">
              <w:rPr>
                <w:rFonts w:cstheme="minorHAnsi"/>
                <w:vertAlign w:val="superscript"/>
              </w:rPr>
              <w:t>j</w:t>
            </w:r>
          </w:p>
        </w:tc>
        <w:tc>
          <w:tcPr>
            <w:tcW w:w="1559" w:type="dxa"/>
          </w:tcPr>
          <w:p w14:paraId="725AA8A4" w14:textId="114D4179" w:rsidR="00D02FA4" w:rsidRPr="00A161A2" w:rsidRDefault="00FF3D7A" w:rsidP="00D02FA4">
            <w:pPr>
              <w:tabs>
                <w:tab w:val="center" w:pos="825"/>
              </w:tabs>
              <w:rPr>
                <w:rFonts w:cstheme="minorHAnsi"/>
              </w:rPr>
            </w:pPr>
            <w:r>
              <w:rPr>
                <w:rFonts w:cstheme="minorHAnsi"/>
              </w:rPr>
              <w:tab/>
              <w:t>2</w:t>
            </w:r>
          </w:p>
        </w:tc>
      </w:tr>
      <w:tr w:rsidR="00D02FA4" w14:paraId="43F62E1F" w14:textId="77777777" w:rsidTr="00EA26F3">
        <w:tc>
          <w:tcPr>
            <w:tcW w:w="4536" w:type="dxa"/>
          </w:tcPr>
          <w:p w14:paraId="16C5A847" w14:textId="77777777" w:rsidR="00D02FA4" w:rsidRDefault="00D02FA4" w:rsidP="00D02FA4">
            <w:pPr>
              <w:tabs>
                <w:tab w:val="left" w:pos="746"/>
              </w:tabs>
              <w:rPr>
                <w:rFonts w:cstheme="minorHAnsi"/>
                <w:b/>
                <w:bCs/>
              </w:rPr>
            </w:pPr>
          </w:p>
        </w:tc>
        <w:tc>
          <w:tcPr>
            <w:tcW w:w="1560" w:type="dxa"/>
          </w:tcPr>
          <w:p w14:paraId="37D55E98" w14:textId="77777777" w:rsidR="00D02FA4" w:rsidRDefault="00D02FA4" w:rsidP="00D02FA4">
            <w:pPr>
              <w:tabs>
                <w:tab w:val="center" w:pos="597"/>
              </w:tabs>
              <w:rPr>
                <w:rFonts w:cstheme="minorHAnsi"/>
              </w:rPr>
            </w:pPr>
          </w:p>
        </w:tc>
        <w:tc>
          <w:tcPr>
            <w:tcW w:w="1559" w:type="dxa"/>
          </w:tcPr>
          <w:p w14:paraId="0F9ACCE8" w14:textId="77777777" w:rsidR="00D02FA4" w:rsidRPr="00A161A2" w:rsidRDefault="00D02FA4" w:rsidP="00D02FA4">
            <w:pPr>
              <w:tabs>
                <w:tab w:val="center" w:pos="825"/>
              </w:tabs>
              <w:rPr>
                <w:rFonts w:cstheme="minorHAnsi"/>
              </w:rPr>
            </w:pPr>
          </w:p>
        </w:tc>
        <w:tc>
          <w:tcPr>
            <w:tcW w:w="1559" w:type="dxa"/>
          </w:tcPr>
          <w:p w14:paraId="40B39209" w14:textId="77777777" w:rsidR="00D02FA4" w:rsidRPr="00A161A2" w:rsidRDefault="00D02FA4" w:rsidP="00D02FA4">
            <w:pPr>
              <w:tabs>
                <w:tab w:val="center" w:pos="825"/>
              </w:tabs>
              <w:rPr>
                <w:rFonts w:cstheme="minorHAnsi"/>
              </w:rPr>
            </w:pPr>
          </w:p>
        </w:tc>
      </w:tr>
      <w:tr w:rsidR="00D02FA4" w14:paraId="3256D2A4" w14:textId="77777777" w:rsidTr="00EA26F3">
        <w:tc>
          <w:tcPr>
            <w:tcW w:w="4536" w:type="dxa"/>
          </w:tcPr>
          <w:p w14:paraId="501E138B" w14:textId="192AF67F" w:rsidR="00D02FA4" w:rsidRDefault="00D02FA4" w:rsidP="00D02FA4">
            <w:pPr>
              <w:tabs>
                <w:tab w:val="left" w:pos="746"/>
              </w:tabs>
              <w:rPr>
                <w:rFonts w:cstheme="minorHAnsi"/>
                <w:b/>
                <w:bCs/>
              </w:rPr>
            </w:pPr>
            <w:r>
              <w:rPr>
                <w:rFonts w:cstheme="minorHAnsi"/>
                <w:b/>
                <w:bCs/>
              </w:rPr>
              <w:t>Other uses related to fair value:</w:t>
            </w:r>
          </w:p>
          <w:p w14:paraId="565446B5" w14:textId="40B95FCD" w:rsidR="00D02FA4" w:rsidRPr="00D100D3" w:rsidRDefault="00D02FA4" w:rsidP="00D02FA4">
            <w:pPr>
              <w:tabs>
                <w:tab w:val="left" w:pos="746"/>
              </w:tabs>
              <w:rPr>
                <w:rFonts w:cstheme="minorHAnsi"/>
                <w:bCs/>
              </w:rPr>
            </w:pPr>
            <w:r>
              <w:rPr>
                <w:rFonts w:cstheme="minorHAnsi"/>
                <w:bCs/>
              </w:rPr>
              <w:t xml:space="preserve">    </w:t>
            </w:r>
            <w:r w:rsidRPr="00D100D3">
              <w:rPr>
                <w:rFonts w:cstheme="minorHAnsi"/>
                <w:bCs/>
              </w:rPr>
              <w:t>Unspecified</w:t>
            </w:r>
          </w:p>
        </w:tc>
        <w:tc>
          <w:tcPr>
            <w:tcW w:w="1560" w:type="dxa"/>
          </w:tcPr>
          <w:p w14:paraId="229D06B4" w14:textId="77777777" w:rsidR="00D02FA4" w:rsidRDefault="00D02FA4" w:rsidP="00D02FA4">
            <w:pPr>
              <w:tabs>
                <w:tab w:val="center" w:pos="597"/>
              </w:tabs>
              <w:rPr>
                <w:rFonts w:cstheme="minorHAnsi"/>
              </w:rPr>
            </w:pPr>
          </w:p>
          <w:p w14:paraId="7A2979B9" w14:textId="4134073A" w:rsidR="00D02FA4" w:rsidRDefault="00105619" w:rsidP="00D02FA4">
            <w:pPr>
              <w:tabs>
                <w:tab w:val="center" w:pos="597"/>
              </w:tabs>
              <w:rPr>
                <w:rFonts w:cstheme="minorHAnsi"/>
              </w:rPr>
            </w:pPr>
            <w:r>
              <w:rPr>
                <w:rFonts w:cstheme="minorHAnsi"/>
              </w:rPr>
              <w:t xml:space="preserve">         17</w:t>
            </w:r>
          </w:p>
        </w:tc>
        <w:tc>
          <w:tcPr>
            <w:tcW w:w="1559" w:type="dxa"/>
          </w:tcPr>
          <w:p w14:paraId="20ED7243" w14:textId="77777777" w:rsidR="00D02FA4" w:rsidRDefault="00D02FA4" w:rsidP="00D02FA4">
            <w:pPr>
              <w:tabs>
                <w:tab w:val="center" w:pos="825"/>
              </w:tabs>
              <w:rPr>
                <w:rFonts w:cstheme="minorHAnsi"/>
              </w:rPr>
            </w:pPr>
          </w:p>
          <w:p w14:paraId="242FA499" w14:textId="165945A0" w:rsidR="00D02FA4" w:rsidRPr="00A161A2" w:rsidRDefault="00D02FA4" w:rsidP="00D02FA4">
            <w:pPr>
              <w:tabs>
                <w:tab w:val="center" w:pos="825"/>
              </w:tabs>
              <w:rPr>
                <w:rFonts w:cstheme="minorHAnsi"/>
              </w:rPr>
            </w:pPr>
            <w:r>
              <w:rPr>
                <w:rFonts w:cstheme="minorHAnsi"/>
              </w:rPr>
              <w:t xml:space="preserve">               -</w:t>
            </w:r>
          </w:p>
        </w:tc>
        <w:tc>
          <w:tcPr>
            <w:tcW w:w="1559" w:type="dxa"/>
          </w:tcPr>
          <w:p w14:paraId="3B086CBC" w14:textId="77777777" w:rsidR="00D02FA4" w:rsidRDefault="00D02FA4" w:rsidP="00D02FA4">
            <w:pPr>
              <w:tabs>
                <w:tab w:val="center" w:pos="825"/>
              </w:tabs>
              <w:rPr>
                <w:rFonts w:cstheme="minorHAnsi"/>
              </w:rPr>
            </w:pPr>
          </w:p>
          <w:p w14:paraId="52CA34C2" w14:textId="4D4037F2" w:rsidR="00D02FA4" w:rsidRPr="00A161A2" w:rsidRDefault="00D02FA4" w:rsidP="00D02FA4">
            <w:pPr>
              <w:tabs>
                <w:tab w:val="center" w:pos="825"/>
              </w:tabs>
              <w:rPr>
                <w:rFonts w:cstheme="minorHAnsi"/>
              </w:rPr>
            </w:pPr>
            <w:r>
              <w:rPr>
                <w:rFonts w:cstheme="minorHAnsi"/>
              </w:rPr>
              <w:t xml:space="preserve">              -</w:t>
            </w:r>
          </w:p>
        </w:tc>
      </w:tr>
      <w:tr w:rsidR="00D02FA4" w14:paraId="25266618" w14:textId="77777777" w:rsidTr="00EA26F3">
        <w:tc>
          <w:tcPr>
            <w:tcW w:w="4536" w:type="dxa"/>
          </w:tcPr>
          <w:p w14:paraId="47DBA117" w14:textId="316022A6" w:rsidR="00D02FA4" w:rsidRPr="00A161A2" w:rsidRDefault="00D02FA4" w:rsidP="00D02FA4">
            <w:pPr>
              <w:tabs>
                <w:tab w:val="left" w:pos="746"/>
              </w:tabs>
              <w:rPr>
                <w:rFonts w:cstheme="minorHAnsi"/>
              </w:rPr>
            </w:pPr>
            <w:r>
              <w:rPr>
                <w:rFonts w:cstheme="minorHAnsi"/>
              </w:rPr>
              <w:t xml:space="preserve">    Recognition or measurement</w:t>
            </w:r>
          </w:p>
        </w:tc>
        <w:tc>
          <w:tcPr>
            <w:tcW w:w="1560" w:type="dxa"/>
          </w:tcPr>
          <w:p w14:paraId="4FBFBC15" w14:textId="77777777" w:rsidR="00D02FA4" w:rsidRDefault="00D02FA4" w:rsidP="00D02FA4">
            <w:pPr>
              <w:tabs>
                <w:tab w:val="center" w:pos="597"/>
              </w:tabs>
              <w:rPr>
                <w:rFonts w:cstheme="minorHAnsi"/>
              </w:rPr>
            </w:pPr>
            <w:r>
              <w:rPr>
                <w:rFonts w:cstheme="minorHAnsi"/>
              </w:rPr>
              <w:tab/>
              <w:t>-</w:t>
            </w:r>
          </w:p>
        </w:tc>
        <w:tc>
          <w:tcPr>
            <w:tcW w:w="1559" w:type="dxa"/>
          </w:tcPr>
          <w:p w14:paraId="099F4B79" w14:textId="028E4908" w:rsidR="00D02FA4" w:rsidRPr="008F2DA3" w:rsidRDefault="00D02FA4" w:rsidP="00D02FA4">
            <w:pPr>
              <w:tabs>
                <w:tab w:val="center" w:pos="825"/>
              </w:tabs>
              <w:rPr>
                <w:rFonts w:cstheme="minorHAnsi"/>
                <w:vertAlign w:val="superscript"/>
              </w:rPr>
            </w:pPr>
            <w:r>
              <w:rPr>
                <w:rFonts w:cstheme="minorHAnsi"/>
              </w:rPr>
              <w:tab/>
            </w:r>
            <w:r w:rsidR="008F2DA3">
              <w:rPr>
                <w:rFonts w:cstheme="minorHAnsi"/>
              </w:rPr>
              <w:t xml:space="preserve"> </w:t>
            </w:r>
            <w:r>
              <w:rPr>
                <w:rFonts w:cstheme="minorHAnsi"/>
              </w:rPr>
              <w:t>4</w:t>
            </w:r>
            <w:r w:rsidR="008F2DA3">
              <w:rPr>
                <w:rFonts w:cstheme="minorHAnsi"/>
                <w:vertAlign w:val="superscript"/>
              </w:rPr>
              <w:t>k</w:t>
            </w:r>
          </w:p>
        </w:tc>
        <w:tc>
          <w:tcPr>
            <w:tcW w:w="1559" w:type="dxa"/>
          </w:tcPr>
          <w:p w14:paraId="3F1F0C44" w14:textId="45F6977D" w:rsidR="00D02FA4" w:rsidRPr="00D2264B" w:rsidRDefault="00C24965" w:rsidP="00D02FA4">
            <w:pPr>
              <w:tabs>
                <w:tab w:val="center" w:pos="825"/>
              </w:tabs>
              <w:rPr>
                <w:rFonts w:cstheme="minorHAnsi"/>
                <w:vertAlign w:val="superscript"/>
              </w:rPr>
            </w:pPr>
            <w:r>
              <w:rPr>
                <w:rFonts w:cstheme="minorHAnsi"/>
              </w:rPr>
              <w:tab/>
              <w:t>6</w:t>
            </w:r>
            <w:r w:rsidR="00D2264B">
              <w:rPr>
                <w:rFonts w:cstheme="minorHAnsi"/>
                <w:vertAlign w:val="superscript"/>
              </w:rPr>
              <w:t>p</w:t>
            </w:r>
          </w:p>
        </w:tc>
      </w:tr>
      <w:tr w:rsidR="00D02FA4" w14:paraId="405125FE" w14:textId="77777777" w:rsidTr="00EA26F3">
        <w:tc>
          <w:tcPr>
            <w:tcW w:w="4536" w:type="dxa"/>
          </w:tcPr>
          <w:p w14:paraId="4D2774F2" w14:textId="16DF39AA" w:rsidR="00D02FA4" w:rsidRPr="00A161A2" w:rsidRDefault="00D02FA4" w:rsidP="00D02FA4">
            <w:pPr>
              <w:tabs>
                <w:tab w:val="left" w:pos="746"/>
              </w:tabs>
              <w:rPr>
                <w:rFonts w:cstheme="minorHAnsi"/>
              </w:rPr>
            </w:pPr>
            <w:r>
              <w:rPr>
                <w:rFonts w:cstheme="minorHAnsi"/>
                <w:b/>
                <w:bCs/>
              </w:rPr>
              <w:t xml:space="preserve">    </w:t>
            </w:r>
            <w:r w:rsidR="00920653">
              <w:rPr>
                <w:rFonts w:cstheme="minorHAnsi"/>
              </w:rPr>
              <w:t>D</w:t>
            </w:r>
            <w:r>
              <w:rPr>
                <w:rFonts w:cstheme="minorHAnsi"/>
              </w:rPr>
              <w:t>isclosure</w:t>
            </w:r>
            <w:r w:rsidR="00C24965">
              <w:rPr>
                <w:rFonts w:cstheme="minorHAnsi"/>
              </w:rPr>
              <w:t>s only</w:t>
            </w:r>
          </w:p>
        </w:tc>
        <w:tc>
          <w:tcPr>
            <w:tcW w:w="1560" w:type="dxa"/>
          </w:tcPr>
          <w:p w14:paraId="7DBE33AA" w14:textId="77777777" w:rsidR="00D02FA4" w:rsidRDefault="00D02FA4" w:rsidP="00D02FA4">
            <w:pPr>
              <w:tabs>
                <w:tab w:val="center" w:pos="597"/>
              </w:tabs>
              <w:rPr>
                <w:rFonts w:cstheme="minorHAnsi"/>
              </w:rPr>
            </w:pPr>
            <w:r>
              <w:rPr>
                <w:rFonts w:cstheme="minorHAnsi"/>
              </w:rPr>
              <w:tab/>
              <w:t>-</w:t>
            </w:r>
          </w:p>
        </w:tc>
        <w:tc>
          <w:tcPr>
            <w:tcW w:w="1559" w:type="dxa"/>
          </w:tcPr>
          <w:p w14:paraId="04D0F31A" w14:textId="04E834C5" w:rsidR="00D02FA4" w:rsidRPr="008F2DA3" w:rsidRDefault="00D02FA4" w:rsidP="00D02FA4">
            <w:pPr>
              <w:tabs>
                <w:tab w:val="center" w:pos="825"/>
              </w:tabs>
              <w:rPr>
                <w:rFonts w:cstheme="minorHAnsi"/>
                <w:vertAlign w:val="superscript"/>
              </w:rPr>
            </w:pPr>
            <w:r>
              <w:rPr>
                <w:rFonts w:cstheme="minorHAnsi"/>
              </w:rPr>
              <w:tab/>
            </w:r>
            <w:r w:rsidR="008F2DA3">
              <w:rPr>
                <w:rFonts w:cstheme="minorHAnsi"/>
              </w:rPr>
              <w:t xml:space="preserve"> </w:t>
            </w:r>
            <w:r>
              <w:rPr>
                <w:rFonts w:cstheme="minorHAnsi"/>
              </w:rPr>
              <w:t>3</w:t>
            </w:r>
            <w:r w:rsidR="008F2DA3">
              <w:rPr>
                <w:rFonts w:cstheme="minorHAnsi"/>
                <w:vertAlign w:val="superscript"/>
              </w:rPr>
              <w:t>l</w:t>
            </w:r>
          </w:p>
        </w:tc>
        <w:tc>
          <w:tcPr>
            <w:tcW w:w="1559" w:type="dxa"/>
          </w:tcPr>
          <w:p w14:paraId="5F0AE71D" w14:textId="782FE6ED" w:rsidR="00D02FA4" w:rsidRPr="00D2264B" w:rsidRDefault="00C24965" w:rsidP="00D02FA4">
            <w:pPr>
              <w:tabs>
                <w:tab w:val="center" w:pos="825"/>
              </w:tabs>
              <w:rPr>
                <w:rFonts w:cstheme="minorHAnsi"/>
                <w:vertAlign w:val="superscript"/>
              </w:rPr>
            </w:pPr>
            <w:r>
              <w:rPr>
                <w:rFonts w:cstheme="minorHAnsi"/>
              </w:rPr>
              <w:tab/>
              <w:t>3</w:t>
            </w:r>
            <w:r w:rsidR="00D2264B">
              <w:rPr>
                <w:rFonts w:cstheme="minorHAnsi"/>
                <w:vertAlign w:val="superscript"/>
              </w:rPr>
              <w:t>q</w:t>
            </w:r>
          </w:p>
        </w:tc>
      </w:tr>
      <w:tr w:rsidR="00D02FA4" w14:paraId="5736B51F" w14:textId="77777777" w:rsidTr="00EA26F3">
        <w:tc>
          <w:tcPr>
            <w:tcW w:w="4536" w:type="dxa"/>
          </w:tcPr>
          <w:p w14:paraId="042B4EAE" w14:textId="77777777" w:rsidR="00D02FA4" w:rsidRDefault="00D02FA4" w:rsidP="00D02FA4">
            <w:pPr>
              <w:tabs>
                <w:tab w:val="left" w:pos="746"/>
              </w:tabs>
              <w:rPr>
                <w:rFonts w:cstheme="minorHAnsi"/>
                <w:b/>
                <w:bCs/>
              </w:rPr>
            </w:pPr>
          </w:p>
        </w:tc>
        <w:tc>
          <w:tcPr>
            <w:tcW w:w="1560" w:type="dxa"/>
          </w:tcPr>
          <w:p w14:paraId="0C760EAE" w14:textId="77777777" w:rsidR="00D02FA4" w:rsidRDefault="00D02FA4" w:rsidP="00D02FA4">
            <w:pPr>
              <w:tabs>
                <w:tab w:val="center" w:pos="597"/>
              </w:tabs>
              <w:rPr>
                <w:rFonts w:cstheme="minorHAnsi"/>
              </w:rPr>
            </w:pPr>
          </w:p>
        </w:tc>
        <w:tc>
          <w:tcPr>
            <w:tcW w:w="1559" w:type="dxa"/>
          </w:tcPr>
          <w:p w14:paraId="281DD5CC" w14:textId="77777777" w:rsidR="00D02FA4" w:rsidRPr="00A161A2" w:rsidRDefault="00D02FA4" w:rsidP="00D02FA4">
            <w:pPr>
              <w:tabs>
                <w:tab w:val="center" w:pos="825"/>
              </w:tabs>
              <w:rPr>
                <w:rFonts w:cstheme="minorHAnsi"/>
              </w:rPr>
            </w:pPr>
          </w:p>
        </w:tc>
        <w:tc>
          <w:tcPr>
            <w:tcW w:w="1559" w:type="dxa"/>
          </w:tcPr>
          <w:p w14:paraId="1B9FA983" w14:textId="77777777" w:rsidR="00D02FA4" w:rsidRPr="00A161A2" w:rsidRDefault="00D02FA4" w:rsidP="00D02FA4">
            <w:pPr>
              <w:tabs>
                <w:tab w:val="center" w:pos="825"/>
              </w:tabs>
              <w:rPr>
                <w:rFonts w:cstheme="minorHAnsi"/>
              </w:rPr>
            </w:pPr>
          </w:p>
        </w:tc>
      </w:tr>
      <w:tr w:rsidR="00D02FA4" w14:paraId="69E132A8" w14:textId="77777777" w:rsidTr="00EA26F3">
        <w:tc>
          <w:tcPr>
            <w:tcW w:w="4536" w:type="dxa"/>
          </w:tcPr>
          <w:p w14:paraId="68CF3862" w14:textId="70ECADBA" w:rsidR="00D02FA4" w:rsidRDefault="00D02FA4" w:rsidP="00D02FA4">
            <w:pPr>
              <w:tabs>
                <w:tab w:val="left" w:pos="746"/>
              </w:tabs>
              <w:rPr>
                <w:rFonts w:cstheme="minorHAnsi"/>
                <w:b/>
                <w:bCs/>
              </w:rPr>
            </w:pPr>
            <w:r>
              <w:rPr>
                <w:rFonts w:cstheme="minorHAnsi"/>
                <w:b/>
                <w:bCs/>
              </w:rPr>
              <w:t xml:space="preserve">Total number of standards mentioning fair value </w:t>
            </w:r>
            <w:r w:rsidRPr="006B4800">
              <w:rPr>
                <w:rFonts w:cstheme="minorHAnsi"/>
                <w:bCs/>
              </w:rPr>
              <w:t>(after deleting double-counting)</w:t>
            </w:r>
          </w:p>
        </w:tc>
        <w:tc>
          <w:tcPr>
            <w:tcW w:w="1560" w:type="dxa"/>
          </w:tcPr>
          <w:p w14:paraId="70B2E46F" w14:textId="77777777" w:rsidR="00D02FA4" w:rsidRDefault="00D02FA4" w:rsidP="00D02FA4">
            <w:pPr>
              <w:tabs>
                <w:tab w:val="center" w:pos="597"/>
              </w:tabs>
              <w:rPr>
                <w:rFonts w:cstheme="minorHAnsi"/>
              </w:rPr>
            </w:pPr>
            <w:r>
              <w:rPr>
                <w:rFonts w:cstheme="minorHAnsi"/>
              </w:rPr>
              <w:tab/>
              <w:t>25 of 38</w:t>
            </w:r>
          </w:p>
        </w:tc>
        <w:tc>
          <w:tcPr>
            <w:tcW w:w="1559" w:type="dxa"/>
          </w:tcPr>
          <w:p w14:paraId="19F2788D" w14:textId="314AD852" w:rsidR="00D02FA4" w:rsidRPr="00A161A2" w:rsidRDefault="00D02FA4" w:rsidP="00D02FA4">
            <w:pPr>
              <w:tabs>
                <w:tab w:val="center" w:pos="825"/>
              </w:tabs>
              <w:rPr>
                <w:rFonts w:cstheme="minorHAnsi"/>
              </w:rPr>
            </w:pPr>
            <w:r>
              <w:rPr>
                <w:rFonts w:cstheme="minorHAnsi"/>
              </w:rPr>
              <w:tab/>
              <w:t>22 of 38</w:t>
            </w:r>
          </w:p>
        </w:tc>
        <w:tc>
          <w:tcPr>
            <w:tcW w:w="1559" w:type="dxa"/>
          </w:tcPr>
          <w:p w14:paraId="06078760" w14:textId="7000E93A" w:rsidR="00D02FA4" w:rsidRPr="00A161A2" w:rsidRDefault="00D02FA4" w:rsidP="00D02FA4">
            <w:pPr>
              <w:tabs>
                <w:tab w:val="center" w:pos="825"/>
              </w:tabs>
              <w:rPr>
                <w:rFonts w:cstheme="minorHAnsi"/>
              </w:rPr>
            </w:pPr>
            <w:r>
              <w:rPr>
                <w:rFonts w:cstheme="minorHAnsi"/>
              </w:rPr>
              <w:tab/>
              <w:t>27 of 42</w:t>
            </w:r>
          </w:p>
        </w:tc>
      </w:tr>
      <w:tr w:rsidR="00D02FA4" w14:paraId="10B84CDE" w14:textId="77777777" w:rsidTr="00EA26F3">
        <w:tc>
          <w:tcPr>
            <w:tcW w:w="4536" w:type="dxa"/>
          </w:tcPr>
          <w:p w14:paraId="7F614D7D" w14:textId="77777777" w:rsidR="00D02FA4" w:rsidRDefault="00D02FA4" w:rsidP="00D02FA4">
            <w:pPr>
              <w:tabs>
                <w:tab w:val="left" w:pos="746"/>
              </w:tabs>
              <w:rPr>
                <w:rFonts w:cstheme="minorHAnsi"/>
                <w:b/>
                <w:bCs/>
              </w:rPr>
            </w:pPr>
          </w:p>
        </w:tc>
        <w:tc>
          <w:tcPr>
            <w:tcW w:w="1560" w:type="dxa"/>
          </w:tcPr>
          <w:p w14:paraId="52E6BB48" w14:textId="77777777" w:rsidR="00D02FA4" w:rsidRDefault="00D02FA4" w:rsidP="00D02FA4">
            <w:pPr>
              <w:tabs>
                <w:tab w:val="right" w:pos="1000"/>
              </w:tabs>
              <w:rPr>
                <w:rFonts w:cstheme="minorHAnsi"/>
              </w:rPr>
            </w:pPr>
          </w:p>
        </w:tc>
        <w:tc>
          <w:tcPr>
            <w:tcW w:w="1559" w:type="dxa"/>
          </w:tcPr>
          <w:p w14:paraId="78AB9132" w14:textId="77777777" w:rsidR="00D02FA4" w:rsidRPr="00A161A2" w:rsidRDefault="00D02FA4" w:rsidP="00D02FA4">
            <w:pPr>
              <w:tabs>
                <w:tab w:val="center" w:pos="825"/>
              </w:tabs>
              <w:rPr>
                <w:rFonts w:cstheme="minorHAnsi"/>
              </w:rPr>
            </w:pPr>
          </w:p>
        </w:tc>
        <w:tc>
          <w:tcPr>
            <w:tcW w:w="1559" w:type="dxa"/>
          </w:tcPr>
          <w:p w14:paraId="68EE1569" w14:textId="77777777" w:rsidR="00D02FA4" w:rsidRPr="00A161A2" w:rsidRDefault="00D02FA4" w:rsidP="00D02FA4">
            <w:pPr>
              <w:tabs>
                <w:tab w:val="center" w:pos="825"/>
              </w:tabs>
              <w:rPr>
                <w:rFonts w:cstheme="minorHAnsi"/>
              </w:rPr>
            </w:pPr>
          </w:p>
        </w:tc>
      </w:tr>
    </w:tbl>
    <w:p w14:paraId="09698D76" w14:textId="77777777" w:rsidR="00AA2E26" w:rsidRDefault="00AA2E26" w:rsidP="00AA2E26">
      <w:pPr>
        <w:spacing w:after="0" w:line="480" w:lineRule="auto"/>
        <w:ind w:left="284" w:hanging="284"/>
        <w:rPr>
          <w:rFonts w:cstheme="minorHAnsi"/>
        </w:rPr>
      </w:pPr>
    </w:p>
    <w:p w14:paraId="31648CCF" w14:textId="7879A98F" w:rsidR="00AA2E26" w:rsidRPr="00657418" w:rsidRDefault="006F4EA1" w:rsidP="00AA2E26">
      <w:pPr>
        <w:rPr>
          <w:rFonts w:cstheme="minorHAnsi"/>
          <w:sz w:val="18"/>
          <w:szCs w:val="18"/>
        </w:rPr>
      </w:pPr>
      <w:r w:rsidRPr="00657418">
        <w:rPr>
          <w:rFonts w:cstheme="minorHAnsi"/>
          <w:sz w:val="18"/>
          <w:szCs w:val="18"/>
        </w:rPr>
        <w:t>Notes: a</w:t>
      </w:r>
      <w:r w:rsidR="00C65852" w:rsidRPr="00657418">
        <w:rPr>
          <w:rFonts w:cstheme="minorHAnsi"/>
          <w:sz w:val="18"/>
          <w:szCs w:val="18"/>
        </w:rPr>
        <w:t xml:space="preserve">= </w:t>
      </w:r>
      <w:r w:rsidR="005F56DB">
        <w:rPr>
          <w:rFonts w:cstheme="minorHAnsi"/>
          <w:sz w:val="18"/>
          <w:szCs w:val="18"/>
        </w:rPr>
        <w:t xml:space="preserve">widespread use of fair value in </w:t>
      </w:r>
      <w:r w:rsidR="00C65852" w:rsidRPr="00657418">
        <w:rPr>
          <w:rFonts w:cstheme="minorHAnsi"/>
          <w:sz w:val="18"/>
          <w:szCs w:val="18"/>
        </w:rPr>
        <w:t>ASBE</w:t>
      </w:r>
      <w:r w:rsidRPr="00657418">
        <w:rPr>
          <w:rFonts w:cstheme="minorHAnsi"/>
          <w:sz w:val="18"/>
          <w:szCs w:val="18"/>
        </w:rPr>
        <w:t xml:space="preserve">s </w:t>
      </w:r>
      <w:r w:rsidR="008B1698">
        <w:rPr>
          <w:rFonts w:cstheme="minorHAnsi"/>
          <w:sz w:val="18"/>
          <w:szCs w:val="18"/>
        </w:rPr>
        <w:t xml:space="preserve">11, </w:t>
      </w:r>
      <w:r w:rsidRPr="00657418">
        <w:rPr>
          <w:rFonts w:cstheme="minorHAnsi"/>
          <w:sz w:val="18"/>
          <w:szCs w:val="18"/>
        </w:rPr>
        <w:t>20 and 22; b</w:t>
      </w:r>
      <w:r w:rsidR="00C65852" w:rsidRPr="00657418">
        <w:rPr>
          <w:rFonts w:cstheme="minorHAnsi"/>
          <w:sz w:val="18"/>
          <w:szCs w:val="18"/>
        </w:rPr>
        <w:t>=</w:t>
      </w:r>
      <w:r w:rsidRPr="00657418">
        <w:rPr>
          <w:rFonts w:cstheme="minorHAnsi"/>
          <w:sz w:val="18"/>
          <w:szCs w:val="18"/>
        </w:rPr>
        <w:t xml:space="preserve"> ASBEs </w:t>
      </w:r>
      <w:r w:rsidR="008B1698">
        <w:rPr>
          <w:rFonts w:cstheme="minorHAnsi"/>
          <w:sz w:val="18"/>
          <w:szCs w:val="18"/>
        </w:rPr>
        <w:t xml:space="preserve">2, 7, </w:t>
      </w:r>
      <w:r w:rsidR="008F2DA3" w:rsidRPr="00657418">
        <w:rPr>
          <w:rFonts w:cstheme="minorHAnsi"/>
          <w:sz w:val="18"/>
          <w:szCs w:val="18"/>
        </w:rPr>
        <w:t xml:space="preserve">12, 14, 16, </w:t>
      </w:r>
      <w:r w:rsidRPr="00657418">
        <w:rPr>
          <w:rFonts w:cstheme="minorHAnsi"/>
          <w:sz w:val="18"/>
          <w:szCs w:val="18"/>
        </w:rPr>
        <w:t>23</w:t>
      </w:r>
      <w:r w:rsidR="008F2DA3" w:rsidRPr="00657418">
        <w:rPr>
          <w:rFonts w:cstheme="minorHAnsi"/>
          <w:sz w:val="18"/>
          <w:szCs w:val="18"/>
        </w:rPr>
        <w:t>, 37 and 38</w:t>
      </w:r>
      <w:r w:rsidRPr="00657418">
        <w:rPr>
          <w:rFonts w:cstheme="minorHAnsi"/>
          <w:sz w:val="18"/>
          <w:szCs w:val="18"/>
        </w:rPr>
        <w:t>; c=</w:t>
      </w:r>
      <w:r w:rsidR="005C2DFB" w:rsidRPr="00657418">
        <w:rPr>
          <w:rFonts w:cstheme="minorHAnsi"/>
          <w:sz w:val="18"/>
          <w:szCs w:val="18"/>
        </w:rPr>
        <w:t xml:space="preserve"> </w:t>
      </w:r>
      <w:r w:rsidR="00C65852" w:rsidRPr="00657418">
        <w:rPr>
          <w:rFonts w:cstheme="minorHAnsi"/>
          <w:sz w:val="18"/>
          <w:szCs w:val="18"/>
        </w:rPr>
        <w:t>A</w:t>
      </w:r>
      <w:r w:rsidRPr="00657418">
        <w:rPr>
          <w:rFonts w:cstheme="minorHAnsi"/>
          <w:sz w:val="18"/>
          <w:szCs w:val="18"/>
        </w:rPr>
        <w:t>SBE 21; d</w:t>
      </w:r>
      <w:r w:rsidR="00C65852" w:rsidRPr="00657418">
        <w:rPr>
          <w:rFonts w:cstheme="minorHAnsi"/>
          <w:sz w:val="18"/>
          <w:szCs w:val="18"/>
        </w:rPr>
        <w:t>= ASBE</w:t>
      </w:r>
      <w:r w:rsidR="00112414" w:rsidRPr="00657418">
        <w:rPr>
          <w:rFonts w:cstheme="minorHAnsi"/>
          <w:sz w:val="18"/>
          <w:szCs w:val="18"/>
        </w:rPr>
        <w:t>s 10 and 11</w:t>
      </w:r>
      <w:r w:rsidRPr="00657418">
        <w:rPr>
          <w:rFonts w:cstheme="minorHAnsi"/>
          <w:sz w:val="18"/>
          <w:szCs w:val="18"/>
        </w:rPr>
        <w:t>; e</w:t>
      </w:r>
      <w:r w:rsidR="00112414" w:rsidRPr="00657418">
        <w:rPr>
          <w:rFonts w:cstheme="minorHAnsi"/>
          <w:sz w:val="18"/>
          <w:szCs w:val="18"/>
        </w:rPr>
        <w:t xml:space="preserve">= ASBE 22; </w:t>
      </w:r>
      <w:r w:rsidRPr="00657418">
        <w:rPr>
          <w:rFonts w:cstheme="minorHAnsi"/>
          <w:sz w:val="18"/>
          <w:szCs w:val="18"/>
        </w:rPr>
        <w:t>f</w:t>
      </w:r>
      <w:r w:rsidR="00112414" w:rsidRPr="00657418">
        <w:rPr>
          <w:rFonts w:cstheme="minorHAnsi"/>
          <w:sz w:val="18"/>
          <w:szCs w:val="18"/>
        </w:rPr>
        <w:t>= ASBE 5</w:t>
      </w:r>
      <w:r w:rsidRPr="00657418">
        <w:rPr>
          <w:rFonts w:cstheme="minorHAnsi"/>
          <w:sz w:val="18"/>
          <w:szCs w:val="18"/>
        </w:rPr>
        <w:t>; g</w:t>
      </w:r>
      <w:r w:rsidR="00112414" w:rsidRPr="00657418">
        <w:rPr>
          <w:rFonts w:cstheme="minorHAnsi"/>
          <w:sz w:val="18"/>
          <w:szCs w:val="18"/>
        </w:rPr>
        <w:t>= ASBE 3</w:t>
      </w:r>
      <w:r w:rsidRPr="00657418">
        <w:rPr>
          <w:rFonts w:cstheme="minorHAnsi"/>
          <w:sz w:val="18"/>
          <w:szCs w:val="18"/>
        </w:rPr>
        <w:t>; h</w:t>
      </w:r>
      <w:r w:rsidR="00112414" w:rsidRPr="00657418">
        <w:rPr>
          <w:rFonts w:cstheme="minorHAnsi"/>
          <w:sz w:val="18"/>
          <w:szCs w:val="18"/>
        </w:rPr>
        <w:t xml:space="preserve">= ASBE </w:t>
      </w:r>
      <w:r w:rsidRPr="00657418">
        <w:rPr>
          <w:rFonts w:cstheme="minorHAnsi"/>
          <w:sz w:val="18"/>
          <w:szCs w:val="18"/>
        </w:rPr>
        <w:t>1; i= ASBE 4; j= ASBE</w:t>
      </w:r>
      <w:r w:rsidR="00FF3D7A">
        <w:rPr>
          <w:rFonts w:cstheme="minorHAnsi"/>
          <w:sz w:val="18"/>
          <w:szCs w:val="18"/>
        </w:rPr>
        <w:t>s</w:t>
      </w:r>
      <w:r w:rsidRPr="00657418">
        <w:rPr>
          <w:rFonts w:cstheme="minorHAnsi"/>
          <w:sz w:val="18"/>
          <w:szCs w:val="18"/>
        </w:rPr>
        <w:t xml:space="preserve"> 8</w:t>
      </w:r>
      <w:r w:rsidR="00FF3D7A">
        <w:rPr>
          <w:rFonts w:cstheme="minorHAnsi"/>
          <w:sz w:val="18"/>
          <w:szCs w:val="18"/>
        </w:rPr>
        <w:t xml:space="preserve"> and 27</w:t>
      </w:r>
      <w:r w:rsidR="008F2DA3" w:rsidRPr="00657418">
        <w:rPr>
          <w:rFonts w:cstheme="minorHAnsi"/>
          <w:sz w:val="18"/>
          <w:szCs w:val="18"/>
        </w:rPr>
        <w:t>; k= ASBEs 4, 21, 24 and 27; l= ASBEs 30, 31 and 37</w:t>
      </w:r>
      <w:r w:rsidR="009645BD">
        <w:rPr>
          <w:rFonts w:cstheme="minorHAnsi"/>
          <w:sz w:val="18"/>
          <w:szCs w:val="18"/>
        </w:rPr>
        <w:t xml:space="preserve">: m= </w:t>
      </w:r>
      <w:r w:rsidR="00C24965">
        <w:rPr>
          <w:rFonts w:cstheme="minorHAnsi"/>
          <w:sz w:val="18"/>
          <w:szCs w:val="18"/>
        </w:rPr>
        <w:t xml:space="preserve">ASBE 9 added; n= </w:t>
      </w:r>
      <w:r w:rsidR="00D2264B">
        <w:rPr>
          <w:rFonts w:cstheme="minorHAnsi"/>
          <w:sz w:val="18"/>
          <w:szCs w:val="18"/>
        </w:rPr>
        <w:t>ASBEs 9 and 33 added; o= ASBE 42 added (instead of ASBE 4 in the line below); p= ASBE 37 moved from line below, ASBE 39 added; q= ASBE 37 removed, ASBE 41 added</w:t>
      </w:r>
      <w:r w:rsidR="008F2DA3" w:rsidRPr="00657418">
        <w:rPr>
          <w:rFonts w:cstheme="minorHAnsi"/>
          <w:sz w:val="18"/>
          <w:szCs w:val="18"/>
        </w:rPr>
        <w:t>.</w:t>
      </w:r>
      <w:r w:rsidR="00AA2E26" w:rsidRPr="00657418">
        <w:rPr>
          <w:rFonts w:cstheme="minorHAnsi"/>
          <w:sz w:val="18"/>
          <w:szCs w:val="18"/>
        </w:rPr>
        <w:br w:type="page"/>
      </w:r>
    </w:p>
    <w:p w14:paraId="797AA9BA" w14:textId="2A7462B3" w:rsidR="00AA2E26" w:rsidRPr="00105619" w:rsidRDefault="00AA2E26" w:rsidP="00AA2E26">
      <w:pPr>
        <w:spacing w:after="0" w:line="480" w:lineRule="auto"/>
        <w:ind w:left="284" w:hanging="284"/>
        <w:rPr>
          <w:rFonts w:cstheme="minorHAnsi"/>
          <w:bCs/>
          <w:sz w:val="24"/>
          <w:szCs w:val="24"/>
        </w:rPr>
      </w:pPr>
      <w:r>
        <w:rPr>
          <w:rFonts w:cstheme="minorHAnsi"/>
          <w:b/>
          <w:bCs/>
          <w:sz w:val="24"/>
          <w:szCs w:val="24"/>
        </w:rPr>
        <w:lastRenderedPageBreak/>
        <w:t>Table II</w:t>
      </w:r>
      <w:r w:rsidR="00105619">
        <w:rPr>
          <w:rFonts w:cstheme="minorHAnsi"/>
          <w:b/>
          <w:bCs/>
          <w:sz w:val="24"/>
          <w:szCs w:val="24"/>
        </w:rPr>
        <w:t>.</w:t>
      </w:r>
      <w:r>
        <w:rPr>
          <w:rFonts w:cstheme="minorHAnsi"/>
          <w:b/>
          <w:bCs/>
          <w:sz w:val="24"/>
          <w:szCs w:val="24"/>
        </w:rPr>
        <w:t xml:space="preserve">  </w:t>
      </w:r>
      <w:r w:rsidRPr="00105619">
        <w:rPr>
          <w:rFonts w:cstheme="minorHAnsi"/>
          <w:bCs/>
          <w:sz w:val="24"/>
          <w:szCs w:val="24"/>
        </w:rPr>
        <w:t>Differences (concerning fair value) b</w:t>
      </w:r>
      <w:r w:rsidR="00256DB4" w:rsidRPr="00105619">
        <w:rPr>
          <w:rFonts w:cstheme="minorHAnsi"/>
          <w:bCs/>
          <w:sz w:val="24"/>
          <w:szCs w:val="24"/>
        </w:rPr>
        <w:t>etween ASBEs of 2006 and IFRS at</w:t>
      </w:r>
      <w:r w:rsidRPr="00105619">
        <w:rPr>
          <w:rFonts w:cstheme="minorHAnsi"/>
          <w:bCs/>
          <w:sz w:val="24"/>
          <w:szCs w:val="24"/>
        </w:rPr>
        <w:t xml:space="preserve"> that date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103"/>
        <w:gridCol w:w="3629"/>
      </w:tblGrid>
      <w:tr w:rsidR="00AA2E26" w14:paraId="3D6ECFF8" w14:textId="77777777" w:rsidTr="00256DB4">
        <w:tc>
          <w:tcPr>
            <w:tcW w:w="426" w:type="dxa"/>
          </w:tcPr>
          <w:p w14:paraId="71CE3E2D" w14:textId="77777777" w:rsidR="00AA2E26" w:rsidRDefault="00AA2E26" w:rsidP="00AA2E26">
            <w:pPr>
              <w:rPr>
                <w:rFonts w:cstheme="minorHAnsi"/>
              </w:rPr>
            </w:pPr>
          </w:p>
        </w:tc>
        <w:tc>
          <w:tcPr>
            <w:tcW w:w="5103" w:type="dxa"/>
          </w:tcPr>
          <w:p w14:paraId="10343D0F" w14:textId="77777777" w:rsidR="00AA2E26" w:rsidRPr="00B751DE" w:rsidRDefault="00AA2E26" w:rsidP="00AA2E26">
            <w:pPr>
              <w:jc w:val="center"/>
              <w:rPr>
                <w:rFonts w:cstheme="minorHAnsi"/>
                <w:b/>
                <w:bCs/>
                <w:i/>
                <w:szCs w:val="24"/>
              </w:rPr>
            </w:pPr>
            <w:r w:rsidRPr="00B751DE">
              <w:rPr>
                <w:rFonts w:cstheme="minorHAnsi"/>
                <w:b/>
                <w:bCs/>
                <w:i/>
                <w:szCs w:val="24"/>
              </w:rPr>
              <w:t>IFRS</w:t>
            </w:r>
          </w:p>
        </w:tc>
        <w:tc>
          <w:tcPr>
            <w:tcW w:w="3629" w:type="dxa"/>
          </w:tcPr>
          <w:p w14:paraId="3F1733E7" w14:textId="77D2D9C6" w:rsidR="00AA2E26" w:rsidRPr="00B751DE" w:rsidRDefault="00AA2E26" w:rsidP="00AA2E26">
            <w:pPr>
              <w:jc w:val="center"/>
              <w:rPr>
                <w:rFonts w:cstheme="minorHAnsi"/>
                <w:b/>
                <w:bCs/>
                <w:i/>
                <w:szCs w:val="24"/>
              </w:rPr>
            </w:pPr>
            <w:r w:rsidRPr="00B751DE">
              <w:rPr>
                <w:rFonts w:cstheme="minorHAnsi"/>
                <w:b/>
                <w:bCs/>
                <w:i/>
                <w:szCs w:val="24"/>
              </w:rPr>
              <w:t>ASBE</w:t>
            </w:r>
            <w:r w:rsidR="00B751DE">
              <w:rPr>
                <w:rFonts w:cstheme="minorHAnsi"/>
                <w:b/>
                <w:bCs/>
                <w:i/>
                <w:szCs w:val="24"/>
              </w:rPr>
              <w:t>s</w:t>
            </w:r>
          </w:p>
          <w:p w14:paraId="782EFB62" w14:textId="77777777" w:rsidR="00AA2E26" w:rsidRPr="00B751DE" w:rsidRDefault="00AA2E26" w:rsidP="00AA2E26">
            <w:pPr>
              <w:jc w:val="center"/>
              <w:rPr>
                <w:rFonts w:cstheme="minorHAnsi"/>
                <w:b/>
                <w:bCs/>
                <w:i/>
                <w:szCs w:val="24"/>
              </w:rPr>
            </w:pPr>
          </w:p>
        </w:tc>
      </w:tr>
      <w:tr w:rsidR="00AA2E26" w14:paraId="6E2C999B" w14:textId="77777777" w:rsidTr="00256DB4">
        <w:tc>
          <w:tcPr>
            <w:tcW w:w="426" w:type="dxa"/>
          </w:tcPr>
          <w:p w14:paraId="5F2D3030" w14:textId="77777777" w:rsidR="00AA2E26" w:rsidRPr="0062392F" w:rsidRDefault="00AA2E26" w:rsidP="00AA2E26">
            <w:pPr>
              <w:rPr>
                <w:rFonts w:cstheme="minorHAnsi"/>
                <w:sz w:val="22"/>
              </w:rPr>
            </w:pPr>
            <w:r w:rsidRPr="0062392F">
              <w:rPr>
                <w:rFonts w:cstheme="minorHAnsi"/>
                <w:sz w:val="22"/>
              </w:rPr>
              <w:t>1.</w:t>
            </w:r>
          </w:p>
        </w:tc>
        <w:tc>
          <w:tcPr>
            <w:tcW w:w="5103" w:type="dxa"/>
          </w:tcPr>
          <w:p w14:paraId="639E8C22" w14:textId="6CBA56B5" w:rsidR="00AA2E26" w:rsidRPr="00F53D8D" w:rsidRDefault="005F56DB" w:rsidP="00AA2E26">
            <w:pPr>
              <w:rPr>
                <w:rFonts w:cstheme="minorHAnsi"/>
                <w:szCs w:val="24"/>
              </w:rPr>
            </w:pPr>
            <w:r>
              <w:rPr>
                <w:rFonts w:cstheme="minorHAnsi"/>
                <w:szCs w:val="24"/>
              </w:rPr>
              <w:t>IAS 16 allows SMFV for property, plant and equipment</w:t>
            </w:r>
            <w:r w:rsidR="00AA2E26">
              <w:rPr>
                <w:rFonts w:cstheme="minorHAnsi"/>
                <w:szCs w:val="24"/>
              </w:rPr>
              <w:t xml:space="preserve"> (para. 29)</w:t>
            </w:r>
          </w:p>
          <w:p w14:paraId="5472E75E" w14:textId="77777777" w:rsidR="00AA2E26" w:rsidRPr="00F53D8D" w:rsidRDefault="00AA2E26" w:rsidP="00AA2E26">
            <w:pPr>
              <w:rPr>
                <w:rFonts w:cstheme="minorHAnsi"/>
                <w:szCs w:val="24"/>
              </w:rPr>
            </w:pPr>
          </w:p>
        </w:tc>
        <w:tc>
          <w:tcPr>
            <w:tcW w:w="3629" w:type="dxa"/>
          </w:tcPr>
          <w:p w14:paraId="5722D405" w14:textId="19C9BA05" w:rsidR="00AA2E26" w:rsidRPr="00F53D8D" w:rsidRDefault="00AA2E26" w:rsidP="00AA2E26">
            <w:pPr>
              <w:rPr>
                <w:rFonts w:cstheme="minorHAnsi"/>
                <w:szCs w:val="24"/>
              </w:rPr>
            </w:pPr>
            <w:r w:rsidRPr="00F53D8D">
              <w:rPr>
                <w:rFonts w:cstheme="minorHAnsi"/>
                <w:szCs w:val="24"/>
              </w:rPr>
              <w:t>ASBE 4 does not</w:t>
            </w:r>
            <w:r>
              <w:rPr>
                <w:rFonts w:cstheme="minorHAnsi"/>
                <w:szCs w:val="24"/>
              </w:rPr>
              <w:t xml:space="preserve"> allow SMFV</w:t>
            </w:r>
          </w:p>
        </w:tc>
      </w:tr>
      <w:tr w:rsidR="00AA2E26" w14:paraId="2B14EC68" w14:textId="77777777" w:rsidTr="00256DB4">
        <w:tc>
          <w:tcPr>
            <w:tcW w:w="426" w:type="dxa"/>
          </w:tcPr>
          <w:p w14:paraId="400DCEB0" w14:textId="77777777" w:rsidR="00AA2E26" w:rsidRPr="0062392F" w:rsidRDefault="00AA2E26" w:rsidP="00AA2E26">
            <w:pPr>
              <w:rPr>
                <w:rFonts w:cstheme="minorHAnsi"/>
                <w:sz w:val="22"/>
              </w:rPr>
            </w:pPr>
            <w:r>
              <w:rPr>
                <w:rFonts w:cstheme="minorHAnsi"/>
                <w:sz w:val="22"/>
              </w:rPr>
              <w:t>2.</w:t>
            </w:r>
          </w:p>
        </w:tc>
        <w:tc>
          <w:tcPr>
            <w:tcW w:w="5103" w:type="dxa"/>
          </w:tcPr>
          <w:p w14:paraId="6CBF07AF" w14:textId="0B17E60C" w:rsidR="00AA2E26" w:rsidRPr="00F53D8D" w:rsidRDefault="00AA2E26" w:rsidP="00AA2E26">
            <w:pPr>
              <w:rPr>
                <w:rFonts w:cstheme="minorHAnsi"/>
                <w:szCs w:val="24"/>
              </w:rPr>
            </w:pPr>
            <w:r w:rsidRPr="00F53D8D">
              <w:rPr>
                <w:rFonts w:cstheme="minorHAnsi"/>
                <w:szCs w:val="24"/>
              </w:rPr>
              <w:t>IAS 38 allows SMFV for some intangibles</w:t>
            </w:r>
            <w:r>
              <w:rPr>
                <w:rFonts w:cstheme="minorHAnsi"/>
                <w:szCs w:val="24"/>
              </w:rPr>
              <w:t xml:space="preserve"> (para.s 72, 78)</w:t>
            </w:r>
          </w:p>
          <w:p w14:paraId="7796A4EE" w14:textId="77777777" w:rsidR="00AA2E26" w:rsidRPr="00F53D8D" w:rsidRDefault="00AA2E26" w:rsidP="00AA2E26">
            <w:pPr>
              <w:rPr>
                <w:rFonts w:cstheme="minorHAnsi"/>
                <w:szCs w:val="24"/>
              </w:rPr>
            </w:pPr>
          </w:p>
        </w:tc>
        <w:tc>
          <w:tcPr>
            <w:tcW w:w="3629" w:type="dxa"/>
          </w:tcPr>
          <w:p w14:paraId="69422F13" w14:textId="28542FCB" w:rsidR="00AA2E26" w:rsidRPr="00F53D8D" w:rsidRDefault="00AA2E26" w:rsidP="00AA2E26">
            <w:pPr>
              <w:rPr>
                <w:rFonts w:cstheme="minorHAnsi"/>
                <w:szCs w:val="24"/>
              </w:rPr>
            </w:pPr>
            <w:r w:rsidRPr="00F53D8D">
              <w:rPr>
                <w:rFonts w:cstheme="minorHAnsi"/>
                <w:szCs w:val="24"/>
              </w:rPr>
              <w:t>ASBE 6 does not</w:t>
            </w:r>
            <w:r>
              <w:rPr>
                <w:rFonts w:cstheme="minorHAnsi"/>
                <w:szCs w:val="24"/>
              </w:rPr>
              <w:t xml:space="preserve"> allow SMFV</w:t>
            </w:r>
          </w:p>
        </w:tc>
      </w:tr>
      <w:tr w:rsidR="00AA2E26" w14:paraId="141169B4" w14:textId="77777777" w:rsidTr="00256DB4">
        <w:tc>
          <w:tcPr>
            <w:tcW w:w="426" w:type="dxa"/>
          </w:tcPr>
          <w:p w14:paraId="5CBE18F6" w14:textId="77777777" w:rsidR="00AA2E26" w:rsidRPr="0062392F" w:rsidRDefault="00AA2E26" w:rsidP="00AA2E26">
            <w:pPr>
              <w:rPr>
                <w:rFonts w:cstheme="minorHAnsi"/>
                <w:sz w:val="22"/>
              </w:rPr>
            </w:pPr>
            <w:r>
              <w:rPr>
                <w:rFonts w:cstheme="minorHAnsi"/>
                <w:sz w:val="22"/>
              </w:rPr>
              <w:t>3.</w:t>
            </w:r>
          </w:p>
        </w:tc>
        <w:tc>
          <w:tcPr>
            <w:tcW w:w="5103" w:type="dxa"/>
          </w:tcPr>
          <w:p w14:paraId="426A7F27" w14:textId="4B9163CF" w:rsidR="00AA2E26" w:rsidRPr="00F53D8D" w:rsidRDefault="00AA2E26" w:rsidP="00AA2E26">
            <w:pPr>
              <w:rPr>
                <w:rFonts w:cstheme="minorHAnsi"/>
                <w:szCs w:val="24"/>
              </w:rPr>
            </w:pPr>
            <w:r w:rsidRPr="00F53D8D">
              <w:rPr>
                <w:rFonts w:cstheme="minorHAnsi"/>
                <w:szCs w:val="24"/>
              </w:rPr>
              <w:t>IAS 40 allows SMFV for investment properties</w:t>
            </w:r>
            <w:r>
              <w:rPr>
                <w:rFonts w:cstheme="minorHAnsi"/>
                <w:szCs w:val="24"/>
              </w:rPr>
              <w:t xml:space="preserve"> (para. 30)</w:t>
            </w:r>
          </w:p>
          <w:p w14:paraId="717D30F0" w14:textId="77777777" w:rsidR="00AA2E26" w:rsidRPr="00F53D8D" w:rsidRDefault="00AA2E26" w:rsidP="00AA2E26">
            <w:pPr>
              <w:rPr>
                <w:rFonts w:cstheme="minorHAnsi"/>
                <w:szCs w:val="24"/>
              </w:rPr>
            </w:pPr>
          </w:p>
        </w:tc>
        <w:tc>
          <w:tcPr>
            <w:tcW w:w="3629" w:type="dxa"/>
          </w:tcPr>
          <w:p w14:paraId="6ACB4B37" w14:textId="041A79C8" w:rsidR="00AA2E26" w:rsidRPr="00F53D8D" w:rsidRDefault="00E47BFC" w:rsidP="00E47BFC">
            <w:pPr>
              <w:rPr>
                <w:rFonts w:cstheme="minorHAnsi"/>
                <w:szCs w:val="24"/>
              </w:rPr>
            </w:pPr>
            <w:r w:rsidRPr="00F53D8D">
              <w:rPr>
                <w:rFonts w:cstheme="minorHAnsi"/>
                <w:szCs w:val="24"/>
              </w:rPr>
              <w:t>ASBE 3 allows SMFV but constrains the choice</w:t>
            </w:r>
            <w:r>
              <w:rPr>
                <w:rFonts w:cstheme="minorHAnsi"/>
                <w:szCs w:val="24"/>
              </w:rPr>
              <w:t xml:space="preserve"> (s</w:t>
            </w:r>
            <w:r w:rsidR="000C4E29">
              <w:rPr>
                <w:rFonts w:cstheme="minorHAnsi"/>
                <w:szCs w:val="24"/>
              </w:rPr>
              <w:t>ee Section 3.3</w:t>
            </w:r>
            <w:r w:rsidR="00256DB4">
              <w:rPr>
                <w:rFonts w:cstheme="minorHAnsi"/>
                <w:szCs w:val="24"/>
              </w:rPr>
              <w:t xml:space="preserve"> above</w:t>
            </w:r>
            <w:r>
              <w:rPr>
                <w:rFonts w:cstheme="minorHAnsi"/>
                <w:szCs w:val="24"/>
              </w:rPr>
              <w:t xml:space="preserve">) </w:t>
            </w:r>
          </w:p>
        </w:tc>
      </w:tr>
      <w:tr w:rsidR="00AA2E26" w14:paraId="29BF14FE" w14:textId="77777777" w:rsidTr="00256DB4">
        <w:tc>
          <w:tcPr>
            <w:tcW w:w="426" w:type="dxa"/>
          </w:tcPr>
          <w:p w14:paraId="7B10E771" w14:textId="77777777" w:rsidR="00AA2E26" w:rsidRPr="0062392F" w:rsidRDefault="00AA2E26" w:rsidP="00AA2E26">
            <w:pPr>
              <w:rPr>
                <w:rFonts w:cstheme="minorHAnsi"/>
                <w:sz w:val="22"/>
              </w:rPr>
            </w:pPr>
            <w:r>
              <w:rPr>
                <w:rFonts w:cstheme="minorHAnsi"/>
                <w:sz w:val="22"/>
              </w:rPr>
              <w:t>4.</w:t>
            </w:r>
          </w:p>
        </w:tc>
        <w:tc>
          <w:tcPr>
            <w:tcW w:w="5103" w:type="dxa"/>
          </w:tcPr>
          <w:p w14:paraId="49B54E80" w14:textId="6F8343B7" w:rsidR="00AA2E26" w:rsidRDefault="00AA2E26" w:rsidP="00AA2E26">
            <w:pPr>
              <w:rPr>
                <w:rFonts w:cstheme="minorHAnsi"/>
                <w:szCs w:val="24"/>
              </w:rPr>
            </w:pPr>
            <w:r>
              <w:rPr>
                <w:rFonts w:cstheme="minorHAnsi"/>
                <w:szCs w:val="24"/>
              </w:rPr>
              <w:t>IFRS 6 allows SMFV for exploration and evaluation</w:t>
            </w:r>
            <w:r w:rsidRPr="00F53D8D">
              <w:rPr>
                <w:rFonts w:cstheme="minorHAnsi"/>
                <w:szCs w:val="24"/>
              </w:rPr>
              <w:t xml:space="preserve"> assets</w:t>
            </w:r>
            <w:r>
              <w:rPr>
                <w:rFonts w:cstheme="minorHAnsi"/>
                <w:szCs w:val="24"/>
              </w:rPr>
              <w:t xml:space="preserve"> (para.12)</w:t>
            </w:r>
          </w:p>
          <w:p w14:paraId="5AD35AD7" w14:textId="77777777" w:rsidR="00AA2E26" w:rsidRPr="00F53D8D" w:rsidRDefault="00AA2E26" w:rsidP="00AA2E26">
            <w:pPr>
              <w:rPr>
                <w:rFonts w:cstheme="minorHAnsi"/>
                <w:szCs w:val="24"/>
              </w:rPr>
            </w:pPr>
          </w:p>
        </w:tc>
        <w:tc>
          <w:tcPr>
            <w:tcW w:w="3629" w:type="dxa"/>
          </w:tcPr>
          <w:p w14:paraId="54299993" w14:textId="77777777" w:rsidR="00AA2E26" w:rsidRDefault="00E47BFC" w:rsidP="00AA2E26">
            <w:pPr>
              <w:rPr>
                <w:rFonts w:cstheme="minorHAnsi"/>
                <w:szCs w:val="24"/>
              </w:rPr>
            </w:pPr>
            <w:r w:rsidRPr="00F53D8D">
              <w:rPr>
                <w:rFonts w:cstheme="minorHAnsi"/>
                <w:szCs w:val="24"/>
              </w:rPr>
              <w:t>ASBE 27 does not</w:t>
            </w:r>
            <w:r>
              <w:rPr>
                <w:rFonts w:cstheme="minorHAnsi"/>
                <w:szCs w:val="24"/>
              </w:rPr>
              <w:t xml:space="preserve"> allow SMFV</w:t>
            </w:r>
          </w:p>
          <w:p w14:paraId="7950BF12" w14:textId="5EAA9629" w:rsidR="00E47BFC" w:rsidRPr="00F53D8D" w:rsidRDefault="00E47BFC" w:rsidP="00AA2E26">
            <w:pPr>
              <w:rPr>
                <w:rFonts w:cstheme="minorHAnsi"/>
                <w:szCs w:val="24"/>
              </w:rPr>
            </w:pPr>
          </w:p>
        </w:tc>
      </w:tr>
      <w:tr w:rsidR="00AA2E26" w14:paraId="0F00D836" w14:textId="77777777" w:rsidTr="00256DB4">
        <w:tc>
          <w:tcPr>
            <w:tcW w:w="426" w:type="dxa"/>
          </w:tcPr>
          <w:p w14:paraId="22952D11" w14:textId="77777777" w:rsidR="00AA2E26" w:rsidRPr="0062392F" w:rsidRDefault="00AA2E26" w:rsidP="00AA2E26">
            <w:pPr>
              <w:rPr>
                <w:rFonts w:cstheme="minorHAnsi"/>
                <w:sz w:val="22"/>
              </w:rPr>
            </w:pPr>
            <w:r>
              <w:rPr>
                <w:rFonts w:cstheme="minorHAnsi"/>
                <w:sz w:val="22"/>
              </w:rPr>
              <w:t>5.</w:t>
            </w:r>
          </w:p>
        </w:tc>
        <w:tc>
          <w:tcPr>
            <w:tcW w:w="51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17"/>
            </w:tblGrid>
            <w:tr w:rsidR="00E47BFC" w:rsidRPr="00F53D8D" w14:paraId="7C895469" w14:textId="77777777" w:rsidTr="00E47BFC">
              <w:tc>
                <w:tcPr>
                  <w:tcW w:w="4428" w:type="dxa"/>
                </w:tcPr>
                <w:p w14:paraId="3888D12C" w14:textId="7F0230FA" w:rsidR="00E47BFC" w:rsidRPr="00F53D8D" w:rsidRDefault="00E47BFC" w:rsidP="00E47BFC">
                  <w:pPr>
                    <w:rPr>
                      <w:rFonts w:cstheme="minorHAnsi"/>
                      <w:szCs w:val="24"/>
                    </w:rPr>
                  </w:pPr>
                  <w:r>
                    <w:rPr>
                      <w:rFonts w:cstheme="minorHAnsi"/>
                      <w:szCs w:val="24"/>
                    </w:rPr>
                    <w:t xml:space="preserve">IAS 19 requires SMFV for </w:t>
                  </w:r>
                  <w:r w:rsidRPr="00F53D8D">
                    <w:rPr>
                      <w:rFonts w:cstheme="minorHAnsi"/>
                      <w:szCs w:val="24"/>
                    </w:rPr>
                    <w:t>pension fund assets</w:t>
                  </w:r>
                  <w:r>
                    <w:rPr>
                      <w:rFonts w:cstheme="minorHAnsi"/>
                      <w:szCs w:val="24"/>
                    </w:rPr>
                    <w:t xml:space="preserve"> (para. 113)</w:t>
                  </w:r>
                </w:p>
                <w:p w14:paraId="73CD5FA5" w14:textId="77777777" w:rsidR="00E47BFC" w:rsidRPr="00F53D8D" w:rsidRDefault="00E47BFC" w:rsidP="00E47BFC">
                  <w:pPr>
                    <w:rPr>
                      <w:rFonts w:cstheme="minorHAnsi"/>
                      <w:szCs w:val="24"/>
                    </w:rPr>
                  </w:pPr>
                </w:p>
              </w:tc>
              <w:tc>
                <w:tcPr>
                  <w:tcW w:w="317" w:type="dxa"/>
                </w:tcPr>
                <w:p w14:paraId="28DB34E7" w14:textId="0F3548EA" w:rsidR="00E47BFC" w:rsidRPr="00F53D8D" w:rsidRDefault="00E47BFC" w:rsidP="00E47BFC">
                  <w:pPr>
                    <w:rPr>
                      <w:rFonts w:cstheme="minorHAnsi"/>
                      <w:szCs w:val="24"/>
                    </w:rPr>
                  </w:pPr>
                </w:p>
              </w:tc>
            </w:tr>
          </w:tbl>
          <w:p w14:paraId="10CA602D" w14:textId="77777777" w:rsidR="00AA2E26" w:rsidRPr="00F53D8D" w:rsidRDefault="00AA2E26" w:rsidP="00E47BFC">
            <w:pPr>
              <w:rPr>
                <w:rFonts w:cstheme="minorHAnsi"/>
                <w:szCs w:val="24"/>
              </w:rPr>
            </w:pPr>
          </w:p>
        </w:tc>
        <w:tc>
          <w:tcPr>
            <w:tcW w:w="3629" w:type="dxa"/>
          </w:tcPr>
          <w:p w14:paraId="3ED86754" w14:textId="36BE111E" w:rsidR="00E47BFC" w:rsidRDefault="00E47BFC" w:rsidP="00E47BFC">
            <w:pPr>
              <w:rPr>
                <w:rFonts w:cstheme="minorHAnsi"/>
                <w:szCs w:val="24"/>
              </w:rPr>
            </w:pPr>
            <w:r w:rsidRPr="00F53D8D">
              <w:rPr>
                <w:rFonts w:cstheme="minorHAnsi"/>
                <w:szCs w:val="24"/>
              </w:rPr>
              <w:t xml:space="preserve">ASBE 9 (of 2006) did not deal with pensions </w:t>
            </w:r>
          </w:p>
          <w:p w14:paraId="34A375B4" w14:textId="7DE75101" w:rsidR="00E47BFC" w:rsidRDefault="00E47BFC" w:rsidP="00E47BFC">
            <w:pPr>
              <w:rPr>
                <w:rFonts w:cstheme="minorHAnsi"/>
                <w:szCs w:val="24"/>
              </w:rPr>
            </w:pPr>
          </w:p>
          <w:p w14:paraId="2E1B92AB" w14:textId="31D13340" w:rsidR="00AA2E26" w:rsidRPr="00E47BFC" w:rsidRDefault="00AA2E26" w:rsidP="00E47BFC">
            <w:pPr>
              <w:rPr>
                <w:rFonts w:cstheme="minorHAnsi"/>
                <w:szCs w:val="24"/>
              </w:rPr>
            </w:pPr>
          </w:p>
        </w:tc>
      </w:tr>
      <w:tr w:rsidR="00AA2E26" w14:paraId="3450E22E" w14:textId="77777777" w:rsidTr="00256DB4">
        <w:tc>
          <w:tcPr>
            <w:tcW w:w="426" w:type="dxa"/>
          </w:tcPr>
          <w:p w14:paraId="2E73492A" w14:textId="77777777" w:rsidR="00AA2E26" w:rsidRPr="0062392F" w:rsidRDefault="00AA2E26" w:rsidP="00AA2E26">
            <w:pPr>
              <w:rPr>
                <w:rFonts w:cstheme="minorHAnsi"/>
                <w:sz w:val="22"/>
              </w:rPr>
            </w:pPr>
            <w:r>
              <w:rPr>
                <w:rFonts w:cstheme="minorHAnsi"/>
                <w:sz w:val="22"/>
              </w:rPr>
              <w:t>6.</w:t>
            </w:r>
          </w:p>
        </w:tc>
        <w:tc>
          <w:tcPr>
            <w:tcW w:w="5103" w:type="dxa"/>
          </w:tcPr>
          <w:p w14:paraId="639F1697" w14:textId="53171DDD" w:rsidR="00E47BFC" w:rsidRPr="00F53D8D" w:rsidRDefault="00E47BFC" w:rsidP="00E47BFC">
            <w:pPr>
              <w:rPr>
                <w:rFonts w:cstheme="minorHAnsi"/>
                <w:szCs w:val="24"/>
              </w:rPr>
            </w:pPr>
            <w:r w:rsidRPr="00F53D8D">
              <w:rPr>
                <w:rFonts w:cstheme="minorHAnsi"/>
                <w:szCs w:val="24"/>
              </w:rPr>
              <w:t>IAS 41 presumes that fair value can be measured reliably for biological assets whereupon SMFV is required</w:t>
            </w:r>
            <w:r>
              <w:rPr>
                <w:rFonts w:cstheme="minorHAnsi"/>
                <w:szCs w:val="24"/>
              </w:rPr>
              <w:t xml:space="preserve"> (para.</w:t>
            </w:r>
            <w:r w:rsidR="00256DB4">
              <w:rPr>
                <w:rFonts w:cstheme="minorHAnsi"/>
                <w:szCs w:val="24"/>
              </w:rPr>
              <w:t>s 12 and 30)</w:t>
            </w:r>
            <w:r>
              <w:rPr>
                <w:rFonts w:cstheme="minorHAnsi"/>
                <w:szCs w:val="24"/>
              </w:rPr>
              <w:t xml:space="preserve"> </w:t>
            </w:r>
          </w:p>
          <w:p w14:paraId="520C73DC" w14:textId="77777777" w:rsidR="00AA2E26" w:rsidRPr="00F53D8D" w:rsidRDefault="00AA2E26" w:rsidP="00E47BFC">
            <w:pPr>
              <w:rPr>
                <w:rFonts w:cstheme="minorHAnsi"/>
                <w:szCs w:val="24"/>
              </w:rPr>
            </w:pPr>
          </w:p>
        </w:tc>
        <w:tc>
          <w:tcPr>
            <w:tcW w:w="3629" w:type="dxa"/>
          </w:tcPr>
          <w:p w14:paraId="42C5AB7E" w14:textId="5935B2A9" w:rsidR="00AA2E26" w:rsidRPr="00F53D8D" w:rsidRDefault="00E47BFC" w:rsidP="00AA2E26">
            <w:pPr>
              <w:rPr>
                <w:rFonts w:cstheme="minorHAnsi"/>
                <w:szCs w:val="24"/>
              </w:rPr>
            </w:pPr>
            <w:r w:rsidRPr="00F53D8D">
              <w:rPr>
                <w:rFonts w:cstheme="minorHAnsi"/>
                <w:szCs w:val="24"/>
              </w:rPr>
              <w:t>ASBE 5</w:t>
            </w:r>
            <w:r>
              <w:rPr>
                <w:rFonts w:cstheme="minorHAnsi"/>
                <w:szCs w:val="24"/>
              </w:rPr>
              <w:t xml:space="preserve"> constrains </w:t>
            </w:r>
            <w:r w:rsidR="000C4E29">
              <w:rPr>
                <w:rFonts w:cstheme="minorHAnsi"/>
                <w:szCs w:val="24"/>
              </w:rPr>
              <w:t>the use of SMFV (see Section 3.3</w:t>
            </w:r>
            <w:r w:rsidR="00256DB4">
              <w:rPr>
                <w:rFonts w:cstheme="minorHAnsi"/>
                <w:szCs w:val="24"/>
              </w:rPr>
              <w:t xml:space="preserve"> above</w:t>
            </w:r>
            <w:r>
              <w:rPr>
                <w:rFonts w:cstheme="minorHAnsi"/>
                <w:szCs w:val="24"/>
              </w:rPr>
              <w:t>)</w:t>
            </w:r>
          </w:p>
        </w:tc>
      </w:tr>
      <w:tr w:rsidR="00AA2E26" w14:paraId="30D009E7" w14:textId="77777777" w:rsidTr="00256DB4">
        <w:tc>
          <w:tcPr>
            <w:tcW w:w="426" w:type="dxa"/>
          </w:tcPr>
          <w:p w14:paraId="1E01DDA6" w14:textId="77777777" w:rsidR="00AA2E26" w:rsidRPr="0062392F" w:rsidRDefault="00AA2E26" w:rsidP="00AA2E26">
            <w:pPr>
              <w:rPr>
                <w:rFonts w:cstheme="minorHAnsi"/>
                <w:sz w:val="22"/>
              </w:rPr>
            </w:pPr>
            <w:r>
              <w:rPr>
                <w:rFonts w:cstheme="minorHAnsi"/>
                <w:sz w:val="22"/>
              </w:rPr>
              <w:t>7.</w:t>
            </w:r>
          </w:p>
        </w:tc>
        <w:tc>
          <w:tcPr>
            <w:tcW w:w="5103" w:type="dxa"/>
          </w:tcPr>
          <w:p w14:paraId="54CAE29B" w14:textId="37B5656E" w:rsidR="00E47BFC" w:rsidRPr="00F53D8D" w:rsidRDefault="00E47BFC" w:rsidP="00E47BFC">
            <w:pPr>
              <w:rPr>
                <w:rFonts w:cstheme="minorHAnsi"/>
                <w:szCs w:val="24"/>
              </w:rPr>
            </w:pPr>
            <w:r w:rsidRPr="00F53D8D">
              <w:rPr>
                <w:rFonts w:cstheme="minorHAnsi"/>
                <w:szCs w:val="24"/>
              </w:rPr>
              <w:t xml:space="preserve">IAS 41 requires </w:t>
            </w:r>
            <w:r>
              <w:rPr>
                <w:rFonts w:cstheme="minorHAnsi"/>
                <w:szCs w:val="24"/>
              </w:rPr>
              <w:t xml:space="preserve">a version of </w:t>
            </w:r>
            <w:r w:rsidRPr="00F53D8D">
              <w:rPr>
                <w:rFonts w:cstheme="minorHAnsi"/>
                <w:szCs w:val="24"/>
              </w:rPr>
              <w:t>fair value for initial measurement of biological assets</w:t>
            </w:r>
            <w:r>
              <w:rPr>
                <w:rFonts w:cstheme="minorHAnsi"/>
                <w:szCs w:val="24"/>
              </w:rPr>
              <w:t xml:space="preserve"> (para. 12)</w:t>
            </w:r>
          </w:p>
          <w:p w14:paraId="5F0ECD25" w14:textId="77777777" w:rsidR="00AA2E26" w:rsidRPr="00F53D8D" w:rsidRDefault="00AA2E26" w:rsidP="00AA2E26">
            <w:pPr>
              <w:rPr>
                <w:rFonts w:cstheme="minorHAnsi"/>
                <w:szCs w:val="24"/>
              </w:rPr>
            </w:pPr>
          </w:p>
        </w:tc>
        <w:tc>
          <w:tcPr>
            <w:tcW w:w="3629" w:type="dxa"/>
          </w:tcPr>
          <w:p w14:paraId="55E0EC24" w14:textId="0121D88C" w:rsidR="00AA2E26" w:rsidRPr="00F53D8D" w:rsidRDefault="00E47BFC" w:rsidP="00AA2E26">
            <w:pPr>
              <w:rPr>
                <w:rFonts w:cstheme="minorHAnsi"/>
                <w:szCs w:val="24"/>
              </w:rPr>
            </w:pPr>
            <w:r w:rsidRPr="00F53D8D">
              <w:rPr>
                <w:rFonts w:cstheme="minorHAnsi"/>
                <w:szCs w:val="24"/>
              </w:rPr>
              <w:t>ASBE 5 requires cost</w:t>
            </w:r>
            <w:r>
              <w:rPr>
                <w:rFonts w:cstheme="minorHAnsi"/>
                <w:szCs w:val="24"/>
              </w:rPr>
              <w:t xml:space="preserve"> (Art. 6)</w:t>
            </w:r>
          </w:p>
        </w:tc>
      </w:tr>
      <w:tr w:rsidR="00AA2E26" w14:paraId="10CA19DB" w14:textId="77777777" w:rsidTr="00256DB4">
        <w:tc>
          <w:tcPr>
            <w:tcW w:w="426" w:type="dxa"/>
          </w:tcPr>
          <w:p w14:paraId="3818C12E" w14:textId="77777777" w:rsidR="00AA2E26" w:rsidRPr="00DE35AD" w:rsidRDefault="00AA2E26" w:rsidP="00AA2E26">
            <w:pPr>
              <w:rPr>
                <w:rFonts w:cstheme="minorHAnsi"/>
                <w:sz w:val="22"/>
              </w:rPr>
            </w:pPr>
            <w:r w:rsidRPr="00DE35AD">
              <w:rPr>
                <w:rFonts w:cstheme="minorHAnsi"/>
                <w:sz w:val="22"/>
              </w:rPr>
              <w:t>8.</w:t>
            </w:r>
          </w:p>
        </w:tc>
        <w:tc>
          <w:tcPr>
            <w:tcW w:w="5103" w:type="dxa"/>
          </w:tcPr>
          <w:p w14:paraId="28B7C885" w14:textId="6EF981E1" w:rsidR="00AA2E26" w:rsidRPr="00F53D8D" w:rsidRDefault="00AA2E26" w:rsidP="00AA2E26">
            <w:pPr>
              <w:rPr>
                <w:rFonts w:cstheme="minorHAnsi"/>
                <w:szCs w:val="24"/>
              </w:rPr>
            </w:pPr>
            <w:r w:rsidRPr="00F53D8D">
              <w:rPr>
                <w:rFonts w:cstheme="minorHAnsi"/>
                <w:szCs w:val="24"/>
              </w:rPr>
              <w:t>IAS 36 requires rever</w:t>
            </w:r>
            <w:r w:rsidR="00E47BFC">
              <w:rPr>
                <w:rFonts w:cstheme="minorHAnsi"/>
                <w:szCs w:val="24"/>
              </w:rPr>
              <w:t>sals of impairment when appropriate</w:t>
            </w:r>
            <w:r w:rsidR="00B751DE">
              <w:rPr>
                <w:rFonts w:cstheme="minorHAnsi"/>
                <w:szCs w:val="24"/>
              </w:rPr>
              <w:t>, thereby sometimes involving fair value</w:t>
            </w:r>
            <w:r w:rsidR="00E47BFC">
              <w:rPr>
                <w:rFonts w:cstheme="minorHAnsi"/>
                <w:szCs w:val="24"/>
              </w:rPr>
              <w:t xml:space="preserve"> (para. 110)</w:t>
            </w:r>
          </w:p>
          <w:p w14:paraId="2D9462BF" w14:textId="77777777" w:rsidR="00AA2E26" w:rsidRPr="00F53D8D" w:rsidRDefault="00AA2E26" w:rsidP="00AA2E26">
            <w:pPr>
              <w:rPr>
                <w:rFonts w:cstheme="minorHAnsi"/>
                <w:szCs w:val="24"/>
              </w:rPr>
            </w:pPr>
          </w:p>
        </w:tc>
        <w:tc>
          <w:tcPr>
            <w:tcW w:w="3629" w:type="dxa"/>
          </w:tcPr>
          <w:p w14:paraId="309CF75B" w14:textId="01E27AEF" w:rsidR="00AA2E26" w:rsidRPr="00F53D8D" w:rsidRDefault="00AA2E26" w:rsidP="00AA2E26">
            <w:pPr>
              <w:rPr>
                <w:rFonts w:cstheme="minorHAnsi"/>
                <w:szCs w:val="24"/>
              </w:rPr>
            </w:pPr>
            <w:r w:rsidRPr="00F53D8D">
              <w:rPr>
                <w:rFonts w:cstheme="minorHAnsi"/>
                <w:szCs w:val="24"/>
              </w:rPr>
              <w:t>ASBE 8 does not allow reversals</w:t>
            </w:r>
            <w:r w:rsidR="00D2264B">
              <w:rPr>
                <w:rFonts w:cstheme="minorHAnsi"/>
                <w:szCs w:val="24"/>
              </w:rPr>
              <w:t xml:space="preserve"> of impairment</w:t>
            </w:r>
            <w:r w:rsidR="00E47BFC">
              <w:rPr>
                <w:rFonts w:cstheme="minorHAnsi"/>
                <w:szCs w:val="24"/>
              </w:rPr>
              <w:t xml:space="preserve"> (Art. 17)</w:t>
            </w:r>
          </w:p>
        </w:tc>
      </w:tr>
    </w:tbl>
    <w:p w14:paraId="344E9816" w14:textId="77777777" w:rsidR="00AA2E26" w:rsidRPr="0062392F" w:rsidRDefault="00AA2E26" w:rsidP="00AA2E26">
      <w:pPr>
        <w:spacing w:after="0" w:line="480" w:lineRule="auto"/>
        <w:rPr>
          <w:rFonts w:cstheme="minorHAnsi"/>
        </w:rPr>
      </w:pPr>
    </w:p>
    <w:p w14:paraId="76A797A3" w14:textId="77777777" w:rsidR="000E5202" w:rsidRDefault="000E5202" w:rsidP="00880095">
      <w:pPr>
        <w:rPr>
          <w:b/>
          <w:sz w:val="28"/>
          <w:szCs w:val="28"/>
        </w:rPr>
        <w:sectPr w:rsidR="000E5202" w:rsidSect="001377E2">
          <w:headerReference w:type="default" r:id="rId12"/>
          <w:pgSz w:w="11906" w:h="16838"/>
          <w:pgMar w:top="1440" w:right="1440" w:bottom="1440" w:left="1440" w:header="708" w:footer="708" w:gutter="0"/>
          <w:cols w:space="708"/>
          <w:titlePg/>
          <w:docGrid w:linePitch="360"/>
        </w:sectPr>
      </w:pPr>
    </w:p>
    <w:p w14:paraId="24F415CD" w14:textId="37B5D40B" w:rsidR="003A20E3" w:rsidRPr="003A20E3" w:rsidRDefault="00850839" w:rsidP="003A20E3">
      <w:pPr>
        <w:rPr>
          <w:b/>
          <w:i/>
          <w:color w:val="FF0000"/>
          <w:sz w:val="28"/>
          <w:szCs w:val="28"/>
        </w:rPr>
      </w:pPr>
      <w:bookmarkStart w:id="1" w:name="_Hlk527207711"/>
      <w:r>
        <w:rPr>
          <w:b/>
          <w:sz w:val="28"/>
          <w:szCs w:val="28"/>
        </w:rPr>
        <w:lastRenderedPageBreak/>
        <w:t>Appendix</w:t>
      </w:r>
      <w:r w:rsidR="00105619">
        <w:rPr>
          <w:b/>
          <w:sz w:val="28"/>
          <w:szCs w:val="28"/>
        </w:rPr>
        <w:t xml:space="preserve"> </w:t>
      </w:r>
      <w:r w:rsidR="003A20E3">
        <w:rPr>
          <w:b/>
          <w:sz w:val="28"/>
          <w:szCs w:val="28"/>
        </w:rPr>
        <w:t xml:space="preserve"> </w:t>
      </w:r>
      <w:r w:rsidR="003A20E3" w:rsidRPr="00FF6792">
        <w:rPr>
          <w:sz w:val="28"/>
          <w:szCs w:val="28"/>
        </w:rPr>
        <w:t>Fair value as required/allowed in ASBEs</w:t>
      </w:r>
      <w:r w:rsidR="003A20E3">
        <w:rPr>
          <w:sz w:val="28"/>
          <w:szCs w:val="28"/>
        </w:rPr>
        <w:t xml:space="preserve"> </w:t>
      </w:r>
      <w:r w:rsidR="003A20E3" w:rsidRPr="00702F99">
        <w:rPr>
          <w:i/>
          <w:sz w:val="28"/>
          <w:szCs w:val="28"/>
        </w:rPr>
        <w:t>[</w:t>
      </w:r>
      <w:r w:rsidR="003A20E3" w:rsidRPr="003A20E3">
        <w:rPr>
          <w:i/>
          <w:sz w:val="28"/>
          <w:szCs w:val="28"/>
        </w:rPr>
        <w:t>changes since 2006 shown in italics in square b</w:t>
      </w:r>
      <w:r w:rsidR="003A20E3">
        <w:rPr>
          <w:i/>
          <w:sz w:val="28"/>
          <w:szCs w:val="28"/>
        </w:rPr>
        <w:t>r</w:t>
      </w:r>
      <w:r w:rsidR="003A20E3" w:rsidRPr="003A20E3">
        <w:rPr>
          <w:i/>
          <w:sz w:val="28"/>
          <w:szCs w:val="28"/>
        </w:rPr>
        <w:t>ackets]</w:t>
      </w:r>
    </w:p>
    <w:tbl>
      <w:tblPr>
        <w:tblStyle w:val="TableGrid"/>
        <w:tblW w:w="15875" w:type="dxa"/>
        <w:tblInd w:w="-9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6"/>
        <w:gridCol w:w="2172"/>
        <w:gridCol w:w="2410"/>
        <w:gridCol w:w="2410"/>
        <w:gridCol w:w="2835"/>
        <w:gridCol w:w="2977"/>
        <w:gridCol w:w="2835"/>
      </w:tblGrid>
      <w:tr w:rsidR="0079181F" w14:paraId="4136A4D1" w14:textId="77777777" w:rsidTr="0079181F">
        <w:tc>
          <w:tcPr>
            <w:tcW w:w="236" w:type="dxa"/>
            <w:tcBorders>
              <w:bottom w:val="single" w:sz="4" w:space="0" w:color="BFBFBF" w:themeColor="background1" w:themeShade="BF"/>
              <w:right w:val="nil"/>
            </w:tcBorders>
          </w:tcPr>
          <w:p w14:paraId="42F5327D" w14:textId="77777777" w:rsidR="0079181F" w:rsidRDefault="0079181F" w:rsidP="0079181F">
            <w:pPr>
              <w:spacing w:before="60" w:after="60"/>
            </w:pPr>
          </w:p>
        </w:tc>
        <w:tc>
          <w:tcPr>
            <w:tcW w:w="2172" w:type="dxa"/>
            <w:tcBorders>
              <w:left w:val="nil"/>
              <w:bottom w:val="single" w:sz="4" w:space="0" w:color="BFBFBF" w:themeColor="background1" w:themeShade="BF"/>
            </w:tcBorders>
          </w:tcPr>
          <w:p w14:paraId="539EB728" w14:textId="77777777" w:rsidR="0079181F" w:rsidRPr="00BB3126" w:rsidRDefault="0079181F" w:rsidP="0079181F">
            <w:pPr>
              <w:spacing w:before="60" w:after="60"/>
              <w:rPr>
                <w:b/>
              </w:rPr>
            </w:pPr>
            <w:r>
              <w:rPr>
                <w:b/>
              </w:rPr>
              <w:t>1.</w:t>
            </w:r>
            <w:r w:rsidRPr="00BB3126">
              <w:rPr>
                <w:b/>
              </w:rPr>
              <w:t>ASBE number</w:t>
            </w:r>
            <w:r>
              <w:rPr>
                <w:b/>
              </w:rPr>
              <w:t xml:space="preserve"> and topic</w:t>
            </w:r>
          </w:p>
        </w:tc>
        <w:tc>
          <w:tcPr>
            <w:tcW w:w="2410" w:type="dxa"/>
          </w:tcPr>
          <w:p w14:paraId="27E550D5" w14:textId="0AC0BC39" w:rsidR="0079181F" w:rsidRDefault="0079181F" w:rsidP="0079181F">
            <w:pPr>
              <w:spacing w:before="60" w:after="60"/>
              <w:rPr>
                <w:b/>
              </w:rPr>
            </w:pPr>
            <w:r>
              <w:rPr>
                <w:b/>
              </w:rPr>
              <w:t>2.FV for initial measurement of cost</w:t>
            </w:r>
          </w:p>
        </w:tc>
        <w:tc>
          <w:tcPr>
            <w:tcW w:w="2410" w:type="dxa"/>
          </w:tcPr>
          <w:p w14:paraId="0AE559E5" w14:textId="4EA4EB57" w:rsidR="0079181F" w:rsidRPr="00250A5E" w:rsidRDefault="0079181F" w:rsidP="0079181F">
            <w:pPr>
              <w:spacing w:before="60" w:after="60"/>
              <w:rPr>
                <w:b/>
              </w:rPr>
            </w:pPr>
            <w:r>
              <w:rPr>
                <w:b/>
              </w:rPr>
              <w:t xml:space="preserve">3.SMFV required </w:t>
            </w:r>
          </w:p>
        </w:tc>
        <w:tc>
          <w:tcPr>
            <w:tcW w:w="2835" w:type="dxa"/>
          </w:tcPr>
          <w:p w14:paraId="1BB649EF" w14:textId="732F15CF" w:rsidR="0079181F" w:rsidRPr="00606416" w:rsidRDefault="0079181F" w:rsidP="0079181F">
            <w:pPr>
              <w:spacing w:before="60" w:after="60"/>
              <w:jc w:val="center"/>
              <w:rPr>
                <w:b/>
              </w:rPr>
            </w:pPr>
            <w:r>
              <w:rPr>
                <w:b/>
              </w:rPr>
              <w:t xml:space="preserve">4.SMFV allowed </w:t>
            </w:r>
          </w:p>
        </w:tc>
        <w:tc>
          <w:tcPr>
            <w:tcW w:w="2977" w:type="dxa"/>
          </w:tcPr>
          <w:p w14:paraId="0006561A" w14:textId="663D9BB7" w:rsidR="0079181F" w:rsidRPr="00606416" w:rsidRDefault="00CD305D" w:rsidP="0079181F">
            <w:pPr>
              <w:spacing w:before="60" w:after="60"/>
              <w:jc w:val="center"/>
              <w:rPr>
                <w:b/>
              </w:rPr>
            </w:pPr>
            <w:r>
              <w:rPr>
                <w:b/>
              </w:rPr>
              <w:t>5.FV (or similar) if</w:t>
            </w:r>
            <w:r w:rsidR="0079181F">
              <w:rPr>
                <w:b/>
              </w:rPr>
              <w:t xml:space="preserve"> it is a lower value</w:t>
            </w:r>
          </w:p>
        </w:tc>
        <w:tc>
          <w:tcPr>
            <w:tcW w:w="2835" w:type="dxa"/>
          </w:tcPr>
          <w:p w14:paraId="0E21C95D" w14:textId="77777777" w:rsidR="0079181F" w:rsidRPr="00C844B4" w:rsidRDefault="0079181F" w:rsidP="0079181F">
            <w:pPr>
              <w:spacing w:before="60" w:after="60"/>
              <w:jc w:val="center"/>
              <w:rPr>
                <w:b/>
                <w:vertAlign w:val="superscript"/>
              </w:rPr>
            </w:pPr>
            <w:r>
              <w:rPr>
                <w:b/>
              </w:rPr>
              <w:t>6.Other uses or disclosures of fair value</w:t>
            </w:r>
            <w:r>
              <w:rPr>
                <w:b/>
                <w:vertAlign w:val="superscript"/>
              </w:rPr>
              <w:t>a</w:t>
            </w:r>
          </w:p>
        </w:tc>
      </w:tr>
      <w:tr w:rsidR="0079181F" w14:paraId="5F4E2A35" w14:textId="77777777" w:rsidTr="0079181F">
        <w:tc>
          <w:tcPr>
            <w:tcW w:w="236" w:type="dxa"/>
            <w:tcBorders>
              <w:right w:val="nil"/>
            </w:tcBorders>
          </w:tcPr>
          <w:p w14:paraId="685DB79D" w14:textId="77777777" w:rsidR="0079181F" w:rsidRDefault="0079181F" w:rsidP="0079181F">
            <w:pPr>
              <w:spacing w:before="60" w:after="60"/>
            </w:pPr>
          </w:p>
        </w:tc>
        <w:tc>
          <w:tcPr>
            <w:tcW w:w="2172" w:type="dxa"/>
            <w:tcBorders>
              <w:left w:val="nil"/>
            </w:tcBorders>
          </w:tcPr>
          <w:p w14:paraId="6E59F9EB" w14:textId="77777777" w:rsidR="0079181F" w:rsidRDefault="0079181F" w:rsidP="0079181F">
            <w:pPr>
              <w:spacing w:before="60" w:after="60"/>
            </w:pPr>
            <w:r>
              <w:t>1. Inventory</w:t>
            </w:r>
          </w:p>
        </w:tc>
        <w:tc>
          <w:tcPr>
            <w:tcW w:w="2410" w:type="dxa"/>
          </w:tcPr>
          <w:p w14:paraId="6CC14D63" w14:textId="1F019221" w:rsidR="0079181F" w:rsidRDefault="0079181F" w:rsidP="0079181F">
            <w:pPr>
              <w:spacing w:before="60" w:after="60"/>
            </w:pPr>
            <w:r>
              <w:t>-</w:t>
            </w:r>
            <w:r>
              <w:rPr>
                <w:vertAlign w:val="superscript"/>
              </w:rPr>
              <w:t>b</w:t>
            </w:r>
          </w:p>
        </w:tc>
        <w:tc>
          <w:tcPr>
            <w:tcW w:w="2410" w:type="dxa"/>
          </w:tcPr>
          <w:p w14:paraId="0CD59E31" w14:textId="235AC842" w:rsidR="0079181F" w:rsidRDefault="0079181F" w:rsidP="0079181F">
            <w:pPr>
              <w:spacing w:before="60" w:after="60"/>
            </w:pPr>
            <w:r>
              <w:t xml:space="preserve"> -</w:t>
            </w:r>
          </w:p>
        </w:tc>
        <w:tc>
          <w:tcPr>
            <w:tcW w:w="2835" w:type="dxa"/>
          </w:tcPr>
          <w:p w14:paraId="7A226DFA" w14:textId="77777777" w:rsidR="0079181F" w:rsidRDefault="0079181F" w:rsidP="0079181F">
            <w:pPr>
              <w:spacing w:before="60" w:after="60"/>
            </w:pPr>
            <w:r>
              <w:t>-</w:t>
            </w:r>
          </w:p>
        </w:tc>
        <w:tc>
          <w:tcPr>
            <w:tcW w:w="2977" w:type="dxa"/>
          </w:tcPr>
          <w:p w14:paraId="1B5FB595" w14:textId="77777777" w:rsidR="0079181F" w:rsidRDefault="0079181F" w:rsidP="0079181F">
            <w:pPr>
              <w:spacing w:before="60" w:after="60"/>
            </w:pPr>
            <w:r>
              <w:t>NRV if lower than cost (Art. 15)</w:t>
            </w:r>
          </w:p>
        </w:tc>
        <w:tc>
          <w:tcPr>
            <w:tcW w:w="2835" w:type="dxa"/>
          </w:tcPr>
          <w:p w14:paraId="41C5E0CF" w14:textId="6292DA68" w:rsidR="0079181F" w:rsidRPr="00995C9F" w:rsidRDefault="00995C9F" w:rsidP="0079181F">
            <w:pPr>
              <w:spacing w:before="60" w:after="60"/>
              <w:rPr>
                <w:vertAlign w:val="superscript"/>
              </w:rPr>
            </w:pPr>
            <w:r>
              <w:t>-</w:t>
            </w:r>
            <w:r>
              <w:rPr>
                <w:vertAlign w:val="superscript"/>
              </w:rPr>
              <w:t>e</w:t>
            </w:r>
          </w:p>
        </w:tc>
      </w:tr>
      <w:tr w:rsidR="0079181F" w14:paraId="0F094DEC" w14:textId="77777777" w:rsidTr="0079181F">
        <w:tc>
          <w:tcPr>
            <w:tcW w:w="236" w:type="dxa"/>
            <w:tcBorders>
              <w:right w:val="nil"/>
            </w:tcBorders>
          </w:tcPr>
          <w:p w14:paraId="54B61842" w14:textId="77777777" w:rsidR="0079181F" w:rsidRDefault="0079181F" w:rsidP="0079181F">
            <w:pPr>
              <w:spacing w:before="60" w:after="60"/>
            </w:pPr>
          </w:p>
        </w:tc>
        <w:tc>
          <w:tcPr>
            <w:tcW w:w="2172" w:type="dxa"/>
            <w:tcBorders>
              <w:left w:val="nil"/>
            </w:tcBorders>
          </w:tcPr>
          <w:p w14:paraId="68CD701E" w14:textId="6DDBF320" w:rsidR="0079181F" w:rsidRDefault="0079181F" w:rsidP="0079181F">
            <w:pPr>
              <w:spacing w:before="60" w:after="60"/>
            </w:pPr>
            <w:r>
              <w:t xml:space="preserve">2. Long-term investments </w:t>
            </w:r>
            <w:r w:rsidRPr="00C96F5B">
              <w:rPr>
                <w:i/>
              </w:rPr>
              <w:t>[amended in 2014; no</w:t>
            </w:r>
            <w:r>
              <w:rPr>
                <w:i/>
              </w:rPr>
              <w:t xml:space="preserve"> effect</w:t>
            </w:r>
            <w:r w:rsidRPr="00C96F5B">
              <w:rPr>
                <w:i/>
              </w:rPr>
              <w:t xml:space="preserve"> on </w:t>
            </w:r>
            <w:r>
              <w:rPr>
                <w:i/>
              </w:rPr>
              <w:t xml:space="preserve">this </w:t>
            </w:r>
            <w:r w:rsidRPr="00C96F5B">
              <w:rPr>
                <w:i/>
              </w:rPr>
              <w:t>table]</w:t>
            </w:r>
            <w:r>
              <w:t xml:space="preserve"> </w:t>
            </w:r>
          </w:p>
        </w:tc>
        <w:tc>
          <w:tcPr>
            <w:tcW w:w="2410" w:type="dxa"/>
          </w:tcPr>
          <w:p w14:paraId="201CF29E" w14:textId="1A4FB10A" w:rsidR="0079181F" w:rsidRDefault="0079181F" w:rsidP="0079181F">
            <w:pPr>
              <w:spacing w:before="60" w:after="60"/>
            </w:pPr>
            <w:r>
              <w:t xml:space="preserve">Investments obtained by issuing shares (Art. 4, </w:t>
            </w:r>
            <w:r w:rsidRPr="00A82CF9">
              <w:rPr>
                <w:i/>
              </w:rPr>
              <w:t>now Art. 6</w:t>
            </w:r>
            <w:r>
              <w:t>)</w:t>
            </w:r>
          </w:p>
        </w:tc>
        <w:tc>
          <w:tcPr>
            <w:tcW w:w="2410" w:type="dxa"/>
          </w:tcPr>
          <w:p w14:paraId="2C532E6E" w14:textId="4EC2BEC2" w:rsidR="0079181F" w:rsidRDefault="0079181F" w:rsidP="0079181F">
            <w:pPr>
              <w:spacing w:before="60" w:after="60"/>
            </w:pPr>
            <w:r>
              <w:t>-</w:t>
            </w:r>
          </w:p>
        </w:tc>
        <w:tc>
          <w:tcPr>
            <w:tcW w:w="2835" w:type="dxa"/>
          </w:tcPr>
          <w:p w14:paraId="0E28EB49" w14:textId="77777777" w:rsidR="0079181F" w:rsidRDefault="0079181F" w:rsidP="0079181F">
            <w:pPr>
              <w:spacing w:before="60" w:after="60"/>
            </w:pPr>
            <w:r>
              <w:t>-</w:t>
            </w:r>
          </w:p>
        </w:tc>
        <w:tc>
          <w:tcPr>
            <w:tcW w:w="2977" w:type="dxa"/>
          </w:tcPr>
          <w:p w14:paraId="1D58A549" w14:textId="23F8B9F8" w:rsidR="0079181F" w:rsidRPr="007B6590" w:rsidRDefault="0079181F" w:rsidP="0079181F">
            <w:pPr>
              <w:spacing w:before="60" w:after="60"/>
              <w:rPr>
                <w:vertAlign w:val="superscript"/>
              </w:rPr>
            </w:pPr>
            <w:r>
              <w:t>-</w:t>
            </w:r>
            <w:r>
              <w:rPr>
                <w:vertAlign w:val="superscript"/>
              </w:rPr>
              <w:t>d</w:t>
            </w:r>
          </w:p>
        </w:tc>
        <w:tc>
          <w:tcPr>
            <w:tcW w:w="2835" w:type="dxa"/>
          </w:tcPr>
          <w:p w14:paraId="6CC9A69A" w14:textId="77777777" w:rsidR="0079181F" w:rsidRDefault="0079181F" w:rsidP="0079181F">
            <w:pPr>
              <w:spacing w:before="60" w:after="60"/>
            </w:pPr>
            <w:r>
              <w:t>-</w:t>
            </w:r>
          </w:p>
        </w:tc>
      </w:tr>
      <w:tr w:rsidR="0079181F" w14:paraId="200CDDD6" w14:textId="77777777" w:rsidTr="0079181F">
        <w:tc>
          <w:tcPr>
            <w:tcW w:w="236" w:type="dxa"/>
            <w:tcBorders>
              <w:right w:val="nil"/>
            </w:tcBorders>
          </w:tcPr>
          <w:p w14:paraId="72FF0077" w14:textId="77777777" w:rsidR="0079181F" w:rsidRDefault="0079181F" w:rsidP="0079181F">
            <w:pPr>
              <w:spacing w:before="60" w:after="60"/>
            </w:pPr>
          </w:p>
        </w:tc>
        <w:tc>
          <w:tcPr>
            <w:tcW w:w="2172" w:type="dxa"/>
            <w:tcBorders>
              <w:left w:val="nil"/>
            </w:tcBorders>
          </w:tcPr>
          <w:p w14:paraId="3BC1DC1A" w14:textId="77777777" w:rsidR="0079181F" w:rsidRDefault="0079181F" w:rsidP="0079181F">
            <w:pPr>
              <w:spacing w:before="60" w:after="60"/>
            </w:pPr>
            <w:r>
              <w:t>3. Investment property</w:t>
            </w:r>
          </w:p>
        </w:tc>
        <w:tc>
          <w:tcPr>
            <w:tcW w:w="2410" w:type="dxa"/>
          </w:tcPr>
          <w:p w14:paraId="03FD430A" w14:textId="7E47972F" w:rsidR="0079181F" w:rsidRDefault="0079181F" w:rsidP="0079181F">
            <w:pPr>
              <w:spacing w:before="60" w:after="60"/>
            </w:pPr>
            <w:r>
              <w:t>-</w:t>
            </w:r>
          </w:p>
        </w:tc>
        <w:tc>
          <w:tcPr>
            <w:tcW w:w="2410" w:type="dxa"/>
          </w:tcPr>
          <w:p w14:paraId="1725A97D" w14:textId="11945E95" w:rsidR="0079181F" w:rsidRDefault="0079181F" w:rsidP="0079181F">
            <w:pPr>
              <w:spacing w:before="60" w:after="60"/>
            </w:pPr>
            <w:r>
              <w:t>-</w:t>
            </w:r>
          </w:p>
        </w:tc>
        <w:tc>
          <w:tcPr>
            <w:tcW w:w="2835" w:type="dxa"/>
          </w:tcPr>
          <w:p w14:paraId="1AE3E44C" w14:textId="77777777" w:rsidR="0079181F" w:rsidRDefault="0079181F" w:rsidP="0079181F">
            <w:pPr>
              <w:spacing w:before="60" w:after="60"/>
            </w:pPr>
            <w:r>
              <w:t>If conclusive evidence that FV is reliably measurable on a continuing basis (Art. 10)</w:t>
            </w:r>
          </w:p>
        </w:tc>
        <w:tc>
          <w:tcPr>
            <w:tcW w:w="2977" w:type="dxa"/>
          </w:tcPr>
          <w:p w14:paraId="01BE172A" w14:textId="1803356A" w:rsidR="0079181F" w:rsidRPr="007B6590" w:rsidRDefault="0079181F" w:rsidP="0079181F">
            <w:pPr>
              <w:spacing w:before="60" w:after="60"/>
              <w:rPr>
                <w:vertAlign w:val="superscript"/>
              </w:rPr>
            </w:pPr>
            <w:r>
              <w:t>-</w:t>
            </w:r>
            <w:r>
              <w:rPr>
                <w:vertAlign w:val="superscript"/>
              </w:rPr>
              <w:t>d</w:t>
            </w:r>
          </w:p>
        </w:tc>
        <w:tc>
          <w:tcPr>
            <w:tcW w:w="2835" w:type="dxa"/>
          </w:tcPr>
          <w:p w14:paraId="748B5370" w14:textId="77777777" w:rsidR="0079181F" w:rsidRDefault="0079181F" w:rsidP="0079181F">
            <w:pPr>
              <w:spacing w:before="60" w:after="60"/>
            </w:pPr>
            <w:r>
              <w:t>-</w:t>
            </w:r>
          </w:p>
        </w:tc>
      </w:tr>
      <w:tr w:rsidR="0079181F" w14:paraId="6241B9DA" w14:textId="77777777" w:rsidTr="0079181F">
        <w:tc>
          <w:tcPr>
            <w:tcW w:w="236" w:type="dxa"/>
            <w:tcBorders>
              <w:right w:val="nil"/>
            </w:tcBorders>
          </w:tcPr>
          <w:p w14:paraId="28A725BF" w14:textId="77777777" w:rsidR="0079181F" w:rsidRDefault="0079181F" w:rsidP="0079181F">
            <w:pPr>
              <w:spacing w:before="60" w:after="60"/>
            </w:pPr>
          </w:p>
        </w:tc>
        <w:tc>
          <w:tcPr>
            <w:tcW w:w="2172" w:type="dxa"/>
            <w:tcBorders>
              <w:left w:val="nil"/>
            </w:tcBorders>
          </w:tcPr>
          <w:p w14:paraId="2F5FE369" w14:textId="15ECF4AD" w:rsidR="0079181F" w:rsidRDefault="005F56DB" w:rsidP="0079181F">
            <w:pPr>
              <w:spacing w:before="60" w:after="60"/>
            </w:pPr>
            <w:r>
              <w:t>4. Property, plant and equipment</w:t>
            </w:r>
          </w:p>
        </w:tc>
        <w:tc>
          <w:tcPr>
            <w:tcW w:w="2410" w:type="dxa"/>
          </w:tcPr>
          <w:p w14:paraId="2298174E" w14:textId="1B7FDC04" w:rsidR="0079181F" w:rsidRDefault="0079181F" w:rsidP="0079181F">
            <w:pPr>
              <w:spacing w:before="60" w:after="60"/>
            </w:pPr>
            <w:r>
              <w:t>-</w:t>
            </w:r>
            <w:r>
              <w:rPr>
                <w:vertAlign w:val="superscript"/>
              </w:rPr>
              <w:t>c</w:t>
            </w:r>
          </w:p>
        </w:tc>
        <w:tc>
          <w:tcPr>
            <w:tcW w:w="2410" w:type="dxa"/>
          </w:tcPr>
          <w:p w14:paraId="0CA3F084" w14:textId="26017FFF" w:rsidR="0079181F" w:rsidRDefault="0079181F" w:rsidP="0079181F">
            <w:pPr>
              <w:spacing w:before="60" w:after="60"/>
            </w:pPr>
            <w:r>
              <w:t>-</w:t>
            </w:r>
          </w:p>
        </w:tc>
        <w:tc>
          <w:tcPr>
            <w:tcW w:w="2835" w:type="dxa"/>
          </w:tcPr>
          <w:p w14:paraId="084EA25E" w14:textId="77777777" w:rsidR="0079181F" w:rsidRDefault="0079181F" w:rsidP="0079181F">
            <w:pPr>
              <w:spacing w:before="60" w:after="60"/>
            </w:pPr>
            <w:r>
              <w:t>-</w:t>
            </w:r>
          </w:p>
        </w:tc>
        <w:tc>
          <w:tcPr>
            <w:tcW w:w="2977" w:type="dxa"/>
          </w:tcPr>
          <w:p w14:paraId="5DF34F78" w14:textId="5EB82B1E" w:rsidR="0079181F" w:rsidRPr="00193CCD" w:rsidRDefault="0079181F" w:rsidP="0079181F">
            <w:pPr>
              <w:spacing w:before="60" w:after="60"/>
              <w:rPr>
                <w:vertAlign w:val="superscript"/>
              </w:rPr>
            </w:pPr>
            <w:r>
              <w:t xml:space="preserve">For assets to be disposed of, use FV less selling costs if lower than carrying amount (Art. 22 and Interpretation 1, Article 6) </w:t>
            </w:r>
            <w:r w:rsidRPr="008F7542">
              <w:rPr>
                <w:i/>
              </w:rPr>
              <w:t>[replaced by ASBE 42]</w:t>
            </w:r>
            <w:r>
              <w:rPr>
                <w:vertAlign w:val="superscript"/>
              </w:rPr>
              <w:t>d</w:t>
            </w:r>
          </w:p>
        </w:tc>
        <w:tc>
          <w:tcPr>
            <w:tcW w:w="2835" w:type="dxa"/>
          </w:tcPr>
          <w:p w14:paraId="5A3C9C36" w14:textId="36D1B840" w:rsidR="0079181F" w:rsidRPr="00995C9F" w:rsidRDefault="0079181F" w:rsidP="0079181F">
            <w:pPr>
              <w:spacing w:before="60" w:after="60"/>
              <w:rPr>
                <w:vertAlign w:val="superscript"/>
              </w:rPr>
            </w:pPr>
            <w:r>
              <w:t>For pro rata allocation of cost when several assets are bought for single price (Art.8)</w:t>
            </w:r>
            <w:r w:rsidR="00995C9F">
              <w:rPr>
                <w:vertAlign w:val="superscript"/>
              </w:rPr>
              <w:t>e</w:t>
            </w:r>
          </w:p>
        </w:tc>
      </w:tr>
      <w:tr w:rsidR="0079181F" w14:paraId="738F4367" w14:textId="77777777" w:rsidTr="0079181F">
        <w:tc>
          <w:tcPr>
            <w:tcW w:w="236" w:type="dxa"/>
            <w:tcBorders>
              <w:right w:val="nil"/>
            </w:tcBorders>
          </w:tcPr>
          <w:p w14:paraId="0E83D22A" w14:textId="77777777" w:rsidR="0079181F" w:rsidRDefault="0079181F" w:rsidP="0079181F">
            <w:pPr>
              <w:spacing w:before="60" w:after="60"/>
            </w:pPr>
          </w:p>
        </w:tc>
        <w:tc>
          <w:tcPr>
            <w:tcW w:w="2172" w:type="dxa"/>
            <w:tcBorders>
              <w:left w:val="nil"/>
            </w:tcBorders>
          </w:tcPr>
          <w:p w14:paraId="7222534C" w14:textId="77777777" w:rsidR="0079181F" w:rsidRDefault="0079181F" w:rsidP="0079181F">
            <w:pPr>
              <w:spacing w:before="60" w:after="60"/>
            </w:pPr>
            <w:r>
              <w:t>5. Biological assets</w:t>
            </w:r>
          </w:p>
        </w:tc>
        <w:tc>
          <w:tcPr>
            <w:tcW w:w="2410" w:type="dxa"/>
          </w:tcPr>
          <w:p w14:paraId="2FF082C6" w14:textId="13283556" w:rsidR="0079181F" w:rsidRDefault="0079181F" w:rsidP="0079181F">
            <w:pPr>
              <w:spacing w:before="60" w:after="60"/>
            </w:pPr>
            <w:r>
              <w:t>-</w:t>
            </w:r>
          </w:p>
        </w:tc>
        <w:tc>
          <w:tcPr>
            <w:tcW w:w="2410" w:type="dxa"/>
          </w:tcPr>
          <w:p w14:paraId="29E273BC" w14:textId="3FC2D19E" w:rsidR="0079181F" w:rsidRDefault="0079181F" w:rsidP="0079181F">
            <w:pPr>
              <w:spacing w:before="60" w:after="60"/>
            </w:pPr>
            <w:r>
              <w:t xml:space="preserve">For living assets, if conclusive evidence that FV is reliably measurable on a continuing basis (Art. 22) </w:t>
            </w:r>
          </w:p>
        </w:tc>
        <w:tc>
          <w:tcPr>
            <w:tcW w:w="2835" w:type="dxa"/>
          </w:tcPr>
          <w:p w14:paraId="6F7EC724" w14:textId="77777777" w:rsidR="0079181F" w:rsidRDefault="0079181F" w:rsidP="0079181F">
            <w:pPr>
              <w:spacing w:before="60" w:after="60"/>
            </w:pPr>
            <w:r>
              <w:t>-</w:t>
            </w:r>
          </w:p>
        </w:tc>
        <w:tc>
          <w:tcPr>
            <w:tcW w:w="2977" w:type="dxa"/>
          </w:tcPr>
          <w:p w14:paraId="43F25D40" w14:textId="4E24E093" w:rsidR="0079181F" w:rsidRPr="007B6590" w:rsidRDefault="0079181F" w:rsidP="0079181F">
            <w:pPr>
              <w:spacing w:before="60" w:after="60"/>
              <w:rPr>
                <w:vertAlign w:val="superscript"/>
              </w:rPr>
            </w:pPr>
            <w:r>
              <w:t>-</w:t>
            </w:r>
            <w:r>
              <w:rPr>
                <w:vertAlign w:val="superscript"/>
              </w:rPr>
              <w:t>d</w:t>
            </w:r>
          </w:p>
        </w:tc>
        <w:tc>
          <w:tcPr>
            <w:tcW w:w="2835" w:type="dxa"/>
          </w:tcPr>
          <w:p w14:paraId="43F044E1" w14:textId="26963B61" w:rsidR="0079181F" w:rsidRPr="00995C9F" w:rsidRDefault="0079181F" w:rsidP="0079181F">
            <w:pPr>
              <w:spacing w:before="60" w:after="60"/>
              <w:rPr>
                <w:vertAlign w:val="superscript"/>
              </w:rPr>
            </w:pPr>
            <w:r>
              <w:t>-</w:t>
            </w:r>
            <w:r w:rsidR="00995C9F">
              <w:rPr>
                <w:vertAlign w:val="superscript"/>
              </w:rPr>
              <w:t>e</w:t>
            </w:r>
          </w:p>
        </w:tc>
      </w:tr>
      <w:tr w:rsidR="0079181F" w14:paraId="56296EB9" w14:textId="77777777" w:rsidTr="0079181F">
        <w:tc>
          <w:tcPr>
            <w:tcW w:w="236" w:type="dxa"/>
            <w:tcBorders>
              <w:right w:val="nil"/>
            </w:tcBorders>
          </w:tcPr>
          <w:p w14:paraId="5A19B430" w14:textId="77777777" w:rsidR="0079181F" w:rsidRDefault="0079181F" w:rsidP="0079181F">
            <w:pPr>
              <w:spacing w:before="60" w:after="60"/>
            </w:pPr>
          </w:p>
        </w:tc>
        <w:tc>
          <w:tcPr>
            <w:tcW w:w="2172" w:type="dxa"/>
            <w:tcBorders>
              <w:left w:val="nil"/>
            </w:tcBorders>
          </w:tcPr>
          <w:p w14:paraId="27227353" w14:textId="77777777" w:rsidR="0079181F" w:rsidRDefault="0079181F" w:rsidP="0079181F">
            <w:pPr>
              <w:spacing w:before="60" w:after="60"/>
            </w:pPr>
            <w:r>
              <w:t>6. Intangible assets</w:t>
            </w:r>
          </w:p>
        </w:tc>
        <w:tc>
          <w:tcPr>
            <w:tcW w:w="2410" w:type="dxa"/>
          </w:tcPr>
          <w:p w14:paraId="7B50188E" w14:textId="0892DA58" w:rsidR="0079181F" w:rsidRDefault="0079181F" w:rsidP="0079181F">
            <w:pPr>
              <w:spacing w:before="60" w:after="60"/>
            </w:pPr>
            <w:r>
              <w:t>-</w:t>
            </w:r>
          </w:p>
        </w:tc>
        <w:tc>
          <w:tcPr>
            <w:tcW w:w="2410" w:type="dxa"/>
          </w:tcPr>
          <w:p w14:paraId="6FAF017B" w14:textId="38D5C0BE" w:rsidR="0079181F" w:rsidRDefault="0079181F" w:rsidP="0079181F">
            <w:pPr>
              <w:spacing w:before="60" w:after="60"/>
            </w:pPr>
            <w:r>
              <w:t>-</w:t>
            </w:r>
          </w:p>
        </w:tc>
        <w:tc>
          <w:tcPr>
            <w:tcW w:w="2835" w:type="dxa"/>
          </w:tcPr>
          <w:p w14:paraId="27D8ACB8" w14:textId="77777777" w:rsidR="0079181F" w:rsidRDefault="0079181F" w:rsidP="0079181F">
            <w:pPr>
              <w:spacing w:before="60" w:after="60"/>
            </w:pPr>
            <w:r>
              <w:t>-</w:t>
            </w:r>
          </w:p>
        </w:tc>
        <w:tc>
          <w:tcPr>
            <w:tcW w:w="2977" w:type="dxa"/>
          </w:tcPr>
          <w:p w14:paraId="08870676" w14:textId="11857261" w:rsidR="0079181F" w:rsidRPr="00193CCD" w:rsidRDefault="0079181F" w:rsidP="0079181F">
            <w:pPr>
              <w:spacing w:before="60" w:after="60"/>
              <w:rPr>
                <w:vertAlign w:val="superscript"/>
              </w:rPr>
            </w:pPr>
            <w:r>
              <w:t>-</w:t>
            </w:r>
            <w:r>
              <w:rPr>
                <w:vertAlign w:val="superscript"/>
              </w:rPr>
              <w:t>d</w:t>
            </w:r>
          </w:p>
        </w:tc>
        <w:tc>
          <w:tcPr>
            <w:tcW w:w="2835" w:type="dxa"/>
          </w:tcPr>
          <w:p w14:paraId="3F0FA493" w14:textId="3C9D38F1" w:rsidR="0079181F" w:rsidRPr="00995C9F" w:rsidRDefault="00995C9F" w:rsidP="0079181F">
            <w:pPr>
              <w:spacing w:before="60" w:after="60"/>
              <w:rPr>
                <w:vertAlign w:val="superscript"/>
              </w:rPr>
            </w:pPr>
            <w:r>
              <w:t>-</w:t>
            </w:r>
            <w:r>
              <w:rPr>
                <w:vertAlign w:val="superscript"/>
              </w:rPr>
              <w:t>e</w:t>
            </w:r>
          </w:p>
        </w:tc>
      </w:tr>
      <w:tr w:rsidR="0079181F" w14:paraId="044C21E6" w14:textId="77777777" w:rsidTr="0079181F">
        <w:tc>
          <w:tcPr>
            <w:tcW w:w="236" w:type="dxa"/>
            <w:tcBorders>
              <w:right w:val="nil"/>
            </w:tcBorders>
          </w:tcPr>
          <w:p w14:paraId="0E898873" w14:textId="77777777" w:rsidR="0079181F" w:rsidRDefault="0079181F" w:rsidP="0079181F">
            <w:pPr>
              <w:spacing w:before="60" w:after="60"/>
            </w:pPr>
          </w:p>
        </w:tc>
        <w:tc>
          <w:tcPr>
            <w:tcW w:w="2172" w:type="dxa"/>
            <w:tcBorders>
              <w:left w:val="nil"/>
            </w:tcBorders>
          </w:tcPr>
          <w:p w14:paraId="4D446411" w14:textId="77777777" w:rsidR="0079181F" w:rsidRDefault="0079181F" w:rsidP="0079181F">
            <w:pPr>
              <w:spacing w:before="60" w:after="60"/>
            </w:pPr>
            <w:r>
              <w:t>7. Exchange of assets</w:t>
            </w:r>
          </w:p>
        </w:tc>
        <w:tc>
          <w:tcPr>
            <w:tcW w:w="2410" w:type="dxa"/>
          </w:tcPr>
          <w:p w14:paraId="666AF53B" w14:textId="04CF1AFE" w:rsidR="0079181F" w:rsidRDefault="0079181F" w:rsidP="0079181F">
            <w:pPr>
              <w:spacing w:before="60" w:after="60"/>
            </w:pPr>
            <w:r>
              <w:t>Non-monetary assets exchanged (Art. 3)</w:t>
            </w:r>
          </w:p>
        </w:tc>
        <w:tc>
          <w:tcPr>
            <w:tcW w:w="2410" w:type="dxa"/>
          </w:tcPr>
          <w:p w14:paraId="53BFB42B" w14:textId="4ACAF021" w:rsidR="0079181F" w:rsidRDefault="0079181F" w:rsidP="0079181F">
            <w:pPr>
              <w:spacing w:before="60" w:after="60"/>
            </w:pPr>
            <w:r>
              <w:t>-</w:t>
            </w:r>
          </w:p>
        </w:tc>
        <w:tc>
          <w:tcPr>
            <w:tcW w:w="2835" w:type="dxa"/>
          </w:tcPr>
          <w:p w14:paraId="7C6FC736" w14:textId="77777777" w:rsidR="0079181F" w:rsidRDefault="0079181F" w:rsidP="0079181F">
            <w:pPr>
              <w:spacing w:before="60" w:after="60"/>
            </w:pPr>
            <w:r>
              <w:t>-</w:t>
            </w:r>
          </w:p>
        </w:tc>
        <w:tc>
          <w:tcPr>
            <w:tcW w:w="2977" w:type="dxa"/>
          </w:tcPr>
          <w:p w14:paraId="424A8DF0" w14:textId="77777777" w:rsidR="0079181F" w:rsidRDefault="0079181F" w:rsidP="0079181F">
            <w:pPr>
              <w:spacing w:before="60" w:after="60"/>
            </w:pPr>
            <w:r>
              <w:t>-</w:t>
            </w:r>
          </w:p>
        </w:tc>
        <w:tc>
          <w:tcPr>
            <w:tcW w:w="2835" w:type="dxa"/>
          </w:tcPr>
          <w:p w14:paraId="4134090D" w14:textId="77777777" w:rsidR="0079181F" w:rsidRDefault="0079181F" w:rsidP="0079181F">
            <w:pPr>
              <w:spacing w:before="60" w:after="60"/>
            </w:pPr>
            <w:r>
              <w:t>-</w:t>
            </w:r>
          </w:p>
        </w:tc>
      </w:tr>
      <w:tr w:rsidR="0079181F" w14:paraId="634542D1" w14:textId="77777777" w:rsidTr="0079181F">
        <w:tc>
          <w:tcPr>
            <w:tcW w:w="236" w:type="dxa"/>
            <w:tcBorders>
              <w:right w:val="nil"/>
            </w:tcBorders>
          </w:tcPr>
          <w:p w14:paraId="77BD36CA" w14:textId="77777777" w:rsidR="0079181F" w:rsidRDefault="0079181F" w:rsidP="0079181F">
            <w:pPr>
              <w:spacing w:before="60" w:after="60"/>
            </w:pPr>
          </w:p>
        </w:tc>
        <w:tc>
          <w:tcPr>
            <w:tcW w:w="2172" w:type="dxa"/>
            <w:tcBorders>
              <w:left w:val="nil"/>
            </w:tcBorders>
          </w:tcPr>
          <w:p w14:paraId="30EBD31A" w14:textId="77777777" w:rsidR="0079181F" w:rsidRDefault="0079181F" w:rsidP="0079181F">
            <w:pPr>
              <w:spacing w:before="60" w:after="60"/>
            </w:pPr>
            <w:r>
              <w:t>8. Impairment</w:t>
            </w:r>
          </w:p>
        </w:tc>
        <w:tc>
          <w:tcPr>
            <w:tcW w:w="2410" w:type="dxa"/>
          </w:tcPr>
          <w:p w14:paraId="5AB763F3" w14:textId="184B3E85" w:rsidR="0079181F" w:rsidRDefault="0079181F" w:rsidP="0079181F">
            <w:pPr>
              <w:spacing w:before="60" w:after="60"/>
            </w:pPr>
            <w:r>
              <w:t>-</w:t>
            </w:r>
          </w:p>
        </w:tc>
        <w:tc>
          <w:tcPr>
            <w:tcW w:w="2410" w:type="dxa"/>
          </w:tcPr>
          <w:p w14:paraId="620E5FB0" w14:textId="304ED112" w:rsidR="0079181F" w:rsidRDefault="0079181F" w:rsidP="0079181F">
            <w:pPr>
              <w:spacing w:before="60" w:after="60"/>
            </w:pPr>
            <w:r>
              <w:t>-</w:t>
            </w:r>
          </w:p>
        </w:tc>
        <w:tc>
          <w:tcPr>
            <w:tcW w:w="2835" w:type="dxa"/>
          </w:tcPr>
          <w:p w14:paraId="5C79DB92" w14:textId="77777777" w:rsidR="0079181F" w:rsidRDefault="0079181F" w:rsidP="0079181F">
            <w:pPr>
              <w:spacing w:before="60" w:after="60"/>
            </w:pPr>
            <w:r>
              <w:t>-</w:t>
            </w:r>
          </w:p>
        </w:tc>
        <w:tc>
          <w:tcPr>
            <w:tcW w:w="2977" w:type="dxa"/>
          </w:tcPr>
          <w:p w14:paraId="184DB12F" w14:textId="77777777" w:rsidR="0079181F" w:rsidRDefault="0079181F" w:rsidP="0079181F">
            <w:pPr>
              <w:spacing w:before="60" w:after="60"/>
            </w:pPr>
            <w:r>
              <w:t>‘FV less selling costs’ when higher than discounted net cash flows, but only when both are lower than previous carrying amount (Art.s 6 and 8)</w:t>
            </w:r>
          </w:p>
        </w:tc>
        <w:tc>
          <w:tcPr>
            <w:tcW w:w="2835" w:type="dxa"/>
          </w:tcPr>
          <w:p w14:paraId="779326D2" w14:textId="77777777" w:rsidR="0079181F" w:rsidRDefault="0079181F" w:rsidP="0079181F">
            <w:pPr>
              <w:spacing w:before="60" w:after="60"/>
            </w:pPr>
            <w:r>
              <w:t>-</w:t>
            </w:r>
          </w:p>
        </w:tc>
      </w:tr>
      <w:tr w:rsidR="0079181F" w14:paraId="11084D3C" w14:textId="77777777" w:rsidTr="0079181F">
        <w:tc>
          <w:tcPr>
            <w:tcW w:w="236" w:type="dxa"/>
            <w:tcBorders>
              <w:right w:val="nil"/>
            </w:tcBorders>
          </w:tcPr>
          <w:p w14:paraId="732147EE" w14:textId="77777777" w:rsidR="0079181F" w:rsidRDefault="0079181F" w:rsidP="0079181F">
            <w:pPr>
              <w:spacing w:before="60" w:after="60"/>
            </w:pPr>
          </w:p>
        </w:tc>
        <w:tc>
          <w:tcPr>
            <w:tcW w:w="2172" w:type="dxa"/>
            <w:tcBorders>
              <w:left w:val="nil"/>
            </w:tcBorders>
          </w:tcPr>
          <w:p w14:paraId="5ED166E7" w14:textId="77777777" w:rsidR="0079181F" w:rsidRDefault="0079181F" w:rsidP="0079181F">
            <w:pPr>
              <w:spacing w:before="60" w:after="60"/>
            </w:pPr>
            <w:r>
              <w:t xml:space="preserve">9. Employee benefits </w:t>
            </w:r>
            <w:r w:rsidRPr="00C96F5B">
              <w:rPr>
                <w:i/>
              </w:rPr>
              <w:t>[amended in 2014]</w:t>
            </w:r>
          </w:p>
        </w:tc>
        <w:tc>
          <w:tcPr>
            <w:tcW w:w="2410" w:type="dxa"/>
          </w:tcPr>
          <w:p w14:paraId="46342A4E" w14:textId="19AA294B" w:rsidR="0079181F" w:rsidRDefault="0079181F" w:rsidP="0079181F">
            <w:pPr>
              <w:spacing w:before="60" w:after="60"/>
              <w:rPr>
                <w:i/>
              </w:rPr>
            </w:pPr>
            <w:r w:rsidRPr="006E119E">
              <w:rPr>
                <w:i/>
              </w:rPr>
              <w:t>[Non-monetary benefits (Art.6)]</w:t>
            </w:r>
          </w:p>
        </w:tc>
        <w:tc>
          <w:tcPr>
            <w:tcW w:w="2410" w:type="dxa"/>
          </w:tcPr>
          <w:p w14:paraId="2265860F" w14:textId="488234E6" w:rsidR="0079181F" w:rsidRPr="006E119E" w:rsidRDefault="0079181F" w:rsidP="0079181F">
            <w:pPr>
              <w:spacing w:before="60" w:after="60"/>
              <w:rPr>
                <w:i/>
              </w:rPr>
            </w:pPr>
            <w:r>
              <w:rPr>
                <w:i/>
              </w:rPr>
              <w:t>[Plan assets (Art. 13</w:t>
            </w:r>
            <w:r w:rsidRPr="006E119E">
              <w:rPr>
                <w:i/>
              </w:rPr>
              <w:t>)]</w:t>
            </w:r>
          </w:p>
        </w:tc>
        <w:tc>
          <w:tcPr>
            <w:tcW w:w="2835" w:type="dxa"/>
          </w:tcPr>
          <w:p w14:paraId="2BD4B4A2" w14:textId="77777777" w:rsidR="0079181F" w:rsidRDefault="0079181F" w:rsidP="0079181F">
            <w:pPr>
              <w:spacing w:before="60" w:after="60"/>
            </w:pPr>
            <w:r>
              <w:t>-</w:t>
            </w:r>
          </w:p>
        </w:tc>
        <w:tc>
          <w:tcPr>
            <w:tcW w:w="2977" w:type="dxa"/>
          </w:tcPr>
          <w:p w14:paraId="36BFA933" w14:textId="77777777" w:rsidR="0079181F" w:rsidRDefault="0079181F" w:rsidP="0079181F">
            <w:pPr>
              <w:spacing w:before="60" w:after="60"/>
            </w:pPr>
            <w:r>
              <w:t>-</w:t>
            </w:r>
          </w:p>
        </w:tc>
        <w:tc>
          <w:tcPr>
            <w:tcW w:w="2835" w:type="dxa"/>
          </w:tcPr>
          <w:p w14:paraId="71CAED8E" w14:textId="77777777" w:rsidR="0079181F" w:rsidRDefault="0079181F" w:rsidP="0079181F">
            <w:pPr>
              <w:spacing w:before="60" w:after="60"/>
            </w:pPr>
            <w:r>
              <w:t>-</w:t>
            </w:r>
          </w:p>
        </w:tc>
      </w:tr>
      <w:tr w:rsidR="0079181F" w14:paraId="119D2428" w14:textId="77777777" w:rsidTr="0079181F">
        <w:tc>
          <w:tcPr>
            <w:tcW w:w="236" w:type="dxa"/>
            <w:tcBorders>
              <w:right w:val="nil"/>
            </w:tcBorders>
          </w:tcPr>
          <w:p w14:paraId="0687B8F6" w14:textId="77777777" w:rsidR="0079181F" w:rsidRDefault="0079181F" w:rsidP="0079181F">
            <w:pPr>
              <w:spacing w:before="60" w:after="60"/>
            </w:pPr>
          </w:p>
        </w:tc>
        <w:tc>
          <w:tcPr>
            <w:tcW w:w="2172" w:type="dxa"/>
            <w:tcBorders>
              <w:left w:val="nil"/>
            </w:tcBorders>
          </w:tcPr>
          <w:p w14:paraId="1FCF77C2" w14:textId="77777777" w:rsidR="0079181F" w:rsidRDefault="0079181F" w:rsidP="0079181F">
            <w:pPr>
              <w:spacing w:before="60" w:after="60"/>
            </w:pPr>
            <w:r>
              <w:t>10. Annuity funds</w:t>
            </w:r>
          </w:p>
        </w:tc>
        <w:tc>
          <w:tcPr>
            <w:tcW w:w="2410" w:type="dxa"/>
          </w:tcPr>
          <w:p w14:paraId="0EE3D25C" w14:textId="2FFEE5D5" w:rsidR="0079181F" w:rsidRDefault="0079181F" w:rsidP="0079181F">
            <w:pPr>
              <w:spacing w:before="60" w:after="60"/>
            </w:pPr>
            <w:r>
              <w:t>-</w:t>
            </w:r>
          </w:p>
        </w:tc>
        <w:tc>
          <w:tcPr>
            <w:tcW w:w="2410" w:type="dxa"/>
          </w:tcPr>
          <w:p w14:paraId="7531FE67" w14:textId="5A47C881" w:rsidR="0079181F" w:rsidRDefault="0079181F" w:rsidP="0079181F">
            <w:pPr>
              <w:spacing w:before="60" w:after="60"/>
            </w:pPr>
            <w:r>
              <w:t>For financial assets (Art. 6)</w:t>
            </w:r>
          </w:p>
        </w:tc>
        <w:tc>
          <w:tcPr>
            <w:tcW w:w="2835" w:type="dxa"/>
          </w:tcPr>
          <w:p w14:paraId="19F9A6B6" w14:textId="77777777" w:rsidR="0079181F" w:rsidRDefault="0079181F" w:rsidP="0079181F">
            <w:pPr>
              <w:spacing w:before="60" w:after="60"/>
            </w:pPr>
            <w:r>
              <w:t>-</w:t>
            </w:r>
          </w:p>
        </w:tc>
        <w:tc>
          <w:tcPr>
            <w:tcW w:w="2977" w:type="dxa"/>
          </w:tcPr>
          <w:p w14:paraId="79DF3978" w14:textId="77777777" w:rsidR="0079181F" w:rsidRDefault="0079181F" w:rsidP="0079181F">
            <w:pPr>
              <w:spacing w:before="60" w:after="60"/>
            </w:pPr>
            <w:r>
              <w:t>-</w:t>
            </w:r>
          </w:p>
        </w:tc>
        <w:tc>
          <w:tcPr>
            <w:tcW w:w="2835" w:type="dxa"/>
          </w:tcPr>
          <w:p w14:paraId="03ACA75C" w14:textId="77777777" w:rsidR="0079181F" w:rsidRDefault="0079181F" w:rsidP="0079181F">
            <w:pPr>
              <w:spacing w:before="60" w:after="60"/>
            </w:pPr>
          </w:p>
        </w:tc>
      </w:tr>
      <w:tr w:rsidR="0079181F" w14:paraId="03F1A426" w14:textId="77777777" w:rsidTr="0079181F">
        <w:tc>
          <w:tcPr>
            <w:tcW w:w="236" w:type="dxa"/>
            <w:tcBorders>
              <w:right w:val="nil"/>
            </w:tcBorders>
          </w:tcPr>
          <w:p w14:paraId="5480BAB1" w14:textId="77777777" w:rsidR="0079181F" w:rsidRDefault="0079181F" w:rsidP="0079181F">
            <w:pPr>
              <w:spacing w:before="60" w:after="60"/>
            </w:pPr>
          </w:p>
        </w:tc>
        <w:tc>
          <w:tcPr>
            <w:tcW w:w="2172" w:type="dxa"/>
            <w:tcBorders>
              <w:left w:val="nil"/>
            </w:tcBorders>
          </w:tcPr>
          <w:p w14:paraId="6986FFED" w14:textId="77777777" w:rsidR="0079181F" w:rsidRDefault="0079181F" w:rsidP="0079181F">
            <w:pPr>
              <w:spacing w:before="60" w:after="60"/>
            </w:pPr>
            <w:r>
              <w:t>11. Share-based payment</w:t>
            </w:r>
          </w:p>
        </w:tc>
        <w:tc>
          <w:tcPr>
            <w:tcW w:w="2410" w:type="dxa"/>
          </w:tcPr>
          <w:p w14:paraId="7493068A" w14:textId="60C3F012" w:rsidR="0079181F" w:rsidRDefault="0079181F" w:rsidP="0079181F">
            <w:pPr>
              <w:spacing w:before="60" w:after="60"/>
            </w:pPr>
            <w:r>
              <w:t>Instruments granted (Art. 10)</w:t>
            </w:r>
          </w:p>
        </w:tc>
        <w:tc>
          <w:tcPr>
            <w:tcW w:w="2410" w:type="dxa"/>
          </w:tcPr>
          <w:p w14:paraId="7B1508F3" w14:textId="5509D090" w:rsidR="0079181F" w:rsidRDefault="0079181F" w:rsidP="0079181F">
            <w:pPr>
              <w:spacing w:before="60" w:after="60"/>
            </w:pPr>
            <w:r>
              <w:t>For cash-settled liabilities (Art. 4)</w:t>
            </w:r>
          </w:p>
        </w:tc>
        <w:tc>
          <w:tcPr>
            <w:tcW w:w="2835" w:type="dxa"/>
          </w:tcPr>
          <w:p w14:paraId="71055B05" w14:textId="77777777" w:rsidR="0079181F" w:rsidRDefault="0079181F" w:rsidP="0079181F">
            <w:pPr>
              <w:spacing w:before="60" w:after="60"/>
            </w:pPr>
            <w:r>
              <w:t>-</w:t>
            </w:r>
          </w:p>
        </w:tc>
        <w:tc>
          <w:tcPr>
            <w:tcW w:w="2977" w:type="dxa"/>
          </w:tcPr>
          <w:p w14:paraId="0D0A25EF" w14:textId="77777777" w:rsidR="0079181F" w:rsidRDefault="0079181F" w:rsidP="0079181F">
            <w:pPr>
              <w:spacing w:before="60" w:after="60"/>
            </w:pPr>
            <w:r>
              <w:t>-</w:t>
            </w:r>
          </w:p>
        </w:tc>
        <w:tc>
          <w:tcPr>
            <w:tcW w:w="2835" w:type="dxa"/>
          </w:tcPr>
          <w:p w14:paraId="595DF0F4" w14:textId="77777777" w:rsidR="0079181F" w:rsidRDefault="0079181F" w:rsidP="0079181F">
            <w:pPr>
              <w:spacing w:before="60" w:after="60"/>
            </w:pPr>
            <w:r>
              <w:t>-</w:t>
            </w:r>
          </w:p>
        </w:tc>
      </w:tr>
      <w:tr w:rsidR="0079181F" w14:paraId="122DE998" w14:textId="77777777" w:rsidTr="0079181F">
        <w:tc>
          <w:tcPr>
            <w:tcW w:w="236" w:type="dxa"/>
            <w:tcBorders>
              <w:right w:val="nil"/>
            </w:tcBorders>
          </w:tcPr>
          <w:p w14:paraId="683301AC" w14:textId="77777777" w:rsidR="0079181F" w:rsidRDefault="0079181F" w:rsidP="0079181F">
            <w:pPr>
              <w:spacing w:before="60" w:after="60"/>
            </w:pPr>
          </w:p>
        </w:tc>
        <w:tc>
          <w:tcPr>
            <w:tcW w:w="2172" w:type="dxa"/>
            <w:tcBorders>
              <w:left w:val="nil"/>
            </w:tcBorders>
          </w:tcPr>
          <w:p w14:paraId="07D40259" w14:textId="77777777" w:rsidR="0079181F" w:rsidRDefault="0079181F" w:rsidP="0079181F">
            <w:pPr>
              <w:spacing w:before="60" w:after="60"/>
            </w:pPr>
            <w:r>
              <w:t>12. Debt restructuring</w:t>
            </w:r>
          </w:p>
        </w:tc>
        <w:tc>
          <w:tcPr>
            <w:tcW w:w="2410" w:type="dxa"/>
          </w:tcPr>
          <w:p w14:paraId="03C83867" w14:textId="57DDDE9F" w:rsidR="0079181F" w:rsidRDefault="0079181F" w:rsidP="0079181F">
            <w:pPr>
              <w:spacing w:before="60" w:after="60"/>
            </w:pPr>
            <w:r>
              <w:t>Assets or equity interests received or surrendered (Art. 5)</w:t>
            </w:r>
          </w:p>
        </w:tc>
        <w:tc>
          <w:tcPr>
            <w:tcW w:w="2410" w:type="dxa"/>
          </w:tcPr>
          <w:p w14:paraId="6B6AC228" w14:textId="476EE15B" w:rsidR="0079181F" w:rsidRDefault="0079181F" w:rsidP="0079181F">
            <w:pPr>
              <w:spacing w:before="60" w:after="60"/>
            </w:pPr>
            <w:r>
              <w:t>-</w:t>
            </w:r>
          </w:p>
        </w:tc>
        <w:tc>
          <w:tcPr>
            <w:tcW w:w="2835" w:type="dxa"/>
          </w:tcPr>
          <w:p w14:paraId="79A770B7" w14:textId="77777777" w:rsidR="0079181F" w:rsidRDefault="0079181F" w:rsidP="0079181F">
            <w:pPr>
              <w:spacing w:before="60" w:after="60"/>
            </w:pPr>
            <w:r>
              <w:t>-</w:t>
            </w:r>
          </w:p>
        </w:tc>
        <w:tc>
          <w:tcPr>
            <w:tcW w:w="2977" w:type="dxa"/>
          </w:tcPr>
          <w:p w14:paraId="274AE242" w14:textId="77777777" w:rsidR="0079181F" w:rsidRDefault="0079181F" w:rsidP="0079181F">
            <w:pPr>
              <w:spacing w:before="60" w:after="60"/>
            </w:pPr>
            <w:r>
              <w:t>-</w:t>
            </w:r>
          </w:p>
        </w:tc>
        <w:tc>
          <w:tcPr>
            <w:tcW w:w="2835" w:type="dxa"/>
          </w:tcPr>
          <w:p w14:paraId="7ED6D171" w14:textId="77777777" w:rsidR="0079181F" w:rsidRDefault="0079181F" w:rsidP="0079181F">
            <w:pPr>
              <w:spacing w:before="60" w:after="60"/>
            </w:pPr>
            <w:r>
              <w:t>-</w:t>
            </w:r>
          </w:p>
        </w:tc>
      </w:tr>
      <w:tr w:rsidR="0079181F" w14:paraId="3BF9963E" w14:textId="77777777" w:rsidTr="0079181F">
        <w:tc>
          <w:tcPr>
            <w:tcW w:w="236" w:type="dxa"/>
            <w:tcBorders>
              <w:right w:val="nil"/>
            </w:tcBorders>
          </w:tcPr>
          <w:p w14:paraId="06672458" w14:textId="77777777" w:rsidR="0079181F" w:rsidRDefault="0079181F" w:rsidP="0079181F">
            <w:pPr>
              <w:spacing w:before="60" w:after="60"/>
            </w:pPr>
          </w:p>
        </w:tc>
        <w:tc>
          <w:tcPr>
            <w:tcW w:w="2172" w:type="dxa"/>
            <w:tcBorders>
              <w:left w:val="nil"/>
            </w:tcBorders>
          </w:tcPr>
          <w:p w14:paraId="3DE9F951" w14:textId="77777777" w:rsidR="0079181F" w:rsidRDefault="0079181F" w:rsidP="0079181F">
            <w:pPr>
              <w:spacing w:before="60" w:after="60"/>
            </w:pPr>
            <w:r>
              <w:t>13. Contingencies</w:t>
            </w:r>
          </w:p>
        </w:tc>
        <w:tc>
          <w:tcPr>
            <w:tcW w:w="2410" w:type="dxa"/>
          </w:tcPr>
          <w:p w14:paraId="33E28AA6" w14:textId="75B24BCE" w:rsidR="0079181F" w:rsidRDefault="0079181F" w:rsidP="0079181F">
            <w:pPr>
              <w:spacing w:before="60" w:after="60"/>
            </w:pPr>
            <w:r>
              <w:t>-</w:t>
            </w:r>
          </w:p>
        </w:tc>
        <w:tc>
          <w:tcPr>
            <w:tcW w:w="2410" w:type="dxa"/>
          </w:tcPr>
          <w:p w14:paraId="540E7EDA" w14:textId="332880D0" w:rsidR="0079181F" w:rsidRDefault="0079181F" w:rsidP="0079181F">
            <w:pPr>
              <w:spacing w:before="60" w:after="60"/>
            </w:pPr>
            <w:r>
              <w:t>-</w:t>
            </w:r>
          </w:p>
        </w:tc>
        <w:tc>
          <w:tcPr>
            <w:tcW w:w="2835" w:type="dxa"/>
          </w:tcPr>
          <w:p w14:paraId="4B2556A6" w14:textId="77777777" w:rsidR="0079181F" w:rsidRDefault="0079181F" w:rsidP="0079181F">
            <w:pPr>
              <w:spacing w:before="60" w:after="60"/>
            </w:pPr>
            <w:r>
              <w:t>-</w:t>
            </w:r>
          </w:p>
        </w:tc>
        <w:tc>
          <w:tcPr>
            <w:tcW w:w="2977" w:type="dxa"/>
          </w:tcPr>
          <w:p w14:paraId="4BDB38FE" w14:textId="77777777" w:rsidR="0079181F" w:rsidRDefault="0079181F" w:rsidP="0079181F">
            <w:pPr>
              <w:spacing w:before="60" w:after="60"/>
            </w:pPr>
            <w:r>
              <w:t>-</w:t>
            </w:r>
          </w:p>
        </w:tc>
        <w:tc>
          <w:tcPr>
            <w:tcW w:w="2835" w:type="dxa"/>
          </w:tcPr>
          <w:p w14:paraId="34264A35" w14:textId="77777777" w:rsidR="0079181F" w:rsidRDefault="0079181F" w:rsidP="0079181F">
            <w:pPr>
              <w:spacing w:before="60" w:after="60"/>
            </w:pPr>
            <w:r>
              <w:t>-</w:t>
            </w:r>
          </w:p>
        </w:tc>
      </w:tr>
      <w:tr w:rsidR="0079181F" w14:paraId="65FE96AB" w14:textId="77777777" w:rsidTr="0079181F">
        <w:tc>
          <w:tcPr>
            <w:tcW w:w="236" w:type="dxa"/>
            <w:tcBorders>
              <w:right w:val="nil"/>
            </w:tcBorders>
          </w:tcPr>
          <w:p w14:paraId="71058AD5" w14:textId="77777777" w:rsidR="0079181F" w:rsidRDefault="0079181F" w:rsidP="0079181F">
            <w:pPr>
              <w:spacing w:before="60" w:after="60"/>
            </w:pPr>
          </w:p>
        </w:tc>
        <w:tc>
          <w:tcPr>
            <w:tcW w:w="2172" w:type="dxa"/>
            <w:tcBorders>
              <w:left w:val="nil"/>
            </w:tcBorders>
          </w:tcPr>
          <w:p w14:paraId="7CAC0410" w14:textId="05AD2460" w:rsidR="0079181F" w:rsidRDefault="0079181F" w:rsidP="0079181F">
            <w:pPr>
              <w:spacing w:before="60" w:after="60"/>
            </w:pPr>
            <w:r>
              <w:t xml:space="preserve">14. Revenue </w:t>
            </w:r>
            <w:r>
              <w:rPr>
                <w:i/>
              </w:rPr>
              <w:t>[amended in 2017</w:t>
            </w:r>
            <w:r w:rsidRPr="00C96F5B">
              <w:rPr>
                <w:i/>
              </w:rPr>
              <w:t>]</w:t>
            </w:r>
          </w:p>
        </w:tc>
        <w:tc>
          <w:tcPr>
            <w:tcW w:w="2410" w:type="dxa"/>
          </w:tcPr>
          <w:p w14:paraId="54131A11" w14:textId="77777777" w:rsidR="0079181F" w:rsidRDefault="0079181F" w:rsidP="0079181F">
            <w:pPr>
              <w:spacing w:before="60" w:after="60"/>
            </w:pPr>
            <w:r>
              <w:t>Deferred revenue</w:t>
            </w:r>
            <w:r w:rsidRPr="004B4FCA">
              <w:rPr>
                <w:i/>
              </w:rPr>
              <w:t xml:space="preserve"> </w:t>
            </w:r>
            <w:r>
              <w:rPr>
                <w:i/>
              </w:rPr>
              <w:t xml:space="preserve">[or </w:t>
            </w:r>
            <w:r w:rsidRPr="004B4FCA">
              <w:rPr>
                <w:i/>
              </w:rPr>
              <w:t>non-cash consideration</w:t>
            </w:r>
            <w:r>
              <w:rPr>
                <w:i/>
              </w:rPr>
              <w:t>]</w:t>
            </w:r>
            <w:r>
              <w:t xml:space="preserve"> (Art. 5, </w:t>
            </w:r>
            <w:r w:rsidRPr="004B4FCA">
              <w:rPr>
                <w:i/>
              </w:rPr>
              <w:t>now Art. 18</w:t>
            </w:r>
            <w:r>
              <w:t>)</w:t>
            </w:r>
          </w:p>
          <w:p w14:paraId="01464A18" w14:textId="77777777" w:rsidR="0079181F" w:rsidRDefault="0079181F" w:rsidP="0079181F">
            <w:pPr>
              <w:spacing w:before="60" w:after="60"/>
            </w:pPr>
          </w:p>
        </w:tc>
        <w:tc>
          <w:tcPr>
            <w:tcW w:w="2410" w:type="dxa"/>
          </w:tcPr>
          <w:p w14:paraId="6E24CF39" w14:textId="14EDC90A" w:rsidR="0079181F" w:rsidRDefault="0079181F" w:rsidP="0079181F">
            <w:pPr>
              <w:spacing w:before="60" w:after="60"/>
            </w:pPr>
            <w:r>
              <w:t>-</w:t>
            </w:r>
          </w:p>
        </w:tc>
        <w:tc>
          <w:tcPr>
            <w:tcW w:w="2835" w:type="dxa"/>
          </w:tcPr>
          <w:p w14:paraId="152EAFD3" w14:textId="77777777" w:rsidR="0079181F" w:rsidRDefault="0079181F" w:rsidP="0079181F">
            <w:pPr>
              <w:spacing w:before="60" w:after="60"/>
            </w:pPr>
            <w:r>
              <w:t>-</w:t>
            </w:r>
          </w:p>
        </w:tc>
        <w:tc>
          <w:tcPr>
            <w:tcW w:w="2977" w:type="dxa"/>
          </w:tcPr>
          <w:p w14:paraId="39BB7CEC" w14:textId="77777777" w:rsidR="0079181F" w:rsidRDefault="0079181F" w:rsidP="0079181F">
            <w:pPr>
              <w:spacing w:before="60" w:after="60"/>
            </w:pPr>
            <w:r>
              <w:t>-</w:t>
            </w:r>
          </w:p>
        </w:tc>
        <w:tc>
          <w:tcPr>
            <w:tcW w:w="2835" w:type="dxa"/>
          </w:tcPr>
          <w:p w14:paraId="68B43FC0" w14:textId="77777777" w:rsidR="0079181F" w:rsidRDefault="0079181F" w:rsidP="0079181F">
            <w:pPr>
              <w:spacing w:before="60" w:after="60"/>
            </w:pPr>
            <w:r>
              <w:t>-</w:t>
            </w:r>
          </w:p>
        </w:tc>
      </w:tr>
      <w:tr w:rsidR="0079181F" w14:paraId="4DE23E8C" w14:textId="77777777" w:rsidTr="0079181F">
        <w:tc>
          <w:tcPr>
            <w:tcW w:w="236" w:type="dxa"/>
            <w:tcBorders>
              <w:right w:val="nil"/>
            </w:tcBorders>
          </w:tcPr>
          <w:p w14:paraId="72E709DD" w14:textId="77777777" w:rsidR="0079181F" w:rsidRDefault="0079181F" w:rsidP="0079181F">
            <w:pPr>
              <w:spacing w:before="60" w:after="60"/>
            </w:pPr>
          </w:p>
        </w:tc>
        <w:tc>
          <w:tcPr>
            <w:tcW w:w="2172" w:type="dxa"/>
            <w:tcBorders>
              <w:left w:val="nil"/>
            </w:tcBorders>
          </w:tcPr>
          <w:p w14:paraId="24726B22" w14:textId="22951F92" w:rsidR="0079181F" w:rsidRDefault="0079181F" w:rsidP="0079181F">
            <w:pPr>
              <w:spacing w:before="60" w:after="60"/>
            </w:pPr>
            <w:r>
              <w:t xml:space="preserve">15. Construction contracts </w:t>
            </w:r>
            <w:r w:rsidRPr="00AE1B68">
              <w:rPr>
                <w:i/>
              </w:rPr>
              <w:t>[replaced  by ASBE 14 of 2017]</w:t>
            </w:r>
          </w:p>
        </w:tc>
        <w:tc>
          <w:tcPr>
            <w:tcW w:w="2410" w:type="dxa"/>
          </w:tcPr>
          <w:p w14:paraId="784A8C9E" w14:textId="7BDBDE4E" w:rsidR="0079181F" w:rsidRDefault="0079181F" w:rsidP="0079181F">
            <w:pPr>
              <w:spacing w:before="60" w:after="60"/>
            </w:pPr>
            <w:r>
              <w:t>-</w:t>
            </w:r>
          </w:p>
        </w:tc>
        <w:tc>
          <w:tcPr>
            <w:tcW w:w="2410" w:type="dxa"/>
          </w:tcPr>
          <w:p w14:paraId="5484B6F7" w14:textId="00953CCF" w:rsidR="0079181F" w:rsidRDefault="0079181F" w:rsidP="0079181F">
            <w:pPr>
              <w:spacing w:before="60" w:after="60"/>
            </w:pPr>
            <w:r>
              <w:t>-</w:t>
            </w:r>
          </w:p>
        </w:tc>
        <w:tc>
          <w:tcPr>
            <w:tcW w:w="2835" w:type="dxa"/>
          </w:tcPr>
          <w:p w14:paraId="026C03BE" w14:textId="77777777" w:rsidR="0079181F" w:rsidRDefault="0079181F" w:rsidP="0079181F">
            <w:pPr>
              <w:spacing w:before="60" w:after="60"/>
            </w:pPr>
            <w:r>
              <w:t>-</w:t>
            </w:r>
          </w:p>
        </w:tc>
        <w:tc>
          <w:tcPr>
            <w:tcW w:w="2977" w:type="dxa"/>
          </w:tcPr>
          <w:p w14:paraId="7540F297" w14:textId="77777777" w:rsidR="0079181F" w:rsidRDefault="0079181F" w:rsidP="0079181F">
            <w:pPr>
              <w:spacing w:before="60" w:after="60"/>
            </w:pPr>
            <w:r>
              <w:t>-</w:t>
            </w:r>
          </w:p>
        </w:tc>
        <w:tc>
          <w:tcPr>
            <w:tcW w:w="2835" w:type="dxa"/>
          </w:tcPr>
          <w:p w14:paraId="57A7728C" w14:textId="77777777" w:rsidR="0079181F" w:rsidRDefault="0079181F" w:rsidP="0079181F">
            <w:pPr>
              <w:spacing w:before="60" w:after="60"/>
            </w:pPr>
            <w:r>
              <w:t>-</w:t>
            </w:r>
          </w:p>
        </w:tc>
      </w:tr>
      <w:tr w:rsidR="0079181F" w14:paraId="65C389AD" w14:textId="77777777" w:rsidTr="0079181F">
        <w:tc>
          <w:tcPr>
            <w:tcW w:w="236" w:type="dxa"/>
            <w:tcBorders>
              <w:right w:val="nil"/>
            </w:tcBorders>
          </w:tcPr>
          <w:p w14:paraId="7B866AF4" w14:textId="77777777" w:rsidR="0079181F" w:rsidRDefault="0079181F" w:rsidP="0079181F">
            <w:pPr>
              <w:spacing w:before="60" w:after="60"/>
            </w:pPr>
          </w:p>
        </w:tc>
        <w:tc>
          <w:tcPr>
            <w:tcW w:w="2172" w:type="dxa"/>
            <w:tcBorders>
              <w:left w:val="nil"/>
            </w:tcBorders>
          </w:tcPr>
          <w:p w14:paraId="6EC21AA2" w14:textId="0889DB6D" w:rsidR="0079181F" w:rsidRDefault="0079181F" w:rsidP="0079181F">
            <w:pPr>
              <w:spacing w:before="60" w:after="60"/>
            </w:pPr>
            <w:r>
              <w:t xml:space="preserve">16. Government grants </w:t>
            </w:r>
            <w:r>
              <w:rPr>
                <w:i/>
              </w:rPr>
              <w:t>[amended in 2017</w:t>
            </w:r>
            <w:r w:rsidRPr="00C96F5B">
              <w:rPr>
                <w:i/>
              </w:rPr>
              <w:t>; no</w:t>
            </w:r>
            <w:r>
              <w:rPr>
                <w:i/>
              </w:rPr>
              <w:t xml:space="preserve"> effect</w:t>
            </w:r>
            <w:r w:rsidRPr="00C96F5B">
              <w:rPr>
                <w:i/>
              </w:rPr>
              <w:t xml:space="preserve"> on </w:t>
            </w:r>
            <w:r>
              <w:rPr>
                <w:i/>
              </w:rPr>
              <w:t xml:space="preserve">this </w:t>
            </w:r>
            <w:r w:rsidRPr="00C96F5B">
              <w:rPr>
                <w:i/>
              </w:rPr>
              <w:t>table]</w:t>
            </w:r>
          </w:p>
        </w:tc>
        <w:tc>
          <w:tcPr>
            <w:tcW w:w="2410" w:type="dxa"/>
          </w:tcPr>
          <w:p w14:paraId="553E6F60" w14:textId="3CEC5843" w:rsidR="0079181F" w:rsidRDefault="0079181F" w:rsidP="0079181F">
            <w:pPr>
              <w:spacing w:before="60" w:after="60"/>
            </w:pPr>
            <w:r>
              <w:t xml:space="preserve">Non-cash grants (Art. 6, </w:t>
            </w:r>
            <w:r w:rsidRPr="004B4FCA">
              <w:rPr>
                <w:i/>
              </w:rPr>
              <w:t>now Art. 7</w:t>
            </w:r>
            <w:r>
              <w:t>)</w:t>
            </w:r>
          </w:p>
        </w:tc>
        <w:tc>
          <w:tcPr>
            <w:tcW w:w="2410" w:type="dxa"/>
          </w:tcPr>
          <w:p w14:paraId="2784ACC4" w14:textId="5F01704F" w:rsidR="0079181F" w:rsidRDefault="0079181F" w:rsidP="0079181F">
            <w:pPr>
              <w:spacing w:before="60" w:after="60"/>
            </w:pPr>
            <w:r>
              <w:t>-</w:t>
            </w:r>
          </w:p>
        </w:tc>
        <w:tc>
          <w:tcPr>
            <w:tcW w:w="2835" w:type="dxa"/>
          </w:tcPr>
          <w:p w14:paraId="27E4B50B" w14:textId="77777777" w:rsidR="0079181F" w:rsidRDefault="0079181F" w:rsidP="0079181F">
            <w:pPr>
              <w:spacing w:before="60" w:after="60"/>
            </w:pPr>
            <w:r>
              <w:t>-</w:t>
            </w:r>
          </w:p>
        </w:tc>
        <w:tc>
          <w:tcPr>
            <w:tcW w:w="2977" w:type="dxa"/>
          </w:tcPr>
          <w:p w14:paraId="4C44D183" w14:textId="77777777" w:rsidR="0079181F" w:rsidRDefault="0079181F" w:rsidP="0079181F">
            <w:pPr>
              <w:spacing w:before="60" w:after="60"/>
            </w:pPr>
            <w:r>
              <w:t>-</w:t>
            </w:r>
          </w:p>
        </w:tc>
        <w:tc>
          <w:tcPr>
            <w:tcW w:w="2835" w:type="dxa"/>
          </w:tcPr>
          <w:p w14:paraId="07265CD2" w14:textId="77777777" w:rsidR="0079181F" w:rsidRDefault="0079181F" w:rsidP="0079181F">
            <w:pPr>
              <w:spacing w:before="60" w:after="60"/>
            </w:pPr>
            <w:r>
              <w:t>-</w:t>
            </w:r>
          </w:p>
        </w:tc>
      </w:tr>
      <w:tr w:rsidR="0079181F" w14:paraId="1457E4A5" w14:textId="77777777" w:rsidTr="0079181F">
        <w:tc>
          <w:tcPr>
            <w:tcW w:w="236" w:type="dxa"/>
            <w:tcBorders>
              <w:right w:val="nil"/>
            </w:tcBorders>
          </w:tcPr>
          <w:p w14:paraId="1985A431" w14:textId="77777777" w:rsidR="0079181F" w:rsidRDefault="0079181F" w:rsidP="0079181F">
            <w:pPr>
              <w:spacing w:before="60" w:after="60"/>
            </w:pPr>
          </w:p>
        </w:tc>
        <w:tc>
          <w:tcPr>
            <w:tcW w:w="2172" w:type="dxa"/>
            <w:tcBorders>
              <w:left w:val="nil"/>
            </w:tcBorders>
          </w:tcPr>
          <w:p w14:paraId="36F8A652" w14:textId="77777777" w:rsidR="0079181F" w:rsidRDefault="0079181F" w:rsidP="0079181F">
            <w:pPr>
              <w:spacing w:before="60" w:after="60"/>
            </w:pPr>
            <w:r>
              <w:t>17. Borrowing costs</w:t>
            </w:r>
          </w:p>
        </w:tc>
        <w:tc>
          <w:tcPr>
            <w:tcW w:w="2410" w:type="dxa"/>
          </w:tcPr>
          <w:p w14:paraId="54802193" w14:textId="5202DAFB" w:rsidR="0079181F" w:rsidRDefault="0079181F" w:rsidP="0079181F">
            <w:pPr>
              <w:spacing w:before="60" w:after="60"/>
            </w:pPr>
            <w:r>
              <w:t>-</w:t>
            </w:r>
          </w:p>
        </w:tc>
        <w:tc>
          <w:tcPr>
            <w:tcW w:w="2410" w:type="dxa"/>
          </w:tcPr>
          <w:p w14:paraId="7C116C4E" w14:textId="57438632" w:rsidR="0079181F" w:rsidRDefault="0079181F" w:rsidP="0079181F">
            <w:pPr>
              <w:spacing w:before="60" w:after="60"/>
            </w:pPr>
            <w:r>
              <w:t>-</w:t>
            </w:r>
          </w:p>
        </w:tc>
        <w:tc>
          <w:tcPr>
            <w:tcW w:w="2835" w:type="dxa"/>
          </w:tcPr>
          <w:p w14:paraId="4374E858" w14:textId="77777777" w:rsidR="0079181F" w:rsidRDefault="0079181F" w:rsidP="0079181F">
            <w:pPr>
              <w:spacing w:before="60" w:after="60"/>
            </w:pPr>
            <w:r>
              <w:t>-</w:t>
            </w:r>
          </w:p>
        </w:tc>
        <w:tc>
          <w:tcPr>
            <w:tcW w:w="2977" w:type="dxa"/>
          </w:tcPr>
          <w:p w14:paraId="2CD5DD38" w14:textId="77777777" w:rsidR="0079181F" w:rsidRDefault="0079181F" w:rsidP="0079181F">
            <w:pPr>
              <w:spacing w:before="60" w:after="60"/>
            </w:pPr>
            <w:r>
              <w:t>-</w:t>
            </w:r>
          </w:p>
        </w:tc>
        <w:tc>
          <w:tcPr>
            <w:tcW w:w="2835" w:type="dxa"/>
          </w:tcPr>
          <w:p w14:paraId="239488FC" w14:textId="77777777" w:rsidR="0079181F" w:rsidRDefault="0079181F" w:rsidP="0079181F">
            <w:pPr>
              <w:spacing w:before="60" w:after="60"/>
            </w:pPr>
            <w:r>
              <w:t>-</w:t>
            </w:r>
          </w:p>
        </w:tc>
      </w:tr>
      <w:tr w:rsidR="0079181F" w14:paraId="2DF71327" w14:textId="77777777" w:rsidTr="0079181F">
        <w:tc>
          <w:tcPr>
            <w:tcW w:w="236" w:type="dxa"/>
            <w:tcBorders>
              <w:right w:val="nil"/>
            </w:tcBorders>
          </w:tcPr>
          <w:p w14:paraId="0AEB5128" w14:textId="77777777" w:rsidR="0079181F" w:rsidRDefault="0079181F" w:rsidP="0079181F">
            <w:pPr>
              <w:spacing w:before="60" w:after="60"/>
            </w:pPr>
          </w:p>
        </w:tc>
        <w:tc>
          <w:tcPr>
            <w:tcW w:w="2172" w:type="dxa"/>
            <w:tcBorders>
              <w:left w:val="nil"/>
            </w:tcBorders>
          </w:tcPr>
          <w:p w14:paraId="00951C64" w14:textId="77777777" w:rsidR="0079181F" w:rsidRDefault="0079181F" w:rsidP="0079181F">
            <w:pPr>
              <w:spacing w:before="60" w:after="60"/>
            </w:pPr>
            <w:r>
              <w:t>18. Income taxes</w:t>
            </w:r>
          </w:p>
        </w:tc>
        <w:tc>
          <w:tcPr>
            <w:tcW w:w="2410" w:type="dxa"/>
          </w:tcPr>
          <w:p w14:paraId="37BF386D" w14:textId="5297A474" w:rsidR="0079181F" w:rsidRDefault="0079181F" w:rsidP="0079181F">
            <w:pPr>
              <w:spacing w:before="60" w:after="60"/>
            </w:pPr>
            <w:r>
              <w:t>-</w:t>
            </w:r>
          </w:p>
        </w:tc>
        <w:tc>
          <w:tcPr>
            <w:tcW w:w="2410" w:type="dxa"/>
          </w:tcPr>
          <w:p w14:paraId="736EC5EC" w14:textId="5294F671" w:rsidR="0079181F" w:rsidRDefault="0079181F" w:rsidP="0079181F">
            <w:pPr>
              <w:spacing w:before="60" w:after="60"/>
            </w:pPr>
            <w:r>
              <w:t>-</w:t>
            </w:r>
          </w:p>
        </w:tc>
        <w:tc>
          <w:tcPr>
            <w:tcW w:w="2835" w:type="dxa"/>
          </w:tcPr>
          <w:p w14:paraId="7BABE545" w14:textId="77777777" w:rsidR="0079181F" w:rsidRDefault="0079181F" w:rsidP="0079181F">
            <w:pPr>
              <w:spacing w:before="60" w:after="60"/>
            </w:pPr>
            <w:r>
              <w:t>-</w:t>
            </w:r>
          </w:p>
        </w:tc>
        <w:tc>
          <w:tcPr>
            <w:tcW w:w="2977" w:type="dxa"/>
          </w:tcPr>
          <w:p w14:paraId="4489A793" w14:textId="77777777" w:rsidR="0079181F" w:rsidRDefault="0079181F" w:rsidP="0079181F">
            <w:pPr>
              <w:spacing w:before="60" w:after="60"/>
            </w:pPr>
            <w:r>
              <w:t>-</w:t>
            </w:r>
          </w:p>
        </w:tc>
        <w:tc>
          <w:tcPr>
            <w:tcW w:w="2835" w:type="dxa"/>
          </w:tcPr>
          <w:p w14:paraId="6FEE8F29" w14:textId="77777777" w:rsidR="0079181F" w:rsidRDefault="0079181F" w:rsidP="0079181F">
            <w:pPr>
              <w:spacing w:before="60" w:after="60"/>
            </w:pPr>
            <w:r>
              <w:t>-</w:t>
            </w:r>
          </w:p>
        </w:tc>
      </w:tr>
      <w:tr w:rsidR="0079181F" w14:paraId="3D93726A" w14:textId="77777777" w:rsidTr="0079181F">
        <w:tc>
          <w:tcPr>
            <w:tcW w:w="236" w:type="dxa"/>
            <w:tcBorders>
              <w:right w:val="nil"/>
            </w:tcBorders>
          </w:tcPr>
          <w:p w14:paraId="7AA6915C" w14:textId="77777777" w:rsidR="0079181F" w:rsidRDefault="0079181F" w:rsidP="0079181F">
            <w:pPr>
              <w:spacing w:before="60" w:after="60"/>
            </w:pPr>
          </w:p>
        </w:tc>
        <w:tc>
          <w:tcPr>
            <w:tcW w:w="2172" w:type="dxa"/>
            <w:tcBorders>
              <w:left w:val="nil"/>
            </w:tcBorders>
          </w:tcPr>
          <w:p w14:paraId="63238096" w14:textId="77777777" w:rsidR="0079181F" w:rsidRDefault="0079181F" w:rsidP="0079181F">
            <w:pPr>
              <w:spacing w:before="60" w:after="60"/>
            </w:pPr>
            <w:r>
              <w:t>19. Foreign currency</w:t>
            </w:r>
          </w:p>
        </w:tc>
        <w:tc>
          <w:tcPr>
            <w:tcW w:w="2410" w:type="dxa"/>
          </w:tcPr>
          <w:p w14:paraId="7F19344D" w14:textId="1E8CC4BE" w:rsidR="0079181F" w:rsidRDefault="0079181F" w:rsidP="0079181F">
            <w:pPr>
              <w:spacing w:before="60" w:after="60"/>
            </w:pPr>
            <w:r>
              <w:t>-</w:t>
            </w:r>
          </w:p>
        </w:tc>
        <w:tc>
          <w:tcPr>
            <w:tcW w:w="2410" w:type="dxa"/>
          </w:tcPr>
          <w:p w14:paraId="6408F898" w14:textId="3DE46C3D" w:rsidR="0079181F" w:rsidRDefault="0079181F" w:rsidP="0079181F">
            <w:pPr>
              <w:spacing w:before="60" w:after="60"/>
            </w:pPr>
            <w:r>
              <w:t>-</w:t>
            </w:r>
          </w:p>
        </w:tc>
        <w:tc>
          <w:tcPr>
            <w:tcW w:w="2835" w:type="dxa"/>
          </w:tcPr>
          <w:p w14:paraId="4735D3F5" w14:textId="77777777" w:rsidR="0079181F" w:rsidRDefault="0079181F" w:rsidP="0079181F">
            <w:pPr>
              <w:spacing w:before="60" w:after="60"/>
            </w:pPr>
            <w:r>
              <w:t>-</w:t>
            </w:r>
          </w:p>
        </w:tc>
        <w:tc>
          <w:tcPr>
            <w:tcW w:w="2977" w:type="dxa"/>
          </w:tcPr>
          <w:p w14:paraId="6A926B66" w14:textId="77777777" w:rsidR="0079181F" w:rsidRDefault="0079181F" w:rsidP="0079181F">
            <w:pPr>
              <w:spacing w:before="60" w:after="60"/>
            </w:pPr>
            <w:r>
              <w:t>-</w:t>
            </w:r>
          </w:p>
        </w:tc>
        <w:tc>
          <w:tcPr>
            <w:tcW w:w="2835" w:type="dxa"/>
          </w:tcPr>
          <w:p w14:paraId="0E2F09B1" w14:textId="77777777" w:rsidR="0079181F" w:rsidRDefault="0079181F" w:rsidP="0079181F">
            <w:pPr>
              <w:spacing w:before="60" w:after="60"/>
            </w:pPr>
            <w:r>
              <w:t>-</w:t>
            </w:r>
          </w:p>
        </w:tc>
      </w:tr>
      <w:tr w:rsidR="0079181F" w14:paraId="1D017282" w14:textId="77777777" w:rsidTr="0079181F">
        <w:tc>
          <w:tcPr>
            <w:tcW w:w="236" w:type="dxa"/>
            <w:tcBorders>
              <w:right w:val="nil"/>
            </w:tcBorders>
          </w:tcPr>
          <w:p w14:paraId="5C991F4D" w14:textId="77777777" w:rsidR="0079181F" w:rsidRDefault="0079181F" w:rsidP="0079181F">
            <w:pPr>
              <w:spacing w:before="60" w:after="60"/>
            </w:pPr>
          </w:p>
        </w:tc>
        <w:tc>
          <w:tcPr>
            <w:tcW w:w="2172" w:type="dxa"/>
            <w:tcBorders>
              <w:left w:val="nil"/>
            </w:tcBorders>
          </w:tcPr>
          <w:p w14:paraId="7952C228" w14:textId="77777777" w:rsidR="0079181F" w:rsidRDefault="0079181F" w:rsidP="0079181F">
            <w:pPr>
              <w:spacing w:before="60" w:after="60"/>
            </w:pPr>
            <w:r>
              <w:t>20. Business combinations</w:t>
            </w:r>
          </w:p>
        </w:tc>
        <w:tc>
          <w:tcPr>
            <w:tcW w:w="2410" w:type="dxa"/>
          </w:tcPr>
          <w:p w14:paraId="498DA755" w14:textId="19647542" w:rsidR="0079181F" w:rsidRDefault="0079181F" w:rsidP="0079181F">
            <w:pPr>
              <w:spacing w:before="60" w:after="60"/>
            </w:pPr>
            <w:r>
              <w:t>Consideration given; assets/liabilities acquired (Art.s 11 and 12)</w:t>
            </w:r>
          </w:p>
        </w:tc>
        <w:tc>
          <w:tcPr>
            <w:tcW w:w="2410" w:type="dxa"/>
          </w:tcPr>
          <w:p w14:paraId="76EF7C07" w14:textId="04F86D81" w:rsidR="0079181F" w:rsidRDefault="0079181F" w:rsidP="0079181F">
            <w:pPr>
              <w:spacing w:before="60" w:after="60"/>
            </w:pPr>
            <w:r>
              <w:t>-</w:t>
            </w:r>
          </w:p>
        </w:tc>
        <w:tc>
          <w:tcPr>
            <w:tcW w:w="2835" w:type="dxa"/>
          </w:tcPr>
          <w:p w14:paraId="5C76105A" w14:textId="77777777" w:rsidR="0079181F" w:rsidRDefault="0079181F" w:rsidP="0079181F">
            <w:pPr>
              <w:spacing w:before="60" w:after="60"/>
            </w:pPr>
            <w:r>
              <w:t>-</w:t>
            </w:r>
          </w:p>
        </w:tc>
        <w:tc>
          <w:tcPr>
            <w:tcW w:w="2977" w:type="dxa"/>
          </w:tcPr>
          <w:p w14:paraId="118889F5" w14:textId="77777777" w:rsidR="0079181F" w:rsidRDefault="0079181F" w:rsidP="0079181F">
            <w:pPr>
              <w:spacing w:before="60" w:after="60"/>
            </w:pPr>
            <w:r>
              <w:t>-</w:t>
            </w:r>
          </w:p>
        </w:tc>
        <w:tc>
          <w:tcPr>
            <w:tcW w:w="2835" w:type="dxa"/>
          </w:tcPr>
          <w:p w14:paraId="3E214283" w14:textId="77777777" w:rsidR="0079181F" w:rsidRDefault="0079181F" w:rsidP="0079181F">
            <w:pPr>
              <w:spacing w:before="60" w:after="60"/>
            </w:pPr>
            <w:r>
              <w:t>-</w:t>
            </w:r>
          </w:p>
        </w:tc>
      </w:tr>
      <w:tr w:rsidR="0079181F" w14:paraId="562177FD" w14:textId="77777777" w:rsidTr="0079181F">
        <w:tc>
          <w:tcPr>
            <w:tcW w:w="236" w:type="dxa"/>
            <w:tcBorders>
              <w:right w:val="nil"/>
            </w:tcBorders>
          </w:tcPr>
          <w:p w14:paraId="5B92B3AD" w14:textId="77777777" w:rsidR="0079181F" w:rsidRDefault="0079181F" w:rsidP="0079181F">
            <w:pPr>
              <w:spacing w:before="60" w:after="60"/>
            </w:pPr>
          </w:p>
        </w:tc>
        <w:tc>
          <w:tcPr>
            <w:tcW w:w="2172" w:type="dxa"/>
            <w:tcBorders>
              <w:left w:val="nil"/>
            </w:tcBorders>
          </w:tcPr>
          <w:p w14:paraId="2603D482" w14:textId="5858CA7C" w:rsidR="0079181F" w:rsidRDefault="0079181F" w:rsidP="0079181F">
            <w:pPr>
              <w:spacing w:before="60" w:after="60"/>
            </w:pPr>
            <w:r>
              <w:t xml:space="preserve">21. Leases </w:t>
            </w:r>
            <w:r w:rsidRPr="002D1EB9">
              <w:rPr>
                <w:i/>
              </w:rPr>
              <w:t>[Amended in 2018]</w:t>
            </w:r>
          </w:p>
        </w:tc>
        <w:tc>
          <w:tcPr>
            <w:tcW w:w="2410" w:type="dxa"/>
          </w:tcPr>
          <w:p w14:paraId="2F0F8C70" w14:textId="3E7345D3" w:rsidR="0079181F" w:rsidRDefault="0079181F" w:rsidP="0079181F">
            <w:pPr>
              <w:spacing w:before="60" w:after="60"/>
            </w:pPr>
            <w:r>
              <w:t xml:space="preserve">Leased asset (if lower than DCF of liability) (Art.11) </w:t>
            </w:r>
            <w:r w:rsidRPr="002D1EB9">
              <w:rPr>
                <w:i/>
              </w:rPr>
              <w:t xml:space="preserve">[No longer relevant; asset measure </w:t>
            </w:r>
            <w:r w:rsidR="005F56DB">
              <w:rPr>
                <w:i/>
              </w:rPr>
              <w:t xml:space="preserve">now </w:t>
            </w:r>
            <w:r w:rsidRPr="002D1EB9">
              <w:rPr>
                <w:i/>
              </w:rPr>
              <w:t>based on liability]</w:t>
            </w:r>
          </w:p>
        </w:tc>
        <w:tc>
          <w:tcPr>
            <w:tcW w:w="2410" w:type="dxa"/>
          </w:tcPr>
          <w:p w14:paraId="7BFC3ED6" w14:textId="5A594DEE" w:rsidR="0079181F" w:rsidRDefault="0079181F" w:rsidP="0079181F">
            <w:pPr>
              <w:spacing w:before="60" w:after="60"/>
            </w:pPr>
            <w:r>
              <w:t>-</w:t>
            </w:r>
          </w:p>
        </w:tc>
        <w:tc>
          <w:tcPr>
            <w:tcW w:w="2835" w:type="dxa"/>
          </w:tcPr>
          <w:p w14:paraId="1703A01D" w14:textId="77777777" w:rsidR="0079181F" w:rsidRDefault="0079181F" w:rsidP="0079181F">
            <w:pPr>
              <w:spacing w:before="60" w:after="60"/>
            </w:pPr>
            <w:r>
              <w:t>-</w:t>
            </w:r>
          </w:p>
        </w:tc>
        <w:tc>
          <w:tcPr>
            <w:tcW w:w="2977" w:type="dxa"/>
          </w:tcPr>
          <w:p w14:paraId="1A5D99F7" w14:textId="77777777" w:rsidR="0079181F" w:rsidRDefault="0079181F" w:rsidP="0079181F">
            <w:pPr>
              <w:spacing w:before="60" w:after="60"/>
            </w:pPr>
            <w:r>
              <w:t>-</w:t>
            </w:r>
          </w:p>
        </w:tc>
        <w:tc>
          <w:tcPr>
            <w:tcW w:w="2835" w:type="dxa"/>
          </w:tcPr>
          <w:p w14:paraId="13E8696F" w14:textId="674A733C" w:rsidR="0079181F" w:rsidRDefault="0079181F" w:rsidP="0079181F">
            <w:pPr>
              <w:spacing w:before="60" w:after="60"/>
            </w:pPr>
            <w:r>
              <w:t xml:space="preserve">Criteria for identifying </w:t>
            </w:r>
            <w:r w:rsidR="005F56DB">
              <w:t xml:space="preserve">a </w:t>
            </w:r>
            <w:r>
              <w:t>finance lease (Art. 6) [</w:t>
            </w:r>
            <w:r w:rsidRPr="002D1EB9">
              <w:rPr>
                <w:i/>
              </w:rPr>
              <w:t>now Article 36 and only relevant for lessors; method of determining discount rate (Art. 17)]</w:t>
            </w:r>
          </w:p>
        </w:tc>
      </w:tr>
      <w:tr w:rsidR="0079181F" w14:paraId="08E9AE16" w14:textId="77777777" w:rsidTr="0079181F">
        <w:tc>
          <w:tcPr>
            <w:tcW w:w="236" w:type="dxa"/>
            <w:tcBorders>
              <w:right w:val="nil"/>
            </w:tcBorders>
          </w:tcPr>
          <w:p w14:paraId="5D0510FE" w14:textId="77777777" w:rsidR="0079181F" w:rsidRDefault="0079181F" w:rsidP="0079181F">
            <w:pPr>
              <w:spacing w:before="60" w:after="60"/>
            </w:pPr>
          </w:p>
        </w:tc>
        <w:tc>
          <w:tcPr>
            <w:tcW w:w="2172" w:type="dxa"/>
            <w:tcBorders>
              <w:left w:val="nil"/>
            </w:tcBorders>
          </w:tcPr>
          <w:p w14:paraId="2669CDF8" w14:textId="2BB3A69C" w:rsidR="0079181F" w:rsidRDefault="0079181F" w:rsidP="0079181F">
            <w:pPr>
              <w:spacing w:before="60" w:after="60"/>
            </w:pPr>
            <w:r>
              <w:t xml:space="preserve">22. Financial instruments </w:t>
            </w:r>
            <w:r>
              <w:rPr>
                <w:i/>
              </w:rPr>
              <w:t>[amended in 2017</w:t>
            </w:r>
            <w:r w:rsidRPr="00C96F5B">
              <w:rPr>
                <w:i/>
              </w:rPr>
              <w:t>; no</w:t>
            </w:r>
            <w:r>
              <w:rPr>
                <w:i/>
              </w:rPr>
              <w:t xml:space="preserve"> effect</w:t>
            </w:r>
            <w:r w:rsidRPr="00C96F5B">
              <w:rPr>
                <w:i/>
              </w:rPr>
              <w:t xml:space="preserve"> on </w:t>
            </w:r>
            <w:r>
              <w:rPr>
                <w:i/>
              </w:rPr>
              <w:t xml:space="preserve">this </w:t>
            </w:r>
            <w:r w:rsidRPr="00C96F5B">
              <w:rPr>
                <w:i/>
              </w:rPr>
              <w:t>table]</w:t>
            </w:r>
          </w:p>
        </w:tc>
        <w:tc>
          <w:tcPr>
            <w:tcW w:w="2410" w:type="dxa"/>
          </w:tcPr>
          <w:p w14:paraId="3982553F" w14:textId="32936517" w:rsidR="0079181F" w:rsidRDefault="0079181F" w:rsidP="0079181F">
            <w:pPr>
              <w:spacing w:before="60" w:after="60"/>
            </w:pPr>
            <w:r>
              <w:t xml:space="preserve">Most instruments (Art.30, </w:t>
            </w:r>
            <w:r>
              <w:rPr>
                <w:i/>
              </w:rPr>
              <w:t xml:space="preserve">now Art. 33 </w:t>
            </w:r>
            <w:r>
              <w:t>)</w:t>
            </w:r>
          </w:p>
        </w:tc>
        <w:tc>
          <w:tcPr>
            <w:tcW w:w="2410" w:type="dxa"/>
          </w:tcPr>
          <w:p w14:paraId="440F79F0" w14:textId="028B6A86" w:rsidR="0079181F" w:rsidRDefault="0079181F" w:rsidP="0079181F">
            <w:pPr>
              <w:spacing w:before="60" w:after="60"/>
            </w:pPr>
            <w:r>
              <w:t xml:space="preserve">Certain types of instrument (Art. 32+, </w:t>
            </w:r>
            <w:r w:rsidRPr="00A84429">
              <w:rPr>
                <w:i/>
              </w:rPr>
              <w:t>now Art. 16</w:t>
            </w:r>
            <w:r>
              <w:rPr>
                <w:i/>
              </w:rPr>
              <w:t>+</w:t>
            </w:r>
            <w:r>
              <w:t>)</w:t>
            </w:r>
          </w:p>
        </w:tc>
        <w:tc>
          <w:tcPr>
            <w:tcW w:w="2835" w:type="dxa"/>
          </w:tcPr>
          <w:p w14:paraId="20C5B3AC" w14:textId="77777777" w:rsidR="0079181F" w:rsidRDefault="0079181F" w:rsidP="0079181F">
            <w:pPr>
              <w:spacing w:before="60" w:after="60"/>
            </w:pPr>
            <w:r>
              <w:t xml:space="preserve">Designated instruments (Art. 10, </w:t>
            </w:r>
            <w:r w:rsidRPr="00A84429">
              <w:rPr>
                <w:i/>
              </w:rPr>
              <w:t>now Art. 20</w:t>
            </w:r>
            <w:r>
              <w:t>)</w:t>
            </w:r>
          </w:p>
        </w:tc>
        <w:tc>
          <w:tcPr>
            <w:tcW w:w="2977" w:type="dxa"/>
          </w:tcPr>
          <w:p w14:paraId="6D25DC28" w14:textId="77777777" w:rsidR="0079181F" w:rsidRDefault="0079181F" w:rsidP="0079181F">
            <w:pPr>
              <w:spacing w:before="60" w:after="60"/>
            </w:pPr>
            <w:r>
              <w:t>-</w:t>
            </w:r>
          </w:p>
        </w:tc>
        <w:tc>
          <w:tcPr>
            <w:tcW w:w="2835" w:type="dxa"/>
          </w:tcPr>
          <w:p w14:paraId="607BD00F" w14:textId="77777777" w:rsidR="0079181F" w:rsidRDefault="0079181F" w:rsidP="0079181F">
            <w:pPr>
              <w:spacing w:before="60" w:after="60"/>
            </w:pPr>
            <w:r>
              <w:t>-</w:t>
            </w:r>
          </w:p>
        </w:tc>
      </w:tr>
      <w:tr w:rsidR="0079181F" w14:paraId="735B0C4F" w14:textId="77777777" w:rsidTr="0079181F">
        <w:tc>
          <w:tcPr>
            <w:tcW w:w="236" w:type="dxa"/>
            <w:tcBorders>
              <w:right w:val="nil"/>
            </w:tcBorders>
          </w:tcPr>
          <w:p w14:paraId="07C84548" w14:textId="77777777" w:rsidR="0079181F" w:rsidRDefault="0079181F" w:rsidP="0079181F">
            <w:pPr>
              <w:spacing w:before="60" w:after="60"/>
            </w:pPr>
          </w:p>
        </w:tc>
        <w:tc>
          <w:tcPr>
            <w:tcW w:w="2172" w:type="dxa"/>
            <w:tcBorders>
              <w:left w:val="nil"/>
            </w:tcBorders>
          </w:tcPr>
          <w:p w14:paraId="291692FB" w14:textId="260B897D" w:rsidR="0079181F" w:rsidRDefault="0079181F" w:rsidP="0079181F">
            <w:pPr>
              <w:spacing w:before="60" w:after="60"/>
            </w:pPr>
            <w:r>
              <w:t xml:space="preserve">23. Transfer of financial assets </w:t>
            </w:r>
            <w:r>
              <w:rPr>
                <w:i/>
              </w:rPr>
              <w:t>[amended in 2017</w:t>
            </w:r>
            <w:r w:rsidRPr="00C96F5B">
              <w:rPr>
                <w:i/>
              </w:rPr>
              <w:t>; no</w:t>
            </w:r>
            <w:r>
              <w:rPr>
                <w:i/>
              </w:rPr>
              <w:t xml:space="preserve"> effect</w:t>
            </w:r>
            <w:r w:rsidRPr="00C96F5B">
              <w:rPr>
                <w:i/>
              </w:rPr>
              <w:t xml:space="preserve"> on </w:t>
            </w:r>
            <w:r>
              <w:rPr>
                <w:i/>
              </w:rPr>
              <w:t xml:space="preserve">this </w:t>
            </w:r>
            <w:r w:rsidRPr="00C96F5B">
              <w:rPr>
                <w:i/>
              </w:rPr>
              <w:t>table]</w:t>
            </w:r>
          </w:p>
        </w:tc>
        <w:tc>
          <w:tcPr>
            <w:tcW w:w="2410" w:type="dxa"/>
          </w:tcPr>
          <w:p w14:paraId="5B99E644" w14:textId="77777777" w:rsidR="0079181F" w:rsidRDefault="0079181F" w:rsidP="0079181F">
            <w:pPr>
              <w:spacing w:before="60" w:after="60"/>
            </w:pPr>
            <w:r>
              <w:t xml:space="preserve">Some instruments (Art. 12, </w:t>
            </w:r>
            <w:r w:rsidRPr="00A01EFE">
              <w:rPr>
                <w:i/>
              </w:rPr>
              <w:t>now Art. 24</w:t>
            </w:r>
            <w:r>
              <w:t>)</w:t>
            </w:r>
          </w:p>
          <w:p w14:paraId="0A6D9D1B" w14:textId="77777777" w:rsidR="0079181F" w:rsidRDefault="0079181F" w:rsidP="0079181F">
            <w:pPr>
              <w:spacing w:before="60" w:after="60"/>
            </w:pPr>
          </w:p>
        </w:tc>
        <w:tc>
          <w:tcPr>
            <w:tcW w:w="2410" w:type="dxa"/>
          </w:tcPr>
          <w:p w14:paraId="62116705" w14:textId="580D1F10" w:rsidR="0079181F" w:rsidRDefault="0079181F" w:rsidP="0079181F">
            <w:pPr>
              <w:spacing w:before="60" w:after="60"/>
            </w:pPr>
            <w:r>
              <w:t>-</w:t>
            </w:r>
          </w:p>
        </w:tc>
        <w:tc>
          <w:tcPr>
            <w:tcW w:w="2835" w:type="dxa"/>
          </w:tcPr>
          <w:p w14:paraId="50AA21BA" w14:textId="77777777" w:rsidR="0079181F" w:rsidRDefault="0079181F" w:rsidP="0079181F">
            <w:pPr>
              <w:spacing w:before="60" w:after="60"/>
            </w:pPr>
            <w:r>
              <w:t>-</w:t>
            </w:r>
          </w:p>
        </w:tc>
        <w:tc>
          <w:tcPr>
            <w:tcW w:w="2977" w:type="dxa"/>
          </w:tcPr>
          <w:p w14:paraId="7344218D" w14:textId="77777777" w:rsidR="0079181F" w:rsidRDefault="0079181F" w:rsidP="0079181F">
            <w:pPr>
              <w:spacing w:before="60" w:after="60"/>
            </w:pPr>
            <w:r>
              <w:t>-</w:t>
            </w:r>
          </w:p>
        </w:tc>
        <w:tc>
          <w:tcPr>
            <w:tcW w:w="2835" w:type="dxa"/>
          </w:tcPr>
          <w:p w14:paraId="17C81F07" w14:textId="77777777" w:rsidR="0079181F" w:rsidRDefault="0079181F" w:rsidP="0079181F">
            <w:pPr>
              <w:spacing w:before="60" w:after="60"/>
            </w:pPr>
            <w:r>
              <w:t>-</w:t>
            </w:r>
          </w:p>
        </w:tc>
      </w:tr>
      <w:tr w:rsidR="0079181F" w14:paraId="2FB9B1CF" w14:textId="77777777" w:rsidTr="0079181F">
        <w:tc>
          <w:tcPr>
            <w:tcW w:w="236" w:type="dxa"/>
            <w:tcBorders>
              <w:right w:val="nil"/>
            </w:tcBorders>
          </w:tcPr>
          <w:p w14:paraId="06F41875" w14:textId="77777777" w:rsidR="0079181F" w:rsidRDefault="0079181F" w:rsidP="0079181F">
            <w:pPr>
              <w:spacing w:before="60" w:after="60"/>
            </w:pPr>
          </w:p>
        </w:tc>
        <w:tc>
          <w:tcPr>
            <w:tcW w:w="2172" w:type="dxa"/>
            <w:tcBorders>
              <w:left w:val="nil"/>
            </w:tcBorders>
          </w:tcPr>
          <w:p w14:paraId="5D5AE764" w14:textId="23A63995" w:rsidR="0079181F" w:rsidRDefault="0079181F" w:rsidP="0079181F">
            <w:pPr>
              <w:spacing w:before="60" w:after="60"/>
            </w:pPr>
            <w:r>
              <w:t xml:space="preserve">24. Hedging </w:t>
            </w:r>
            <w:r>
              <w:rPr>
                <w:i/>
              </w:rPr>
              <w:t>[amended in 2017</w:t>
            </w:r>
            <w:r w:rsidRPr="00C96F5B">
              <w:rPr>
                <w:i/>
              </w:rPr>
              <w:t>; no</w:t>
            </w:r>
            <w:r>
              <w:rPr>
                <w:i/>
              </w:rPr>
              <w:t xml:space="preserve"> effect</w:t>
            </w:r>
            <w:r w:rsidRPr="00C96F5B">
              <w:rPr>
                <w:i/>
              </w:rPr>
              <w:t xml:space="preserve"> on </w:t>
            </w:r>
            <w:r>
              <w:rPr>
                <w:i/>
              </w:rPr>
              <w:t xml:space="preserve">this </w:t>
            </w:r>
            <w:r w:rsidRPr="00C96F5B">
              <w:rPr>
                <w:i/>
              </w:rPr>
              <w:t>table]</w:t>
            </w:r>
          </w:p>
        </w:tc>
        <w:tc>
          <w:tcPr>
            <w:tcW w:w="2410" w:type="dxa"/>
          </w:tcPr>
          <w:p w14:paraId="2BF67067" w14:textId="3A23A069" w:rsidR="0079181F" w:rsidRDefault="0079181F" w:rsidP="0079181F">
            <w:pPr>
              <w:spacing w:before="60" w:after="60"/>
            </w:pPr>
            <w:r>
              <w:t>-</w:t>
            </w:r>
          </w:p>
        </w:tc>
        <w:tc>
          <w:tcPr>
            <w:tcW w:w="2410" w:type="dxa"/>
          </w:tcPr>
          <w:p w14:paraId="036BCB96" w14:textId="2A30C4B0" w:rsidR="0079181F" w:rsidRDefault="0079181F" w:rsidP="0079181F">
            <w:pPr>
              <w:spacing w:before="60" w:after="60"/>
            </w:pPr>
            <w:r>
              <w:t>-</w:t>
            </w:r>
          </w:p>
        </w:tc>
        <w:tc>
          <w:tcPr>
            <w:tcW w:w="2835" w:type="dxa"/>
          </w:tcPr>
          <w:p w14:paraId="596DEE51" w14:textId="77777777" w:rsidR="0079181F" w:rsidRDefault="0079181F" w:rsidP="0079181F">
            <w:pPr>
              <w:spacing w:before="60" w:after="60"/>
            </w:pPr>
            <w:r>
              <w:t>-</w:t>
            </w:r>
          </w:p>
        </w:tc>
        <w:tc>
          <w:tcPr>
            <w:tcW w:w="2977" w:type="dxa"/>
          </w:tcPr>
          <w:p w14:paraId="1B1225A1" w14:textId="77777777" w:rsidR="0079181F" w:rsidRDefault="0079181F" w:rsidP="0079181F">
            <w:pPr>
              <w:spacing w:before="60" w:after="60"/>
            </w:pPr>
            <w:r>
              <w:t>-</w:t>
            </w:r>
          </w:p>
        </w:tc>
        <w:tc>
          <w:tcPr>
            <w:tcW w:w="2835" w:type="dxa"/>
          </w:tcPr>
          <w:p w14:paraId="223A4019" w14:textId="77777777" w:rsidR="0079181F" w:rsidRDefault="0079181F" w:rsidP="0079181F">
            <w:pPr>
              <w:spacing w:before="60" w:after="60"/>
            </w:pPr>
            <w:r>
              <w:t>Mentioned throughout for hedging criteria and treatment of gains and losses</w:t>
            </w:r>
          </w:p>
        </w:tc>
      </w:tr>
      <w:tr w:rsidR="0079181F" w14:paraId="047504AA" w14:textId="77777777" w:rsidTr="0079181F">
        <w:tc>
          <w:tcPr>
            <w:tcW w:w="236" w:type="dxa"/>
            <w:tcBorders>
              <w:right w:val="nil"/>
            </w:tcBorders>
          </w:tcPr>
          <w:p w14:paraId="01E72AEB" w14:textId="77777777" w:rsidR="0079181F" w:rsidRDefault="0079181F" w:rsidP="0079181F">
            <w:pPr>
              <w:spacing w:before="60" w:after="60"/>
            </w:pPr>
          </w:p>
        </w:tc>
        <w:tc>
          <w:tcPr>
            <w:tcW w:w="2172" w:type="dxa"/>
            <w:tcBorders>
              <w:left w:val="nil"/>
            </w:tcBorders>
          </w:tcPr>
          <w:p w14:paraId="1C662F3F" w14:textId="77777777" w:rsidR="0079181F" w:rsidRDefault="0079181F" w:rsidP="0079181F">
            <w:pPr>
              <w:spacing w:before="60" w:after="60"/>
            </w:pPr>
            <w:r>
              <w:t>25. Insurance contracts</w:t>
            </w:r>
          </w:p>
        </w:tc>
        <w:tc>
          <w:tcPr>
            <w:tcW w:w="2410" w:type="dxa"/>
          </w:tcPr>
          <w:p w14:paraId="2776234C" w14:textId="03CDB098" w:rsidR="0079181F" w:rsidRDefault="0079181F" w:rsidP="0079181F">
            <w:pPr>
              <w:spacing w:before="60" w:after="60"/>
            </w:pPr>
            <w:r>
              <w:t>-</w:t>
            </w:r>
          </w:p>
        </w:tc>
        <w:tc>
          <w:tcPr>
            <w:tcW w:w="2410" w:type="dxa"/>
          </w:tcPr>
          <w:p w14:paraId="172F4E5F" w14:textId="2842D871" w:rsidR="0079181F" w:rsidRDefault="0079181F" w:rsidP="0079181F">
            <w:pPr>
              <w:spacing w:before="60" w:after="60"/>
            </w:pPr>
            <w:r>
              <w:t>-</w:t>
            </w:r>
          </w:p>
        </w:tc>
        <w:tc>
          <w:tcPr>
            <w:tcW w:w="2835" w:type="dxa"/>
          </w:tcPr>
          <w:p w14:paraId="0CDE4BC3" w14:textId="77777777" w:rsidR="0079181F" w:rsidRDefault="0079181F" w:rsidP="0079181F">
            <w:pPr>
              <w:spacing w:before="60" w:after="60"/>
            </w:pPr>
            <w:r>
              <w:t>-</w:t>
            </w:r>
          </w:p>
        </w:tc>
        <w:tc>
          <w:tcPr>
            <w:tcW w:w="2977" w:type="dxa"/>
          </w:tcPr>
          <w:p w14:paraId="5DF62319" w14:textId="77777777" w:rsidR="0079181F" w:rsidRDefault="0079181F" w:rsidP="0079181F">
            <w:pPr>
              <w:spacing w:before="60" w:after="60"/>
            </w:pPr>
            <w:r>
              <w:t>-</w:t>
            </w:r>
          </w:p>
        </w:tc>
        <w:tc>
          <w:tcPr>
            <w:tcW w:w="2835" w:type="dxa"/>
          </w:tcPr>
          <w:p w14:paraId="46AD6128" w14:textId="77777777" w:rsidR="0079181F" w:rsidRDefault="0079181F" w:rsidP="0079181F">
            <w:pPr>
              <w:spacing w:before="60" w:after="60"/>
            </w:pPr>
            <w:r>
              <w:t>-</w:t>
            </w:r>
          </w:p>
        </w:tc>
      </w:tr>
      <w:tr w:rsidR="0079181F" w14:paraId="3BD03041" w14:textId="77777777" w:rsidTr="0079181F">
        <w:tc>
          <w:tcPr>
            <w:tcW w:w="236" w:type="dxa"/>
            <w:tcBorders>
              <w:right w:val="nil"/>
            </w:tcBorders>
          </w:tcPr>
          <w:p w14:paraId="1840AC07" w14:textId="77777777" w:rsidR="0079181F" w:rsidRDefault="0079181F" w:rsidP="0079181F">
            <w:pPr>
              <w:spacing w:before="60" w:after="60"/>
            </w:pPr>
          </w:p>
        </w:tc>
        <w:tc>
          <w:tcPr>
            <w:tcW w:w="2172" w:type="dxa"/>
            <w:tcBorders>
              <w:left w:val="nil"/>
            </w:tcBorders>
          </w:tcPr>
          <w:p w14:paraId="041439DA" w14:textId="77777777" w:rsidR="0079181F" w:rsidRDefault="0079181F" w:rsidP="0079181F">
            <w:pPr>
              <w:spacing w:before="60" w:after="60"/>
            </w:pPr>
            <w:r>
              <w:t>26. Reinsurance</w:t>
            </w:r>
          </w:p>
        </w:tc>
        <w:tc>
          <w:tcPr>
            <w:tcW w:w="2410" w:type="dxa"/>
          </w:tcPr>
          <w:p w14:paraId="570C7114" w14:textId="04FC5F89" w:rsidR="0079181F" w:rsidRDefault="0079181F" w:rsidP="0079181F">
            <w:pPr>
              <w:spacing w:before="60" w:after="60"/>
            </w:pPr>
            <w:r>
              <w:t>-</w:t>
            </w:r>
          </w:p>
        </w:tc>
        <w:tc>
          <w:tcPr>
            <w:tcW w:w="2410" w:type="dxa"/>
          </w:tcPr>
          <w:p w14:paraId="16FC013E" w14:textId="7A34CF95" w:rsidR="0079181F" w:rsidRDefault="0079181F" w:rsidP="0079181F">
            <w:pPr>
              <w:spacing w:before="60" w:after="60"/>
            </w:pPr>
            <w:r>
              <w:t>-</w:t>
            </w:r>
          </w:p>
        </w:tc>
        <w:tc>
          <w:tcPr>
            <w:tcW w:w="2835" w:type="dxa"/>
          </w:tcPr>
          <w:p w14:paraId="5CC85EF8" w14:textId="77777777" w:rsidR="0079181F" w:rsidRDefault="0079181F" w:rsidP="0079181F">
            <w:pPr>
              <w:spacing w:before="60" w:after="60"/>
            </w:pPr>
            <w:r>
              <w:t>-</w:t>
            </w:r>
          </w:p>
        </w:tc>
        <w:tc>
          <w:tcPr>
            <w:tcW w:w="2977" w:type="dxa"/>
          </w:tcPr>
          <w:p w14:paraId="53E6EC14" w14:textId="77777777" w:rsidR="0079181F" w:rsidRDefault="0079181F" w:rsidP="0079181F">
            <w:pPr>
              <w:spacing w:before="60" w:after="60"/>
            </w:pPr>
            <w:r>
              <w:t>-</w:t>
            </w:r>
          </w:p>
        </w:tc>
        <w:tc>
          <w:tcPr>
            <w:tcW w:w="2835" w:type="dxa"/>
          </w:tcPr>
          <w:p w14:paraId="5CFB9D58" w14:textId="77777777" w:rsidR="0079181F" w:rsidRDefault="0079181F" w:rsidP="0079181F">
            <w:pPr>
              <w:spacing w:before="60" w:after="60"/>
            </w:pPr>
            <w:r>
              <w:t>-</w:t>
            </w:r>
          </w:p>
        </w:tc>
      </w:tr>
      <w:tr w:rsidR="0079181F" w14:paraId="20CB2371" w14:textId="77777777" w:rsidTr="0079181F">
        <w:tc>
          <w:tcPr>
            <w:tcW w:w="236" w:type="dxa"/>
            <w:tcBorders>
              <w:right w:val="nil"/>
            </w:tcBorders>
          </w:tcPr>
          <w:p w14:paraId="3CD80E0C" w14:textId="77777777" w:rsidR="0079181F" w:rsidRDefault="0079181F" w:rsidP="0079181F">
            <w:pPr>
              <w:spacing w:before="60" w:after="60"/>
            </w:pPr>
          </w:p>
        </w:tc>
        <w:tc>
          <w:tcPr>
            <w:tcW w:w="2172" w:type="dxa"/>
            <w:tcBorders>
              <w:left w:val="nil"/>
            </w:tcBorders>
          </w:tcPr>
          <w:p w14:paraId="479FB36F" w14:textId="77777777" w:rsidR="0079181F" w:rsidRDefault="0079181F" w:rsidP="0079181F">
            <w:pPr>
              <w:spacing w:before="60" w:after="60"/>
            </w:pPr>
            <w:r>
              <w:t>27. Extractive industries</w:t>
            </w:r>
          </w:p>
        </w:tc>
        <w:tc>
          <w:tcPr>
            <w:tcW w:w="2410" w:type="dxa"/>
          </w:tcPr>
          <w:p w14:paraId="205475D4" w14:textId="60E9B39B" w:rsidR="0079181F" w:rsidRDefault="0079181F" w:rsidP="0079181F">
            <w:pPr>
              <w:spacing w:before="60" w:after="60"/>
            </w:pPr>
            <w:r>
              <w:t>-</w:t>
            </w:r>
          </w:p>
        </w:tc>
        <w:tc>
          <w:tcPr>
            <w:tcW w:w="2410" w:type="dxa"/>
          </w:tcPr>
          <w:p w14:paraId="54B37154" w14:textId="135AE01D" w:rsidR="0079181F" w:rsidRDefault="0079181F" w:rsidP="0079181F">
            <w:pPr>
              <w:spacing w:before="60" w:after="60"/>
            </w:pPr>
            <w:r>
              <w:t>-</w:t>
            </w:r>
          </w:p>
        </w:tc>
        <w:tc>
          <w:tcPr>
            <w:tcW w:w="2835" w:type="dxa"/>
          </w:tcPr>
          <w:p w14:paraId="030F92B7" w14:textId="77777777" w:rsidR="0079181F" w:rsidRDefault="0079181F" w:rsidP="0079181F">
            <w:pPr>
              <w:spacing w:before="60" w:after="60"/>
            </w:pPr>
            <w:r>
              <w:t>-</w:t>
            </w:r>
          </w:p>
        </w:tc>
        <w:tc>
          <w:tcPr>
            <w:tcW w:w="2977" w:type="dxa"/>
          </w:tcPr>
          <w:p w14:paraId="3ED30B2A" w14:textId="1C4C712E" w:rsidR="0079181F" w:rsidRPr="00193CCD" w:rsidRDefault="003667AF" w:rsidP="0079181F">
            <w:pPr>
              <w:spacing w:before="60" w:after="60"/>
              <w:rPr>
                <w:vertAlign w:val="superscript"/>
              </w:rPr>
            </w:pPr>
            <w:r>
              <w:t>For impairment, ASBE 8 generally applies, except for unproved mining rights, for which an impairment test based on fair value is used (Art. 7)</w:t>
            </w:r>
          </w:p>
        </w:tc>
        <w:tc>
          <w:tcPr>
            <w:tcW w:w="2835" w:type="dxa"/>
          </w:tcPr>
          <w:p w14:paraId="41602729" w14:textId="77777777" w:rsidR="0079181F" w:rsidRDefault="0079181F" w:rsidP="0079181F">
            <w:pPr>
              <w:spacing w:before="60" w:after="60"/>
            </w:pPr>
            <w:r>
              <w:t>For pro rata calculation of partial disposals (Art. 8)</w:t>
            </w:r>
          </w:p>
        </w:tc>
      </w:tr>
      <w:tr w:rsidR="0079181F" w14:paraId="40E73CA4" w14:textId="77777777" w:rsidTr="0079181F">
        <w:tc>
          <w:tcPr>
            <w:tcW w:w="236" w:type="dxa"/>
            <w:tcBorders>
              <w:right w:val="nil"/>
            </w:tcBorders>
          </w:tcPr>
          <w:p w14:paraId="2C1B6DD5" w14:textId="77777777" w:rsidR="0079181F" w:rsidRDefault="0079181F" w:rsidP="0079181F">
            <w:pPr>
              <w:spacing w:before="60" w:after="60"/>
            </w:pPr>
          </w:p>
        </w:tc>
        <w:tc>
          <w:tcPr>
            <w:tcW w:w="2172" w:type="dxa"/>
            <w:tcBorders>
              <w:left w:val="nil"/>
            </w:tcBorders>
          </w:tcPr>
          <w:p w14:paraId="33515EAB" w14:textId="77777777" w:rsidR="0079181F" w:rsidRDefault="0079181F" w:rsidP="0079181F">
            <w:pPr>
              <w:spacing w:before="60" w:after="60"/>
            </w:pPr>
            <w:r>
              <w:t>28. Accounting policies</w:t>
            </w:r>
          </w:p>
        </w:tc>
        <w:tc>
          <w:tcPr>
            <w:tcW w:w="2410" w:type="dxa"/>
          </w:tcPr>
          <w:p w14:paraId="1F20C1E9" w14:textId="009C1AED" w:rsidR="0079181F" w:rsidRDefault="0079181F" w:rsidP="0079181F">
            <w:pPr>
              <w:spacing w:before="60" w:after="60"/>
            </w:pPr>
            <w:r>
              <w:t>-</w:t>
            </w:r>
          </w:p>
        </w:tc>
        <w:tc>
          <w:tcPr>
            <w:tcW w:w="2410" w:type="dxa"/>
          </w:tcPr>
          <w:p w14:paraId="53A99B3D" w14:textId="63390FD1" w:rsidR="0079181F" w:rsidRDefault="0079181F" w:rsidP="0079181F">
            <w:pPr>
              <w:spacing w:before="60" w:after="60"/>
            </w:pPr>
            <w:r>
              <w:t>-</w:t>
            </w:r>
          </w:p>
        </w:tc>
        <w:tc>
          <w:tcPr>
            <w:tcW w:w="2835" w:type="dxa"/>
          </w:tcPr>
          <w:p w14:paraId="2CB55A30" w14:textId="77777777" w:rsidR="0079181F" w:rsidRDefault="0079181F" w:rsidP="0079181F">
            <w:pPr>
              <w:spacing w:before="60" w:after="60"/>
            </w:pPr>
            <w:r>
              <w:t>-</w:t>
            </w:r>
          </w:p>
        </w:tc>
        <w:tc>
          <w:tcPr>
            <w:tcW w:w="2977" w:type="dxa"/>
          </w:tcPr>
          <w:p w14:paraId="0D6FCEA2" w14:textId="77777777" w:rsidR="0079181F" w:rsidRDefault="0079181F" w:rsidP="0079181F">
            <w:pPr>
              <w:spacing w:before="60" w:after="60"/>
            </w:pPr>
            <w:r>
              <w:t>-</w:t>
            </w:r>
          </w:p>
        </w:tc>
        <w:tc>
          <w:tcPr>
            <w:tcW w:w="2835" w:type="dxa"/>
          </w:tcPr>
          <w:p w14:paraId="1556E04A" w14:textId="77777777" w:rsidR="0079181F" w:rsidRDefault="0079181F" w:rsidP="0079181F">
            <w:pPr>
              <w:spacing w:before="60" w:after="60"/>
            </w:pPr>
            <w:r>
              <w:t>-</w:t>
            </w:r>
          </w:p>
        </w:tc>
      </w:tr>
      <w:tr w:rsidR="0079181F" w14:paraId="5B342C9A" w14:textId="77777777" w:rsidTr="0079181F">
        <w:tc>
          <w:tcPr>
            <w:tcW w:w="236" w:type="dxa"/>
            <w:tcBorders>
              <w:right w:val="nil"/>
            </w:tcBorders>
          </w:tcPr>
          <w:p w14:paraId="020E3D8B" w14:textId="77777777" w:rsidR="0079181F" w:rsidRDefault="0079181F" w:rsidP="0079181F">
            <w:pPr>
              <w:spacing w:before="60" w:after="60"/>
            </w:pPr>
          </w:p>
        </w:tc>
        <w:tc>
          <w:tcPr>
            <w:tcW w:w="2172" w:type="dxa"/>
            <w:tcBorders>
              <w:left w:val="nil"/>
            </w:tcBorders>
          </w:tcPr>
          <w:p w14:paraId="775BA86D" w14:textId="77777777" w:rsidR="0079181F" w:rsidRDefault="0079181F" w:rsidP="0079181F">
            <w:pPr>
              <w:spacing w:before="60" w:after="60"/>
            </w:pPr>
            <w:r>
              <w:t>29. Events after balance sheet</w:t>
            </w:r>
          </w:p>
        </w:tc>
        <w:tc>
          <w:tcPr>
            <w:tcW w:w="2410" w:type="dxa"/>
          </w:tcPr>
          <w:p w14:paraId="2AE3E77D" w14:textId="7FC1B2DC" w:rsidR="0079181F" w:rsidRDefault="0079181F" w:rsidP="0079181F">
            <w:pPr>
              <w:spacing w:before="60" w:after="60"/>
            </w:pPr>
            <w:r>
              <w:t>-</w:t>
            </w:r>
          </w:p>
        </w:tc>
        <w:tc>
          <w:tcPr>
            <w:tcW w:w="2410" w:type="dxa"/>
          </w:tcPr>
          <w:p w14:paraId="125960E1" w14:textId="46BBBA39" w:rsidR="0079181F" w:rsidRDefault="0079181F" w:rsidP="0079181F">
            <w:pPr>
              <w:spacing w:before="60" w:after="60"/>
            </w:pPr>
            <w:r>
              <w:t>-</w:t>
            </w:r>
          </w:p>
        </w:tc>
        <w:tc>
          <w:tcPr>
            <w:tcW w:w="2835" w:type="dxa"/>
          </w:tcPr>
          <w:p w14:paraId="09E644EC" w14:textId="77777777" w:rsidR="0079181F" w:rsidRDefault="0079181F" w:rsidP="0079181F">
            <w:pPr>
              <w:spacing w:before="60" w:after="60"/>
            </w:pPr>
            <w:r>
              <w:t>-</w:t>
            </w:r>
          </w:p>
        </w:tc>
        <w:tc>
          <w:tcPr>
            <w:tcW w:w="2977" w:type="dxa"/>
          </w:tcPr>
          <w:p w14:paraId="231B773E" w14:textId="77777777" w:rsidR="0079181F" w:rsidRDefault="0079181F" w:rsidP="0079181F">
            <w:pPr>
              <w:spacing w:before="60" w:after="60"/>
            </w:pPr>
            <w:r>
              <w:t>-</w:t>
            </w:r>
          </w:p>
        </w:tc>
        <w:tc>
          <w:tcPr>
            <w:tcW w:w="2835" w:type="dxa"/>
          </w:tcPr>
          <w:p w14:paraId="6FBA5AA4" w14:textId="77777777" w:rsidR="0079181F" w:rsidRDefault="0079181F" w:rsidP="0079181F">
            <w:pPr>
              <w:spacing w:before="60" w:after="60"/>
            </w:pPr>
            <w:r>
              <w:t>-</w:t>
            </w:r>
          </w:p>
        </w:tc>
      </w:tr>
      <w:tr w:rsidR="0079181F" w14:paraId="47DA9E5A" w14:textId="77777777" w:rsidTr="0079181F">
        <w:tc>
          <w:tcPr>
            <w:tcW w:w="236" w:type="dxa"/>
            <w:tcBorders>
              <w:right w:val="nil"/>
            </w:tcBorders>
          </w:tcPr>
          <w:p w14:paraId="7BA006DA" w14:textId="77777777" w:rsidR="0079181F" w:rsidRDefault="0079181F" w:rsidP="0079181F">
            <w:pPr>
              <w:spacing w:before="60" w:after="60"/>
            </w:pPr>
          </w:p>
        </w:tc>
        <w:tc>
          <w:tcPr>
            <w:tcW w:w="2172" w:type="dxa"/>
            <w:tcBorders>
              <w:left w:val="nil"/>
            </w:tcBorders>
          </w:tcPr>
          <w:p w14:paraId="4533E383" w14:textId="3AFBD34F" w:rsidR="0079181F" w:rsidRDefault="0079181F" w:rsidP="0079181F">
            <w:pPr>
              <w:spacing w:before="60" w:after="60"/>
            </w:pPr>
            <w:r>
              <w:t xml:space="preserve">30. Presentation </w:t>
            </w:r>
            <w:r w:rsidRPr="00C96F5B">
              <w:rPr>
                <w:i/>
              </w:rPr>
              <w:t>[amended in 2014; no</w:t>
            </w:r>
            <w:r>
              <w:rPr>
                <w:i/>
              </w:rPr>
              <w:t xml:space="preserve"> effect</w:t>
            </w:r>
            <w:r w:rsidRPr="00C96F5B">
              <w:rPr>
                <w:i/>
              </w:rPr>
              <w:t xml:space="preserve"> on </w:t>
            </w:r>
            <w:r>
              <w:rPr>
                <w:i/>
              </w:rPr>
              <w:t xml:space="preserve">this </w:t>
            </w:r>
            <w:r w:rsidRPr="00C96F5B">
              <w:rPr>
                <w:i/>
              </w:rPr>
              <w:t>table]</w:t>
            </w:r>
          </w:p>
        </w:tc>
        <w:tc>
          <w:tcPr>
            <w:tcW w:w="2410" w:type="dxa"/>
          </w:tcPr>
          <w:p w14:paraId="690158C5" w14:textId="44F7AE0A" w:rsidR="0079181F" w:rsidRDefault="0079181F" w:rsidP="0079181F">
            <w:pPr>
              <w:spacing w:before="60" w:after="60"/>
            </w:pPr>
            <w:r>
              <w:t>-</w:t>
            </w:r>
          </w:p>
        </w:tc>
        <w:tc>
          <w:tcPr>
            <w:tcW w:w="2410" w:type="dxa"/>
          </w:tcPr>
          <w:p w14:paraId="72ABFE6A" w14:textId="04346488" w:rsidR="0079181F" w:rsidRDefault="0079181F" w:rsidP="0079181F">
            <w:pPr>
              <w:spacing w:before="60" w:after="60"/>
            </w:pPr>
            <w:r>
              <w:t>-</w:t>
            </w:r>
          </w:p>
        </w:tc>
        <w:tc>
          <w:tcPr>
            <w:tcW w:w="2835" w:type="dxa"/>
          </w:tcPr>
          <w:p w14:paraId="4B4C22F1" w14:textId="77777777" w:rsidR="0079181F" w:rsidRDefault="0079181F" w:rsidP="0079181F">
            <w:pPr>
              <w:spacing w:before="60" w:after="60"/>
            </w:pPr>
            <w:r>
              <w:t>-</w:t>
            </w:r>
          </w:p>
        </w:tc>
        <w:tc>
          <w:tcPr>
            <w:tcW w:w="2977" w:type="dxa"/>
          </w:tcPr>
          <w:p w14:paraId="7150C7EE" w14:textId="77777777" w:rsidR="0079181F" w:rsidRDefault="0079181F" w:rsidP="0079181F">
            <w:pPr>
              <w:spacing w:before="60" w:after="60"/>
            </w:pPr>
            <w:r>
              <w:t>-</w:t>
            </w:r>
          </w:p>
        </w:tc>
        <w:tc>
          <w:tcPr>
            <w:tcW w:w="2835" w:type="dxa"/>
          </w:tcPr>
          <w:p w14:paraId="4312EB53" w14:textId="77777777" w:rsidR="0079181F" w:rsidRDefault="0079181F" w:rsidP="0079181F">
            <w:pPr>
              <w:spacing w:before="60" w:after="60"/>
            </w:pPr>
            <w:r>
              <w:t xml:space="preserve">Disclose gains/losses from changes in fair value (Art. 27, </w:t>
            </w:r>
            <w:r w:rsidRPr="00A01EFE">
              <w:rPr>
                <w:i/>
              </w:rPr>
              <w:t>now Art. 23+</w:t>
            </w:r>
            <w:r>
              <w:t>)</w:t>
            </w:r>
          </w:p>
        </w:tc>
      </w:tr>
      <w:tr w:rsidR="0079181F" w14:paraId="1F383514" w14:textId="77777777" w:rsidTr="0079181F">
        <w:tc>
          <w:tcPr>
            <w:tcW w:w="236" w:type="dxa"/>
            <w:tcBorders>
              <w:right w:val="nil"/>
            </w:tcBorders>
          </w:tcPr>
          <w:p w14:paraId="28F9BC50" w14:textId="77777777" w:rsidR="0079181F" w:rsidRDefault="0079181F" w:rsidP="0079181F">
            <w:pPr>
              <w:spacing w:before="60" w:after="60"/>
            </w:pPr>
          </w:p>
        </w:tc>
        <w:tc>
          <w:tcPr>
            <w:tcW w:w="2172" w:type="dxa"/>
            <w:tcBorders>
              <w:left w:val="nil"/>
            </w:tcBorders>
          </w:tcPr>
          <w:p w14:paraId="0FBA05D5" w14:textId="77777777" w:rsidR="0079181F" w:rsidRDefault="0079181F" w:rsidP="0079181F">
            <w:pPr>
              <w:spacing w:before="60" w:after="60"/>
            </w:pPr>
            <w:r>
              <w:t>31. Cash flow statements</w:t>
            </w:r>
          </w:p>
        </w:tc>
        <w:tc>
          <w:tcPr>
            <w:tcW w:w="2410" w:type="dxa"/>
          </w:tcPr>
          <w:p w14:paraId="5FD9D1D3" w14:textId="6CDC8E45" w:rsidR="0079181F" w:rsidRDefault="0079181F" w:rsidP="0079181F">
            <w:pPr>
              <w:spacing w:before="60" w:after="60"/>
            </w:pPr>
            <w:r>
              <w:t>-</w:t>
            </w:r>
          </w:p>
        </w:tc>
        <w:tc>
          <w:tcPr>
            <w:tcW w:w="2410" w:type="dxa"/>
          </w:tcPr>
          <w:p w14:paraId="6E7E7BC4" w14:textId="73B77393" w:rsidR="0079181F" w:rsidRDefault="0079181F" w:rsidP="0079181F">
            <w:pPr>
              <w:spacing w:before="60" w:after="60"/>
            </w:pPr>
            <w:r>
              <w:t>-</w:t>
            </w:r>
          </w:p>
        </w:tc>
        <w:tc>
          <w:tcPr>
            <w:tcW w:w="2835" w:type="dxa"/>
          </w:tcPr>
          <w:p w14:paraId="055F01AC" w14:textId="77777777" w:rsidR="0079181F" w:rsidRDefault="0079181F" w:rsidP="0079181F">
            <w:pPr>
              <w:spacing w:before="60" w:after="60"/>
            </w:pPr>
            <w:r>
              <w:t>-</w:t>
            </w:r>
          </w:p>
        </w:tc>
        <w:tc>
          <w:tcPr>
            <w:tcW w:w="2977" w:type="dxa"/>
          </w:tcPr>
          <w:p w14:paraId="47F232FD" w14:textId="77777777" w:rsidR="0079181F" w:rsidRDefault="0079181F" w:rsidP="0079181F">
            <w:pPr>
              <w:spacing w:before="60" w:after="60"/>
            </w:pPr>
            <w:r>
              <w:t>-</w:t>
            </w:r>
          </w:p>
        </w:tc>
        <w:tc>
          <w:tcPr>
            <w:tcW w:w="2835" w:type="dxa"/>
          </w:tcPr>
          <w:p w14:paraId="319AEB0E" w14:textId="77777777" w:rsidR="0079181F" w:rsidRDefault="0079181F" w:rsidP="0079181F">
            <w:pPr>
              <w:spacing w:before="60" w:after="60"/>
            </w:pPr>
            <w:r>
              <w:t>Disclose note of changes in fair value affecting operating cash flow (Art. 16)</w:t>
            </w:r>
          </w:p>
        </w:tc>
      </w:tr>
      <w:tr w:rsidR="0079181F" w14:paraId="2BA38A5E" w14:textId="77777777" w:rsidTr="0079181F">
        <w:tc>
          <w:tcPr>
            <w:tcW w:w="236" w:type="dxa"/>
            <w:tcBorders>
              <w:right w:val="nil"/>
            </w:tcBorders>
          </w:tcPr>
          <w:p w14:paraId="4A59148F" w14:textId="77777777" w:rsidR="0079181F" w:rsidRDefault="0079181F" w:rsidP="0079181F">
            <w:pPr>
              <w:spacing w:before="60" w:after="60"/>
            </w:pPr>
          </w:p>
        </w:tc>
        <w:tc>
          <w:tcPr>
            <w:tcW w:w="2172" w:type="dxa"/>
            <w:tcBorders>
              <w:left w:val="nil"/>
            </w:tcBorders>
          </w:tcPr>
          <w:p w14:paraId="5676990D" w14:textId="77777777" w:rsidR="0079181F" w:rsidRDefault="0079181F" w:rsidP="0079181F">
            <w:pPr>
              <w:spacing w:before="60" w:after="60"/>
            </w:pPr>
            <w:r>
              <w:t>32. Interim statements</w:t>
            </w:r>
          </w:p>
        </w:tc>
        <w:tc>
          <w:tcPr>
            <w:tcW w:w="2410" w:type="dxa"/>
          </w:tcPr>
          <w:p w14:paraId="644AE8B2" w14:textId="77777777" w:rsidR="0079181F" w:rsidRDefault="0079181F" w:rsidP="0079181F">
            <w:pPr>
              <w:spacing w:before="60" w:after="60"/>
            </w:pPr>
            <w:r>
              <w:t>-</w:t>
            </w:r>
          </w:p>
          <w:p w14:paraId="17DEBC9E" w14:textId="77777777" w:rsidR="0079181F" w:rsidRDefault="0079181F" w:rsidP="0079181F">
            <w:pPr>
              <w:spacing w:before="60" w:after="60"/>
            </w:pPr>
          </w:p>
        </w:tc>
        <w:tc>
          <w:tcPr>
            <w:tcW w:w="2410" w:type="dxa"/>
          </w:tcPr>
          <w:p w14:paraId="1EDA5F2B" w14:textId="42537C92" w:rsidR="0079181F" w:rsidRDefault="0079181F" w:rsidP="0079181F">
            <w:pPr>
              <w:spacing w:before="60" w:after="60"/>
            </w:pPr>
            <w:r>
              <w:t>-</w:t>
            </w:r>
          </w:p>
        </w:tc>
        <w:tc>
          <w:tcPr>
            <w:tcW w:w="2835" w:type="dxa"/>
          </w:tcPr>
          <w:p w14:paraId="3A81A720" w14:textId="77777777" w:rsidR="0079181F" w:rsidRDefault="0079181F" w:rsidP="0079181F">
            <w:pPr>
              <w:spacing w:before="60" w:after="60"/>
            </w:pPr>
            <w:r>
              <w:t>-</w:t>
            </w:r>
          </w:p>
        </w:tc>
        <w:tc>
          <w:tcPr>
            <w:tcW w:w="2977" w:type="dxa"/>
          </w:tcPr>
          <w:p w14:paraId="53C3F974" w14:textId="77777777" w:rsidR="0079181F" w:rsidRDefault="0079181F" w:rsidP="0079181F">
            <w:pPr>
              <w:spacing w:before="60" w:after="60"/>
            </w:pPr>
            <w:r>
              <w:t>-</w:t>
            </w:r>
          </w:p>
        </w:tc>
        <w:tc>
          <w:tcPr>
            <w:tcW w:w="2835" w:type="dxa"/>
          </w:tcPr>
          <w:p w14:paraId="2045AA50" w14:textId="77777777" w:rsidR="0079181F" w:rsidRDefault="0079181F" w:rsidP="0079181F">
            <w:pPr>
              <w:spacing w:before="60" w:after="60"/>
            </w:pPr>
            <w:r>
              <w:t>-</w:t>
            </w:r>
          </w:p>
        </w:tc>
      </w:tr>
      <w:tr w:rsidR="0079181F" w14:paraId="13D9B0ED" w14:textId="77777777" w:rsidTr="0079181F">
        <w:tc>
          <w:tcPr>
            <w:tcW w:w="236" w:type="dxa"/>
            <w:tcBorders>
              <w:right w:val="nil"/>
            </w:tcBorders>
          </w:tcPr>
          <w:p w14:paraId="3C0000AE" w14:textId="77777777" w:rsidR="0079181F" w:rsidRDefault="0079181F" w:rsidP="0079181F">
            <w:pPr>
              <w:spacing w:before="60" w:after="60"/>
            </w:pPr>
          </w:p>
        </w:tc>
        <w:tc>
          <w:tcPr>
            <w:tcW w:w="2172" w:type="dxa"/>
            <w:tcBorders>
              <w:left w:val="nil"/>
            </w:tcBorders>
          </w:tcPr>
          <w:p w14:paraId="6726E674" w14:textId="6175C1F9" w:rsidR="0079181F" w:rsidRDefault="0079181F" w:rsidP="0079181F">
            <w:pPr>
              <w:spacing w:before="60" w:after="60"/>
            </w:pPr>
            <w:r>
              <w:t xml:space="preserve">33. Consolidated statements </w:t>
            </w:r>
            <w:r>
              <w:rPr>
                <w:i/>
              </w:rPr>
              <w:t>[amended in 2014; affects columns 2 and 3</w:t>
            </w:r>
            <w:r w:rsidRPr="00C96F5B">
              <w:rPr>
                <w:i/>
              </w:rPr>
              <w:t>]</w:t>
            </w:r>
          </w:p>
        </w:tc>
        <w:tc>
          <w:tcPr>
            <w:tcW w:w="2410" w:type="dxa"/>
          </w:tcPr>
          <w:p w14:paraId="4FC32583" w14:textId="075A2BD6" w:rsidR="0079181F" w:rsidRPr="00FE02EF" w:rsidRDefault="008F2DA3" w:rsidP="0079181F">
            <w:pPr>
              <w:spacing w:before="60" w:after="60"/>
              <w:rPr>
                <w:i/>
              </w:rPr>
            </w:pPr>
            <w:r>
              <w:rPr>
                <w:i/>
              </w:rPr>
              <w:t>-</w:t>
            </w:r>
          </w:p>
        </w:tc>
        <w:tc>
          <w:tcPr>
            <w:tcW w:w="2410" w:type="dxa"/>
          </w:tcPr>
          <w:p w14:paraId="5A63E8C6" w14:textId="56F6A920" w:rsidR="0079181F" w:rsidRPr="00FE02EF" w:rsidRDefault="0079181F" w:rsidP="0079181F">
            <w:pPr>
              <w:spacing w:before="60" w:after="60"/>
              <w:rPr>
                <w:i/>
              </w:rPr>
            </w:pPr>
            <w:r w:rsidRPr="00FE02EF">
              <w:rPr>
                <w:i/>
              </w:rPr>
              <w:t>[Subsidiaries held by investment entities (Art. 21)]</w:t>
            </w:r>
          </w:p>
        </w:tc>
        <w:tc>
          <w:tcPr>
            <w:tcW w:w="2835" w:type="dxa"/>
          </w:tcPr>
          <w:p w14:paraId="45E5DEB4" w14:textId="77777777" w:rsidR="0079181F" w:rsidRDefault="0079181F" w:rsidP="0079181F">
            <w:pPr>
              <w:spacing w:before="60" w:after="60"/>
            </w:pPr>
            <w:r>
              <w:t>-</w:t>
            </w:r>
          </w:p>
        </w:tc>
        <w:tc>
          <w:tcPr>
            <w:tcW w:w="2977" w:type="dxa"/>
          </w:tcPr>
          <w:p w14:paraId="195208D8" w14:textId="77777777" w:rsidR="0079181F" w:rsidRDefault="0079181F" w:rsidP="0079181F">
            <w:pPr>
              <w:spacing w:before="60" w:after="60"/>
            </w:pPr>
            <w:r>
              <w:t>-</w:t>
            </w:r>
          </w:p>
        </w:tc>
        <w:tc>
          <w:tcPr>
            <w:tcW w:w="2835" w:type="dxa"/>
          </w:tcPr>
          <w:p w14:paraId="7B29F645" w14:textId="290BC813" w:rsidR="0079181F" w:rsidRDefault="008F2DA3" w:rsidP="0079181F">
            <w:pPr>
              <w:spacing w:before="60" w:after="60"/>
            </w:pPr>
            <w:r>
              <w:rPr>
                <w:i/>
              </w:rPr>
              <w:t>[Measuring gains/losses in step acquis</w:t>
            </w:r>
            <w:r w:rsidR="00772950">
              <w:rPr>
                <w:i/>
              </w:rPr>
              <w:t>i</w:t>
            </w:r>
            <w:r>
              <w:rPr>
                <w:i/>
              </w:rPr>
              <w:t>tions</w:t>
            </w:r>
            <w:r w:rsidRPr="00FE02EF">
              <w:rPr>
                <w:i/>
              </w:rPr>
              <w:t xml:space="preserve"> (Art. 48)]</w:t>
            </w:r>
          </w:p>
        </w:tc>
      </w:tr>
      <w:tr w:rsidR="0079181F" w14:paraId="40E89978" w14:textId="77777777" w:rsidTr="0079181F">
        <w:tc>
          <w:tcPr>
            <w:tcW w:w="236" w:type="dxa"/>
            <w:tcBorders>
              <w:right w:val="nil"/>
            </w:tcBorders>
          </w:tcPr>
          <w:p w14:paraId="21653151" w14:textId="77777777" w:rsidR="0079181F" w:rsidRDefault="0079181F" w:rsidP="0079181F">
            <w:pPr>
              <w:spacing w:before="60" w:after="60"/>
            </w:pPr>
          </w:p>
        </w:tc>
        <w:tc>
          <w:tcPr>
            <w:tcW w:w="2172" w:type="dxa"/>
            <w:tcBorders>
              <w:left w:val="nil"/>
            </w:tcBorders>
          </w:tcPr>
          <w:p w14:paraId="4221B343" w14:textId="77777777" w:rsidR="0079181F" w:rsidRDefault="0079181F" w:rsidP="0079181F">
            <w:pPr>
              <w:spacing w:before="60" w:after="60"/>
            </w:pPr>
            <w:r>
              <w:t>34. Earnings per share</w:t>
            </w:r>
          </w:p>
        </w:tc>
        <w:tc>
          <w:tcPr>
            <w:tcW w:w="2410" w:type="dxa"/>
          </w:tcPr>
          <w:p w14:paraId="17C5F1D7" w14:textId="7E8E4D75" w:rsidR="0079181F" w:rsidRDefault="0079181F" w:rsidP="0079181F">
            <w:pPr>
              <w:spacing w:before="60" w:after="60"/>
            </w:pPr>
            <w:r>
              <w:t>-</w:t>
            </w:r>
          </w:p>
        </w:tc>
        <w:tc>
          <w:tcPr>
            <w:tcW w:w="2410" w:type="dxa"/>
          </w:tcPr>
          <w:p w14:paraId="21E6EC15" w14:textId="0C82FA38" w:rsidR="0079181F" w:rsidRDefault="0079181F" w:rsidP="0079181F">
            <w:pPr>
              <w:spacing w:before="60" w:after="60"/>
            </w:pPr>
            <w:r>
              <w:t>-</w:t>
            </w:r>
          </w:p>
        </w:tc>
        <w:tc>
          <w:tcPr>
            <w:tcW w:w="2835" w:type="dxa"/>
          </w:tcPr>
          <w:p w14:paraId="32FB93D5" w14:textId="77777777" w:rsidR="0079181F" w:rsidRDefault="0079181F" w:rsidP="0079181F">
            <w:pPr>
              <w:spacing w:before="60" w:after="60"/>
            </w:pPr>
            <w:r>
              <w:t>-</w:t>
            </w:r>
          </w:p>
        </w:tc>
        <w:tc>
          <w:tcPr>
            <w:tcW w:w="2977" w:type="dxa"/>
          </w:tcPr>
          <w:p w14:paraId="0DE985EF" w14:textId="77777777" w:rsidR="0079181F" w:rsidRDefault="0079181F" w:rsidP="0079181F">
            <w:pPr>
              <w:spacing w:before="60" w:after="60"/>
            </w:pPr>
            <w:r>
              <w:t>-</w:t>
            </w:r>
          </w:p>
        </w:tc>
        <w:tc>
          <w:tcPr>
            <w:tcW w:w="2835" w:type="dxa"/>
          </w:tcPr>
          <w:p w14:paraId="52C3E9AE" w14:textId="77777777" w:rsidR="0079181F" w:rsidRDefault="0079181F" w:rsidP="0079181F">
            <w:pPr>
              <w:spacing w:before="60" w:after="60"/>
            </w:pPr>
            <w:r>
              <w:t>-</w:t>
            </w:r>
          </w:p>
        </w:tc>
      </w:tr>
      <w:tr w:rsidR="0079181F" w14:paraId="40FB7496" w14:textId="77777777" w:rsidTr="0079181F">
        <w:tc>
          <w:tcPr>
            <w:tcW w:w="236" w:type="dxa"/>
            <w:tcBorders>
              <w:right w:val="nil"/>
            </w:tcBorders>
          </w:tcPr>
          <w:p w14:paraId="36546198" w14:textId="77777777" w:rsidR="0079181F" w:rsidRDefault="0079181F" w:rsidP="0079181F">
            <w:pPr>
              <w:spacing w:before="60" w:after="60"/>
            </w:pPr>
          </w:p>
        </w:tc>
        <w:tc>
          <w:tcPr>
            <w:tcW w:w="2172" w:type="dxa"/>
            <w:tcBorders>
              <w:left w:val="nil"/>
            </w:tcBorders>
          </w:tcPr>
          <w:p w14:paraId="5E30C541" w14:textId="77777777" w:rsidR="0079181F" w:rsidRDefault="0079181F" w:rsidP="0079181F">
            <w:pPr>
              <w:spacing w:before="60" w:after="60"/>
            </w:pPr>
            <w:r>
              <w:t>35. Segment reporting</w:t>
            </w:r>
          </w:p>
        </w:tc>
        <w:tc>
          <w:tcPr>
            <w:tcW w:w="2410" w:type="dxa"/>
          </w:tcPr>
          <w:p w14:paraId="42F56F0F" w14:textId="343E7D5D" w:rsidR="0079181F" w:rsidRDefault="0079181F" w:rsidP="0079181F">
            <w:pPr>
              <w:spacing w:before="60" w:after="60"/>
            </w:pPr>
            <w:r>
              <w:t>-</w:t>
            </w:r>
          </w:p>
        </w:tc>
        <w:tc>
          <w:tcPr>
            <w:tcW w:w="2410" w:type="dxa"/>
          </w:tcPr>
          <w:p w14:paraId="100C41EE" w14:textId="1FDB8120" w:rsidR="0079181F" w:rsidRDefault="0079181F" w:rsidP="0079181F">
            <w:pPr>
              <w:spacing w:before="60" w:after="60"/>
            </w:pPr>
            <w:r>
              <w:t>-</w:t>
            </w:r>
          </w:p>
        </w:tc>
        <w:tc>
          <w:tcPr>
            <w:tcW w:w="2835" w:type="dxa"/>
          </w:tcPr>
          <w:p w14:paraId="414A0FD8" w14:textId="77777777" w:rsidR="0079181F" w:rsidRDefault="0079181F" w:rsidP="0079181F">
            <w:pPr>
              <w:spacing w:before="60" w:after="60"/>
            </w:pPr>
            <w:r>
              <w:t>-</w:t>
            </w:r>
          </w:p>
        </w:tc>
        <w:tc>
          <w:tcPr>
            <w:tcW w:w="2977" w:type="dxa"/>
          </w:tcPr>
          <w:p w14:paraId="4EFB2ACE" w14:textId="77777777" w:rsidR="0079181F" w:rsidRDefault="0079181F" w:rsidP="0079181F">
            <w:pPr>
              <w:spacing w:before="60" w:after="60"/>
            </w:pPr>
            <w:r>
              <w:t>-</w:t>
            </w:r>
          </w:p>
        </w:tc>
        <w:tc>
          <w:tcPr>
            <w:tcW w:w="2835" w:type="dxa"/>
          </w:tcPr>
          <w:p w14:paraId="14A60ADD" w14:textId="77777777" w:rsidR="0079181F" w:rsidRDefault="0079181F" w:rsidP="0079181F">
            <w:pPr>
              <w:spacing w:before="60" w:after="60"/>
            </w:pPr>
            <w:r>
              <w:t>-</w:t>
            </w:r>
          </w:p>
        </w:tc>
      </w:tr>
      <w:tr w:rsidR="0079181F" w14:paraId="5DA3F9D6" w14:textId="77777777" w:rsidTr="0079181F">
        <w:tc>
          <w:tcPr>
            <w:tcW w:w="236" w:type="dxa"/>
            <w:tcBorders>
              <w:right w:val="nil"/>
            </w:tcBorders>
          </w:tcPr>
          <w:p w14:paraId="09B47018" w14:textId="77777777" w:rsidR="0079181F" w:rsidRDefault="0079181F" w:rsidP="0079181F">
            <w:pPr>
              <w:spacing w:before="60" w:after="60"/>
            </w:pPr>
          </w:p>
        </w:tc>
        <w:tc>
          <w:tcPr>
            <w:tcW w:w="2172" w:type="dxa"/>
            <w:tcBorders>
              <w:left w:val="nil"/>
            </w:tcBorders>
          </w:tcPr>
          <w:p w14:paraId="6A3CF4C6" w14:textId="77777777" w:rsidR="0079181F" w:rsidRDefault="0079181F" w:rsidP="0079181F">
            <w:pPr>
              <w:spacing w:before="60" w:after="60"/>
            </w:pPr>
            <w:r>
              <w:t>36. Related parties</w:t>
            </w:r>
          </w:p>
        </w:tc>
        <w:tc>
          <w:tcPr>
            <w:tcW w:w="2410" w:type="dxa"/>
          </w:tcPr>
          <w:p w14:paraId="4275B5A0" w14:textId="5C5C1600" w:rsidR="0079181F" w:rsidRDefault="0079181F" w:rsidP="0079181F">
            <w:pPr>
              <w:spacing w:before="60" w:after="60"/>
            </w:pPr>
            <w:r>
              <w:t>-</w:t>
            </w:r>
          </w:p>
        </w:tc>
        <w:tc>
          <w:tcPr>
            <w:tcW w:w="2410" w:type="dxa"/>
          </w:tcPr>
          <w:p w14:paraId="3F8748A4" w14:textId="5CB26265" w:rsidR="0079181F" w:rsidRDefault="0079181F" w:rsidP="0079181F">
            <w:pPr>
              <w:spacing w:before="60" w:after="60"/>
            </w:pPr>
            <w:r>
              <w:t>-</w:t>
            </w:r>
          </w:p>
        </w:tc>
        <w:tc>
          <w:tcPr>
            <w:tcW w:w="2835" w:type="dxa"/>
          </w:tcPr>
          <w:p w14:paraId="43FA86F5" w14:textId="77777777" w:rsidR="0079181F" w:rsidRDefault="0079181F" w:rsidP="0079181F">
            <w:pPr>
              <w:spacing w:before="60" w:after="60"/>
            </w:pPr>
            <w:r>
              <w:t>-</w:t>
            </w:r>
          </w:p>
        </w:tc>
        <w:tc>
          <w:tcPr>
            <w:tcW w:w="2977" w:type="dxa"/>
          </w:tcPr>
          <w:p w14:paraId="24A307FD" w14:textId="77777777" w:rsidR="0079181F" w:rsidRDefault="0079181F" w:rsidP="0079181F">
            <w:pPr>
              <w:spacing w:before="60" w:after="60"/>
            </w:pPr>
            <w:r>
              <w:t>-</w:t>
            </w:r>
          </w:p>
        </w:tc>
        <w:tc>
          <w:tcPr>
            <w:tcW w:w="2835" w:type="dxa"/>
          </w:tcPr>
          <w:p w14:paraId="1D76478F" w14:textId="77777777" w:rsidR="0079181F" w:rsidRDefault="0079181F" w:rsidP="0079181F">
            <w:pPr>
              <w:spacing w:before="60" w:after="60"/>
            </w:pPr>
            <w:r>
              <w:t>-</w:t>
            </w:r>
          </w:p>
        </w:tc>
      </w:tr>
      <w:tr w:rsidR="0079181F" w14:paraId="071D300B" w14:textId="77777777" w:rsidTr="0079181F">
        <w:tc>
          <w:tcPr>
            <w:tcW w:w="236" w:type="dxa"/>
            <w:tcBorders>
              <w:right w:val="nil"/>
            </w:tcBorders>
          </w:tcPr>
          <w:p w14:paraId="76B46C1E" w14:textId="77777777" w:rsidR="0079181F" w:rsidRDefault="0079181F" w:rsidP="0079181F">
            <w:pPr>
              <w:spacing w:before="60" w:after="60"/>
            </w:pPr>
          </w:p>
        </w:tc>
        <w:tc>
          <w:tcPr>
            <w:tcW w:w="2172" w:type="dxa"/>
            <w:tcBorders>
              <w:left w:val="nil"/>
            </w:tcBorders>
          </w:tcPr>
          <w:p w14:paraId="02A4B1E3" w14:textId="77777777" w:rsidR="0079181F" w:rsidRDefault="0079181F" w:rsidP="0079181F">
            <w:pPr>
              <w:spacing w:before="60" w:after="60"/>
            </w:pPr>
            <w:r>
              <w:t xml:space="preserve">37. Financial instruments presentation </w:t>
            </w:r>
            <w:r>
              <w:rPr>
                <w:i/>
              </w:rPr>
              <w:t>[amended in 2017; affects column 6</w:t>
            </w:r>
            <w:r w:rsidRPr="00C96F5B">
              <w:rPr>
                <w:i/>
              </w:rPr>
              <w:t>]</w:t>
            </w:r>
          </w:p>
        </w:tc>
        <w:tc>
          <w:tcPr>
            <w:tcW w:w="2410" w:type="dxa"/>
          </w:tcPr>
          <w:p w14:paraId="0FE7CE49" w14:textId="53C4E733" w:rsidR="0079181F" w:rsidRDefault="0079181F" w:rsidP="0079181F">
            <w:pPr>
              <w:spacing w:before="60" w:after="60"/>
            </w:pPr>
            <w:r>
              <w:t xml:space="preserve">Liability part of compound instrument (Art. 10, </w:t>
            </w:r>
            <w:r w:rsidRPr="00A6469E">
              <w:rPr>
                <w:i/>
              </w:rPr>
              <w:t>now Art. 14</w:t>
            </w:r>
            <w:r>
              <w:t>)</w:t>
            </w:r>
          </w:p>
        </w:tc>
        <w:tc>
          <w:tcPr>
            <w:tcW w:w="2410" w:type="dxa"/>
          </w:tcPr>
          <w:p w14:paraId="03491607" w14:textId="38C59B69" w:rsidR="0079181F" w:rsidRDefault="0079181F" w:rsidP="0079181F">
            <w:pPr>
              <w:spacing w:before="60" w:after="60"/>
            </w:pPr>
            <w:r>
              <w:t>-</w:t>
            </w:r>
          </w:p>
        </w:tc>
        <w:tc>
          <w:tcPr>
            <w:tcW w:w="2835" w:type="dxa"/>
          </w:tcPr>
          <w:p w14:paraId="25DEC5BE" w14:textId="77777777" w:rsidR="0079181F" w:rsidRDefault="0079181F" w:rsidP="0079181F">
            <w:pPr>
              <w:spacing w:before="60" w:after="60"/>
            </w:pPr>
            <w:r>
              <w:t>-</w:t>
            </w:r>
          </w:p>
        </w:tc>
        <w:tc>
          <w:tcPr>
            <w:tcW w:w="2977" w:type="dxa"/>
          </w:tcPr>
          <w:p w14:paraId="448354D4" w14:textId="77777777" w:rsidR="0079181F" w:rsidRDefault="0079181F" w:rsidP="0079181F">
            <w:pPr>
              <w:spacing w:before="60" w:after="60"/>
            </w:pPr>
            <w:r>
              <w:t>-</w:t>
            </w:r>
          </w:p>
        </w:tc>
        <w:tc>
          <w:tcPr>
            <w:tcW w:w="2835" w:type="dxa"/>
          </w:tcPr>
          <w:p w14:paraId="7D5A2A7E" w14:textId="7A749136" w:rsidR="0079181F" w:rsidRDefault="0079181F" w:rsidP="0079181F">
            <w:pPr>
              <w:spacing w:before="60" w:after="60"/>
            </w:pPr>
            <w:r>
              <w:t xml:space="preserve">Many disclosures (Art. 14+, </w:t>
            </w:r>
            <w:r w:rsidRPr="00A6469E">
              <w:rPr>
                <w:i/>
              </w:rPr>
              <w:t>now Art. 39+</w:t>
            </w:r>
            <w:r>
              <w:t xml:space="preserve">); </w:t>
            </w:r>
            <w:r w:rsidRPr="0013678B">
              <w:rPr>
                <w:i/>
              </w:rPr>
              <w:t>[distinguishing liabilities from equity (Art. 10)]</w:t>
            </w:r>
          </w:p>
        </w:tc>
      </w:tr>
      <w:tr w:rsidR="0079181F" w14:paraId="26113492" w14:textId="77777777" w:rsidTr="0079181F">
        <w:tc>
          <w:tcPr>
            <w:tcW w:w="236" w:type="dxa"/>
            <w:tcBorders>
              <w:right w:val="nil"/>
            </w:tcBorders>
          </w:tcPr>
          <w:p w14:paraId="05C8CAAD" w14:textId="77777777" w:rsidR="0079181F" w:rsidRDefault="0079181F" w:rsidP="0079181F">
            <w:pPr>
              <w:spacing w:before="60" w:after="60"/>
            </w:pPr>
          </w:p>
        </w:tc>
        <w:tc>
          <w:tcPr>
            <w:tcW w:w="2172" w:type="dxa"/>
            <w:tcBorders>
              <w:left w:val="nil"/>
            </w:tcBorders>
          </w:tcPr>
          <w:p w14:paraId="0313F690" w14:textId="77777777" w:rsidR="0079181F" w:rsidRDefault="0079181F" w:rsidP="0079181F">
            <w:pPr>
              <w:spacing w:before="60" w:after="60"/>
            </w:pPr>
            <w:r>
              <w:t>38. First-time adoption of ASBE</w:t>
            </w:r>
          </w:p>
        </w:tc>
        <w:tc>
          <w:tcPr>
            <w:tcW w:w="2410" w:type="dxa"/>
          </w:tcPr>
          <w:p w14:paraId="45A20DDD" w14:textId="43E66A44" w:rsidR="0079181F" w:rsidRDefault="0079181F" w:rsidP="0079181F">
            <w:pPr>
              <w:spacing w:before="60" w:after="60"/>
            </w:pPr>
            <w:r>
              <w:t>Some types of  investments (e.g. Art. 6+)</w:t>
            </w:r>
          </w:p>
        </w:tc>
        <w:tc>
          <w:tcPr>
            <w:tcW w:w="2410" w:type="dxa"/>
          </w:tcPr>
          <w:p w14:paraId="2FE6B021" w14:textId="4AE17067" w:rsidR="0079181F" w:rsidRDefault="0079181F" w:rsidP="0079181F">
            <w:pPr>
              <w:spacing w:before="60" w:after="60"/>
            </w:pPr>
            <w:r>
              <w:t>-</w:t>
            </w:r>
          </w:p>
        </w:tc>
        <w:tc>
          <w:tcPr>
            <w:tcW w:w="2835" w:type="dxa"/>
          </w:tcPr>
          <w:p w14:paraId="3FFFB636" w14:textId="77777777" w:rsidR="0079181F" w:rsidRDefault="0079181F" w:rsidP="0079181F">
            <w:pPr>
              <w:spacing w:before="60" w:after="60"/>
            </w:pPr>
            <w:r>
              <w:t>-</w:t>
            </w:r>
          </w:p>
        </w:tc>
        <w:tc>
          <w:tcPr>
            <w:tcW w:w="2977" w:type="dxa"/>
          </w:tcPr>
          <w:p w14:paraId="5F47FCD3" w14:textId="77777777" w:rsidR="0079181F" w:rsidRDefault="0079181F" w:rsidP="0079181F">
            <w:pPr>
              <w:spacing w:before="60" w:after="60"/>
            </w:pPr>
            <w:r>
              <w:t>-</w:t>
            </w:r>
          </w:p>
        </w:tc>
        <w:tc>
          <w:tcPr>
            <w:tcW w:w="2835" w:type="dxa"/>
          </w:tcPr>
          <w:p w14:paraId="67BB03F7" w14:textId="77777777" w:rsidR="0079181F" w:rsidRDefault="0079181F" w:rsidP="0079181F">
            <w:pPr>
              <w:spacing w:before="60" w:after="60"/>
            </w:pPr>
            <w:r>
              <w:t>-</w:t>
            </w:r>
          </w:p>
          <w:p w14:paraId="0C94085B" w14:textId="77777777" w:rsidR="0079181F" w:rsidRDefault="0079181F" w:rsidP="0079181F">
            <w:pPr>
              <w:spacing w:before="60" w:after="60"/>
            </w:pPr>
          </w:p>
        </w:tc>
      </w:tr>
      <w:tr w:rsidR="0079181F" w14:paraId="1EA804B7" w14:textId="77777777" w:rsidTr="0079181F">
        <w:tc>
          <w:tcPr>
            <w:tcW w:w="236" w:type="dxa"/>
            <w:tcBorders>
              <w:right w:val="nil"/>
            </w:tcBorders>
          </w:tcPr>
          <w:p w14:paraId="7D1A90A3" w14:textId="77777777" w:rsidR="0079181F" w:rsidRDefault="0079181F" w:rsidP="0079181F">
            <w:pPr>
              <w:spacing w:before="60" w:after="60"/>
            </w:pPr>
          </w:p>
        </w:tc>
        <w:tc>
          <w:tcPr>
            <w:tcW w:w="2172" w:type="dxa"/>
            <w:tcBorders>
              <w:left w:val="nil"/>
            </w:tcBorders>
          </w:tcPr>
          <w:p w14:paraId="7F2BC7FA" w14:textId="77777777" w:rsidR="0079181F" w:rsidRPr="00C96F5B" w:rsidRDefault="0079181F" w:rsidP="0079181F">
            <w:pPr>
              <w:spacing w:before="60" w:after="60"/>
              <w:rPr>
                <w:i/>
              </w:rPr>
            </w:pPr>
            <w:r w:rsidRPr="00C96F5B">
              <w:rPr>
                <w:i/>
              </w:rPr>
              <w:t>39. Fair value measurement [issued 2014]</w:t>
            </w:r>
          </w:p>
        </w:tc>
        <w:tc>
          <w:tcPr>
            <w:tcW w:w="2410" w:type="dxa"/>
          </w:tcPr>
          <w:p w14:paraId="4EE8BBA0" w14:textId="79878B44" w:rsidR="0079181F" w:rsidRDefault="0079181F" w:rsidP="0079181F">
            <w:pPr>
              <w:spacing w:before="60" w:after="60"/>
            </w:pPr>
            <w:r>
              <w:t>-</w:t>
            </w:r>
          </w:p>
        </w:tc>
        <w:tc>
          <w:tcPr>
            <w:tcW w:w="2410" w:type="dxa"/>
          </w:tcPr>
          <w:p w14:paraId="4DA3D14F" w14:textId="74FAA715" w:rsidR="0079181F" w:rsidRDefault="0079181F" w:rsidP="0079181F">
            <w:pPr>
              <w:spacing w:before="60" w:after="60"/>
            </w:pPr>
            <w:r>
              <w:t>-</w:t>
            </w:r>
          </w:p>
        </w:tc>
        <w:tc>
          <w:tcPr>
            <w:tcW w:w="2835" w:type="dxa"/>
          </w:tcPr>
          <w:p w14:paraId="20A1978C" w14:textId="77777777" w:rsidR="0079181F" w:rsidRDefault="0079181F" w:rsidP="0079181F">
            <w:pPr>
              <w:spacing w:before="60" w:after="60"/>
            </w:pPr>
            <w:r>
              <w:t>-</w:t>
            </w:r>
          </w:p>
        </w:tc>
        <w:tc>
          <w:tcPr>
            <w:tcW w:w="2977" w:type="dxa"/>
          </w:tcPr>
          <w:p w14:paraId="0BFD08FA" w14:textId="77777777" w:rsidR="0079181F" w:rsidRDefault="0079181F" w:rsidP="0079181F">
            <w:pPr>
              <w:spacing w:before="60" w:after="60"/>
            </w:pPr>
            <w:r>
              <w:t>-</w:t>
            </w:r>
          </w:p>
        </w:tc>
        <w:tc>
          <w:tcPr>
            <w:tcW w:w="2835" w:type="dxa"/>
          </w:tcPr>
          <w:p w14:paraId="054E0F27" w14:textId="77777777" w:rsidR="0079181F" w:rsidRPr="004C600C" w:rsidRDefault="0079181F" w:rsidP="0079181F">
            <w:pPr>
              <w:spacing w:before="60" w:after="60"/>
              <w:rPr>
                <w:i/>
              </w:rPr>
            </w:pPr>
            <w:r w:rsidRPr="004C600C">
              <w:rPr>
                <w:i/>
              </w:rPr>
              <w:t>[Standard defines fair value]</w:t>
            </w:r>
          </w:p>
        </w:tc>
      </w:tr>
      <w:tr w:rsidR="0079181F" w14:paraId="021252C2" w14:textId="77777777" w:rsidTr="0079181F">
        <w:tc>
          <w:tcPr>
            <w:tcW w:w="236" w:type="dxa"/>
            <w:tcBorders>
              <w:right w:val="nil"/>
            </w:tcBorders>
          </w:tcPr>
          <w:p w14:paraId="2EC9A724" w14:textId="77777777" w:rsidR="0079181F" w:rsidRDefault="0079181F" w:rsidP="0079181F">
            <w:pPr>
              <w:spacing w:before="60" w:after="60"/>
            </w:pPr>
          </w:p>
        </w:tc>
        <w:tc>
          <w:tcPr>
            <w:tcW w:w="2172" w:type="dxa"/>
            <w:tcBorders>
              <w:left w:val="nil"/>
            </w:tcBorders>
          </w:tcPr>
          <w:tbl>
            <w:tblPr>
              <w:tblStyle w:val="TableGrid"/>
              <w:tblW w:w="16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05"/>
              <w:gridCol w:w="2446"/>
              <w:gridCol w:w="2877"/>
              <w:gridCol w:w="2589"/>
              <w:gridCol w:w="3022"/>
              <w:gridCol w:w="2877"/>
            </w:tblGrid>
            <w:tr w:rsidR="0079181F" w14:paraId="1A982195" w14:textId="77777777" w:rsidTr="00E36F39">
              <w:tc>
                <w:tcPr>
                  <w:tcW w:w="2172" w:type="dxa"/>
                  <w:tcBorders>
                    <w:left w:val="nil"/>
                  </w:tcBorders>
                </w:tcPr>
                <w:p w14:paraId="091DCE92" w14:textId="77777777" w:rsidR="0079181F" w:rsidRDefault="0079181F" w:rsidP="0079181F">
                  <w:pPr>
                    <w:spacing w:before="60" w:after="60"/>
                  </w:pPr>
                  <w:r>
                    <w:rPr>
                      <w:i/>
                    </w:rPr>
                    <w:t>40. Joint venture arrang</w:t>
                  </w:r>
                  <w:r w:rsidRPr="00C96F5B">
                    <w:rPr>
                      <w:i/>
                    </w:rPr>
                    <w:t>ement</w:t>
                  </w:r>
                  <w:r>
                    <w:rPr>
                      <w:i/>
                    </w:rPr>
                    <w:t>s</w:t>
                  </w:r>
                  <w:r w:rsidRPr="00C96F5B">
                    <w:rPr>
                      <w:i/>
                    </w:rPr>
                    <w:t xml:space="preserve"> [issued 2014]</w:t>
                  </w:r>
                </w:p>
              </w:tc>
              <w:tc>
                <w:tcPr>
                  <w:tcW w:w="2410" w:type="dxa"/>
                </w:tcPr>
                <w:p w14:paraId="578A7D3F" w14:textId="77777777" w:rsidR="0079181F" w:rsidRDefault="0079181F" w:rsidP="0079181F">
                  <w:pPr>
                    <w:spacing w:before="60" w:after="60"/>
                  </w:pPr>
                  <w:r>
                    <w:t>-</w:t>
                  </w:r>
                </w:p>
              </w:tc>
              <w:tc>
                <w:tcPr>
                  <w:tcW w:w="2835" w:type="dxa"/>
                </w:tcPr>
                <w:p w14:paraId="76F3BB4A" w14:textId="77777777" w:rsidR="0079181F" w:rsidRDefault="0079181F" w:rsidP="0079181F">
                  <w:pPr>
                    <w:spacing w:before="60" w:after="60"/>
                  </w:pPr>
                  <w:r>
                    <w:t>-</w:t>
                  </w:r>
                </w:p>
              </w:tc>
              <w:tc>
                <w:tcPr>
                  <w:tcW w:w="2551" w:type="dxa"/>
                </w:tcPr>
                <w:p w14:paraId="7F650B2D" w14:textId="77777777" w:rsidR="0079181F" w:rsidRDefault="0079181F" w:rsidP="0079181F">
                  <w:pPr>
                    <w:spacing w:before="60" w:after="60"/>
                  </w:pPr>
                  <w:r>
                    <w:t>-</w:t>
                  </w:r>
                </w:p>
              </w:tc>
              <w:tc>
                <w:tcPr>
                  <w:tcW w:w="2977" w:type="dxa"/>
                </w:tcPr>
                <w:p w14:paraId="626AC2F1" w14:textId="77777777" w:rsidR="0079181F" w:rsidRDefault="0079181F" w:rsidP="0079181F">
                  <w:pPr>
                    <w:spacing w:before="60" w:after="60"/>
                  </w:pPr>
                  <w:r>
                    <w:t>-</w:t>
                  </w:r>
                </w:p>
              </w:tc>
              <w:tc>
                <w:tcPr>
                  <w:tcW w:w="2835" w:type="dxa"/>
                </w:tcPr>
                <w:p w14:paraId="34C592A9" w14:textId="77777777" w:rsidR="0079181F" w:rsidRDefault="0079181F" w:rsidP="0079181F">
                  <w:pPr>
                    <w:spacing w:before="60" w:after="60"/>
                  </w:pPr>
                  <w:r>
                    <w:t>-</w:t>
                  </w:r>
                </w:p>
              </w:tc>
            </w:tr>
          </w:tbl>
          <w:p w14:paraId="594D0FD8" w14:textId="77777777" w:rsidR="0079181F" w:rsidRDefault="0079181F" w:rsidP="0079181F">
            <w:pPr>
              <w:spacing w:before="60" w:after="60"/>
            </w:pPr>
          </w:p>
        </w:tc>
        <w:tc>
          <w:tcPr>
            <w:tcW w:w="2410" w:type="dxa"/>
          </w:tcPr>
          <w:p w14:paraId="3CE1B60E" w14:textId="5FF6A45D" w:rsidR="0079181F" w:rsidRDefault="0079181F" w:rsidP="0079181F">
            <w:pPr>
              <w:spacing w:before="60" w:after="60"/>
            </w:pPr>
            <w:r>
              <w:t>-</w:t>
            </w:r>
          </w:p>
        </w:tc>
        <w:tc>
          <w:tcPr>
            <w:tcW w:w="2410" w:type="dxa"/>
          </w:tcPr>
          <w:p w14:paraId="7C65AC94" w14:textId="5172D1A6" w:rsidR="0079181F" w:rsidRDefault="0079181F" w:rsidP="0079181F">
            <w:pPr>
              <w:spacing w:before="60" w:after="60"/>
            </w:pPr>
            <w:r>
              <w:t>-</w:t>
            </w:r>
          </w:p>
        </w:tc>
        <w:tc>
          <w:tcPr>
            <w:tcW w:w="2835" w:type="dxa"/>
          </w:tcPr>
          <w:p w14:paraId="639AA52C" w14:textId="77777777" w:rsidR="0079181F" w:rsidRDefault="0079181F" w:rsidP="0079181F">
            <w:pPr>
              <w:spacing w:before="60" w:after="60"/>
            </w:pPr>
            <w:r>
              <w:t>-</w:t>
            </w:r>
          </w:p>
        </w:tc>
        <w:tc>
          <w:tcPr>
            <w:tcW w:w="2977" w:type="dxa"/>
          </w:tcPr>
          <w:p w14:paraId="50307F76" w14:textId="77777777" w:rsidR="0079181F" w:rsidRDefault="0079181F" w:rsidP="0079181F">
            <w:pPr>
              <w:spacing w:before="60" w:after="60"/>
            </w:pPr>
            <w:r>
              <w:t>-</w:t>
            </w:r>
          </w:p>
        </w:tc>
        <w:tc>
          <w:tcPr>
            <w:tcW w:w="2835" w:type="dxa"/>
          </w:tcPr>
          <w:p w14:paraId="6F96AA5B" w14:textId="77777777" w:rsidR="0079181F" w:rsidRDefault="0079181F" w:rsidP="0079181F">
            <w:pPr>
              <w:spacing w:before="60" w:after="60"/>
            </w:pPr>
            <w:r>
              <w:t>-</w:t>
            </w:r>
          </w:p>
        </w:tc>
      </w:tr>
      <w:tr w:rsidR="0079181F" w14:paraId="667761F4" w14:textId="77777777" w:rsidTr="0079181F">
        <w:tc>
          <w:tcPr>
            <w:tcW w:w="236" w:type="dxa"/>
            <w:tcBorders>
              <w:right w:val="nil"/>
            </w:tcBorders>
          </w:tcPr>
          <w:p w14:paraId="13FD8CF5" w14:textId="77777777" w:rsidR="0079181F" w:rsidRDefault="0079181F" w:rsidP="0079181F">
            <w:pPr>
              <w:spacing w:before="60" w:after="60"/>
            </w:pPr>
          </w:p>
        </w:tc>
        <w:tc>
          <w:tcPr>
            <w:tcW w:w="2172" w:type="dxa"/>
            <w:tcBorders>
              <w:left w:val="nil"/>
            </w:tcBorders>
          </w:tcPr>
          <w:p w14:paraId="01155A7E" w14:textId="77777777" w:rsidR="0079181F" w:rsidRDefault="0079181F" w:rsidP="0079181F">
            <w:pPr>
              <w:spacing w:before="60" w:after="60"/>
            </w:pPr>
            <w:r>
              <w:rPr>
                <w:i/>
              </w:rPr>
              <w:t>41. Disclosure of interes</w:t>
            </w:r>
            <w:r w:rsidRPr="00C96F5B">
              <w:rPr>
                <w:i/>
              </w:rPr>
              <w:t>t</w:t>
            </w:r>
            <w:r>
              <w:rPr>
                <w:i/>
              </w:rPr>
              <w:t>s in other entities</w:t>
            </w:r>
            <w:r w:rsidRPr="00C96F5B">
              <w:rPr>
                <w:i/>
              </w:rPr>
              <w:t xml:space="preserve"> [issued 2014]</w:t>
            </w:r>
          </w:p>
        </w:tc>
        <w:tc>
          <w:tcPr>
            <w:tcW w:w="2410" w:type="dxa"/>
          </w:tcPr>
          <w:p w14:paraId="61BE6A2A" w14:textId="140C7CF2" w:rsidR="0079181F" w:rsidRDefault="0079181F" w:rsidP="0079181F">
            <w:pPr>
              <w:spacing w:before="60" w:after="60"/>
            </w:pPr>
            <w:r>
              <w:t>-</w:t>
            </w:r>
          </w:p>
        </w:tc>
        <w:tc>
          <w:tcPr>
            <w:tcW w:w="2410" w:type="dxa"/>
          </w:tcPr>
          <w:p w14:paraId="2B3D42D4" w14:textId="3A120E61" w:rsidR="0079181F" w:rsidRDefault="0079181F" w:rsidP="0079181F">
            <w:pPr>
              <w:spacing w:before="60" w:after="60"/>
            </w:pPr>
            <w:r>
              <w:t>-</w:t>
            </w:r>
          </w:p>
        </w:tc>
        <w:tc>
          <w:tcPr>
            <w:tcW w:w="2835" w:type="dxa"/>
          </w:tcPr>
          <w:p w14:paraId="68399B8D" w14:textId="77777777" w:rsidR="0079181F" w:rsidRDefault="0079181F" w:rsidP="0079181F">
            <w:pPr>
              <w:spacing w:before="60" w:after="60"/>
            </w:pPr>
            <w:r>
              <w:t>-</w:t>
            </w:r>
          </w:p>
        </w:tc>
        <w:tc>
          <w:tcPr>
            <w:tcW w:w="2977" w:type="dxa"/>
          </w:tcPr>
          <w:p w14:paraId="06EC6000" w14:textId="77777777" w:rsidR="0079181F" w:rsidRDefault="0079181F" w:rsidP="0079181F">
            <w:pPr>
              <w:spacing w:before="60" w:after="60"/>
            </w:pPr>
            <w:r>
              <w:t>-</w:t>
            </w:r>
          </w:p>
        </w:tc>
        <w:tc>
          <w:tcPr>
            <w:tcW w:w="2835" w:type="dxa"/>
          </w:tcPr>
          <w:p w14:paraId="352BA576" w14:textId="77777777" w:rsidR="0079181F" w:rsidRPr="004C600C" w:rsidRDefault="0079181F" w:rsidP="0079181F">
            <w:pPr>
              <w:spacing w:before="60" w:after="60"/>
              <w:rPr>
                <w:i/>
              </w:rPr>
            </w:pPr>
            <w:r>
              <w:rPr>
                <w:i/>
              </w:rPr>
              <w:t>[</w:t>
            </w:r>
            <w:r w:rsidRPr="004C600C">
              <w:rPr>
                <w:i/>
              </w:rPr>
              <w:t>Some disclosures (Art. 7)</w:t>
            </w:r>
            <w:r>
              <w:rPr>
                <w:i/>
              </w:rPr>
              <w:t>]</w:t>
            </w:r>
          </w:p>
        </w:tc>
      </w:tr>
      <w:tr w:rsidR="0079181F" w14:paraId="3DC37958" w14:textId="77777777" w:rsidTr="0079181F">
        <w:tc>
          <w:tcPr>
            <w:tcW w:w="236" w:type="dxa"/>
            <w:tcBorders>
              <w:right w:val="nil"/>
            </w:tcBorders>
          </w:tcPr>
          <w:p w14:paraId="0CF5AF6D" w14:textId="77777777" w:rsidR="0079181F" w:rsidRDefault="0079181F" w:rsidP="0079181F">
            <w:pPr>
              <w:spacing w:before="60" w:after="60"/>
            </w:pPr>
          </w:p>
        </w:tc>
        <w:tc>
          <w:tcPr>
            <w:tcW w:w="2172" w:type="dxa"/>
            <w:tcBorders>
              <w:left w:val="nil"/>
            </w:tcBorders>
          </w:tcPr>
          <w:p w14:paraId="48579DA6" w14:textId="77777777" w:rsidR="0079181F" w:rsidRDefault="0079181F" w:rsidP="0079181F">
            <w:pPr>
              <w:spacing w:before="60" w:after="60"/>
            </w:pPr>
            <w:r>
              <w:rPr>
                <w:i/>
              </w:rPr>
              <w:t>42. Non-current assets held for sale</w:t>
            </w:r>
            <w:r w:rsidRPr="00C96F5B">
              <w:rPr>
                <w:i/>
              </w:rPr>
              <w:t xml:space="preserve"> [</w:t>
            </w:r>
            <w:r>
              <w:rPr>
                <w:i/>
              </w:rPr>
              <w:t>issued 2017</w:t>
            </w:r>
            <w:r w:rsidRPr="00C96F5B">
              <w:rPr>
                <w:i/>
              </w:rPr>
              <w:t>]</w:t>
            </w:r>
          </w:p>
        </w:tc>
        <w:tc>
          <w:tcPr>
            <w:tcW w:w="2410" w:type="dxa"/>
          </w:tcPr>
          <w:p w14:paraId="34F51156" w14:textId="3E221EBD" w:rsidR="0079181F" w:rsidRDefault="0079181F" w:rsidP="0079181F">
            <w:pPr>
              <w:spacing w:before="60" w:after="60"/>
            </w:pPr>
            <w:r>
              <w:t>-</w:t>
            </w:r>
          </w:p>
        </w:tc>
        <w:tc>
          <w:tcPr>
            <w:tcW w:w="2410" w:type="dxa"/>
          </w:tcPr>
          <w:p w14:paraId="6447B3DB" w14:textId="60FBBFAC" w:rsidR="0079181F" w:rsidRDefault="0079181F" w:rsidP="0079181F">
            <w:pPr>
              <w:spacing w:before="60" w:after="60"/>
            </w:pPr>
            <w:r>
              <w:t>-</w:t>
            </w:r>
          </w:p>
        </w:tc>
        <w:tc>
          <w:tcPr>
            <w:tcW w:w="2835" w:type="dxa"/>
          </w:tcPr>
          <w:p w14:paraId="2DCBCE7F" w14:textId="77777777" w:rsidR="0079181F" w:rsidRDefault="0079181F" w:rsidP="0079181F">
            <w:pPr>
              <w:spacing w:before="60" w:after="60"/>
            </w:pPr>
            <w:r>
              <w:t>-</w:t>
            </w:r>
          </w:p>
        </w:tc>
        <w:tc>
          <w:tcPr>
            <w:tcW w:w="2977" w:type="dxa"/>
          </w:tcPr>
          <w:p w14:paraId="4EB809F5" w14:textId="2FDD9E61" w:rsidR="0079181F" w:rsidRPr="00E60657" w:rsidRDefault="0079181F" w:rsidP="0079181F">
            <w:pPr>
              <w:spacing w:before="60" w:after="60"/>
              <w:rPr>
                <w:i/>
              </w:rPr>
            </w:pPr>
            <w:r w:rsidRPr="00E60657">
              <w:rPr>
                <w:i/>
              </w:rPr>
              <w:t xml:space="preserve">[For assets to be disposed of, use FV less selling costs if lower than carrying </w:t>
            </w:r>
            <w:r>
              <w:rPr>
                <w:i/>
              </w:rPr>
              <w:t>amount (Art. 13)</w:t>
            </w:r>
            <w:r w:rsidRPr="00E60657">
              <w:rPr>
                <w:i/>
              </w:rPr>
              <w:t>.]</w:t>
            </w:r>
          </w:p>
        </w:tc>
        <w:tc>
          <w:tcPr>
            <w:tcW w:w="2835" w:type="dxa"/>
          </w:tcPr>
          <w:p w14:paraId="0562E3A2" w14:textId="77777777" w:rsidR="0079181F" w:rsidRDefault="0079181F" w:rsidP="0079181F">
            <w:pPr>
              <w:spacing w:before="60" w:after="60"/>
            </w:pPr>
            <w:r>
              <w:t>-</w:t>
            </w:r>
          </w:p>
        </w:tc>
      </w:tr>
    </w:tbl>
    <w:p w14:paraId="0F13075A" w14:textId="77777777" w:rsidR="003A20E3" w:rsidRDefault="003A20E3" w:rsidP="003A20E3"/>
    <w:p w14:paraId="4C83DA52" w14:textId="23E84BFD" w:rsidR="00FB5045" w:rsidRPr="00FB5045" w:rsidRDefault="003A20E3" w:rsidP="00FB5045">
      <w:pPr>
        <w:rPr>
          <w:rFonts w:eastAsia="SimSun"/>
          <w:sz w:val="18"/>
          <w:szCs w:val="18"/>
        </w:rPr>
      </w:pPr>
      <w:r>
        <w:rPr>
          <w:sz w:val="18"/>
          <w:szCs w:val="18"/>
        </w:rPr>
        <w:t xml:space="preserve">This table identifies the mentions of “fair value” in each of the accounting standards, dividing the mentions into five categories. </w:t>
      </w:r>
      <w:r w:rsidR="00F35E0C">
        <w:rPr>
          <w:sz w:val="18"/>
          <w:szCs w:val="18"/>
        </w:rPr>
        <w:t>SMFV</w:t>
      </w:r>
      <w:r>
        <w:rPr>
          <w:sz w:val="18"/>
          <w:szCs w:val="18"/>
        </w:rPr>
        <w:t xml:space="preserve"> means using fair value measurement on a continuing basis for an asset or a liability. In cases where a standard does not itself mention fair value but sends readers to another standard which does, only that latter standard is scored, in order to avoid double-counting. </w:t>
      </w:r>
      <w:r w:rsidR="00324B96">
        <w:rPr>
          <w:sz w:val="18"/>
          <w:szCs w:val="18"/>
        </w:rPr>
        <w:t xml:space="preserve">Unless otherwise stated, the standard was issued in 2006; those amended or newly issued since then are shown in italics in square brackets. </w:t>
      </w:r>
      <w:r w:rsidRPr="00A05D39">
        <w:rPr>
          <w:sz w:val="18"/>
          <w:szCs w:val="18"/>
        </w:rPr>
        <w:t>Note</w:t>
      </w:r>
      <w:r>
        <w:rPr>
          <w:sz w:val="18"/>
          <w:szCs w:val="18"/>
        </w:rPr>
        <w:t>s</w:t>
      </w:r>
      <w:r w:rsidR="00FB5045" w:rsidRPr="00FB5045">
        <w:rPr>
          <w:rFonts w:eastAsia="SimSun"/>
          <w:sz w:val="18"/>
          <w:szCs w:val="18"/>
        </w:rPr>
        <w:t>: (a) Excluding disclosure requirements related to items in columns to the left of this. (b) ASBE 1 does not mention fair value but its Article 12 refers to ASBEs 5, 7, 12 and 20, which require initial recognition of various items at fair value. (c) ASBE 4 does not mention fair value for initial measurement but its Article 12 refers to ASBEs 7, 20 and 21, which require initial recognition of various items at fair value. (d) ASBE 8 applies for impairment.</w:t>
      </w:r>
      <w:r w:rsidR="00995C9F">
        <w:rPr>
          <w:rFonts w:eastAsia="SimSun"/>
          <w:sz w:val="18"/>
          <w:szCs w:val="18"/>
        </w:rPr>
        <w:t xml:space="preserve"> (e) I have not scored the cases </w:t>
      </w:r>
      <w:r w:rsidR="00A75DCE">
        <w:rPr>
          <w:rFonts w:eastAsia="SimSun"/>
          <w:sz w:val="18"/>
          <w:szCs w:val="18"/>
        </w:rPr>
        <w:t>(</w:t>
      </w:r>
      <w:r w:rsidR="00995C9F">
        <w:rPr>
          <w:rFonts w:eastAsia="SimSun"/>
          <w:sz w:val="18"/>
          <w:szCs w:val="18"/>
        </w:rPr>
        <w:t>referr</w:t>
      </w:r>
      <w:r w:rsidR="00A75DCE">
        <w:rPr>
          <w:rFonts w:eastAsia="SimSun"/>
          <w:sz w:val="18"/>
          <w:szCs w:val="18"/>
        </w:rPr>
        <w:t>ed to in Section 3.2</w:t>
      </w:r>
      <w:r w:rsidR="00995C9F">
        <w:rPr>
          <w:rFonts w:eastAsia="SimSun"/>
          <w:sz w:val="18"/>
          <w:szCs w:val="18"/>
        </w:rPr>
        <w:t>)</w:t>
      </w:r>
      <w:r w:rsidR="00A75DCE">
        <w:rPr>
          <w:rFonts w:eastAsia="SimSun"/>
          <w:sz w:val="18"/>
          <w:szCs w:val="18"/>
        </w:rPr>
        <w:t xml:space="preserve"> where a standard refers to unfair values but does not explain what should be done in such circumstances.</w:t>
      </w:r>
    </w:p>
    <w:p w14:paraId="74A997EF" w14:textId="20AEAFB7" w:rsidR="003A20E3" w:rsidRPr="00623B73" w:rsidRDefault="003A20E3" w:rsidP="003A20E3">
      <w:pPr>
        <w:rPr>
          <w:sz w:val="18"/>
          <w:szCs w:val="18"/>
        </w:rPr>
      </w:pPr>
      <w:r>
        <w:rPr>
          <w:sz w:val="18"/>
          <w:szCs w:val="18"/>
        </w:rPr>
        <w:t xml:space="preserve">Sources: </w:t>
      </w:r>
      <w:r w:rsidR="00324B96">
        <w:rPr>
          <w:sz w:val="18"/>
          <w:szCs w:val="18"/>
        </w:rPr>
        <w:t>T</w:t>
      </w:r>
      <w:r>
        <w:rPr>
          <w:sz w:val="18"/>
          <w:szCs w:val="18"/>
        </w:rPr>
        <w:t>he standards can be found at</w:t>
      </w:r>
      <w:r w:rsidRPr="00623B73">
        <w:rPr>
          <w:sz w:val="18"/>
          <w:szCs w:val="18"/>
        </w:rPr>
        <w:t xml:space="preserve">:  </w:t>
      </w:r>
      <w:r w:rsidR="00EE0458" w:rsidRPr="00EE0458">
        <w:rPr>
          <w:sz w:val="18"/>
          <w:szCs w:val="18"/>
        </w:rPr>
        <w:t xml:space="preserve">http://www.casc.org.cn/casc/zhence/quanwen/2.shtml </w:t>
      </w:r>
      <w:r w:rsidRPr="00623B73">
        <w:rPr>
          <w:sz w:val="18"/>
          <w:szCs w:val="18"/>
        </w:rPr>
        <w:t>(accessed 2</w:t>
      </w:r>
      <w:r w:rsidR="00EE0458">
        <w:rPr>
          <w:sz w:val="18"/>
          <w:szCs w:val="18"/>
        </w:rPr>
        <w:t>1 June</w:t>
      </w:r>
      <w:r w:rsidRPr="00623B73">
        <w:rPr>
          <w:sz w:val="18"/>
          <w:szCs w:val="18"/>
        </w:rPr>
        <w:t xml:space="preserve"> 201</w:t>
      </w:r>
      <w:r w:rsidR="00F22FAD">
        <w:rPr>
          <w:sz w:val="18"/>
          <w:szCs w:val="18"/>
        </w:rPr>
        <w:t>9</w:t>
      </w:r>
      <w:r w:rsidRPr="00623B73">
        <w:rPr>
          <w:sz w:val="18"/>
          <w:szCs w:val="18"/>
        </w:rPr>
        <w:t>).</w:t>
      </w:r>
      <w:r w:rsidR="00324B96">
        <w:rPr>
          <w:sz w:val="18"/>
          <w:szCs w:val="18"/>
        </w:rPr>
        <w:t xml:space="preserve"> I have also consulted </w:t>
      </w:r>
      <w:r w:rsidR="00324B96" w:rsidRPr="00A05D39">
        <w:rPr>
          <w:sz w:val="18"/>
          <w:szCs w:val="18"/>
        </w:rPr>
        <w:t>Deloitte (2006), ESMA (2011), Mirza and Ankarath (2012, Appendix E), and PwC (20</w:t>
      </w:r>
      <w:r w:rsidR="00324B96">
        <w:rPr>
          <w:sz w:val="18"/>
          <w:szCs w:val="18"/>
        </w:rPr>
        <w:t>12). I have benefitted from di</w:t>
      </w:r>
      <w:r w:rsidR="00AE1B68">
        <w:rPr>
          <w:sz w:val="18"/>
          <w:szCs w:val="18"/>
        </w:rPr>
        <w:t xml:space="preserve">scussions with Tianran Liu, Songlan Peng, </w:t>
      </w:r>
      <w:r w:rsidR="00324B96">
        <w:rPr>
          <w:sz w:val="18"/>
          <w:szCs w:val="18"/>
        </w:rPr>
        <w:t>Jason Xiao</w:t>
      </w:r>
      <w:r w:rsidR="00AE1B68">
        <w:rPr>
          <w:sz w:val="18"/>
          <w:szCs w:val="18"/>
        </w:rPr>
        <w:t xml:space="preserve"> and Wei-Guo Zhang</w:t>
      </w:r>
      <w:r w:rsidR="00324B96">
        <w:rPr>
          <w:sz w:val="18"/>
          <w:szCs w:val="18"/>
        </w:rPr>
        <w:t>.</w:t>
      </w:r>
    </w:p>
    <w:p w14:paraId="2936A4C3" w14:textId="77777777" w:rsidR="003A20E3" w:rsidRDefault="003A20E3" w:rsidP="003A20E3"/>
    <w:p w14:paraId="305B86E9" w14:textId="77777777" w:rsidR="003A20E3" w:rsidRDefault="003A20E3" w:rsidP="003A20E3"/>
    <w:bookmarkEnd w:id="1"/>
    <w:p w14:paraId="11F42E35" w14:textId="77777777" w:rsidR="000E5202" w:rsidRDefault="000E5202" w:rsidP="00880095">
      <w:pPr>
        <w:rPr>
          <w:sz w:val="18"/>
          <w:szCs w:val="18"/>
        </w:rPr>
        <w:sectPr w:rsidR="000E5202" w:rsidSect="000E5202">
          <w:pgSz w:w="16838" w:h="11906" w:orient="landscape"/>
          <w:pgMar w:top="1440" w:right="1440" w:bottom="1440" w:left="1440" w:header="709" w:footer="709" w:gutter="0"/>
          <w:cols w:space="708"/>
          <w:titlePg/>
          <w:docGrid w:linePitch="360"/>
        </w:sectPr>
      </w:pPr>
    </w:p>
    <w:p w14:paraId="1244462D" w14:textId="167141C0" w:rsidR="005D3708" w:rsidRPr="00A05D39" w:rsidRDefault="005D3708" w:rsidP="00880095">
      <w:pPr>
        <w:rPr>
          <w:sz w:val="18"/>
          <w:szCs w:val="18"/>
        </w:rPr>
      </w:pPr>
    </w:p>
    <w:p w14:paraId="414B8C81" w14:textId="77777777" w:rsidR="00880095" w:rsidRPr="00F07464" w:rsidRDefault="00880095" w:rsidP="00F07464">
      <w:pPr>
        <w:spacing w:after="0" w:line="480" w:lineRule="auto"/>
        <w:ind w:left="284" w:hanging="284"/>
        <w:rPr>
          <w:rFonts w:cstheme="minorHAnsi"/>
        </w:rPr>
      </w:pPr>
    </w:p>
    <w:sectPr w:rsidR="00880095" w:rsidRPr="00F07464" w:rsidSect="001377E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6FE03" w16cid:durableId="20BA09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1E9A" w14:textId="77777777" w:rsidR="00BF33AC" w:rsidRDefault="00BF33AC" w:rsidP="001377E2">
      <w:pPr>
        <w:spacing w:after="0" w:line="240" w:lineRule="auto"/>
      </w:pPr>
      <w:r>
        <w:separator/>
      </w:r>
    </w:p>
  </w:endnote>
  <w:endnote w:type="continuationSeparator" w:id="0">
    <w:p w14:paraId="47E90FEF" w14:textId="77777777" w:rsidR="00BF33AC" w:rsidRDefault="00BF33AC" w:rsidP="0013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OT44ee9141.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dvOT8cb2dd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F540" w14:textId="77777777" w:rsidR="00BF33AC" w:rsidRDefault="00BF33AC" w:rsidP="001377E2">
      <w:pPr>
        <w:spacing w:after="0" w:line="240" w:lineRule="auto"/>
      </w:pPr>
      <w:r>
        <w:separator/>
      </w:r>
    </w:p>
  </w:footnote>
  <w:footnote w:type="continuationSeparator" w:id="0">
    <w:p w14:paraId="2EF10C4A" w14:textId="77777777" w:rsidR="00BF33AC" w:rsidRDefault="00BF33AC" w:rsidP="001377E2">
      <w:pPr>
        <w:spacing w:after="0" w:line="240" w:lineRule="auto"/>
      </w:pPr>
      <w:r>
        <w:continuationSeparator/>
      </w:r>
    </w:p>
  </w:footnote>
  <w:footnote w:id="1">
    <w:p w14:paraId="0301BE19" w14:textId="5E17C0EE" w:rsidR="00F4244F" w:rsidRPr="003E5C42" w:rsidRDefault="00F4244F" w:rsidP="00D7521F">
      <w:pPr>
        <w:pStyle w:val="FootnoteText"/>
        <w:rPr>
          <w:sz w:val="18"/>
          <w:szCs w:val="18"/>
        </w:rPr>
      </w:pPr>
      <w:r>
        <w:rPr>
          <w:rStyle w:val="FootnoteReference"/>
        </w:rPr>
        <w:footnoteRef/>
      </w:r>
      <w:r>
        <w:t xml:space="preserve"> </w:t>
      </w:r>
      <w:r w:rsidRPr="003E5C42">
        <w:rPr>
          <w:sz w:val="18"/>
          <w:szCs w:val="18"/>
        </w:rPr>
        <w:t xml:space="preserve">Google scholar showed </w:t>
      </w:r>
      <w:r>
        <w:rPr>
          <w:sz w:val="18"/>
          <w:szCs w:val="18"/>
        </w:rPr>
        <w:t>95 citations on 23 June</w:t>
      </w:r>
      <w:r w:rsidRPr="003E5C42">
        <w:rPr>
          <w:sz w:val="18"/>
          <w:szCs w:val="18"/>
        </w:rPr>
        <w:t xml:space="preserve"> 201</w:t>
      </w:r>
      <w:r>
        <w:rPr>
          <w:sz w:val="18"/>
          <w:szCs w:val="18"/>
        </w:rPr>
        <w:t>9</w:t>
      </w:r>
      <w:r w:rsidRPr="003E5C42">
        <w:rPr>
          <w:sz w:val="18"/>
          <w:szCs w:val="18"/>
        </w:rPr>
        <w:t>.</w:t>
      </w:r>
    </w:p>
  </w:footnote>
  <w:footnote w:id="2">
    <w:p w14:paraId="713A7723" w14:textId="5DF3BB1C" w:rsidR="00F4244F" w:rsidRPr="0074726C" w:rsidRDefault="00F4244F" w:rsidP="00FC06CE">
      <w:pPr>
        <w:spacing w:after="0" w:line="240" w:lineRule="auto"/>
        <w:rPr>
          <w:sz w:val="18"/>
          <w:szCs w:val="18"/>
        </w:rPr>
      </w:pPr>
      <w:r>
        <w:rPr>
          <w:rStyle w:val="FootnoteReference"/>
        </w:rPr>
        <w:footnoteRef/>
      </w:r>
      <w:r>
        <w:t xml:space="preserve"> </w:t>
      </w:r>
      <w:r w:rsidRPr="0074726C">
        <w:rPr>
          <w:sz w:val="18"/>
          <w:szCs w:val="18"/>
        </w:rPr>
        <w:t>For the purposes of this paper, we do not need a more precise definition, but readers can find one in</w:t>
      </w:r>
      <w:r>
        <w:rPr>
          <w:sz w:val="18"/>
          <w:szCs w:val="18"/>
        </w:rPr>
        <w:t xml:space="preserve"> paragraph 9 of</w:t>
      </w:r>
      <w:r w:rsidRPr="0074726C">
        <w:rPr>
          <w:sz w:val="18"/>
          <w:szCs w:val="18"/>
        </w:rPr>
        <w:t xml:space="preserve"> IFRS 13</w:t>
      </w:r>
      <w:r>
        <w:rPr>
          <w:sz w:val="18"/>
          <w:szCs w:val="18"/>
        </w:rPr>
        <w:t>,</w:t>
      </w:r>
      <w:r w:rsidRPr="0074726C">
        <w:rPr>
          <w:sz w:val="18"/>
          <w:szCs w:val="18"/>
        </w:rPr>
        <w:t xml:space="preserve"> </w:t>
      </w:r>
      <w:r>
        <w:rPr>
          <w:i/>
          <w:sz w:val="18"/>
          <w:szCs w:val="18"/>
        </w:rPr>
        <w:t xml:space="preserve">Fair Value Measurement, </w:t>
      </w:r>
      <w:r w:rsidRPr="0074726C">
        <w:rPr>
          <w:sz w:val="18"/>
          <w:szCs w:val="18"/>
        </w:rPr>
        <w:t>which is the basis for the Chinese s</w:t>
      </w:r>
      <w:r>
        <w:rPr>
          <w:sz w:val="18"/>
          <w:szCs w:val="18"/>
        </w:rPr>
        <w:t>tandard ASBE 39, issued in 2014</w:t>
      </w:r>
      <w:r w:rsidRPr="0074726C">
        <w:rPr>
          <w:sz w:val="18"/>
          <w:szCs w:val="18"/>
        </w:rPr>
        <w:t>.</w:t>
      </w:r>
    </w:p>
  </w:footnote>
  <w:footnote w:id="3">
    <w:p w14:paraId="6F6B7205" w14:textId="7811678F" w:rsidR="00F4244F" w:rsidRPr="006B2A2A" w:rsidRDefault="00F4244F" w:rsidP="0074726C">
      <w:pPr>
        <w:pStyle w:val="FootnoteText"/>
        <w:rPr>
          <w:lang w:val="en-US"/>
        </w:rPr>
      </w:pPr>
      <w:r>
        <w:rPr>
          <w:rStyle w:val="FootnoteReference"/>
        </w:rPr>
        <w:footnoteRef/>
      </w:r>
      <w:r>
        <w:t xml:space="preserve"> </w:t>
      </w:r>
      <w:r w:rsidRPr="00A05D39">
        <w:rPr>
          <w:sz w:val="18"/>
          <w:szCs w:val="18"/>
          <w:lang w:val="en-US"/>
        </w:rPr>
        <w:t>From here on, I largely refer to assets because, for most entities, fair value is of little relevance for liabilities.</w:t>
      </w:r>
    </w:p>
  </w:footnote>
  <w:footnote w:id="4">
    <w:p w14:paraId="53CEF78D" w14:textId="77777777" w:rsidR="00F4244F" w:rsidRPr="002D1EB9" w:rsidRDefault="00F4244F" w:rsidP="007334B5">
      <w:pPr>
        <w:pStyle w:val="FootnoteText"/>
        <w:rPr>
          <w:sz w:val="18"/>
          <w:szCs w:val="18"/>
          <w:lang w:val="en-AU"/>
        </w:rPr>
      </w:pPr>
      <w:r w:rsidRPr="002D1EB9">
        <w:rPr>
          <w:rStyle w:val="FootnoteReference"/>
          <w:sz w:val="18"/>
          <w:szCs w:val="18"/>
        </w:rPr>
        <w:footnoteRef/>
      </w:r>
      <w:r w:rsidRPr="002D1EB9">
        <w:rPr>
          <w:sz w:val="18"/>
          <w:szCs w:val="18"/>
        </w:rPr>
        <w:t xml:space="preserve"> </w:t>
      </w:r>
      <w:r w:rsidRPr="002D1EB9">
        <w:rPr>
          <w:sz w:val="18"/>
          <w:szCs w:val="18"/>
          <w:lang w:val="en-AU"/>
        </w:rPr>
        <w:t>For example, Deloitte (2006), ICAS (2010), Olesen and Cheng (2011) and Zhang et al. (2012).</w:t>
      </w:r>
    </w:p>
  </w:footnote>
  <w:footnote w:id="5">
    <w:p w14:paraId="6783D2F4" w14:textId="71B9E5E4" w:rsidR="00F4244F" w:rsidRPr="0000374A" w:rsidRDefault="00F4244F" w:rsidP="005C2DFB">
      <w:pPr>
        <w:pStyle w:val="FootnoteText"/>
        <w:rPr>
          <w:rFonts w:eastAsia="SimSun"/>
          <w:sz w:val="18"/>
          <w:szCs w:val="18"/>
        </w:rPr>
      </w:pPr>
      <w:r>
        <w:rPr>
          <w:rStyle w:val="FootnoteReference"/>
        </w:rPr>
        <w:footnoteRef/>
      </w:r>
      <w:r>
        <w:t xml:space="preserve"> </w:t>
      </w:r>
      <w:r w:rsidRPr="0000374A">
        <w:rPr>
          <w:rFonts w:eastAsia="SimSun"/>
          <w:sz w:val="18"/>
          <w:szCs w:val="18"/>
        </w:rPr>
        <w:t xml:space="preserve">Evans (2018) warns us against expecting there to be “equivalent” translations, but </w:t>
      </w:r>
      <w:r>
        <w:rPr>
          <w:rFonts w:eastAsia="SimSun"/>
          <w:sz w:val="18"/>
          <w:szCs w:val="18"/>
        </w:rPr>
        <w:t xml:space="preserve">at least it is clear that </w:t>
      </w:r>
      <w:r w:rsidRPr="0000374A">
        <w:rPr>
          <w:rFonts w:eastAsia="SimSun"/>
          <w:sz w:val="18"/>
          <w:szCs w:val="18"/>
        </w:rPr>
        <w:t>the titles of t</w:t>
      </w:r>
      <w:r>
        <w:rPr>
          <w:rFonts w:eastAsia="SimSun"/>
          <w:sz w:val="18"/>
          <w:szCs w:val="18"/>
        </w:rPr>
        <w:t xml:space="preserve">he Chinese documents </w:t>
      </w:r>
      <w:r w:rsidRPr="0000374A">
        <w:rPr>
          <w:rFonts w:eastAsia="SimSun"/>
          <w:sz w:val="18"/>
          <w:szCs w:val="18"/>
        </w:rPr>
        <w:t>(</w:t>
      </w:r>
      <w:r w:rsidRPr="0000374A">
        <w:rPr>
          <w:rFonts w:ascii="Microsoft YaHei" w:eastAsia="Microsoft YaHei" w:hAnsi="Microsoft YaHei" w:hint="eastAsia"/>
          <w:sz w:val="18"/>
          <w:szCs w:val="18"/>
          <w:lang w:eastAsia="zh-CN"/>
        </w:rPr>
        <w:t>企业会计准则)</w:t>
      </w:r>
      <w:r w:rsidRPr="0000374A">
        <w:rPr>
          <w:rFonts w:ascii="Microsoft YaHei" w:eastAsia="Microsoft YaHei" w:hAnsi="Microsoft YaHei" w:hint="eastAsia"/>
          <w:color w:val="1594F1"/>
          <w:sz w:val="18"/>
          <w:szCs w:val="18"/>
          <w:lang w:eastAsia="zh-CN"/>
        </w:rPr>
        <w:t xml:space="preserve"> </w:t>
      </w:r>
      <w:r w:rsidRPr="0000374A">
        <w:rPr>
          <w:rFonts w:eastAsia="SimSun"/>
          <w:sz w:val="18"/>
          <w:szCs w:val="18"/>
        </w:rPr>
        <w:t>do not contain characters for “Chinese” or “national”.</w:t>
      </w:r>
    </w:p>
  </w:footnote>
  <w:footnote w:id="6">
    <w:p w14:paraId="4740C03E" w14:textId="77777777" w:rsidR="00F4244F" w:rsidRDefault="00F4244F" w:rsidP="007334B5">
      <w:pPr>
        <w:pStyle w:val="FootnoteText"/>
      </w:pPr>
      <w:r>
        <w:rPr>
          <w:rStyle w:val="FootnoteReference"/>
        </w:rPr>
        <w:footnoteRef/>
      </w:r>
      <w:r>
        <w:t xml:space="preserve"> </w:t>
      </w:r>
      <w:r>
        <w:rPr>
          <w:sz w:val="18"/>
          <w:szCs w:val="18"/>
        </w:rPr>
        <w:t>BGP</w:t>
      </w:r>
      <w:r w:rsidRPr="00F676DC">
        <w:rPr>
          <w:sz w:val="18"/>
          <w:szCs w:val="18"/>
        </w:rPr>
        <w:t xml:space="preserve"> refer to “ASBE” without explanation of the acronym in their footnote 2.</w:t>
      </w:r>
      <w:r>
        <w:rPr>
          <w:sz w:val="18"/>
          <w:szCs w:val="18"/>
        </w:rPr>
        <w:t xml:space="preserve"> Given the context (the year 2008), this must mean “Accounting Standards for Business Enterprises” but, since their paper does not mention that term, readers might be misled into thinking it meant the earlier “Accounting</w:t>
      </w:r>
      <w:r w:rsidRPr="00E36786">
        <w:rPr>
          <w:sz w:val="18"/>
          <w:szCs w:val="18"/>
        </w:rPr>
        <w:t xml:space="preserve"> </w:t>
      </w:r>
      <w:r>
        <w:rPr>
          <w:sz w:val="18"/>
          <w:szCs w:val="18"/>
        </w:rPr>
        <w:t>System for Business Enterprises”.</w:t>
      </w:r>
    </w:p>
  </w:footnote>
  <w:footnote w:id="7">
    <w:p w14:paraId="07B3820A" w14:textId="403DB66C" w:rsidR="00F4244F" w:rsidRPr="00C532C4" w:rsidRDefault="00F4244F">
      <w:pPr>
        <w:pStyle w:val="FootnoteText"/>
        <w:rPr>
          <w:sz w:val="18"/>
          <w:szCs w:val="18"/>
        </w:rPr>
      </w:pPr>
      <w:r>
        <w:rPr>
          <w:rStyle w:val="FootnoteReference"/>
        </w:rPr>
        <w:footnoteRef/>
      </w:r>
      <w:r>
        <w:t xml:space="preserve"> </w:t>
      </w:r>
      <w:r w:rsidRPr="00C532C4">
        <w:rPr>
          <w:sz w:val="18"/>
          <w:szCs w:val="18"/>
        </w:rPr>
        <w:t xml:space="preserve">This appears to be a typographical error, as </w:t>
      </w:r>
      <w:r>
        <w:rPr>
          <w:sz w:val="18"/>
          <w:szCs w:val="18"/>
        </w:rPr>
        <w:t xml:space="preserve">BGP’s </w:t>
      </w:r>
      <w:r w:rsidRPr="00C532C4">
        <w:rPr>
          <w:sz w:val="18"/>
          <w:szCs w:val="18"/>
        </w:rPr>
        <w:t xml:space="preserve">Table I also </w:t>
      </w:r>
      <w:r>
        <w:rPr>
          <w:sz w:val="18"/>
          <w:szCs w:val="18"/>
        </w:rPr>
        <w:t>reports that the same system was</w:t>
      </w:r>
      <w:r w:rsidRPr="00C532C4">
        <w:rPr>
          <w:sz w:val="18"/>
          <w:szCs w:val="18"/>
        </w:rPr>
        <w:t xml:space="preserve"> introduced in 2001.</w:t>
      </w:r>
      <w:r>
        <w:rPr>
          <w:sz w:val="18"/>
          <w:szCs w:val="18"/>
        </w:rPr>
        <w:t xml:space="preserve"> For details on this 2001 system, see: </w:t>
      </w:r>
      <w:hyperlink r:id="rId1" w:history="1">
        <w:r w:rsidRPr="000D7A54">
          <w:rPr>
            <w:rStyle w:val="Hyperlink"/>
            <w:sz w:val="18"/>
            <w:szCs w:val="18"/>
          </w:rPr>
          <w:t>https://www.pwccn.com/en/migration/pdf/iic-ch10.pdf</w:t>
        </w:r>
      </w:hyperlink>
      <w:r>
        <w:rPr>
          <w:sz w:val="18"/>
          <w:szCs w:val="18"/>
        </w:rPr>
        <w:t xml:space="preserve"> (accessed on 4 May 2019).</w:t>
      </w:r>
    </w:p>
  </w:footnote>
  <w:footnote w:id="8">
    <w:p w14:paraId="3A44067B" w14:textId="77777777" w:rsidR="00F4244F" w:rsidRDefault="00F4244F" w:rsidP="000A0499">
      <w:pPr>
        <w:pStyle w:val="FootnoteText"/>
      </w:pPr>
      <w:r>
        <w:rPr>
          <w:rStyle w:val="FootnoteReference"/>
        </w:rPr>
        <w:footnoteRef/>
      </w:r>
      <w:r>
        <w:t xml:space="preserve"> </w:t>
      </w:r>
      <w:r>
        <w:rPr>
          <w:sz w:val="18"/>
          <w:szCs w:val="18"/>
        </w:rPr>
        <w:t>As examples, it was required in the USA by Accounting Principles Board Opinion 16 of 1970, and it has been</w:t>
      </w:r>
      <w:r w:rsidRPr="00C0013E">
        <w:rPr>
          <w:sz w:val="18"/>
          <w:szCs w:val="18"/>
        </w:rPr>
        <w:t xml:space="preserve"> the required basis in the laws of member states of the European Union</w:t>
      </w:r>
      <w:r>
        <w:rPr>
          <w:sz w:val="18"/>
          <w:szCs w:val="18"/>
        </w:rPr>
        <w:t xml:space="preserve"> since implementation of</w:t>
      </w:r>
      <w:r w:rsidRPr="00C0013E">
        <w:rPr>
          <w:sz w:val="18"/>
          <w:szCs w:val="18"/>
        </w:rPr>
        <w:t xml:space="preserve"> the Seventh Directive on company law of 1983 (Article 19).</w:t>
      </w:r>
    </w:p>
  </w:footnote>
  <w:footnote w:id="9">
    <w:p w14:paraId="71345B6D" w14:textId="77777777" w:rsidR="00F4244F" w:rsidRDefault="00F4244F" w:rsidP="00A75DCE">
      <w:pPr>
        <w:pStyle w:val="FootnoteText"/>
      </w:pPr>
      <w:r>
        <w:rPr>
          <w:rStyle w:val="FootnoteReference"/>
        </w:rPr>
        <w:footnoteRef/>
      </w:r>
      <w:r>
        <w:t xml:space="preserve"> </w:t>
      </w:r>
      <w:r w:rsidRPr="00266F1F">
        <w:rPr>
          <w:sz w:val="18"/>
          <w:szCs w:val="18"/>
        </w:rPr>
        <w:t>In correspondence with me</w:t>
      </w:r>
      <w:r>
        <w:rPr>
          <w:sz w:val="18"/>
          <w:szCs w:val="18"/>
        </w:rPr>
        <w:t xml:space="preserve"> (of 10 October 2018)</w:t>
      </w:r>
      <w:r w:rsidRPr="00266F1F">
        <w:rPr>
          <w:sz w:val="18"/>
          <w:szCs w:val="18"/>
        </w:rPr>
        <w:t>, Songlan Peng explains that th</w:t>
      </w:r>
      <w:r>
        <w:rPr>
          <w:sz w:val="18"/>
          <w:szCs w:val="18"/>
        </w:rPr>
        <w:t>is is why PB</w:t>
      </w:r>
      <w:r w:rsidRPr="00266F1F">
        <w:rPr>
          <w:sz w:val="18"/>
          <w:szCs w:val="18"/>
        </w:rPr>
        <w:t xml:space="preserve"> scored</w:t>
      </w:r>
      <w:r>
        <w:rPr>
          <w:sz w:val="18"/>
          <w:szCs w:val="18"/>
        </w:rPr>
        <w:t xml:space="preserve"> such standards as</w:t>
      </w:r>
      <w:r w:rsidRPr="00266F1F">
        <w:rPr>
          <w:sz w:val="18"/>
          <w:szCs w:val="18"/>
        </w:rPr>
        <w:t xml:space="preserve"> ASBE</w:t>
      </w:r>
      <w:r>
        <w:rPr>
          <w:sz w:val="18"/>
          <w:szCs w:val="18"/>
        </w:rPr>
        <w:t>s 1, 4, 5 and 6</w:t>
      </w:r>
      <w:r w:rsidRPr="00266F1F">
        <w:rPr>
          <w:sz w:val="18"/>
          <w:szCs w:val="18"/>
        </w:rPr>
        <w:t xml:space="preserve"> as using fair value for ini</w:t>
      </w:r>
      <w:r>
        <w:rPr>
          <w:sz w:val="18"/>
          <w:szCs w:val="18"/>
        </w:rPr>
        <w:t xml:space="preserve">tial recognition even </w:t>
      </w:r>
      <w:r w:rsidRPr="00266F1F">
        <w:rPr>
          <w:sz w:val="18"/>
          <w:szCs w:val="18"/>
        </w:rPr>
        <w:t xml:space="preserve">though the standards clearly require cost (Articles </w:t>
      </w:r>
      <w:r>
        <w:rPr>
          <w:sz w:val="18"/>
          <w:szCs w:val="18"/>
        </w:rPr>
        <w:t xml:space="preserve">5, </w:t>
      </w:r>
      <w:r w:rsidRPr="00266F1F">
        <w:rPr>
          <w:sz w:val="18"/>
          <w:szCs w:val="18"/>
        </w:rPr>
        <w:t xml:space="preserve">7, </w:t>
      </w:r>
      <w:r>
        <w:rPr>
          <w:sz w:val="18"/>
          <w:szCs w:val="18"/>
        </w:rPr>
        <w:t xml:space="preserve">6 and 12, </w:t>
      </w:r>
      <w:r w:rsidRPr="00266F1F">
        <w:rPr>
          <w:sz w:val="18"/>
          <w:szCs w:val="18"/>
        </w:rPr>
        <w:t>respectively).</w:t>
      </w:r>
      <w:r>
        <w:t xml:space="preserve">  </w:t>
      </w:r>
    </w:p>
  </w:footnote>
  <w:footnote w:id="10">
    <w:p w14:paraId="021E5A8E" w14:textId="77777777" w:rsidR="005D356F" w:rsidRDefault="005D356F" w:rsidP="005D356F">
      <w:pPr>
        <w:pStyle w:val="FootnoteText"/>
      </w:pPr>
      <w:r>
        <w:rPr>
          <w:rStyle w:val="FootnoteReference"/>
        </w:rPr>
        <w:footnoteRef/>
      </w:r>
      <w:r>
        <w:t xml:space="preserve"> </w:t>
      </w:r>
      <w:r w:rsidRPr="003F2B41">
        <w:rPr>
          <w:sz w:val="18"/>
          <w:szCs w:val="18"/>
        </w:rPr>
        <w:t>ASBE 1 (Article 11)</w:t>
      </w:r>
      <w:r>
        <w:rPr>
          <w:sz w:val="18"/>
          <w:szCs w:val="18"/>
        </w:rPr>
        <w:t>, ASBE 4 (Article 11), ASBE 5 (Article 12)</w:t>
      </w:r>
      <w:r w:rsidRPr="003F2B41">
        <w:rPr>
          <w:sz w:val="18"/>
          <w:szCs w:val="18"/>
        </w:rPr>
        <w:t xml:space="preserve"> and ASBE 6 (Article 14).</w:t>
      </w:r>
    </w:p>
  </w:footnote>
  <w:footnote w:id="11">
    <w:p w14:paraId="209D66C6" w14:textId="38631D0F" w:rsidR="00F4244F" w:rsidRPr="00A05D39" w:rsidRDefault="00F4244F">
      <w:pPr>
        <w:pStyle w:val="FootnoteText"/>
        <w:rPr>
          <w:sz w:val="18"/>
          <w:szCs w:val="18"/>
          <w:lang w:val="en-US"/>
        </w:rPr>
      </w:pPr>
      <w:r>
        <w:rPr>
          <w:rStyle w:val="FootnoteReference"/>
        </w:rPr>
        <w:footnoteRef/>
      </w:r>
      <w:r>
        <w:t xml:space="preserve"> </w:t>
      </w:r>
      <w:r w:rsidRPr="00A05D39">
        <w:rPr>
          <w:sz w:val="18"/>
          <w:szCs w:val="18"/>
          <w:lang w:val="en-US"/>
        </w:rPr>
        <w:t>Cash-settled share-based payment liabilities are continuously measured at the fair value of the share appreciation rights.</w:t>
      </w:r>
    </w:p>
  </w:footnote>
  <w:footnote w:id="12">
    <w:p w14:paraId="2D7BA40D" w14:textId="54661324" w:rsidR="00F4244F" w:rsidRPr="005D4902" w:rsidRDefault="00F4244F">
      <w:pPr>
        <w:pStyle w:val="FootnoteText"/>
        <w:rPr>
          <w:sz w:val="18"/>
          <w:szCs w:val="18"/>
        </w:rPr>
      </w:pPr>
      <w:r>
        <w:rPr>
          <w:rStyle w:val="FootnoteReference"/>
        </w:rPr>
        <w:footnoteRef/>
      </w:r>
      <w:r>
        <w:t xml:space="preserve"> </w:t>
      </w:r>
      <w:r w:rsidRPr="005D4902">
        <w:rPr>
          <w:sz w:val="18"/>
          <w:szCs w:val="18"/>
        </w:rPr>
        <w:t>The quotation in Section 1 refers to eight</w:t>
      </w:r>
      <w:r>
        <w:rPr>
          <w:sz w:val="18"/>
          <w:szCs w:val="18"/>
        </w:rPr>
        <w:t xml:space="preserve"> standards</w:t>
      </w:r>
      <w:r w:rsidRPr="005D4902">
        <w:rPr>
          <w:sz w:val="18"/>
          <w:szCs w:val="18"/>
        </w:rPr>
        <w:t>, and one can tell which they are by looking at the “Subsequent measure” column of PB’s Table I.</w:t>
      </w:r>
    </w:p>
  </w:footnote>
  <w:footnote w:id="13">
    <w:p w14:paraId="5200567B" w14:textId="7B3DF5DC" w:rsidR="00F4244F" w:rsidRDefault="00F4244F">
      <w:pPr>
        <w:pStyle w:val="FootnoteText"/>
      </w:pPr>
      <w:r>
        <w:rPr>
          <w:rStyle w:val="FootnoteReference"/>
        </w:rPr>
        <w:footnoteRef/>
      </w:r>
      <w:r>
        <w:t xml:space="preserve"> </w:t>
      </w:r>
      <w:r>
        <w:rPr>
          <w:sz w:val="18"/>
          <w:szCs w:val="18"/>
          <w:lang w:val="en-US"/>
        </w:rPr>
        <w:t>Article 8 of ASBE 27 mentions fair value (as a way of estimating proportions of book value) in the context of transferring part of an interest in a mine, but this is not SMFV. This use is mentioned in 3.6 and is recorded in column 6 of the Appendix.</w:t>
      </w:r>
    </w:p>
  </w:footnote>
  <w:footnote w:id="14">
    <w:p w14:paraId="4AFAC7C4" w14:textId="33B1BFF2" w:rsidR="00F4244F" w:rsidRDefault="00F4244F">
      <w:pPr>
        <w:pStyle w:val="FootnoteText"/>
      </w:pPr>
      <w:r>
        <w:rPr>
          <w:rStyle w:val="FootnoteReference"/>
        </w:rPr>
        <w:footnoteRef/>
      </w:r>
      <w:r>
        <w:t xml:space="preserve"> </w:t>
      </w:r>
      <w:r>
        <w:rPr>
          <w:sz w:val="18"/>
          <w:szCs w:val="18"/>
        </w:rPr>
        <w:t>Correspondence</w:t>
      </w:r>
      <w:r w:rsidRPr="002B164B">
        <w:rPr>
          <w:sz w:val="18"/>
          <w:szCs w:val="18"/>
        </w:rPr>
        <w:t xml:space="preserve"> of 10 October 2018</w:t>
      </w:r>
      <w:r>
        <w:rPr>
          <w:sz w:val="18"/>
          <w:szCs w:val="18"/>
        </w:rPr>
        <w:t>.</w:t>
      </w:r>
    </w:p>
  </w:footnote>
  <w:footnote w:id="15">
    <w:p w14:paraId="26F1E40F" w14:textId="76589378" w:rsidR="00F4244F" w:rsidRPr="00BA67B9" w:rsidRDefault="00F4244F">
      <w:pPr>
        <w:pStyle w:val="FootnoteText"/>
        <w:rPr>
          <w:sz w:val="18"/>
          <w:szCs w:val="18"/>
        </w:rPr>
      </w:pPr>
      <w:r>
        <w:rPr>
          <w:rStyle w:val="FootnoteReference"/>
        </w:rPr>
        <w:footnoteRef/>
      </w:r>
      <w:r>
        <w:t xml:space="preserve"> </w:t>
      </w:r>
      <w:r w:rsidRPr="00BA67B9">
        <w:rPr>
          <w:sz w:val="18"/>
          <w:szCs w:val="18"/>
        </w:rPr>
        <w:t>When it is impossible to determine fair value even using discounted cash flow</w:t>
      </w:r>
      <w:r>
        <w:rPr>
          <w:sz w:val="18"/>
          <w:szCs w:val="18"/>
        </w:rPr>
        <w:t xml:space="preserve">s </w:t>
      </w:r>
      <w:r w:rsidRPr="00BA67B9">
        <w:rPr>
          <w:sz w:val="18"/>
          <w:szCs w:val="18"/>
        </w:rPr>
        <w:t>(paragraph 53).</w:t>
      </w:r>
    </w:p>
  </w:footnote>
  <w:footnote w:id="16">
    <w:p w14:paraId="6CBFC2BE" w14:textId="27BF6911" w:rsidR="00F4244F" w:rsidRPr="00A05D39" w:rsidRDefault="00F4244F">
      <w:pPr>
        <w:pStyle w:val="FootnoteText"/>
        <w:rPr>
          <w:sz w:val="18"/>
          <w:szCs w:val="18"/>
        </w:rPr>
      </w:pPr>
      <w:r w:rsidRPr="00A05D39">
        <w:rPr>
          <w:rStyle w:val="FootnoteReference"/>
          <w:sz w:val="18"/>
          <w:szCs w:val="18"/>
        </w:rPr>
        <w:footnoteRef/>
      </w:r>
      <w:r w:rsidRPr="00A05D39">
        <w:rPr>
          <w:sz w:val="18"/>
          <w:szCs w:val="18"/>
        </w:rPr>
        <w:t xml:space="preserve"> Beijing North Star, 2017 Annual Report, p. 168.</w:t>
      </w:r>
    </w:p>
  </w:footnote>
  <w:footnote w:id="17">
    <w:p w14:paraId="59AA1586" w14:textId="6E1674A4" w:rsidR="00F4244F" w:rsidRDefault="00F4244F">
      <w:pPr>
        <w:pStyle w:val="FootnoteText"/>
      </w:pPr>
      <w:r>
        <w:rPr>
          <w:rStyle w:val="FootnoteReference"/>
        </w:rPr>
        <w:footnoteRef/>
      </w:r>
      <w:r>
        <w:t xml:space="preserve"> </w:t>
      </w:r>
      <w:r w:rsidRPr="00DC2AA1">
        <w:rPr>
          <w:sz w:val="18"/>
          <w:szCs w:val="18"/>
        </w:rPr>
        <w:t>42.6% of financials and 2.6% of non-financial companies.</w:t>
      </w:r>
    </w:p>
  </w:footnote>
  <w:footnote w:id="18">
    <w:p w14:paraId="69D78DFC" w14:textId="440DB414" w:rsidR="00F4244F" w:rsidRPr="003F2B41" w:rsidRDefault="00F4244F">
      <w:pPr>
        <w:pStyle w:val="FootnoteText"/>
        <w:rPr>
          <w:sz w:val="18"/>
          <w:szCs w:val="18"/>
        </w:rPr>
      </w:pPr>
      <w:r>
        <w:rPr>
          <w:rStyle w:val="FootnoteReference"/>
        </w:rPr>
        <w:footnoteRef/>
      </w:r>
      <w:r>
        <w:t xml:space="preserve"> </w:t>
      </w:r>
      <w:r w:rsidRPr="003F2B41">
        <w:rPr>
          <w:sz w:val="18"/>
          <w:szCs w:val="18"/>
        </w:rPr>
        <w:t>ASBEs 5, 10, 11 and 22.</w:t>
      </w:r>
    </w:p>
  </w:footnote>
  <w:footnote w:id="19">
    <w:p w14:paraId="1536C26A" w14:textId="6616DD92" w:rsidR="00F4244F" w:rsidRPr="003F2B41" w:rsidRDefault="00F4244F">
      <w:pPr>
        <w:pStyle w:val="FootnoteText"/>
        <w:rPr>
          <w:sz w:val="18"/>
          <w:szCs w:val="18"/>
        </w:rPr>
      </w:pPr>
      <w:r w:rsidRPr="003F2B41">
        <w:rPr>
          <w:rStyle w:val="FootnoteReference"/>
          <w:sz w:val="18"/>
          <w:szCs w:val="18"/>
        </w:rPr>
        <w:footnoteRef/>
      </w:r>
      <w:r w:rsidRPr="003F2B41">
        <w:rPr>
          <w:sz w:val="18"/>
          <w:szCs w:val="18"/>
        </w:rPr>
        <w:t xml:space="preserve"> ASBE 3. This does not count ASBE 22, which does </w:t>
      </w:r>
      <w:r w:rsidRPr="003F2B41">
        <w:rPr>
          <w:i/>
          <w:sz w:val="18"/>
          <w:szCs w:val="18"/>
        </w:rPr>
        <w:t>allow</w:t>
      </w:r>
      <w:r w:rsidRPr="003F2B41">
        <w:rPr>
          <w:sz w:val="18"/>
          <w:szCs w:val="18"/>
        </w:rPr>
        <w:t xml:space="preserve"> SMFV for some assets, but is already included in the ‘required’ list</w:t>
      </w:r>
      <w:r>
        <w:rPr>
          <w:sz w:val="18"/>
          <w:szCs w:val="18"/>
        </w:rPr>
        <w:t xml:space="preserve"> for other assets.</w:t>
      </w:r>
    </w:p>
  </w:footnote>
  <w:footnote w:id="20">
    <w:p w14:paraId="6F90BB26" w14:textId="542BC5E8" w:rsidR="00F4244F" w:rsidRPr="002D1EB9" w:rsidRDefault="00F4244F">
      <w:pPr>
        <w:pStyle w:val="FootnoteText"/>
        <w:rPr>
          <w:sz w:val="18"/>
          <w:szCs w:val="18"/>
          <w:lang w:val="en-AU"/>
        </w:rPr>
      </w:pPr>
      <w:r w:rsidRPr="002D1EB9">
        <w:rPr>
          <w:rStyle w:val="FootnoteReference"/>
          <w:sz w:val="18"/>
          <w:szCs w:val="18"/>
        </w:rPr>
        <w:footnoteRef/>
      </w:r>
      <w:r w:rsidRPr="002D1EB9">
        <w:rPr>
          <w:sz w:val="18"/>
          <w:szCs w:val="18"/>
        </w:rPr>
        <w:t xml:space="preserve"> </w:t>
      </w:r>
      <w:r w:rsidRPr="002D1EB9">
        <w:rPr>
          <w:sz w:val="18"/>
          <w:szCs w:val="18"/>
          <w:lang w:val="en-AU"/>
        </w:rPr>
        <w:t>PB</w:t>
      </w:r>
      <w:r>
        <w:rPr>
          <w:sz w:val="18"/>
          <w:szCs w:val="18"/>
          <w:lang w:val="en-AU"/>
        </w:rPr>
        <w:t>,</w:t>
      </w:r>
      <w:r w:rsidRPr="002D1EB9">
        <w:rPr>
          <w:sz w:val="18"/>
          <w:szCs w:val="18"/>
          <w:lang w:val="en-AU"/>
        </w:rPr>
        <w:t xml:space="preserve"> and Xiao and Hu (2017).</w:t>
      </w:r>
    </w:p>
  </w:footnote>
  <w:footnote w:id="21">
    <w:p w14:paraId="110F5187" w14:textId="15FED340" w:rsidR="00F4244F" w:rsidRPr="009C4279" w:rsidRDefault="00F4244F" w:rsidP="000261B5">
      <w:pPr>
        <w:pStyle w:val="FootnoteText"/>
        <w:rPr>
          <w:sz w:val="18"/>
          <w:szCs w:val="18"/>
        </w:rPr>
      </w:pPr>
      <w:r>
        <w:rPr>
          <w:rStyle w:val="FootnoteReference"/>
        </w:rPr>
        <w:footnoteRef/>
      </w:r>
      <w:r>
        <w:t xml:space="preserve"> </w:t>
      </w:r>
      <w:r w:rsidRPr="009C4279">
        <w:rPr>
          <w:sz w:val="18"/>
          <w:szCs w:val="18"/>
        </w:rPr>
        <w:t xml:space="preserve">For example, this would include </w:t>
      </w:r>
      <w:r>
        <w:rPr>
          <w:sz w:val="18"/>
          <w:szCs w:val="18"/>
        </w:rPr>
        <w:t>reference to</w:t>
      </w:r>
      <w:r w:rsidRPr="009C4279">
        <w:rPr>
          <w:sz w:val="18"/>
          <w:szCs w:val="18"/>
        </w:rPr>
        <w:t xml:space="preserve"> fair value</w:t>
      </w:r>
      <w:r>
        <w:rPr>
          <w:sz w:val="18"/>
          <w:szCs w:val="18"/>
        </w:rPr>
        <w:t>s</w:t>
      </w:r>
      <w:r w:rsidRPr="009C4279">
        <w:rPr>
          <w:sz w:val="18"/>
          <w:szCs w:val="18"/>
        </w:rPr>
        <w:t xml:space="preserve"> </w:t>
      </w:r>
      <w:r>
        <w:rPr>
          <w:sz w:val="18"/>
          <w:szCs w:val="18"/>
        </w:rPr>
        <w:t xml:space="preserve">to allocate cost </w:t>
      </w:r>
      <w:r w:rsidRPr="009C4279">
        <w:rPr>
          <w:sz w:val="18"/>
          <w:szCs w:val="18"/>
        </w:rPr>
        <w:t xml:space="preserve">for </w:t>
      </w:r>
      <w:r>
        <w:rPr>
          <w:sz w:val="18"/>
          <w:szCs w:val="18"/>
        </w:rPr>
        <w:t xml:space="preserve">the </w:t>
      </w:r>
      <w:r w:rsidRPr="009C4279">
        <w:rPr>
          <w:sz w:val="18"/>
          <w:szCs w:val="18"/>
        </w:rPr>
        <w:t xml:space="preserve">initial measurement of </w:t>
      </w:r>
      <w:r>
        <w:rPr>
          <w:sz w:val="18"/>
          <w:szCs w:val="18"/>
        </w:rPr>
        <w:t>items of assets</w:t>
      </w:r>
      <w:r w:rsidRPr="009C4279">
        <w:rPr>
          <w:sz w:val="18"/>
          <w:szCs w:val="18"/>
        </w:rPr>
        <w:t xml:space="preserve"> in the special case recorded </w:t>
      </w:r>
      <w:r w:rsidRPr="00323A35">
        <w:rPr>
          <w:sz w:val="18"/>
          <w:szCs w:val="18"/>
        </w:rPr>
        <w:t>for ASBE 4</w:t>
      </w:r>
      <w:r w:rsidRPr="009C4279">
        <w:rPr>
          <w:sz w:val="18"/>
          <w:szCs w:val="18"/>
        </w:rPr>
        <w:t xml:space="preserve"> in column 6 of </w:t>
      </w:r>
      <w:r>
        <w:rPr>
          <w:sz w:val="18"/>
          <w:szCs w:val="18"/>
        </w:rPr>
        <w:t>the Appendix</w:t>
      </w:r>
      <w:r w:rsidRPr="009C4279">
        <w:rPr>
          <w:sz w:val="18"/>
          <w:szCs w:val="18"/>
        </w:rPr>
        <w:t xml:space="preserve">. </w:t>
      </w:r>
    </w:p>
  </w:footnote>
  <w:footnote w:id="22">
    <w:p w14:paraId="7CE9A92B" w14:textId="09B9846B" w:rsidR="00F4244F" w:rsidRPr="00773785" w:rsidRDefault="00F4244F" w:rsidP="008F48BE">
      <w:pPr>
        <w:pStyle w:val="FootnoteText"/>
        <w:rPr>
          <w:sz w:val="18"/>
          <w:szCs w:val="18"/>
        </w:rPr>
      </w:pPr>
      <w:r>
        <w:rPr>
          <w:rStyle w:val="FootnoteReference"/>
        </w:rPr>
        <w:footnoteRef/>
      </w:r>
      <w:r>
        <w:t xml:space="preserve"> </w:t>
      </w:r>
      <w:r>
        <w:rPr>
          <w:sz w:val="18"/>
          <w:szCs w:val="18"/>
        </w:rPr>
        <w:t>N</w:t>
      </w:r>
      <w:r w:rsidRPr="00773785">
        <w:rPr>
          <w:sz w:val="18"/>
          <w:szCs w:val="18"/>
        </w:rPr>
        <w:t>et realisable value is approximately fair value less costs of completion and sale.</w:t>
      </w:r>
    </w:p>
  </w:footnote>
  <w:footnote w:id="23">
    <w:p w14:paraId="29D0563A" w14:textId="1B0534C2" w:rsidR="00F4244F" w:rsidRPr="002D1EB9" w:rsidRDefault="00F4244F">
      <w:pPr>
        <w:pStyle w:val="FootnoteText"/>
        <w:rPr>
          <w:lang w:val="en-AU"/>
        </w:rPr>
      </w:pPr>
      <w:r>
        <w:rPr>
          <w:rStyle w:val="FootnoteReference"/>
        </w:rPr>
        <w:footnoteRef/>
      </w:r>
      <w:r>
        <w:t xml:space="preserve"> </w:t>
      </w:r>
      <w:r w:rsidRPr="002D1EB9">
        <w:rPr>
          <w:sz w:val="18"/>
          <w:szCs w:val="18"/>
          <w:lang w:val="en-AU"/>
        </w:rPr>
        <w:t>For ex</w:t>
      </w:r>
      <w:r w:rsidRPr="004A61BB">
        <w:rPr>
          <w:sz w:val="18"/>
          <w:szCs w:val="18"/>
          <w:lang w:val="en-AU"/>
        </w:rPr>
        <w:t>ample, ASBEs 3, 5 and 6</w:t>
      </w:r>
      <w:r w:rsidRPr="002D1EB9">
        <w:rPr>
          <w:sz w:val="18"/>
          <w:szCs w:val="18"/>
          <w:lang w:val="en-AU"/>
        </w:rPr>
        <w:t>.</w:t>
      </w:r>
    </w:p>
  </w:footnote>
  <w:footnote w:id="24">
    <w:p w14:paraId="05C3DD8B" w14:textId="77777777" w:rsidR="00F4244F" w:rsidRDefault="00F4244F" w:rsidP="00FD0971">
      <w:pPr>
        <w:pStyle w:val="FootnoteText"/>
      </w:pPr>
      <w:r>
        <w:rPr>
          <w:rStyle w:val="FootnoteReference"/>
        </w:rPr>
        <w:footnoteRef/>
      </w:r>
      <w:r>
        <w:t xml:space="preserve"> </w:t>
      </w:r>
      <w:r w:rsidRPr="00270640">
        <w:rPr>
          <w:sz w:val="18"/>
          <w:szCs w:val="18"/>
        </w:rPr>
        <w:t>For example, ASBE 4, Article 20.</w:t>
      </w:r>
    </w:p>
  </w:footnote>
  <w:footnote w:id="25">
    <w:p w14:paraId="27269232" w14:textId="454CD7E4" w:rsidR="00F4244F" w:rsidRPr="008C6D4F" w:rsidRDefault="00F4244F" w:rsidP="00BF772F">
      <w:pPr>
        <w:pStyle w:val="FootnoteText"/>
        <w:rPr>
          <w:sz w:val="18"/>
          <w:szCs w:val="18"/>
        </w:rPr>
      </w:pPr>
      <w:r>
        <w:rPr>
          <w:rStyle w:val="FootnoteReference"/>
        </w:rPr>
        <w:footnoteRef/>
      </w:r>
      <w:r>
        <w:t xml:space="preserve"> </w:t>
      </w:r>
      <w:r w:rsidRPr="008C6D4F">
        <w:rPr>
          <w:sz w:val="18"/>
          <w:szCs w:val="18"/>
        </w:rPr>
        <w:t>ASBE 18 (Article 20) deals with impairment of deferred tax assets, but there is no mention of fair value.</w:t>
      </w:r>
      <w:r>
        <w:rPr>
          <w:sz w:val="18"/>
          <w:szCs w:val="18"/>
        </w:rPr>
        <w:t xml:space="preserve"> Also, ASBE 21 on leases appears not to discuss impairment (i.e. it does not have the equivalent referral to ASBE 8 as in the other asset standards).</w:t>
      </w:r>
    </w:p>
  </w:footnote>
  <w:footnote w:id="26">
    <w:p w14:paraId="69A091B3" w14:textId="71B6BEA6" w:rsidR="00F4244F" w:rsidRPr="003F2B41" w:rsidRDefault="00F4244F">
      <w:pPr>
        <w:pStyle w:val="FootnoteText"/>
        <w:rPr>
          <w:sz w:val="18"/>
          <w:szCs w:val="18"/>
        </w:rPr>
      </w:pPr>
      <w:r>
        <w:rPr>
          <w:rStyle w:val="FootnoteReference"/>
        </w:rPr>
        <w:footnoteRef/>
      </w:r>
      <w:r>
        <w:t xml:space="preserve"> </w:t>
      </w:r>
      <w:r w:rsidRPr="003F2B41">
        <w:rPr>
          <w:sz w:val="18"/>
          <w:szCs w:val="18"/>
        </w:rPr>
        <w:t>ASBEs 11 and 22.</w:t>
      </w:r>
    </w:p>
  </w:footnote>
  <w:footnote w:id="27">
    <w:p w14:paraId="0C85A4DF" w14:textId="6C7F3307" w:rsidR="00F4244F" w:rsidRPr="004569A3" w:rsidRDefault="00F4244F">
      <w:pPr>
        <w:pStyle w:val="FootnoteText"/>
        <w:rPr>
          <w:sz w:val="18"/>
          <w:szCs w:val="18"/>
        </w:rPr>
      </w:pPr>
      <w:r>
        <w:rPr>
          <w:rStyle w:val="FootnoteReference"/>
        </w:rPr>
        <w:footnoteRef/>
      </w:r>
      <w:r>
        <w:t xml:space="preserve"> </w:t>
      </w:r>
      <w:r w:rsidRPr="004569A3">
        <w:rPr>
          <w:sz w:val="18"/>
          <w:szCs w:val="18"/>
        </w:rPr>
        <w:t>P</w:t>
      </w:r>
      <w:r>
        <w:rPr>
          <w:sz w:val="18"/>
          <w:szCs w:val="18"/>
        </w:rPr>
        <w:t xml:space="preserve">B (Table III, item 2) state that the IFRS “general rule” for measurement at initial recognition is fair value. However, this is not the case: there is no general rule. Furthermore, cost is specifically required by IAS 16 (para. 15), IAS 38 (para. 24) and IAS 40 (para. 20); and cost or lower is required by IAS 2 (para. 9). Secondly, PB (Table III, item 3; and </w:t>
      </w:r>
      <w:r w:rsidRPr="004569A3">
        <w:rPr>
          <w:sz w:val="18"/>
          <w:szCs w:val="18"/>
        </w:rPr>
        <w:t>p. 994) state that IFRS (unlike ASBE 3) requires initial measurement of investment property at fair value, but this</w:t>
      </w:r>
      <w:r>
        <w:rPr>
          <w:sz w:val="18"/>
          <w:szCs w:val="18"/>
        </w:rPr>
        <w:t xml:space="preserve"> is incorrect because IAS 40 (para.</w:t>
      </w:r>
      <w:r w:rsidRPr="004569A3">
        <w:rPr>
          <w:sz w:val="18"/>
          <w:szCs w:val="18"/>
        </w:rPr>
        <w:t xml:space="preserve"> </w:t>
      </w:r>
      <w:r>
        <w:rPr>
          <w:sz w:val="18"/>
          <w:szCs w:val="18"/>
        </w:rPr>
        <w:t>20</w:t>
      </w:r>
      <w:r w:rsidRPr="004569A3">
        <w:rPr>
          <w:sz w:val="18"/>
          <w:szCs w:val="18"/>
        </w:rPr>
        <w:t>) requires cost.</w:t>
      </w:r>
      <w:r>
        <w:rPr>
          <w:sz w:val="18"/>
          <w:szCs w:val="18"/>
        </w:rPr>
        <w:t xml:space="preserve"> Thirdly, PB (Table III, item 4) state that business combinations under common control are accounted for as poolings under ASBEs but as purchases under IFRS. However, IFRS 3 (para. 2) specifically exempts combinations under common control so that pooling can be used. PB’s text on this (p. 993) contradicts their table.</w:t>
      </w:r>
    </w:p>
  </w:footnote>
  <w:footnote w:id="28">
    <w:p w14:paraId="5D5DBAC6" w14:textId="2F427133" w:rsidR="00F4244F" w:rsidRPr="00A05D39" w:rsidRDefault="00F4244F">
      <w:pPr>
        <w:pStyle w:val="FootnoteText"/>
        <w:rPr>
          <w:sz w:val="18"/>
          <w:szCs w:val="18"/>
          <w:lang w:val="en-US"/>
        </w:rPr>
      </w:pPr>
      <w:r w:rsidRPr="00A05D39">
        <w:rPr>
          <w:rStyle w:val="FootnoteReference"/>
          <w:sz w:val="18"/>
          <w:szCs w:val="18"/>
        </w:rPr>
        <w:footnoteRef/>
      </w:r>
      <w:r w:rsidRPr="00A05D39">
        <w:rPr>
          <w:sz w:val="18"/>
          <w:szCs w:val="18"/>
        </w:rPr>
        <w:t xml:space="preserve"> </w:t>
      </w:r>
      <w:r w:rsidRPr="00A05D39">
        <w:rPr>
          <w:sz w:val="18"/>
          <w:szCs w:val="18"/>
          <w:lang w:val="en-US"/>
        </w:rPr>
        <w:t>If the antiques are inv</w:t>
      </w:r>
      <w:r>
        <w:rPr>
          <w:sz w:val="18"/>
          <w:szCs w:val="18"/>
          <w:lang w:val="en-US"/>
        </w:rPr>
        <w:t>entory, IAS 2 does not allow SMFV</w:t>
      </w:r>
      <w:r w:rsidRPr="00A05D39">
        <w:rPr>
          <w:sz w:val="18"/>
          <w:szCs w:val="18"/>
          <w:lang w:val="en-US"/>
        </w:rPr>
        <w:t xml:space="preserve">. If the antiques fall into IAS 16 (which is unclear), paragraph 31 </w:t>
      </w:r>
      <w:r w:rsidRPr="00A05D39">
        <w:rPr>
          <w:i/>
          <w:sz w:val="18"/>
          <w:szCs w:val="18"/>
          <w:lang w:val="en-US"/>
        </w:rPr>
        <w:t>allows</w:t>
      </w:r>
      <w:r>
        <w:rPr>
          <w:sz w:val="18"/>
          <w:szCs w:val="18"/>
          <w:lang w:val="en-US"/>
        </w:rPr>
        <w:t xml:space="preserve"> SMFV</w:t>
      </w:r>
      <w:r w:rsidRPr="00A05D39">
        <w:rPr>
          <w:sz w:val="18"/>
          <w:szCs w:val="18"/>
          <w:lang w:val="en-US"/>
        </w:rPr>
        <w:t>, but only when there is a reliable measure, which might not apply to antiques.</w:t>
      </w:r>
      <w:r>
        <w:rPr>
          <w:sz w:val="18"/>
          <w:szCs w:val="18"/>
          <w:lang w:val="en-US"/>
        </w:rPr>
        <w:t xml:space="preserve"> If the antiques are investments, it is unclear whether they fall directly into any standard.</w:t>
      </w:r>
    </w:p>
  </w:footnote>
  <w:footnote w:id="29">
    <w:p w14:paraId="200D7A26" w14:textId="718B6098" w:rsidR="00F4244F" w:rsidRDefault="00F4244F">
      <w:pPr>
        <w:pStyle w:val="FootnoteText"/>
      </w:pPr>
      <w:r>
        <w:rPr>
          <w:rStyle w:val="FootnoteReference"/>
        </w:rPr>
        <w:footnoteRef/>
      </w:r>
      <w:r>
        <w:t xml:space="preserve"> </w:t>
      </w:r>
      <w:r w:rsidRPr="00D17237">
        <w:rPr>
          <w:sz w:val="18"/>
          <w:szCs w:val="18"/>
        </w:rPr>
        <w:t xml:space="preserve">The change in column </w:t>
      </w:r>
      <w:r>
        <w:rPr>
          <w:sz w:val="18"/>
          <w:szCs w:val="18"/>
        </w:rPr>
        <w:t>2</w:t>
      </w:r>
      <w:r w:rsidRPr="00D17237">
        <w:rPr>
          <w:sz w:val="18"/>
          <w:szCs w:val="18"/>
        </w:rPr>
        <w:t>, relating to ASBE 14, might just be a wording change, or it substitutes one unusual case for another.</w:t>
      </w:r>
    </w:p>
  </w:footnote>
  <w:footnote w:id="30">
    <w:p w14:paraId="511F7E9B" w14:textId="77777777" w:rsidR="00F4244F" w:rsidRDefault="00F4244F" w:rsidP="008C51E6">
      <w:pPr>
        <w:pStyle w:val="FootnoteText"/>
      </w:pPr>
      <w:r>
        <w:rPr>
          <w:rStyle w:val="FootnoteReference"/>
        </w:rPr>
        <w:footnoteRef/>
      </w:r>
      <w:r>
        <w:t xml:space="preserve"> </w:t>
      </w:r>
      <w:r w:rsidRPr="003F2B41">
        <w:rPr>
          <w:sz w:val="18"/>
          <w:szCs w:val="18"/>
        </w:rPr>
        <w:t>The 2006 version of ASBE 9 did not deal with defined benefit pensions for this reason, but the revision of 2014 covers the issue, partly because non-PRC subsidiaries may have defined benefit obligations.</w:t>
      </w:r>
      <w:r>
        <w:t xml:space="preserve"> </w:t>
      </w:r>
    </w:p>
  </w:footnote>
  <w:footnote w:id="31">
    <w:p w14:paraId="4EACBD7A" w14:textId="0673CC27" w:rsidR="00F4244F" w:rsidRPr="00C532C4" w:rsidRDefault="00F4244F">
      <w:pPr>
        <w:pStyle w:val="FootnoteText"/>
        <w:rPr>
          <w:sz w:val="18"/>
          <w:szCs w:val="18"/>
        </w:rPr>
      </w:pPr>
      <w:r w:rsidRPr="00C532C4">
        <w:rPr>
          <w:rStyle w:val="FootnoteReference"/>
          <w:sz w:val="18"/>
          <w:szCs w:val="18"/>
        </w:rPr>
        <w:footnoteRef/>
      </w:r>
      <w:r>
        <w:rPr>
          <w:sz w:val="18"/>
          <w:szCs w:val="18"/>
        </w:rPr>
        <w:t xml:space="preserve"> PB mention the standards of</w:t>
      </w:r>
      <w:r w:rsidRPr="00C532C4">
        <w:rPr>
          <w:sz w:val="18"/>
          <w:szCs w:val="18"/>
        </w:rPr>
        <w:t xml:space="preserve"> 1998 very briefly on page 987 and in footnote 1. </w:t>
      </w:r>
    </w:p>
  </w:footnote>
  <w:footnote w:id="32">
    <w:p w14:paraId="413A7CBB" w14:textId="394D43DD" w:rsidR="00F4244F" w:rsidRPr="00C532C4" w:rsidRDefault="00F4244F">
      <w:pPr>
        <w:pStyle w:val="FootnoteText"/>
        <w:rPr>
          <w:sz w:val="18"/>
          <w:szCs w:val="18"/>
        </w:rPr>
      </w:pPr>
      <w:r>
        <w:rPr>
          <w:rStyle w:val="FootnoteReference"/>
        </w:rPr>
        <w:footnoteRef/>
      </w:r>
      <w:r>
        <w:t xml:space="preserve"> </w:t>
      </w:r>
      <w:r>
        <w:rPr>
          <w:sz w:val="18"/>
          <w:szCs w:val="18"/>
        </w:rPr>
        <w:t>Some</w:t>
      </w:r>
      <w:r w:rsidRPr="00C532C4">
        <w:rPr>
          <w:sz w:val="18"/>
          <w:szCs w:val="18"/>
        </w:rPr>
        <w:t xml:space="preserve"> uses of fair value were introduced in</w:t>
      </w:r>
      <w:r>
        <w:rPr>
          <w:sz w:val="18"/>
          <w:szCs w:val="18"/>
        </w:rPr>
        <w:t>to</w:t>
      </w:r>
      <w:r w:rsidRPr="00C532C4">
        <w:rPr>
          <w:sz w:val="18"/>
          <w:szCs w:val="18"/>
        </w:rPr>
        <w:t xml:space="preserve"> IFRS after 1998. Even so, BGP’s Table I includes SMFV for financial instruments (as required by IAS 39 of 1999), but, for example, the SMFV required or allowed by IAS 40 or IAS 41 came later.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145"/>
      <w:docPartObj>
        <w:docPartGallery w:val="Page Numbers (Top of Page)"/>
        <w:docPartUnique/>
      </w:docPartObj>
    </w:sdtPr>
    <w:sdtEndPr>
      <w:rPr>
        <w:noProof/>
      </w:rPr>
    </w:sdtEndPr>
    <w:sdtContent>
      <w:p w14:paraId="3E66C64B" w14:textId="20B507A3" w:rsidR="00F4244F" w:rsidRDefault="00F4244F">
        <w:pPr>
          <w:pStyle w:val="Header"/>
          <w:jc w:val="right"/>
        </w:pPr>
        <w:r>
          <w:fldChar w:fldCharType="begin"/>
        </w:r>
        <w:r>
          <w:instrText xml:space="preserve"> PAGE   \* MERGEFORMAT </w:instrText>
        </w:r>
        <w:r>
          <w:fldChar w:fldCharType="separate"/>
        </w:r>
        <w:r w:rsidR="002C0098">
          <w:rPr>
            <w:noProof/>
          </w:rPr>
          <w:t>4</w:t>
        </w:r>
        <w:r>
          <w:rPr>
            <w:noProof/>
          </w:rPr>
          <w:fldChar w:fldCharType="end"/>
        </w:r>
      </w:p>
    </w:sdtContent>
  </w:sdt>
  <w:p w14:paraId="784516CB" w14:textId="77777777" w:rsidR="00F4244F" w:rsidRDefault="00F4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65A01"/>
    <w:multiLevelType w:val="hybridMultilevel"/>
    <w:tmpl w:val="3A401104"/>
    <w:lvl w:ilvl="0" w:tplc="BA0268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2B80"/>
    <w:multiLevelType w:val="hybridMultilevel"/>
    <w:tmpl w:val="F97E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A675CD"/>
    <w:multiLevelType w:val="hybridMultilevel"/>
    <w:tmpl w:val="9D9E5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78"/>
    <w:rsid w:val="000001DE"/>
    <w:rsid w:val="0000374A"/>
    <w:rsid w:val="000050B1"/>
    <w:rsid w:val="00016488"/>
    <w:rsid w:val="00016490"/>
    <w:rsid w:val="0002362F"/>
    <w:rsid w:val="00023D1C"/>
    <w:rsid w:val="000243E6"/>
    <w:rsid w:val="000257AA"/>
    <w:rsid w:val="000261B5"/>
    <w:rsid w:val="00033253"/>
    <w:rsid w:val="00035BCA"/>
    <w:rsid w:val="00037450"/>
    <w:rsid w:val="00045310"/>
    <w:rsid w:val="00055754"/>
    <w:rsid w:val="00066189"/>
    <w:rsid w:val="0007064E"/>
    <w:rsid w:val="00076B9D"/>
    <w:rsid w:val="0008171A"/>
    <w:rsid w:val="00085B45"/>
    <w:rsid w:val="00086B10"/>
    <w:rsid w:val="00087DF5"/>
    <w:rsid w:val="000948DC"/>
    <w:rsid w:val="000967F5"/>
    <w:rsid w:val="000A0499"/>
    <w:rsid w:val="000A1481"/>
    <w:rsid w:val="000A237F"/>
    <w:rsid w:val="000A64F9"/>
    <w:rsid w:val="000A7C72"/>
    <w:rsid w:val="000B2C58"/>
    <w:rsid w:val="000C1BCF"/>
    <w:rsid w:val="000C4612"/>
    <w:rsid w:val="000C4E29"/>
    <w:rsid w:val="000D0379"/>
    <w:rsid w:val="000D0602"/>
    <w:rsid w:val="000E5202"/>
    <w:rsid w:val="000F3121"/>
    <w:rsid w:val="00100EA4"/>
    <w:rsid w:val="00105619"/>
    <w:rsid w:val="00105AC5"/>
    <w:rsid w:val="001076CD"/>
    <w:rsid w:val="00112414"/>
    <w:rsid w:val="00120420"/>
    <w:rsid w:val="0012042B"/>
    <w:rsid w:val="001324D1"/>
    <w:rsid w:val="00133C3F"/>
    <w:rsid w:val="0013678B"/>
    <w:rsid w:val="001377E2"/>
    <w:rsid w:val="00142F15"/>
    <w:rsid w:val="00147315"/>
    <w:rsid w:val="00155CFC"/>
    <w:rsid w:val="001572A5"/>
    <w:rsid w:val="001611A6"/>
    <w:rsid w:val="00183FE4"/>
    <w:rsid w:val="0018672B"/>
    <w:rsid w:val="00186B4B"/>
    <w:rsid w:val="001879D0"/>
    <w:rsid w:val="00193CCD"/>
    <w:rsid w:val="001A0F43"/>
    <w:rsid w:val="001A7D4A"/>
    <w:rsid w:val="001B3CE6"/>
    <w:rsid w:val="001B3E24"/>
    <w:rsid w:val="001C03D9"/>
    <w:rsid w:val="001C6168"/>
    <w:rsid w:val="001C7904"/>
    <w:rsid w:val="001E07ED"/>
    <w:rsid w:val="001F31DD"/>
    <w:rsid w:val="002036F8"/>
    <w:rsid w:val="0020373A"/>
    <w:rsid w:val="00204DD9"/>
    <w:rsid w:val="002171A9"/>
    <w:rsid w:val="00220233"/>
    <w:rsid w:val="002207FC"/>
    <w:rsid w:val="00221CF7"/>
    <w:rsid w:val="002227EA"/>
    <w:rsid w:val="002274D5"/>
    <w:rsid w:val="00227E1D"/>
    <w:rsid w:val="00230541"/>
    <w:rsid w:val="00232097"/>
    <w:rsid w:val="002327F7"/>
    <w:rsid w:val="00232F71"/>
    <w:rsid w:val="00241179"/>
    <w:rsid w:val="002462CE"/>
    <w:rsid w:val="00251CC5"/>
    <w:rsid w:val="00252E1A"/>
    <w:rsid w:val="002553A3"/>
    <w:rsid w:val="00256DB4"/>
    <w:rsid w:val="0026565D"/>
    <w:rsid w:val="00265685"/>
    <w:rsid w:val="00270640"/>
    <w:rsid w:val="00275F43"/>
    <w:rsid w:val="00276005"/>
    <w:rsid w:val="002775EA"/>
    <w:rsid w:val="002827F7"/>
    <w:rsid w:val="00287BB9"/>
    <w:rsid w:val="00287BFA"/>
    <w:rsid w:val="002A3B57"/>
    <w:rsid w:val="002B2671"/>
    <w:rsid w:val="002B395E"/>
    <w:rsid w:val="002C0098"/>
    <w:rsid w:val="002C41BB"/>
    <w:rsid w:val="002C494C"/>
    <w:rsid w:val="002C6F5B"/>
    <w:rsid w:val="002D11E2"/>
    <w:rsid w:val="002D1EB9"/>
    <w:rsid w:val="002D21CB"/>
    <w:rsid w:val="002D6CEE"/>
    <w:rsid w:val="002E0E6C"/>
    <w:rsid w:val="002E1AE0"/>
    <w:rsid w:val="002E3B93"/>
    <w:rsid w:val="002E64AD"/>
    <w:rsid w:val="002E6712"/>
    <w:rsid w:val="002F122C"/>
    <w:rsid w:val="002F6F4B"/>
    <w:rsid w:val="002F756D"/>
    <w:rsid w:val="00303A16"/>
    <w:rsid w:val="00307202"/>
    <w:rsid w:val="003075A4"/>
    <w:rsid w:val="00321E6C"/>
    <w:rsid w:val="00323A35"/>
    <w:rsid w:val="00324B96"/>
    <w:rsid w:val="003340D8"/>
    <w:rsid w:val="003341B8"/>
    <w:rsid w:val="00335D3E"/>
    <w:rsid w:val="0033627E"/>
    <w:rsid w:val="00342F15"/>
    <w:rsid w:val="0035294F"/>
    <w:rsid w:val="003560C4"/>
    <w:rsid w:val="003667AF"/>
    <w:rsid w:val="0037172C"/>
    <w:rsid w:val="00372575"/>
    <w:rsid w:val="00392C78"/>
    <w:rsid w:val="003946A1"/>
    <w:rsid w:val="003A20E3"/>
    <w:rsid w:val="003A3D47"/>
    <w:rsid w:val="003A54DD"/>
    <w:rsid w:val="003A739C"/>
    <w:rsid w:val="003A76BE"/>
    <w:rsid w:val="003B16D5"/>
    <w:rsid w:val="003B1F0C"/>
    <w:rsid w:val="003B3978"/>
    <w:rsid w:val="003B4179"/>
    <w:rsid w:val="003D46B8"/>
    <w:rsid w:val="003D6FED"/>
    <w:rsid w:val="003E14D5"/>
    <w:rsid w:val="003E2433"/>
    <w:rsid w:val="003E5C42"/>
    <w:rsid w:val="003F1381"/>
    <w:rsid w:val="003F2B41"/>
    <w:rsid w:val="003F3A0C"/>
    <w:rsid w:val="003F6627"/>
    <w:rsid w:val="003F6C2C"/>
    <w:rsid w:val="00404DE9"/>
    <w:rsid w:val="0041136F"/>
    <w:rsid w:val="00414384"/>
    <w:rsid w:val="00423599"/>
    <w:rsid w:val="00424A33"/>
    <w:rsid w:val="00444B08"/>
    <w:rsid w:val="004460F8"/>
    <w:rsid w:val="0045322A"/>
    <w:rsid w:val="004569A3"/>
    <w:rsid w:val="00460806"/>
    <w:rsid w:val="00461BC0"/>
    <w:rsid w:val="004658F4"/>
    <w:rsid w:val="0047362E"/>
    <w:rsid w:val="0047476E"/>
    <w:rsid w:val="00481EC7"/>
    <w:rsid w:val="0048659D"/>
    <w:rsid w:val="004932A5"/>
    <w:rsid w:val="004960BA"/>
    <w:rsid w:val="004A61BB"/>
    <w:rsid w:val="004A74A9"/>
    <w:rsid w:val="004D1788"/>
    <w:rsid w:val="004E03E7"/>
    <w:rsid w:val="004E7936"/>
    <w:rsid w:val="004F2D61"/>
    <w:rsid w:val="004F4D8E"/>
    <w:rsid w:val="004F5C04"/>
    <w:rsid w:val="004F6858"/>
    <w:rsid w:val="0050263B"/>
    <w:rsid w:val="005029B8"/>
    <w:rsid w:val="005035C2"/>
    <w:rsid w:val="0050486D"/>
    <w:rsid w:val="005078D7"/>
    <w:rsid w:val="00515ADE"/>
    <w:rsid w:val="005165F4"/>
    <w:rsid w:val="00523203"/>
    <w:rsid w:val="00523CC2"/>
    <w:rsid w:val="005353E4"/>
    <w:rsid w:val="005358FA"/>
    <w:rsid w:val="00551143"/>
    <w:rsid w:val="005515DE"/>
    <w:rsid w:val="00566482"/>
    <w:rsid w:val="0057095C"/>
    <w:rsid w:val="00573BA9"/>
    <w:rsid w:val="00577BA8"/>
    <w:rsid w:val="00577F27"/>
    <w:rsid w:val="005844F1"/>
    <w:rsid w:val="005852B6"/>
    <w:rsid w:val="00585A53"/>
    <w:rsid w:val="005931FF"/>
    <w:rsid w:val="0059537D"/>
    <w:rsid w:val="005A17C2"/>
    <w:rsid w:val="005A491B"/>
    <w:rsid w:val="005B0CA6"/>
    <w:rsid w:val="005B4F71"/>
    <w:rsid w:val="005C2DFB"/>
    <w:rsid w:val="005C3789"/>
    <w:rsid w:val="005C7B7B"/>
    <w:rsid w:val="005D24E6"/>
    <w:rsid w:val="005D356F"/>
    <w:rsid w:val="005D3708"/>
    <w:rsid w:val="005D4902"/>
    <w:rsid w:val="005D6B2C"/>
    <w:rsid w:val="005E350B"/>
    <w:rsid w:val="005E741F"/>
    <w:rsid w:val="005F56DB"/>
    <w:rsid w:val="0060045A"/>
    <w:rsid w:val="00601884"/>
    <w:rsid w:val="00602CBF"/>
    <w:rsid w:val="00610E84"/>
    <w:rsid w:val="00623B73"/>
    <w:rsid w:val="00626879"/>
    <w:rsid w:val="00626C85"/>
    <w:rsid w:val="0063324C"/>
    <w:rsid w:val="0063398B"/>
    <w:rsid w:val="00634A2D"/>
    <w:rsid w:val="00643581"/>
    <w:rsid w:val="00647959"/>
    <w:rsid w:val="0065251D"/>
    <w:rsid w:val="00657418"/>
    <w:rsid w:val="0066096C"/>
    <w:rsid w:val="00662B43"/>
    <w:rsid w:val="00664F89"/>
    <w:rsid w:val="00665400"/>
    <w:rsid w:val="0068502B"/>
    <w:rsid w:val="00690900"/>
    <w:rsid w:val="00691956"/>
    <w:rsid w:val="006A243E"/>
    <w:rsid w:val="006A70C0"/>
    <w:rsid w:val="006B2945"/>
    <w:rsid w:val="006B2A2A"/>
    <w:rsid w:val="006B37C7"/>
    <w:rsid w:val="006B3E43"/>
    <w:rsid w:val="006B4800"/>
    <w:rsid w:val="006F4EA1"/>
    <w:rsid w:val="007027E5"/>
    <w:rsid w:val="00702B07"/>
    <w:rsid w:val="00702F99"/>
    <w:rsid w:val="00711954"/>
    <w:rsid w:val="0071240F"/>
    <w:rsid w:val="007152E1"/>
    <w:rsid w:val="00721D6C"/>
    <w:rsid w:val="00722B74"/>
    <w:rsid w:val="00723606"/>
    <w:rsid w:val="007334B5"/>
    <w:rsid w:val="00735608"/>
    <w:rsid w:val="007414E3"/>
    <w:rsid w:val="00742564"/>
    <w:rsid w:val="00745DA1"/>
    <w:rsid w:val="0074726C"/>
    <w:rsid w:val="00752D3A"/>
    <w:rsid w:val="00753B68"/>
    <w:rsid w:val="00770763"/>
    <w:rsid w:val="00770941"/>
    <w:rsid w:val="00772950"/>
    <w:rsid w:val="00773785"/>
    <w:rsid w:val="00783BBC"/>
    <w:rsid w:val="00784B41"/>
    <w:rsid w:val="00785C04"/>
    <w:rsid w:val="00787190"/>
    <w:rsid w:val="0079181F"/>
    <w:rsid w:val="00793565"/>
    <w:rsid w:val="007A44E4"/>
    <w:rsid w:val="007A4E77"/>
    <w:rsid w:val="007B0D87"/>
    <w:rsid w:val="007B43C6"/>
    <w:rsid w:val="007B6590"/>
    <w:rsid w:val="007C59AB"/>
    <w:rsid w:val="007D7F6F"/>
    <w:rsid w:val="007E04DB"/>
    <w:rsid w:val="007E29D9"/>
    <w:rsid w:val="007E2CC5"/>
    <w:rsid w:val="007E3967"/>
    <w:rsid w:val="007E5C9D"/>
    <w:rsid w:val="007F0437"/>
    <w:rsid w:val="007F0F0B"/>
    <w:rsid w:val="007F7649"/>
    <w:rsid w:val="00812174"/>
    <w:rsid w:val="0083013F"/>
    <w:rsid w:val="0083328C"/>
    <w:rsid w:val="00837DBF"/>
    <w:rsid w:val="008446F7"/>
    <w:rsid w:val="00845C8F"/>
    <w:rsid w:val="00847A6A"/>
    <w:rsid w:val="00850839"/>
    <w:rsid w:val="00853F6B"/>
    <w:rsid w:val="008571B8"/>
    <w:rsid w:val="00863400"/>
    <w:rsid w:val="008666CD"/>
    <w:rsid w:val="008748B9"/>
    <w:rsid w:val="00874C6E"/>
    <w:rsid w:val="00880095"/>
    <w:rsid w:val="00882CE3"/>
    <w:rsid w:val="00887AA8"/>
    <w:rsid w:val="00891CB5"/>
    <w:rsid w:val="00895DD1"/>
    <w:rsid w:val="008A1249"/>
    <w:rsid w:val="008B1698"/>
    <w:rsid w:val="008B272E"/>
    <w:rsid w:val="008B3489"/>
    <w:rsid w:val="008C1426"/>
    <w:rsid w:val="008C2DAC"/>
    <w:rsid w:val="008C51E6"/>
    <w:rsid w:val="008C6D4F"/>
    <w:rsid w:val="008D59C4"/>
    <w:rsid w:val="008D7D7B"/>
    <w:rsid w:val="008E1F04"/>
    <w:rsid w:val="008E65BE"/>
    <w:rsid w:val="008F2DA3"/>
    <w:rsid w:val="008F4533"/>
    <w:rsid w:val="008F48BE"/>
    <w:rsid w:val="008F5BC6"/>
    <w:rsid w:val="008F609E"/>
    <w:rsid w:val="008F7542"/>
    <w:rsid w:val="00905762"/>
    <w:rsid w:val="00920653"/>
    <w:rsid w:val="009248AE"/>
    <w:rsid w:val="0093576D"/>
    <w:rsid w:val="00946765"/>
    <w:rsid w:val="00950879"/>
    <w:rsid w:val="00952A0B"/>
    <w:rsid w:val="00952F34"/>
    <w:rsid w:val="00953FBF"/>
    <w:rsid w:val="00960645"/>
    <w:rsid w:val="009645BD"/>
    <w:rsid w:val="00966ABA"/>
    <w:rsid w:val="009678A8"/>
    <w:rsid w:val="00970C40"/>
    <w:rsid w:val="00971799"/>
    <w:rsid w:val="00971F85"/>
    <w:rsid w:val="00981E17"/>
    <w:rsid w:val="00984ACC"/>
    <w:rsid w:val="00991914"/>
    <w:rsid w:val="0099328E"/>
    <w:rsid w:val="0099345C"/>
    <w:rsid w:val="00995C9F"/>
    <w:rsid w:val="009974F1"/>
    <w:rsid w:val="009A7EE2"/>
    <w:rsid w:val="009B0794"/>
    <w:rsid w:val="009C17CE"/>
    <w:rsid w:val="009C7ABA"/>
    <w:rsid w:val="009D02F1"/>
    <w:rsid w:val="009D4CAB"/>
    <w:rsid w:val="009F0E48"/>
    <w:rsid w:val="009F4886"/>
    <w:rsid w:val="009F5E4E"/>
    <w:rsid w:val="00A05D39"/>
    <w:rsid w:val="00A17BE8"/>
    <w:rsid w:val="00A2043F"/>
    <w:rsid w:val="00A210B5"/>
    <w:rsid w:val="00A226B1"/>
    <w:rsid w:val="00A22F6D"/>
    <w:rsid w:val="00A23202"/>
    <w:rsid w:val="00A24264"/>
    <w:rsid w:val="00A33C14"/>
    <w:rsid w:val="00A37367"/>
    <w:rsid w:val="00A4102C"/>
    <w:rsid w:val="00A46372"/>
    <w:rsid w:val="00A50E70"/>
    <w:rsid w:val="00A521CD"/>
    <w:rsid w:val="00A52382"/>
    <w:rsid w:val="00A60A7C"/>
    <w:rsid w:val="00A63284"/>
    <w:rsid w:val="00A666A6"/>
    <w:rsid w:val="00A71FB0"/>
    <w:rsid w:val="00A75DCE"/>
    <w:rsid w:val="00A80A4E"/>
    <w:rsid w:val="00A81547"/>
    <w:rsid w:val="00A818D0"/>
    <w:rsid w:val="00A9006D"/>
    <w:rsid w:val="00AA2E26"/>
    <w:rsid w:val="00AA52A6"/>
    <w:rsid w:val="00AB58B0"/>
    <w:rsid w:val="00AB7778"/>
    <w:rsid w:val="00AC0407"/>
    <w:rsid w:val="00AD16BF"/>
    <w:rsid w:val="00AE1139"/>
    <w:rsid w:val="00AE1B68"/>
    <w:rsid w:val="00AE32C7"/>
    <w:rsid w:val="00AF282A"/>
    <w:rsid w:val="00B0654D"/>
    <w:rsid w:val="00B13F8B"/>
    <w:rsid w:val="00B17CEC"/>
    <w:rsid w:val="00B24300"/>
    <w:rsid w:val="00B31E6B"/>
    <w:rsid w:val="00B32556"/>
    <w:rsid w:val="00B40541"/>
    <w:rsid w:val="00B4253A"/>
    <w:rsid w:val="00B53506"/>
    <w:rsid w:val="00B535F2"/>
    <w:rsid w:val="00B55404"/>
    <w:rsid w:val="00B61FCD"/>
    <w:rsid w:val="00B66908"/>
    <w:rsid w:val="00B73770"/>
    <w:rsid w:val="00B751DE"/>
    <w:rsid w:val="00B824C7"/>
    <w:rsid w:val="00B83B47"/>
    <w:rsid w:val="00B87943"/>
    <w:rsid w:val="00B913DB"/>
    <w:rsid w:val="00B95585"/>
    <w:rsid w:val="00BA0099"/>
    <w:rsid w:val="00BA3F3A"/>
    <w:rsid w:val="00BA67B9"/>
    <w:rsid w:val="00BB17C5"/>
    <w:rsid w:val="00BB3126"/>
    <w:rsid w:val="00BC789D"/>
    <w:rsid w:val="00BD17A1"/>
    <w:rsid w:val="00BD261E"/>
    <w:rsid w:val="00BF283A"/>
    <w:rsid w:val="00BF33AC"/>
    <w:rsid w:val="00BF6A97"/>
    <w:rsid w:val="00BF772F"/>
    <w:rsid w:val="00C0013E"/>
    <w:rsid w:val="00C0581A"/>
    <w:rsid w:val="00C139D5"/>
    <w:rsid w:val="00C144FD"/>
    <w:rsid w:val="00C15835"/>
    <w:rsid w:val="00C21274"/>
    <w:rsid w:val="00C23F5C"/>
    <w:rsid w:val="00C24965"/>
    <w:rsid w:val="00C3220D"/>
    <w:rsid w:val="00C45758"/>
    <w:rsid w:val="00C532C4"/>
    <w:rsid w:val="00C53D55"/>
    <w:rsid w:val="00C56DC6"/>
    <w:rsid w:val="00C60332"/>
    <w:rsid w:val="00C60F99"/>
    <w:rsid w:val="00C62882"/>
    <w:rsid w:val="00C63877"/>
    <w:rsid w:val="00C65852"/>
    <w:rsid w:val="00C7722B"/>
    <w:rsid w:val="00C82ADD"/>
    <w:rsid w:val="00C844B4"/>
    <w:rsid w:val="00C865F3"/>
    <w:rsid w:val="00CA4E92"/>
    <w:rsid w:val="00CB012A"/>
    <w:rsid w:val="00CB4ECF"/>
    <w:rsid w:val="00CD305D"/>
    <w:rsid w:val="00CE414E"/>
    <w:rsid w:val="00CF30B6"/>
    <w:rsid w:val="00D02FA4"/>
    <w:rsid w:val="00D03EB3"/>
    <w:rsid w:val="00D05CE5"/>
    <w:rsid w:val="00D05E55"/>
    <w:rsid w:val="00D100D3"/>
    <w:rsid w:val="00D16337"/>
    <w:rsid w:val="00D17237"/>
    <w:rsid w:val="00D2264B"/>
    <w:rsid w:val="00D26876"/>
    <w:rsid w:val="00D31797"/>
    <w:rsid w:val="00D31C9D"/>
    <w:rsid w:val="00D43BE5"/>
    <w:rsid w:val="00D463C5"/>
    <w:rsid w:val="00D622AC"/>
    <w:rsid w:val="00D64FCA"/>
    <w:rsid w:val="00D66924"/>
    <w:rsid w:val="00D7126A"/>
    <w:rsid w:val="00D7521F"/>
    <w:rsid w:val="00D754A8"/>
    <w:rsid w:val="00D84465"/>
    <w:rsid w:val="00DA3F4F"/>
    <w:rsid w:val="00DA513B"/>
    <w:rsid w:val="00DB0D5E"/>
    <w:rsid w:val="00DB2737"/>
    <w:rsid w:val="00DB3D55"/>
    <w:rsid w:val="00DC09EC"/>
    <w:rsid w:val="00DC2AA1"/>
    <w:rsid w:val="00DD03B6"/>
    <w:rsid w:val="00DD06B4"/>
    <w:rsid w:val="00DD3682"/>
    <w:rsid w:val="00DF7780"/>
    <w:rsid w:val="00E271FE"/>
    <w:rsid w:val="00E3216C"/>
    <w:rsid w:val="00E332DA"/>
    <w:rsid w:val="00E352AB"/>
    <w:rsid w:val="00E36786"/>
    <w:rsid w:val="00E36F39"/>
    <w:rsid w:val="00E43AFB"/>
    <w:rsid w:val="00E4536C"/>
    <w:rsid w:val="00E47BFC"/>
    <w:rsid w:val="00E578AA"/>
    <w:rsid w:val="00E62C4A"/>
    <w:rsid w:val="00E640BA"/>
    <w:rsid w:val="00E70719"/>
    <w:rsid w:val="00E75F3A"/>
    <w:rsid w:val="00E77BD8"/>
    <w:rsid w:val="00E80387"/>
    <w:rsid w:val="00E81CCF"/>
    <w:rsid w:val="00E823DC"/>
    <w:rsid w:val="00E82D79"/>
    <w:rsid w:val="00E8542C"/>
    <w:rsid w:val="00E91EE8"/>
    <w:rsid w:val="00E9374E"/>
    <w:rsid w:val="00E96938"/>
    <w:rsid w:val="00EA14AB"/>
    <w:rsid w:val="00EA26F3"/>
    <w:rsid w:val="00EA4020"/>
    <w:rsid w:val="00EB3AF8"/>
    <w:rsid w:val="00EC03E8"/>
    <w:rsid w:val="00EC2BE3"/>
    <w:rsid w:val="00EC2F3C"/>
    <w:rsid w:val="00EE0458"/>
    <w:rsid w:val="00EE357C"/>
    <w:rsid w:val="00EE5223"/>
    <w:rsid w:val="00EF0B28"/>
    <w:rsid w:val="00EF4544"/>
    <w:rsid w:val="00EF5249"/>
    <w:rsid w:val="00EF7B85"/>
    <w:rsid w:val="00F0364D"/>
    <w:rsid w:val="00F07464"/>
    <w:rsid w:val="00F15E98"/>
    <w:rsid w:val="00F16EBC"/>
    <w:rsid w:val="00F22FAD"/>
    <w:rsid w:val="00F23D3F"/>
    <w:rsid w:val="00F24089"/>
    <w:rsid w:val="00F24842"/>
    <w:rsid w:val="00F25FD1"/>
    <w:rsid w:val="00F27368"/>
    <w:rsid w:val="00F274F8"/>
    <w:rsid w:val="00F328A5"/>
    <w:rsid w:val="00F342BE"/>
    <w:rsid w:val="00F34C8A"/>
    <w:rsid w:val="00F35E0C"/>
    <w:rsid w:val="00F37906"/>
    <w:rsid w:val="00F4244F"/>
    <w:rsid w:val="00F45EF9"/>
    <w:rsid w:val="00F47732"/>
    <w:rsid w:val="00F5398C"/>
    <w:rsid w:val="00F676DC"/>
    <w:rsid w:val="00F72A02"/>
    <w:rsid w:val="00F76A83"/>
    <w:rsid w:val="00F80738"/>
    <w:rsid w:val="00F82FE3"/>
    <w:rsid w:val="00F87EAD"/>
    <w:rsid w:val="00F92ACC"/>
    <w:rsid w:val="00F93178"/>
    <w:rsid w:val="00FB3048"/>
    <w:rsid w:val="00FB3751"/>
    <w:rsid w:val="00FB5045"/>
    <w:rsid w:val="00FC06CE"/>
    <w:rsid w:val="00FC100D"/>
    <w:rsid w:val="00FC133D"/>
    <w:rsid w:val="00FC23C0"/>
    <w:rsid w:val="00FD0087"/>
    <w:rsid w:val="00FD0971"/>
    <w:rsid w:val="00FE2718"/>
    <w:rsid w:val="00FF3D7A"/>
    <w:rsid w:val="00FF6792"/>
    <w:rsid w:val="00FF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89CC"/>
  <w15:chartTrackingRefBased/>
  <w15:docId w15:val="{02E8447F-61FC-44A7-85D3-8DD25C8A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2"/>
  </w:style>
  <w:style w:type="paragraph" w:styleId="Footer">
    <w:name w:val="footer"/>
    <w:basedOn w:val="Normal"/>
    <w:link w:val="FooterChar"/>
    <w:uiPriority w:val="99"/>
    <w:unhideWhenUsed/>
    <w:rsid w:val="0013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2"/>
  </w:style>
  <w:style w:type="paragraph" w:styleId="FootnoteText">
    <w:name w:val="footnote text"/>
    <w:basedOn w:val="Normal"/>
    <w:link w:val="FootnoteTextChar"/>
    <w:uiPriority w:val="99"/>
    <w:unhideWhenUsed/>
    <w:rsid w:val="006B2A2A"/>
    <w:pPr>
      <w:spacing w:after="0" w:line="240" w:lineRule="auto"/>
    </w:pPr>
    <w:rPr>
      <w:sz w:val="20"/>
      <w:szCs w:val="20"/>
    </w:rPr>
  </w:style>
  <w:style w:type="character" w:customStyle="1" w:styleId="FootnoteTextChar">
    <w:name w:val="Footnote Text Char"/>
    <w:basedOn w:val="DefaultParagraphFont"/>
    <w:link w:val="FootnoteText"/>
    <w:uiPriority w:val="99"/>
    <w:rsid w:val="006B2A2A"/>
    <w:rPr>
      <w:sz w:val="20"/>
      <w:szCs w:val="20"/>
    </w:rPr>
  </w:style>
  <w:style w:type="character" w:styleId="FootnoteReference">
    <w:name w:val="footnote reference"/>
    <w:basedOn w:val="DefaultParagraphFont"/>
    <w:uiPriority w:val="99"/>
    <w:semiHidden/>
    <w:unhideWhenUsed/>
    <w:rsid w:val="006B2A2A"/>
    <w:rPr>
      <w:vertAlign w:val="superscript"/>
    </w:rPr>
  </w:style>
  <w:style w:type="character" w:styleId="CommentReference">
    <w:name w:val="annotation reference"/>
    <w:basedOn w:val="DefaultParagraphFont"/>
    <w:uiPriority w:val="99"/>
    <w:semiHidden/>
    <w:unhideWhenUsed/>
    <w:rsid w:val="00D05CE5"/>
    <w:rPr>
      <w:sz w:val="16"/>
      <w:szCs w:val="16"/>
    </w:rPr>
  </w:style>
  <w:style w:type="paragraph" w:styleId="CommentText">
    <w:name w:val="annotation text"/>
    <w:basedOn w:val="Normal"/>
    <w:link w:val="CommentTextChar"/>
    <w:uiPriority w:val="99"/>
    <w:semiHidden/>
    <w:unhideWhenUsed/>
    <w:rsid w:val="00D05CE5"/>
    <w:pPr>
      <w:spacing w:line="240" w:lineRule="auto"/>
    </w:pPr>
    <w:rPr>
      <w:sz w:val="20"/>
      <w:szCs w:val="20"/>
    </w:rPr>
  </w:style>
  <w:style w:type="character" w:customStyle="1" w:styleId="CommentTextChar">
    <w:name w:val="Comment Text Char"/>
    <w:basedOn w:val="DefaultParagraphFont"/>
    <w:link w:val="CommentText"/>
    <w:uiPriority w:val="99"/>
    <w:semiHidden/>
    <w:rsid w:val="00D05CE5"/>
    <w:rPr>
      <w:sz w:val="20"/>
      <w:szCs w:val="20"/>
    </w:rPr>
  </w:style>
  <w:style w:type="paragraph" w:styleId="CommentSubject">
    <w:name w:val="annotation subject"/>
    <w:basedOn w:val="CommentText"/>
    <w:next w:val="CommentText"/>
    <w:link w:val="CommentSubjectChar"/>
    <w:uiPriority w:val="99"/>
    <w:semiHidden/>
    <w:unhideWhenUsed/>
    <w:rsid w:val="00D05CE5"/>
    <w:rPr>
      <w:b/>
      <w:bCs/>
    </w:rPr>
  </w:style>
  <w:style w:type="character" w:customStyle="1" w:styleId="CommentSubjectChar">
    <w:name w:val="Comment Subject Char"/>
    <w:basedOn w:val="CommentTextChar"/>
    <w:link w:val="CommentSubject"/>
    <w:uiPriority w:val="99"/>
    <w:semiHidden/>
    <w:rsid w:val="00D05CE5"/>
    <w:rPr>
      <w:b/>
      <w:bCs/>
      <w:sz w:val="20"/>
      <w:szCs w:val="20"/>
    </w:rPr>
  </w:style>
  <w:style w:type="paragraph" w:styleId="BalloonText">
    <w:name w:val="Balloon Text"/>
    <w:basedOn w:val="Normal"/>
    <w:link w:val="BalloonTextChar"/>
    <w:uiPriority w:val="99"/>
    <w:semiHidden/>
    <w:unhideWhenUsed/>
    <w:rsid w:val="00D0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E5"/>
    <w:rPr>
      <w:rFonts w:ascii="Segoe UI" w:hAnsi="Segoe UI" w:cs="Segoe UI"/>
      <w:sz w:val="18"/>
      <w:szCs w:val="18"/>
    </w:rPr>
  </w:style>
  <w:style w:type="table" w:styleId="TableGrid">
    <w:name w:val="Table Grid"/>
    <w:basedOn w:val="TableNormal"/>
    <w:uiPriority w:val="59"/>
    <w:rsid w:val="00880095"/>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FE3"/>
    <w:rPr>
      <w:color w:val="0563C1" w:themeColor="hyperlink"/>
      <w:u w:val="single"/>
    </w:rPr>
  </w:style>
  <w:style w:type="character" w:customStyle="1" w:styleId="UnresolvedMention1">
    <w:name w:val="Unresolved Mention1"/>
    <w:basedOn w:val="DefaultParagraphFont"/>
    <w:uiPriority w:val="99"/>
    <w:semiHidden/>
    <w:unhideWhenUsed/>
    <w:rsid w:val="00F82FE3"/>
    <w:rPr>
      <w:color w:val="808080"/>
      <w:shd w:val="clear" w:color="auto" w:fill="E6E6E6"/>
    </w:rPr>
  </w:style>
  <w:style w:type="paragraph" w:styleId="ListParagraph">
    <w:name w:val="List Paragraph"/>
    <w:basedOn w:val="Normal"/>
    <w:uiPriority w:val="34"/>
    <w:qFormat/>
    <w:rsid w:val="00784B41"/>
    <w:pPr>
      <w:ind w:left="720"/>
      <w:contextualSpacing/>
    </w:pPr>
  </w:style>
  <w:style w:type="character" w:styleId="FollowedHyperlink">
    <w:name w:val="FollowedHyperlink"/>
    <w:basedOn w:val="DefaultParagraphFont"/>
    <w:uiPriority w:val="99"/>
    <w:semiHidden/>
    <w:unhideWhenUsed/>
    <w:rsid w:val="00B913DB"/>
    <w:rPr>
      <w:color w:val="954F72" w:themeColor="followedHyperlink"/>
      <w:u w:val="single"/>
    </w:rPr>
  </w:style>
  <w:style w:type="paragraph" w:customStyle="1" w:styleId="ReferencesFurtherreading">
    <w:name w:val="References/Further reading"/>
    <w:basedOn w:val="Normal"/>
    <w:link w:val="ReferencesFurtherreadingChar"/>
    <w:uiPriority w:val="99"/>
    <w:rsid w:val="008571B8"/>
    <w:pPr>
      <w:spacing w:after="0" w:line="480" w:lineRule="auto"/>
      <w:ind w:left="397" w:hanging="397"/>
    </w:pPr>
    <w:rPr>
      <w:rFonts w:ascii="Times New Roman" w:eastAsia="Times New Roman" w:hAnsi="Times New Roman" w:cs="Times New Roman"/>
      <w:szCs w:val="20"/>
      <w:lang w:val="en-US"/>
    </w:rPr>
  </w:style>
  <w:style w:type="character" w:customStyle="1" w:styleId="ReferencesFurtherreadingChar">
    <w:name w:val="References/Further reading Char"/>
    <w:basedOn w:val="DefaultParagraphFont"/>
    <w:link w:val="ReferencesFurtherreading"/>
    <w:uiPriority w:val="99"/>
    <w:locked/>
    <w:rsid w:val="008571B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913">
      <w:bodyDiv w:val="1"/>
      <w:marLeft w:val="0"/>
      <w:marRight w:val="0"/>
      <w:marTop w:val="0"/>
      <w:marBottom w:val="0"/>
      <w:divBdr>
        <w:top w:val="none" w:sz="0" w:space="0" w:color="auto"/>
        <w:left w:val="none" w:sz="0" w:space="0" w:color="auto"/>
        <w:bottom w:val="none" w:sz="0" w:space="0" w:color="auto"/>
        <w:right w:val="none" w:sz="0" w:space="0" w:color="auto"/>
      </w:divBdr>
    </w:div>
    <w:div w:id="8183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lus.com/en/publications/china/other/pub1136"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n.com/en/migration/pdf/iic-ch10.pdf" TargetMode="External"/><Relationship Id="rId5" Type="http://schemas.openxmlformats.org/officeDocument/2006/relationships/webSettings" Target="webSettings.xml"/><Relationship Id="rId10" Type="http://schemas.openxmlformats.org/officeDocument/2006/relationships/hyperlink" Target="https://www.iasplus.com/en/binary/china/1006icaschinaaccountingreform.pdf" TargetMode="External"/><Relationship Id="rId4" Type="http://schemas.openxmlformats.org/officeDocument/2006/relationships/settings" Target="settings.xml"/><Relationship Id="rId9" Type="http://schemas.openxmlformats.org/officeDocument/2006/relationships/hyperlink" Target="http://www.europarl.europa.eu/RegData/docs_autres_institutions/commission_europeenne/comitologie/info/2011/O018009-01/COM-AC_DI(2011)O018009-01(ANN2)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wccn.com/en/migration/pdf/iic-ch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35AD-A0AF-4188-954C-76009338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Wright</dc:creator>
  <cp:keywords/>
  <dc:description/>
  <cp:lastModifiedBy>Revan, Jade</cp:lastModifiedBy>
  <cp:revision>2</cp:revision>
  <cp:lastPrinted>2019-07-02T15:21:00Z</cp:lastPrinted>
  <dcterms:created xsi:type="dcterms:W3CDTF">2019-07-16T13:02:00Z</dcterms:created>
  <dcterms:modified xsi:type="dcterms:W3CDTF">2019-07-16T13:02:00Z</dcterms:modified>
</cp:coreProperties>
</file>