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847A8" w14:textId="77777777" w:rsidR="00DB4A1D" w:rsidRPr="002126E2" w:rsidRDefault="00DB4A1D" w:rsidP="00F61CF2">
      <w:pPr>
        <w:rPr>
          <w:lang w:val="en-GB"/>
        </w:rPr>
      </w:pPr>
      <w:bookmarkStart w:id="0" w:name="_Toc303174920"/>
    </w:p>
    <w:p w14:paraId="78CACB63" w14:textId="0F6B2368" w:rsidR="00061C14" w:rsidRPr="00C843F4" w:rsidRDefault="00BD3DE0" w:rsidP="00107B76">
      <w:pPr>
        <w:spacing w:line="480" w:lineRule="auto"/>
        <w:jc w:val="center"/>
        <w:rPr>
          <w:b/>
          <w:color w:val="000000" w:themeColor="text1"/>
        </w:rPr>
      </w:pPr>
      <w:r w:rsidRPr="00C843F4">
        <w:rPr>
          <w:b/>
          <w:color w:val="000000" w:themeColor="text1"/>
        </w:rPr>
        <w:t>Abstract</w:t>
      </w:r>
      <w:bookmarkEnd w:id="0"/>
    </w:p>
    <w:p w14:paraId="75641947" w14:textId="77777777" w:rsidR="00463BDD" w:rsidRPr="00C843F4" w:rsidRDefault="00463BDD" w:rsidP="0005660E">
      <w:pPr>
        <w:spacing w:line="480" w:lineRule="auto"/>
        <w:rPr>
          <w:color w:val="000000" w:themeColor="text1"/>
        </w:rPr>
      </w:pPr>
      <w:r w:rsidRPr="00C843F4">
        <w:rPr>
          <w:i/>
          <w:color w:val="000000" w:themeColor="text1"/>
        </w:rPr>
        <w:t>Introduction:</w:t>
      </w:r>
      <w:r w:rsidRPr="00C843F4">
        <w:rPr>
          <w:color w:val="000000" w:themeColor="text1"/>
        </w:rPr>
        <w:t xml:space="preserve"> </w:t>
      </w:r>
      <w:r w:rsidR="00B24F89" w:rsidRPr="00C843F4">
        <w:rPr>
          <w:color w:val="000000" w:themeColor="text1"/>
        </w:rPr>
        <w:t xml:space="preserve">Age has been found to moderate the relation between cognitive biases and psychopathology, yet little is known about normative age-related change in these biases during adolescence. Adolescence might be a key developmental period for changes in negatively biased information-processing, and understanding the trajectories of these processes in a typically developing population is a pre-requisite for further comprehending their association with psychopathology. </w:t>
      </w:r>
    </w:p>
    <w:p w14:paraId="4E584A0F" w14:textId="57F168D8" w:rsidR="00463BDD" w:rsidRPr="00C843F4" w:rsidRDefault="00463BDD" w:rsidP="0005660E">
      <w:pPr>
        <w:spacing w:line="480" w:lineRule="auto"/>
        <w:rPr>
          <w:rFonts w:cs="Arial"/>
          <w:color w:val="000000" w:themeColor="text1"/>
        </w:rPr>
      </w:pPr>
      <w:r w:rsidRPr="00C843F4">
        <w:rPr>
          <w:i/>
          <w:color w:val="000000" w:themeColor="text1"/>
        </w:rPr>
        <w:t>Methods:</w:t>
      </w:r>
      <w:r w:rsidRPr="00C843F4">
        <w:rPr>
          <w:color w:val="000000" w:themeColor="text1"/>
        </w:rPr>
        <w:t xml:space="preserve"> </w:t>
      </w:r>
      <w:r w:rsidR="00B24F89" w:rsidRPr="00C843F4">
        <w:rPr>
          <w:color w:val="000000" w:themeColor="text1"/>
        </w:rPr>
        <w:t xml:space="preserve">This study explores the effect of age on seven cognitive biases in a diverse community sample </w:t>
      </w:r>
      <w:r w:rsidR="00F56FF7" w:rsidRPr="00C843F4">
        <w:rPr>
          <w:color w:val="000000" w:themeColor="text1"/>
        </w:rPr>
        <w:t>from the U</w:t>
      </w:r>
      <w:r w:rsidRPr="00C843F4">
        <w:rPr>
          <w:color w:val="000000" w:themeColor="text1"/>
        </w:rPr>
        <w:t xml:space="preserve">nited </w:t>
      </w:r>
      <w:r w:rsidR="00F56FF7" w:rsidRPr="00C843F4">
        <w:rPr>
          <w:color w:val="000000" w:themeColor="text1"/>
        </w:rPr>
        <w:t>K</w:t>
      </w:r>
      <w:r w:rsidRPr="00C843F4">
        <w:rPr>
          <w:color w:val="000000" w:themeColor="text1"/>
        </w:rPr>
        <w:t>ingdom</w:t>
      </w:r>
      <w:r w:rsidR="00F56FF7" w:rsidRPr="00C843F4">
        <w:rPr>
          <w:color w:val="000000" w:themeColor="text1"/>
        </w:rPr>
        <w:t xml:space="preserve"> </w:t>
      </w:r>
      <w:r w:rsidR="00B24F89" w:rsidRPr="00C843F4">
        <w:rPr>
          <w:color w:val="000000" w:themeColor="text1"/>
        </w:rPr>
        <w:t>(</w:t>
      </w:r>
      <w:r w:rsidR="00B24F89" w:rsidRPr="00C843F4">
        <w:rPr>
          <w:rFonts w:cs="Arial"/>
          <w:i/>
          <w:color w:val="000000" w:themeColor="text1"/>
        </w:rPr>
        <w:t>N</w:t>
      </w:r>
      <w:r w:rsidR="00B24F89" w:rsidRPr="00C843F4">
        <w:rPr>
          <w:rFonts w:cs="Arial"/>
          <w:color w:val="000000" w:themeColor="text1"/>
        </w:rPr>
        <w:t xml:space="preserve"> = 540) </w:t>
      </w:r>
      <w:r w:rsidR="00B24F89" w:rsidRPr="00C843F4">
        <w:rPr>
          <w:color w:val="000000" w:themeColor="text1"/>
        </w:rPr>
        <w:t xml:space="preserve">aged 10 – 17 years </w:t>
      </w:r>
      <w:r w:rsidR="00B469DE" w:rsidRPr="00C843F4">
        <w:rPr>
          <w:color w:val="000000" w:themeColor="text1"/>
        </w:rPr>
        <w:t xml:space="preserve">(309 were female) </w:t>
      </w:r>
      <w:r w:rsidR="00B24F89" w:rsidRPr="00C843F4">
        <w:rPr>
          <w:color w:val="000000" w:themeColor="text1"/>
        </w:rPr>
        <w:t>using self-report measures.</w:t>
      </w:r>
      <w:r w:rsidR="00B24F89" w:rsidRPr="00C843F4">
        <w:rPr>
          <w:rFonts w:cs="Arial"/>
          <w:color w:val="000000" w:themeColor="text1"/>
        </w:rPr>
        <w:t xml:space="preserve"> </w:t>
      </w:r>
    </w:p>
    <w:p w14:paraId="0871D221" w14:textId="7A32C127" w:rsidR="00463BDD" w:rsidRPr="00C843F4" w:rsidRDefault="00463BDD" w:rsidP="0005660E">
      <w:pPr>
        <w:spacing w:line="480" w:lineRule="auto"/>
        <w:rPr>
          <w:color w:val="000000" w:themeColor="text1"/>
        </w:rPr>
      </w:pPr>
      <w:r w:rsidRPr="00C843F4">
        <w:rPr>
          <w:rFonts w:cs="Arial"/>
          <w:i/>
          <w:color w:val="000000" w:themeColor="text1"/>
        </w:rPr>
        <w:t>Results:</w:t>
      </w:r>
      <w:r w:rsidRPr="00C843F4">
        <w:rPr>
          <w:rFonts w:cs="Arial"/>
          <w:color w:val="000000" w:themeColor="text1"/>
        </w:rPr>
        <w:t xml:space="preserve"> </w:t>
      </w:r>
      <w:r w:rsidR="00B24F89" w:rsidRPr="00C843F4">
        <w:rPr>
          <w:rFonts w:cs="Arial"/>
          <w:color w:val="000000" w:themeColor="text1"/>
        </w:rPr>
        <w:t>Age demonstrated a positive linear association with</w:t>
      </w:r>
      <w:r w:rsidR="00B24F89" w:rsidRPr="00C843F4">
        <w:rPr>
          <w:color w:val="000000" w:themeColor="text1"/>
        </w:rPr>
        <w:t xml:space="preserve"> three biases: threat interpretation, negative attributions and </w:t>
      </w:r>
      <w:r w:rsidR="00641D06" w:rsidRPr="00C843F4">
        <w:rPr>
          <w:color w:val="000000" w:themeColor="text1"/>
        </w:rPr>
        <w:t>overgeneralizing</w:t>
      </w:r>
      <w:r w:rsidR="00B24F89" w:rsidRPr="00C843F4">
        <w:rPr>
          <w:color w:val="000000" w:themeColor="text1"/>
        </w:rPr>
        <w:t xml:space="preserve"> scores. </w:t>
      </w:r>
    </w:p>
    <w:p w14:paraId="4E190BA1" w14:textId="2AA28805" w:rsidR="00B24F89" w:rsidRPr="00C843F4" w:rsidRDefault="00463BDD" w:rsidP="0005660E">
      <w:pPr>
        <w:spacing w:line="480" w:lineRule="auto"/>
        <w:rPr>
          <w:color w:val="000000" w:themeColor="text1"/>
        </w:rPr>
      </w:pPr>
      <w:r w:rsidRPr="00C843F4">
        <w:rPr>
          <w:i/>
          <w:color w:val="000000" w:themeColor="text1"/>
        </w:rPr>
        <w:t>Conclusions:</w:t>
      </w:r>
      <w:r w:rsidRPr="00C843F4">
        <w:rPr>
          <w:color w:val="000000" w:themeColor="text1"/>
        </w:rPr>
        <w:t xml:space="preserve"> </w:t>
      </w:r>
      <w:r w:rsidR="00B24F89" w:rsidRPr="00C843F4">
        <w:rPr>
          <w:color w:val="000000" w:themeColor="text1"/>
        </w:rPr>
        <w:t xml:space="preserve">Important changes take place during adolescence that may </w:t>
      </w:r>
      <w:r w:rsidR="004B7463" w:rsidRPr="00C843F4">
        <w:rPr>
          <w:color w:val="000000" w:themeColor="text1"/>
        </w:rPr>
        <w:t xml:space="preserve">increase </w:t>
      </w:r>
      <w:r w:rsidR="00B24F89" w:rsidRPr="00C843F4">
        <w:rPr>
          <w:color w:val="000000" w:themeColor="text1"/>
        </w:rPr>
        <w:t>young people</w:t>
      </w:r>
      <w:r w:rsidR="00235B7D" w:rsidRPr="00C843F4">
        <w:rPr>
          <w:color w:val="000000" w:themeColor="text1"/>
        </w:rPr>
        <w:t xml:space="preserve">’s </w:t>
      </w:r>
      <w:r w:rsidR="00B24F89" w:rsidRPr="00C843F4">
        <w:rPr>
          <w:color w:val="000000" w:themeColor="text1"/>
        </w:rPr>
        <w:t xml:space="preserve">negative cognitive biases. Empirical data on normative </w:t>
      </w:r>
      <w:r w:rsidR="002A2440" w:rsidRPr="00C843F4">
        <w:rPr>
          <w:color w:val="000000" w:themeColor="text1"/>
        </w:rPr>
        <w:t xml:space="preserve">age-related </w:t>
      </w:r>
      <w:r w:rsidR="00B24F89" w:rsidRPr="00C843F4">
        <w:rPr>
          <w:color w:val="000000" w:themeColor="text1"/>
        </w:rPr>
        <w:t>changes in cognitive biases should be integrated into theoretical models of biased information-processing and psychopathology.</w:t>
      </w:r>
    </w:p>
    <w:p w14:paraId="16A08387" w14:textId="77777777" w:rsidR="00BD3DE0" w:rsidRPr="00C843F4" w:rsidRDefault="00BD3DE0" w:rsidP="0005660E">
      <w:pPr>
        <w:spacing w:line="480" w:lineRule="auto"/>
        <w:rPr>
          <w:color w:val="000000" w:themeColor="text1"/>
        </w:rPr>
      </w:pPr>
    </w:p>
    <w:p w14:paraId="4DADC853" w14:textId="7E0EE9DE" w:rsidR="00B24F89" w:rsidRPr="00C843F4" w:rsidRDefault="00B24F89" w:rsidP="0005660E">
      <w:pPr>
        <w:spacing w:line="480" w:lineRule="auto"/>
        <w:rPr>
          <w:rFonts w:cs="Arial"/>
          <w:color w:val="000000" w:themeColor="text1"/>
        </w:rPr>
      </w:pPr>
      <w:r w:rsidRPr="00C843F4">
        <w:rPr>
          <w:rFonts w:cs="Arial"/>
          <w:i/>
          <w:color w:val="000000" w:themeColor="text1"/>
        </w:rPr>
        <w:t>Keywords:</w:t>
      </w:r>
      <w:r w:rsidRPr="00C843F4">
        <w:rPr>
          <w:rFonts w:cs="Arial"/>
          <w:color w:val="000000" w:themeColor="text1"/>
        </w:rPr>
        <w:t xml:space="preserve"> Cognitive bias; Threat interpretation; Attributional bias; </w:t>
      </w:r>
      <w:r w:rsidR="00641D06" w:rsidRPr="00C843F4">
        <w:rPr>
          <w:rFonts w:cs="Arial"/>
          <w:color w:val="000000" w:themeColor="text1"/>
        </w:rPr>
        <w:t>Overgeneralizing</w:t>
      </w:r>
      <w:r w:rsidRPr="00C843F4">
        <w:rPr>
          <w:rFonts w:cs="Arial"/>
          <w:color w:val="000000" w:themeColor="text1"/>
        </w:rPr>
        <w:t>; Adolescence.</w:t>
      </w:r>
    </w:p>
    <w:p w14:paraId="7B389CFB" w14:textId="77777777" w:rsidR="00B24F89" w:rsidRPr="00C843F4" w:rsidRDefault="00B24F89" w:rsidP="0005660E">
      <w:pPr>
        <w:spacing w:line="480" w:lineRule="auto"/>
        <w:rPr>
          <w:color w:val="000000" w:themeColor="text1"/>
        </w:rPr>
      </w:pPr>
    </w:p>
    <w:p w14:paraId="2FDBC9A8" w14:textId="77777777" w:rsidR="00D27311" w:rsidRPr="00C843F4" w:rsidRDefault="00D27311" w:rsidP="0005660E">
      <w:pPr>
        <w:spacing w:line="480" w:lineRule="auto"/>
        <w:rPr>
          <w:rFonts w:cs="Arial"/>
          <w:color w:val="000000" w:themeColor="text1"/>
        </w:rPr>
      </w:pPr>
    </w:p>
    <w:p w14:paraId="784F1EAF" w14:textId="77777777" w:rsidR="00CA6067" w:rsidRPr="00C843F4" w:rsidRDefault="00CA6067" w:rsidP="0005660E">
      <w:pPr>
        <w:spacing w:line="480" w:lineRule="auto"/>
        <w:rPr>
          <w:rFonts w:cs="Arial"/>
          <w:color w:val="000000" w:themeColor="text1"/>
        </w:rPr>
      </w:pPr>
    </w:p>
    <w:p w14:paraId="3951C2B9" w14:textId="1FEE6121" w:rsidR="00BD2AF9" w:rsidRPr="00C843F4" w:rsidRDefault="00BD2AF9" w:rsidP="00D94E2F">
      <w:pPr>
        <w:spacing w:line="480" w:lineRule="auto"/>
        <w:rPr>
          <w:rFonts w:cs="Arial"/>
          <w:color w:val="000000" w:themeColor="text1"/>
        </w:rPr>
      </w:pPr>
    </w:p>
    <w:p w14:paraId="6A28D934" w14:textId="77777777" w:rsidR="00826849" w:rsidRPr="00C843F4" w:rsidRDefault="00826849">
      <w:pPr>
        <w:rPr>
          <w:color w:val="000000" w:themeColor="text1"/>
        </w:rPr>
      </w:pPr>
      <w:r w:rsidRPr="00C843F4">
        <w:rPr>
          <w:color w:val="000000" w:themeColor="text1"/>
        </w:rPr>
        <w:br w:type="page"/>
      </w:r>
    </w:p>
    <w:p w14:paraId="5AB2EA20" w14:textId="17D9D2A2" w:rsidR="00826849" w:rsidRPr="00C843F4" w:rsidRDefault="004A742D" w:rsidP="0005660E">
      <w:pPr>
        <w:spacing w:line="480" w:lineRule="auto"/>
        <w:ind w:firstLine="720"/>
        <w:rPr>
          <w:color w:val="000000" w:themeColor="text1"/>
        </w:rPr>
      </w:pPr>
      <w:r w:rsidRPr="00C843F4">
        <w:rPr>
          <w:color w:val="000000" w:themeColor="text1"/>
        </w:rPr>
        <w:lastRenderedPageBreak/>
        <w:t>C</w:t>
      </w:r>
      <w:r w:rsidR="00261195" w:rsidRPr="00C843F4">
        <w:rPr>
          <w:color w:val="000000" w:themeColor="text1"/>
        </w:rPr>
        <w:t xml:space="preserve">ognitive biases </w:t>
      </w:r>
      <w:r w:rsidR="00335DD4" w:rsidRPr="00C843F4">
        <w:rPr>
          <w:color w:val="000000" w:themeColor="text1"/>
        </w:rPr>
        <w:t xml:space="preserve">play a crucial role in the maintenance and development of emotional psychopathology in young people </w:t>
      </w:r>
      <w:r w:rsidRPr="00C843F4">
        <w:rPr>
          <w:color w:val="000000" w:themeColor="text1"/>
        </w:rPr>
        <w:t>(e.g. Orchard, Pass &amp; Reynolds, 2016</w:t>
      </w:r>
      <w:r w:rsidR="001A3526" w:rsidRPr="00C843F4">
        <w:rPr>
          <w:color w:val="000000" w:themeColor="text1"/>
        </w:rPr>
        <w:t>a</w:t>
      </w:r>
      <w:r w:rsidRPr="00C843F4">
        <w:rPr>
          <w:color w:val="000000" w:themeColor="text1"/>
        </w:rPr>
        <w:t>;</w:t>
      </w:r>
      <w:r w:rsidR="000C6D98" w:rsidRPr="00C843F4">
        <w:rPr>
          <w:color w:val="000000" w:themeColor="text1"/>
        </w:rPr>
        <w:t xml:space="preserve"> </w:t>
      </w:r>
      <w:r w:rsidR="009C631F" w:rsidRPr="00C843F4">
        <w:rPr>
          <w:color w:val="000000" w:themeColor="text1"/>
        </w:rPr>
        <w:t>Platt, Waters, Schulte-Koerne, Engelmann &amp; Salemink, 2017</w:t>
      </w:r>
      <w:r w:rsidR="000C6D98" w:rsidRPr="00C843F4">
        <w:rPr>
          <w:color w:val="000000" w:themeColor="text1"/>
        </w:rPr>
        <w:t>)</w:t>
      </w:r>
      <w:r w:rsidR="004C4E31" w:rsidRPr="00C843F4">
        <w:rPr>
          <w:color w:val="000000" w:themeColor="text1"/>
        </w:rPr>
        <w:t xml:space="preserve">. These constructs form a focus during cognitive restructuring as part of cognitive behavioural therapy (CBT) for a wide range of mental health problems in young people. </w:t>
      </w:r>
      <w:r w:rsidR="00F00E0D" w:rsidRPr="00C843F4">
        <w:rPr>
          <w:color w:val="000000" w:themeColor="text1"/>
        </w:rPr>
        <w:t xml:space="preserve">According to </w:t>
      </w:r>
      <w:r w:rsidR="00474CE9" w:rsidRPr="00C843F4">
        <w:rPr>
          <w:color w:val="000000" w:themeColor="text1"/>
        </w:rPr>
        <w:t>Beck’s (1976) cognitiv</w:t>
      </w:r>
      <w:bookmarkStart w:id="1" w:name="_GoBack"/>
      <w:bookmarkEnd w:id="1"/>
      <w:r w:rsidR="00474CE9" w:rsidRPr="00C843F4">
        <w:rPr>
          <w:color w:val="000000" w:themeColor="text1"/>
        </w:rPr>
        <w:t>e model of depression</w:t>
      </w:r>
      <w:r w:rsidR="00F00E0D" w:rsidRPr="00C843F4">
        <w:rPr>
          <w:color w:val="000000" w:themeColor="text1"/>
        </w:rPr>
        <w:t>, n</w:t>
      </w:r>
      <w:r w:rsidR="008429E9" w:rsidRPr="00C843F4">
        <w:rPr>
          <w:color w:val="000000" w:themeColor="text1"/>
        </w:rPr>
        <w:t xml:space="preserve">egative cognitive biases </w:t>
      </w:r>
      <w:r w:rsidR="004C2D49" w:rsidRPr="00C843F4">
        <w:rPr>
          <w:color w:val="000000" w:themeColor="text1"/>
        </w:rPr>
        <w:t xml:space="preserve">are </w:t>
      </w:r>
      <w:r w:rsidR="00DE40AF" w:rsidRPr="00C843F4">
        <w:rPr>
          <w:color w:val="000000" w:themeColor="text1"/>
        </w:rPr>
        <w:t>characterized</w:t>
      </w:r>
      <w:r w:rsidR="00680515" w:rsidRPr="00C843F4">
        <w:rPr>
          <w:color w:val="000000" w:themeColor="text1"/>
        </w:rPr>
        <w:t xml:space="preserve"> by</w:t>
      </w:r>
      <w:r w:rsidR="000F0437" w:rsidRPr="00C843F4">
        <w:rPr>
          <w:color w:val="000000" w:themeColor="text1"/>
        </w:rPr>
        <w:t xml:space="preserve"> </w:t>
      </w:r>
      <w:r w:rsidR="00326134" w:rsidRPr="00C843F4">
        <w:rPr>
          <w:color w:val="000000" w:themeColor="text1"/>
        </w:rPr>
        <w:t xml:space="preserve">evaluations of </w:t>
      </w:r>
      <w:r w:rsidR="008429E9" w:rsidRPr="00C843F4">
        <w:rPr>
          <w:color w:val="000000" w:themeColor="text1"/>
        </w:rPr>
        <w:t>one’s</w:t>
      </w:r>
      <w:r w:rsidR="00326134" w:rsidRPr="00C843F4">
        <w:rPr>
          <w:color w:val="000000" w:themeColor="text1"/>
        </w:rPr>
        <w:t xml:space="preserve"> environment that </w:t>
      </w:r>
      <w:r w:rsidR="00C0081E" w:rsidRPr="00C843F4">
        <w:rPr>
          <w:color w:val="000000" w:themeColor="text1"/>
        </w:rPr>
        <w:t xml:space="preserve">are </w:t>
      </w:r>
      <w:r w:rsidR="0033107C" w:rsidRPr="00C843F4">
        <w:rPr>
          <w:color w:val="000000" w:themeColor="text1"/>
        </w:rPr>
        <w:t xml:space="preserve">biased </w:t>
      </w:r>
      <w:r w:rsidR="007D6B02" w:rsidRPr="00C843F4">
        <w:rPr>
          <w:color w:val="000000" w:themeColor="text1"/>
        </w:rPr>
        <w:t>towards a</w:t>
      </w:r>
      <w:r w:rsidR="00A133CC" w:rsidRPr="00C843F4">
        <w:rPr>
          <w:color w:val="000000" w:themeColor="text1"/>
        </w:rPr>
        <w:t xml:space="preserve"> </w:t>
      </w:r>
      <w:r w:rsidR="007D6B02" w:rsidRPr="00C843F4">
        <w:rPr>
          <w:color w:val="000000" w:themeColor="text1"/>
        </w:rPr>
        <w:t>pessimistic</w:t>
      </w:r>
      <w:r w:rsidR="00A133CC" w:rsidRPr="00C843F4">
        <w:rPr>
          <w:color w:val="000000" w:themeColor="text1"/>
        </w:rPr>
        <w:t xml:space="preserve"> view of the self, </w:t>
      </w:r>
      <w:r w:rsidR="004774FA" w:rsidRPr="00C843F4">
        <w:rPr>
          <w:color w:val="000000" w:themeColor="text1"/>
        </w:rPr>
        <w:t>the world and other</w:t>
      </w:r>
      <w:r w:rsidR="00CF5551" w:rsidRPr="00C843F4">
        <w:rPr>
          <w:color w:val="000000" w:themeColor="text1"/>
        </w:rPr>
        <w:t xml:space="preserve">. </w:t>
      </w:r>
      <w:r w:rsidR="0033107C" w:rsidRPr="00C843F4">
        <w:rPr>
          <w:color w:val="000000" w:themeColor="text1"/>
        </w:rPr>
        <w:t xml:space="preserve">These biased evaluations occur when an individual attends </w:t>
      </w:r>
      <w:r w:rsidR="00CA2FAE" w:rsidRPr="00C843F4">
        <w:rPr>
          <w:color w:val="000000" w:themeColor="text1"/>
        </w:rPr>
        <w:t xml:space="preserve">to </w:t>
      </w:r>
      <w:r w:rsidR="0033107C" w:rsidRPr="00C843F4">
        <w:rPr>
          <w:color w:val="000000" w:themeColor="text1"/>
        </w:rPr>
        <w:t xml:space="preserve">negative or </w:t>
      </w:r>
      <w:r w:rsidR="00F94526" w:rsidRPr="00C843F4">
        <w:rPr>
          <w:color w:val="000000" w:themeColor="text1"/>
        </w:rPr>
        <w:t xml:space="preserve">potentially </w:t>
      </w:r>
      <w:r w:rsidR="0033107C" w:rsidRPr="00C843F4">
        <w:rPr>
          <w:color w:val="000000" w:themeColor="text1"/>
        </w:rPr>
        <w:t>threatening stimuli in their environment</w:t>
      </w:r>
      <w:r w:rsidR="004E38C1" w:rsidRPr="00C843F4">
        <w:rPr>
          <w:color w:val="000000" w:themeColor="text1"/>
        </w:rPr>
        <w:t xml:space="preserve"> </w:t>
      </w:r>
      <w:r w:rsidR="001B6606" w:rsidRPr="00C843F4">
        <w:rPr>
          <w:color w:val="000000" w:themeColor="text1"/>
        </w:rPr>
        <w:t xml:space="preserve">while overlooking </w:t>
      </w:r>
      <w:r w:rsidR="004E38C1" w:rsidRPr="00C843F4">
        <w:rPr>
          <w:color w:val="000000" w:themeColor="text1"/>
        </w:rPr>
        <w:t xml:space="preserve">positive or neutral information </w:t>
      </w:r>
      <w:r w:rsidR="00CC79E9" w:rsidRPr="00C843F4">
        <w:rPr>
          <w:color w:val="000000" w:themeColor="text1"/>
        </w:rPr>
        <w:t>(Beck, Emery &amp; Greenberg, 1985</w:t>
      </w:r>
      <w:r w:rsidR="005342DA" w:rsidRPr="00C843F4">
        <w:rPr>
          <w:color w:val="000000" w:themeColor="text1"/>
        </w:rPr>
        <w:t>; see Table 1 for definitions</w:t>
      </w:r>
      <w:r w:rsidR="00CC79E9" w:rsidRPr="00C843F4">
        <w:rPr>
          <w:color w:val="000000" w:themeColor="text1"/>
        </w:rPr>
        <w:t>)</w:t>
      </w:r>
      <w:r w:rsidR="00D7533A" w:rsidRPr="00C843F4">
        <w:rPr>
          <w:color w:val="000000" w:themeColor="text1"/>
        </w:rPr>
        <w:t>.</w:t>
      </w:r>
      <w:r w:rsidR="00835259" w:rsidRPr="00C843F4">
        <w:rPr>
          <w:color w:val="000000" w:themeColor="text1"/>
        </w:rPr>
        <w:t xml:space="preserve"> </w:t>
      </w:r>
    </w:p>
    <w:p w14:paraId="60C54BA7" w14:textId="36DEF0F9" w:rsidR="00B600B0" w:rsidRPr="00C843F4" w:rsidRDefault="00F04E33" w:rsidP="0005660E">
      <w:pPr>
        <w:spacing w:line="480" w:lineRule="auto"/>
        <w:ind w:firstLine="720"/>
        <w:rPr>
          <w:color w:val="000000" w:themeColor="text1"/>
          <w:lang w:eastAsia="ja-JP"/>
        </w:rPr>
      </w:pPr>
      <w:r w:rsidRPr="00C843F4">
        <w:rPr>
          <w:color w:val="000000" w:themeColor="text1"/>
        </w:rPr>
        <w:t>Few previous studies have</w:t>
      </w:r>
      <w:r w:rsidR="00C917B2" w:rsidRPr="00C843F4">
        <w:rPr>
          <w:color w:val="000000" w:themeColor="text1"/>
        </w:rPr>
        <w:t xml:space="preserve"> explore</w:t>
      </w:r>
      <w:r w:rsidRPr="00C843F4">
        <w:rPr>
          <w:color w:val="000000" w:themeColor="text1"/>
        </w:rPr>
        <w:t>d</w:t>
      </w:r>
      <w:r w:rsidR="00C917B2" w:rsidRPr="00C843F4">
        <w:rPr>
          <w:color w:val="000000" w:themeColor="text1"/>
        </w:rPr>
        <w:t xml:space="preserve"> the </w:t>
      </w:r>
      <w:r w:rsidR="008429E9" w:rsidRPr="00C843F4">
        <w:rPr>
          <w:color w:val="000000" w:themeColor="text1"/>
        </w:rPr>
        <w:t xml:space="preserve">normative </w:t>
      </w:r>
      <w:r w:rsidR="00C917B2" w:rsidRPr="00C843F4">
        <w:rPr>
          <w:color w:val="000000" w:themeColor="text1"/>
        </w:rPr>
        <w:t xml:space="preserve">development of </w:t>
      </w:r>
      <w:r w:rsidR="008429E9" w:rsidRPr="00C843F4">
        <w:rPr>
          <w:color w:val="000000" w:themeColor="text1"/>
        </w:rPr>
        <w:t>cognitive</w:t>
      </w:r>
      <w:r w:rsidR="004E51CF" w:rsidRPr="00C843F4">
        <w:rPr>
          <w:color w:val="000000" w:themeColor="text1"/>
        </w:rPr>
        <w:t xml:space="preserve"> biases during adolescence. </w:t>
      </w:r>
      <w:r w:rsidR="00CA0A81" w:rsidRPr="00C843F4">
        <w:rPr>
          <w:color w:val="000000" w:themeColor="text1"/>
        </w:rPr>
        <w:t xml:space="preserve">Although, recent research demonstrates that adolescents </w:t>
      </w:r>
      <w:r w:rsidR="000A169B" w:rsidRPr="00C843F4">
        <w:rPr>
          <w:color w:val="000000" w:themeColor="text1"/>
        </w:rPr>
        <w:t>internalize</w:t>
      </w:r>
      <w:r w:rsidR="00CA0A81" w:rsidRPr="00C843F4">
        <w:rPr>
          <w:color w:val="000000" w:themeColor="text1"/>
        </w:rPr>
        <w:t xml:space="preserve"> peer rejection and do not exhibit the same self-protective biases as adults do when faced with evaluative threats (</w:t>
      </w:r>
      <w:r w:rsidR="00CA0A81" w:rsidRPr="00C843F4">
        <w:t>Rodman, Powers &amp; Somerville, 2017</w:t>
      </w:r>
      <w:r w:rsidR="00CA0A81" w:rsidRPr="00C843F4">
        <w:rPr>
          <w:color w:val="000000" w:themeColor="text1"/>
        </w:rPr>
        <w:t>). C</w:t>
      </w:r>
      <w:r w:rsidRPr="00C843F4">
        <w:rPr>
          <w:color w:val="000000" w:themeColor="text1"/>
        </w:rPr>
        <w:t xml:space="preserve">hange </w:t>
      </w:r>
      <w:r w:rsidR="00CA0A81" w:rsidRPr="00C843F4">
        <w:rPr>
          <w:color w:val="000000" w:themeColor="text1"/>
        </w:rPr>
        <w:t xml:space="preserve">during adolescence </w:t>
      </w:r>
      <w:r w:rsidRPr="00C843F4">
        <w:rPr>
          <w:color w:val="000000" w:themeColor="text1"/>
        </w:rPr>
        <w:t>might be pre</w:t>
      </w:r>
      <w:r w:rsidR="00A964EF" w:rsidRPr="00C843F4">
        <w:rPr>
          <w:color w:val="000000" w:themeColor="text1"/>
        </w:rPr>
        <w:t xml:space="preserve">dicted given </w:t>
      </w:r>
      <w:r w:rsidR="00106CD9" w:rsidRPr="00C843F4">
        <w:rPr>
          <w:color w:val="000000" w:themeColor="text1"/>
        </w:rPr>
        <w:t xml:space="preserve">ongoing </w:t>
      </w:r>
      <w:r w:rsidR="00A964EF" w:rsidRPr="00C843F4">
        <w:rPr>
          <w:color w:val="000000" w:themeColor="text1"/>
        </w:rPr>
        <w:t xml:space="preserve">development in </w:t>
      </w:r>
      <w:r w:rsidRPr="00C843F4">
        <w:rPr>
          <w:color w:val="000000" w:themeColor="text1"/>
        </w:rPr>
        <w:t xml:space="preserve">relevant </w:t>
      </w:r>
      <w:r w:rsidR="00106CD9" w:rsidRPr="00C843F4">
        <w:rPr>
          <w:color w:val="000000" w:themeColor="text1"/>
        </w:rPr>
        <w:t xml:space="preserve">cognitive and social-cognitive functioning and associated </w:t>
      </w:r>
      <w:r w:rsidRPr="00C843F4">
        <w:rPr>
          <w:color w:val="000000" w:themeColor="text1"/>
        </w:rPr>
        <w:t xml:space="preserve">neural </w:t>
      </w:r>
      <w:r w:rsidR="00106CD9" w:rsidRPr="00C843F4">
        <w:rPr>
          <w:color w:val="000000" w:themeColor="text1"/>
        </w:rPr>
        <w:t>bases</w:t>
      </w:r>
      <w:r w:rsidR="00BD2AF9" w:rsidRPr="00C843F4">
        <w:rPr>
          <w:color w:val="000000" w:themeColor="text1"/>
        </w:rPr>
        <w:t xml:space="preserve"> </w:t>
      </w:r>
      <w:r w:rsidR="00F96A97" w:rsidRPr="00C843F4">
        <w:rPr>
          <w:color w:val="000000" w:themeColor="text1"/>
        </w:rPr>
        <w:t>(</w:t>
      </w:r>
      <w:r w:rsidR="00872ACA" w:rsidRPr="00C843F4">
        <w:rPr>
          <w:color w:val="000000" w:themeColor="text1"/>
        </w:rPr>
        <w:t xml:space="preserve">Kilford, </w:t>
      </w:r>
      <w:r w:rsidR="008778FB" w:rsidRPr="00C843F4">
        <w:rPr>
          <w:color w:val="000000" w:themeColor="text1"/>
        </w:rPr>
        <w:t>Garrett &amp; Blakemore, 2016)</w:t>
      </w:r>
      <w:r w:rsidR="00AC1042" w:rsidRPr="00C843F4">
        <w:rPr>
          <w:color w:val="000000" w:themeColor="text1"/>
        </w:rPr>
        <w:t xml:space="preserve">. </w:t>
      </w:r>
      <w:r w:rsidR="00A964EF" w:rsidRPr="00C843F4">
        <w:rPr>
          <w:color w:val="000000" w:themeColor="text1"/>
          <w:lang w:eastAsia="ja-JP"/>
        </w:rPr>
        <w:t xml:space="preserve">For example, </w:t>
      </w:r>
      <w:r w:rsidR="000A169B" w:rsidRPr="00C843F4">
        <w:rPr>
          <w:color w:val="000000" w:themeColor="text1"/>
          <w:lang w:eastAsia="ja-JP"/>
        </w:rPr>
        <w:t>metalizing</w:t>
      </w:r>
      <w:r w:rsidR="00BD2AF9" w:rsidRPr="00C843F4">
        <w:rPr>
          <w:color w:val="000000" w:themeColor="text1"/>
          <w:lang w:eastAsia="ja-JP"/>
        </w:rPr>
        <w:t xml:space="preserve"> and perspective-taking</w:t>
      </w:r>
      <w:r w:rsidR="00A964EF" w:rsidRPr="00C843F4">
        <w:rPr>
          <w:color w:val="000000" w:themeColor="text1"/>
          <w:lang w:eastAsia="ja-JP"/>
        </w:rPr>
        <w:t xml:space="preserve"> have been shown to develop during adolescence (e.g. Dumontheil</w:t>
      </w:r>
      <w:r w:rsidR="00135E15" w:rsidRPr="00C843F4">
        <w:rPr>
          <w:color w:val="000000" w:themeColor="text1"/>
        </w:rPr>
        <w:t>, Apperly &amp; Blakemore</w:t>
      </w:r>
      <w:r w:rsidR="00135E15" w:rsidRPr="00C843F4">
        <w:rPr>
          <w:color w:val="000000" w:themeColor="text1"/>
          <w:lang w:eastAsia="ja-JP"/>
        </w:rPr>
        <w:t>,</w:t>
      </w:r>
      <w:r w:rsidR="00A964EF" w:rsidRPr="00C843F4">
        <w:rPr>
          <w:color w:val="000000" w:themeColor="text1"/>
          <w:lang w:eastAsia="ja-JP"/>
        </w:rPr>
        <w:t xml:space="preserve"> 2010)</w:t>
      </w:r>
      <w:r w:rsidR="008778FB" w:rsidRPr="00C843F4">
        <w:rPr>
          <w:color w:val="000000" w:themeColor="text1"/>
          <w:lang w:eastAsia="ja-JP"/>
        </w:rPr>
        <w:t>,</w:t>
      </w:r>
      <w:r w:rsidR="00BD2AF9" w:rsidRPr="00C843F4">
        <w:rPr>
          <w:color w:val="000000" w:themeColor="text1"/>
          <w:lang w:eastAsia="ja-JP"/>
        </w:rPr>
        <w:t xml:space="preserve"> </w:t>
      </w:r>
      <w:r w:rsidR="00A964EF" w:rsidRPr="00C843F4">
        <w:rPr>
          <w:color w:val="000000" w:themeColor="text1"/>
          <w:lang w:eastAsia="ja-JP"/>
        </w:rPr>
        <w:t xml:space="preserve">while </w:t>
      </w:r>
      <w:r w:rsidR="003D3A8C" w:rsidRPr="00C843F4">
        <w:rPr>
          <w:color w:val="000000" w:themeColor="text1"/>
          <w:lang w:eastAsia="ja-JP"/>
        </w:rPr>
        <w:t xml:space="preserve">related brain regions such as </w:t>
      </w:r>
      <w:r w:rsidR="00BD2AF9" w:rsidRPr="00C843F4">
        <w:rPr>
          <w:color w:val="000000" w:themeColor="text1"/>
          <w:lang w:eastAsia="ja-JP"/>
        </w:rPr>
        <w:t>medial prefrontal cortex and temporoparietal junction undergo structural and functional change (</w:t>
      </w:r>
      <w:r w:rsidR="00D5191D" w:rsidRPr="00C843F4">
        <w:rPr>
          <w:color w:val="000000" w:themeColor="text1"/>
        </w:rPr>
        <w:t xml:space="preserve">Mills, Lalonde, Clasen, </w:t>
      </w:r>
      <w:r w:rsidR="00E523BB" w:rsidRPr="00C843F4">
        <w:rPr>
          <w:color w:val="000000" w:themeColor="text1"/>
        </w:rPr>
        <w:t xml:space="preserve">Giedd &amp; </w:t>
      </w:r>
      <w:r w:rsidR="00D5191D" w:rsidRPr="00C843F4">
        <w:rPr>
          <w:color w:val="000000" w:themeColor="text1"/>
        </w:rPr>
        <w:t xml:space="preserve">Blakemore, 2014). </w:t>
      </w:r>
      <w:r w:rsidR="003D3A8C" w:rsidRPr="00C843F4">
        <w:rPr>
          <w:color w:val="000000" w:themeColor="text1"/>
        </w:rPr>
        <w:t xml:space="preserve">Ongoing neurocognitive development has also been </w:t>
      </w:r>
      <w:r w:rsidR="00826849" w:rsidRPr="00C843F4">
        <w:rPr>
          <w:color w:val="000000" w:themeColor="text1"/>
        </w:rPr>
        <w:t xml:space="preserve">observed </w:t>
      </w:r>
      <w:r w:rsidR="003D3A8C" w:rsidRPr="00C843F4">
        <w:rPr>
          <w:color w:val="000000" w:themeColor="text1"/>
        </w:rPr>
        <w:t xml:space="preserve">during adolescence in socioaffective processes of relevance to cognitive biases, including </w:t>
      </w:r>
      <w:r w:rsidR="00BD2AF9" w:rsidRPr="00C843F4">
        <w:rPr>
          <w:color w:val="000000" w:themeColor="text1"/>
          <w:lang w:eastAsia="ja-JP"/>
        </w:rPr>
        <w:t>empathy (Decety &amp; Michalska, 2010)</w:t>
      </w:r>
      <w:r w:rsidR="003D3A8C" w:rsidRPr="00C843F4">
        <w:rPr>
          <w:color w:val="000000" w:themeColor="text1"/>
          <w:lang w:eastAsia="ja-JP"/>
        </w:rPr>
        <w:t xml:space="preserve"> </w:t>
      </w:r>
      <w:r w:rsidR="00B42D0E" w:rsidRPr="00C843F4">
        <w:rPr>
          <w:color w:val="000000" w:themeColor="text1"/>
          <w:lang w:eastAsia="ja-JP"/>
        </w:rPr>
        <w:t xml:space="preserve">sensitivity </w:t>
      </w:r>
      <w:r w:rsidR="003D3A8C" w:rsidRPr="00C843F4">
        <w:rPr>
          <w:color w:val="000000" w:themeColor="text1"/>
          <w:lang w:eastAsia="ja-JP"/>
        </w:rPr>
        <w:t xml:space="preserve">to </w:t>
      </w:r>
      <w:r w:rsidR="00BD2AF9" w:rsidRPr="00C843F4">
        <w:rPr>
          <w:color w:val="000000" w:themeColor="text1"/>
          <w:lang w:eastAsia="ja-JP"/>
        </w:rPr>
        <w:t>peer rejection (</w:t>
      </w:r>
      <w:r w:rsidR="00084AF1" w:rsidRPr="00C843F4">
        <w:rPr>
          <w:color w:val="000000" w:themeColor="text1"/>
          <w:lang w:eastAsia="ja-JP"/>
        </w:rPr>
        <w:t>Sebastian, Viding, Williams &amp; Blakemore, 2010; Steinberg &amp; Morris, 2001</w:t>
      </w:r>
      <w:r w:rsidR="00BD2AF9" w:rsidRPr="00C843F4">
        <w:rPr>
          <w:rFonts w:ascii="Times" w:hAnsi="Times" w:cs="Times"/>
          <w:color w:val="000000" w:themeColor="text1"/>
          <w:lang w:eastAsia="ja-JP"/>
        </w:rPr>
        <w:t>)</w:t>
      </w:r>
      <w:r w:rsidR="00B42D0E" w:rsidRPr="00C843F4">
        <w:rPr>
          <w:rFonts w:ascii="Times" w:hAnsi="Times" w:cs="Times"/>
          <w:color w:val="000000" w:themeColor="text1"/>
          <w:lang w:eastAsia="ja-JP"/>
        </w:rPr>
        <w:t xml:space="preserve">, and </w:t>
      </w:r>
      <w:r w:rsidR="00E45688" w:rsidRPr="00C843F4">
        <w:rPr>
          <w:color w:val="000000" w:themeColor="text1"/>
          <w:lang w:eastAsia="ja-JP"/>
        </w:rPr>
        <w:t xml:space="preserve">attributing emotional </w:t>
      </w:r>
      <w:r w:rsidR="00E45688" w:rsidRPr="00C843F4">
        <w:rPr>
          <w:color w:val="000000" w:themeColor="text1"/>
          <w:lang w:eastAsia="ja-JP"/>
        </w:rPr>
        <w:lastRenderedPageBreak/>
        <w:t>meaning</w:t>
      </w:r>
      <w:r w:rsidR="00BD2AF9" w:rsidRPr="00C843F4">
        <w:rPr>
          <w:color w:val="000000" w:themeColor="text1"/>
          <w:lang w:eastAsia="ja-JP"/>
        </w:rPr>
        <w:t xml:space="preserve"> to social stimuli</w:t>
      </w:r>
      <w:r w:rsidR="00BF3E50" w:rsidRPr="00C843F4">
        <w:rPr>
          <w:color w:val="000000" w:themeColor="text1"/>
          <w:lang w:eastAsia="ja-JP"/>
        </w:rPr>
        <w:t xml:space="preserve"> </w:t>
      </w:r>
      <w:r w:rsidR="00BD2AF9" w:rsidRPr="00C843F4">
        <w:rPr>
          <w:color w:val="000000" w:themeColor="text1"/>
          <w:lang w:eastAsia="ja-JP"/>
        </w:rPr>
        <w:t xml:space="preserve">(Nelson, Leibenluft, McLure &amp; Pine, 2005; Crone &amp; Dahl, 2012). </w:t>
      </w:r>
      <w:r w:rsidR="00084AF1" w:rsidRPr="00C843F4">
        <w:rPr>
          <w:color w:val="000000" w:themeColor="text1"/>
          <w:lang w:eastAsia="ja-JP"/>
        </w:rPr>
        <w:t>These data suggest ongoing development</w:t>
      </w:r>
      <w:r w:rsidR="00224260" w:rsidRPr="00C843F4">
        <w:rPr>
          <w:color w:val="000000" w:themeColor="text1"/>
        </w:rPr>
        <w:t xml:space="preserve"> in the way adolescents process and interpret information, particularly in a social context.</w:t>
      </w:r>
      <w:r w:rsidR="00084AF1" w:rsidRPr="00C843F4">
        <w:rPr>
          <w:color w:val="000000" w:themeColor="text1"/>
        </w:rPr>
        <w:t xml:space="preserve"> </w:t>
      </w:r>
      <w:r w:rsidR="00084AF1" w:rsidRPr="00C843F4">
        <w:rPr>
          <w:color w:val="000000" w:themeColor="text1"/>
          <w:lang w:eastAsia="ja-JP"/>
        </w:rPr>
        <w:t>It is therefore perhaps surprising that f</w:t>
      </w:r>
      <w:r w:rsidR="00BF3E50" w:rsidRPr="00C843F4">
        <w:rPr>
          <w:color w:val="000000" w:themeColor="text1"/>
          <w:lang w:eastAsia="ja-JP"/>
        </w:rPr>
        <w:t xml:space="preserve">ew studies </w:t>
      </w:r>
      <w:r w:rsidR="00061C14" w:rsidRPr="00C843F4">
        <w:rPr>
          <w:color w:val="000000" w:themeColor="text1"/>
          <w:lang w:eastAsia="ja-JP"/>
        </w:rPr>
        <w:t xml:space="preserve">have </w:t>
      </w:r>
      <w:r w:rsidR="00E523BB" w:rsidRPr="00C843F4">
        <w:rPr>
          <w:color w:val="000000" w:themeColor="text1"/>
          <w:lang w:eastAsia="ja-JP"/>
        </w:rPr>
        <w:t>examined</w:t>
      </w:r>
      <w:r w:rsidR="00061C14" w:rsidRPr="00C843F4">
        <w:rPr>
          <w:color w:val="000000" w:themeColor="text1"/>
          <w:lang w:eastAsia="ja-JP"/>
        </w:rPr>
        <w:t xml:space="preserve"> age-relat</w:t>
      </w:r>
      <w:r w:rsidR="00E523BB" w:rsidRPr="00C843F4">
        <w:rPr>
          <w:color w:val="000000" w:themeColor="text1"/>
          <w:lang w:eastAsia="ja-JP"/>
        </w:rPr>
        <w:t>ed changes in cognitive biases</w:t>
      </w:r>
      <w:r w:rsidR="00BF3E50" w:rsidRPr="00C843F4">
        <w:rPr>
          <w:color w:val="000000" w:themeColor="text1"/>
          <w:lang w:eastAsia="ja-JP"/>
        </w:rPr>
        <w:t xml:space="preserve"> during adolescence</w:t>
      </w:r>
      <w:r w:rsidR="00E523BB" w:rsidRPr="00C843F4">
        <w:rPr>
          <w:color w:val="000000" w:themeColor="text1"/>
          <w:lang w:eastAsia="ja-JP"/>
        </w:rPr>
        <w:t xml:space="preserve">. </w:t>
      </w:r>
    </w:p>
    <w:p w14:paraId="54B3BCE2" w14:textId="2FDD716F" w:rsidR="00B600B0" w:rsidRPr="00C843F4" w:rsidRDefault="00B600B0" w:rsidP="0005660E">
      <w:pPr>
        <w:spacing w:line="480" w:lineRule="auto"/>
        <w:rPr>
          <w:b/>
          <w:color w:val="000000" w:themeColor="text1"/>
          <w:lang w:eastAsia="ja-JP"/>
        </w:rPr>
      </w:pPr>
      <w:r w:rsidRPr="00C843F4">
        <w:rPr>
          <w:b/>
          <w:color w:val="000000" w:themeColor="text1"/>
          <w:lang w:eastAsia="ja-JP"/>
        </w:rPr>
        <w:t xml:space="preserve">Negative </w:t>
      </w:r>
      <w:r w:rsidR="00AA7652" w:rsidRPr="00C843F4">
        <w:rPr>
          <w:b/>
          <w:color w:val="000000" w:themeColor="text1"/>
          <w:lang w:eastAsia="ja-JP"/>
        </w:rPr>
        <w:t>Cognitive B</w:t>
      </w:r>
      <w:r w:rsidRPr="00C843F4">
        <w:rPr>
          <w:b/>
          <w:color w:val="000000" w:themeColor="text1"/>
          <w:lang w:eastAsia="ja-JP"/>
        </w:rPr>
        <w:t>iases</w:t>
      </w:r>
      <w:r w:rsidR="00AA7652" w:rsidRPr="00C843F4">
        <w:rPr>
          <w:b/>
          <w:color w:val="000000" w:themeColor="text1"/>
          <w:lang w:eastAsia="ja-JP"/>
        </w:rPr>
        <w:t xml:space="preserve"> in A</w:t>
      </w:r>
      <w:r w:rsidRPr="00C843F4">
        <w:rPr>
          <w:b/>
          <w:color w:val="000000" w:themeColor="text1"/>
          <w:lang w:eastAsia="ja-JP"/>
        </w:rPr>
        <w:t>dolescence</w:t>
      </w:r>
    </w:p>
    <w:p w14:paraId="02B38CC9" w14:textId="5438A839" w:rsidR="001A703A" w:rsidRPr="00C843F4" w:rsidRDefault="00B600B0" w:rsidP="0005660E">
      <w:pPr>
        <w:spacing w:line="480" w:lineRule="auto"/>
        <w:ind w:firstLine="720"/>
        <w:rPr>
          <w:b/>
          <w:color w:val="000000" w:themeColor="text1"/>
          <w:lang w:eastAsia="ja-JP"/>
        </w:rPr>
      </w:pPr>
      <w:r w:rsidRPr="00C843F4">
        <w:rPr>
          <w:color w:val="000000" w:themeColor="text1"/>
          <w:lang w:eastAsia="ja-JP"/>
        </w:rPr>
        <w:t xml:space="preserve">Research exploring cognitive biases in youth </w:t>
      </w:r>
      <w:r w:rsidR="00E523BB" w:rsidRPr="00C843F4">
        <w:rPr>
          <w:color w:val="000000" w:themeColor="text1"/>
          <w:lang w:eastAsia="ja-JP"/>
        </w:rPr>
        <w:t xml:space="preserve">have tended to </w:t>
      </w:r>
      <w:r w:rsidR="00061C14" w:rsidRPr="00C843F4">
        <w:rPr>
          <w:color w:val="000000" w:themeColor="text1"/>
          <w:lang w:eastAsia="ja-JP"/>
        </w:rPr>
        <w:t xml:space="preserve">focus on the relation between </w:t>
      </w:r>
      <w:r w:rsidR="00642801" w:rsidRPr="00C843F4">
        <w:rPr>
          <w:color w:val="000000" w:themeColor="text1"/>
          <w:lang w:eastAsia="ja-JP"/>
        </w:rPr>
        <w:t>individual</w:t>
      </w:r>
      <w:r w:rsidR="00061C14" w:rsidRPr="00C843F4">
        <w:rPr>
          <w:color w:val="000000" w:themeColor="text1"/>
          <w:lang w:eastAsia="ja-JP"/>
        </w:rPr>
        <w:t xml:space="preserve"> biases and </w:t>
      </w:r>
      <w:r w:rsidR="00642801" w:rsidRPr="00C843F4">
        <w:rPr>
          <w:color w:val="000000" w:themeColor="text1"/>
          <w:lang w:eastAsia="ja-JP"/>
        </w:rPr>
        <w:t>specific</w:t>
      </w:r>
      <w:r w:rsidR="00061C14" w:rsidRPr="00C843F4">
        <w:rPr>
          <w:color w:val="000000" w:themeColor="text1"/>
          <w:lang w:eastAsia="ja-JP"/>
        </w:rPr>
        <w:t xml:space="preserve"> </w:t>
      </w:r>
      <w:r w:rsidR="00C9054B" w:rsidRPr="00C843F4">
        <w:rPr>
          <w:color w:val="000000" w:themeColor="text1"/>
          <w:lang w:eastAsia="ja-JP"/>
        </w:rPr>
        <w:t xml:space="preserve">psychiatric </w:t>
      </w:r>
      <w:r w:rsidR="00061C14" w:rsidRPr="00C843F4">
        <w:rPr>
          <w:color w:val="000000" w:themeColor="text1"/>
          <w:lang w:eastAsia="ja-JP"/>
        </w:rPr>
        <w:t>diagnoses</w:t>
      </w:r>
      <w:r w:rsidR="005F44F8" w:rsidRPr="00C843F4">
        <w:rPr>
          <w:color w:val="000000" w:themeColor="text1"/>
          <w:lang w:eastAsia="ja-JP"/>
        </w:rPr>
        <w:t>, with age</w:t>
      </w:r>
      <w:r w:rsidR="00106CD9" w:rsidRPr="00C843F4">
        <w:rPr>
          <w:color w:val="000000" w:themeColor="text1"/>
          <w:lang w:eastAsia="ja-JP"/>
        </w:rPr>
        <w:t xml:space="preserve"> serving</w:t>
      </w:r>
      <w:r w:rsidR="005F44F8" w:rsidRPr="00C843F4">
        <w:rPr>
          <w:color w:val="000000" w:themeColor="text1"/>
          <w:lang w:eastAsia="ja-JP"/>
        </w:rPr>
        <w:t xml:space="preserve"> as a moderating factor in </w:t>
      </w:r>
      <w:r w:rsidR="00920C43" w:rsidRPr="00C843F4">
        <w:rPr>
          <w:color w:val="000000" w:themeColor="text1"/>
          <w:lang w:eastAsia="ja-JP"/>
        </w:rPr>
        <w:t>the relation</w:t>
      </w:r>
      <w:r w:rsidR="005F44F8" w:rsidRPr="00C843F4">
        <w:rPr>
          <w:color w:val="000000" w:themeColor="text1"/>
          <w:lang w:eastAsia="ja-JP"/>
        </w:rPr>
        <w:t xml:space="preserve"> between cognitive biases and emotional psychopathology. </w:t>
      </w:r>
      <w:r w:rsidR="008C5631" w:rsidRPr="00C843F4">
        <w:rPr>
          <w:color w:val="000000" w:themeColor="text1"/>
          <w:lang w:eastAsia="ja-JP"/>
        </w:rPr>
        <w:t xml:space="preserve"> </w:t>
      </w:r>
      <w:r w:rsidR="003437EC" w:rsidRPr="00C843F4">
        <w:rPr>
          <w:color w:val="000000" w:themeColor="text1"/>
          <w:lang w:eastAsia="ja-JP"/>
        </w:rPr>
        <w:t xml:space="preserve">For example, </w:t>
      </w:r>
      <w:r w:rsidR="000A169B" w:rsidRPr="00C843F4">
        <w:rPr>
          <w:color w:val="000000" w:themeColor="text1"/>
          <w:lang w:eastAsia="ja-JP"/>
        </w:rPr>
        <w:t>personalizing</w:t>
      </w:r>
      <w:r w:rsidR="003437EC" w:rsidRPr="00C843F4">
        <w:rPr>
          <w:color w:val="000000" w:themeColor="text1"/>
          <w:lang w:eastAsia="ja-JP"/>
        </w:rPr>
        <w:t xml:space="preserve"> and </w:t>
      </w:r>
      <w:r w:rsidR="000A169B" w:rsidRPr="00C843F4">
        <w:rPr>
          <w:color w:val="000000" w:themeColor="text1"/>
          <w:lang w:eastAsia="ja-JP"/>
        </w:rPr>
        <w:t>catastrophizing</w:t>
      </w:r>
      <w:r w:rsidR="003437EC" w:rsidRPr="00C843F4">
        <w:rPr>
          <w:color w:val="000000" w:themeColor="text1"/>
          <w:lang w:eastAsia="ja-JP"/>
        </w:rPr>
        <w:t xml:space="preserve"> </w:t>
      </w:r>
      <w:r w:rsidR="007459A4" w:rsidRPr="00C843F4">
        <w:rPr>
          <w:color w:val="000000" w:themeColor="text1"/>
          <w:lang w:eastAsia="ja-JP"/>
        </w:rPr>
        <w:t xml:space="preserve">were </w:t>
      </w:r>
      <w:r w:rsidR="003437EC" w:rsidRPr="00C843F4">
        <w:rPr>
          <w:color w:val="000000" w:themeColor="text1"/>
          <w:lang w:eastAsia="ja-JP"/>
        </w:rPr>
        <w:t>more strongly associated with self-reported anxiety as age increased in a clinic-referred sample (</w:t>
      </w:r>
      <w:r w:rsidR="00766DCD" w:rsidRPr="00C843F4">
        <w:rPr>
          <w:color w:val="000000" w:themeColor="text1"/>
          <w:lang w:eastAsia="ja-JP"/>
        </w:rPr>
        <w:t xml:space="preserve">Weems, Berman, Silverman </w:t>
      </w:r>
      <w:r w:rsidR="003437EC" w:rsidRPr="00C843F4">
        <w:rPr>
          <w:color w:val="000000" w:themeColor="text1"/>
          <w:lang w:eastAsia="ja-JP"/>
        </w:rPr>
        <w:t>&amp;</w:t>
      </w:r>
      <w:r w:rsidR="00766DCD" w:rsidRPr="00C843F4">
        <w:rPr>
          <w:color w:val="000000" w:themeColor="text1"/>
          <w:lang w:eastAsia="ja-JP"/>
        </w:rPr>
        <w:t xml:space="preserve"> Saavedra</w:t>
      </w:r>
      <w:r w:rsidR="003437EC" w:rsidRPr="00C843F4">
        <w:rPr>
          <w:color w:val="000000" w:themeColor="text1"/>
          <w:lang w:eastAsia="ja-JP"/>
        </w:rPr>
        <w:t xml:space="preserve">, </w:t>
      </w:r>
      <w:r w:rsidR="00180FFB" w:rsidRPr="00C843F4">
        <w:rPr>
          <w:color w:val="000000" w:themeColor="text1"/>
          <w:lang w:eastAsia="ja-JP"/>
        </w:rPr>
        <w:t>2001)</w:t>
      </w:r>
      <w:r w:rsidR="00766DCD" w:rsidRPr="00C843F4">
        <w:rPr>
          <w:color w:val="000000" w:themeColor="text1"/>
          <w:lang w:eastAsia="ja-JP"/>
        </w:rPr>
        <w:t xml:space="preserve">. </w:t>
      </w:r>
      <w:r w:rsidR="00BD3DE0" w:rsidRPr="00C843F4">
        <w:rPr>
          <w:color w:val="000000" w:themeColor="text1"/>
          <w:lang w:eastAsia="ja-JP"/>
        </w:rPr>
        <w:t xml:space="preserve">Cannon and Weems (2010) reported that </w:t>
      </w:r>
      <w:r w:rsidR="003F1367" w:rsidRPr="00C843F4">
        <w:rPr>
          <w:color w:val="000000" w:themeColor="text1"/>
          <w:lang w:eastAsia="ja-JP"/>
        </w:rPr>
        <w:t xml:space="preserve">negative cognitive </w:t>
      </w:r>
      <w:r w:rsidR="000B7AAE" w:rsidRPr="00C843F4">
        <w:rPr>
          <w:color w:val="000000" w:themeColor="text1"/>
          <w:lang w:eastAsia="ja-JP"/>
        </w:rPr>
        <w:t>biases</w:t>
      </w:r>
      <w:r w:rsidR="006F58CB" w:rsidRPr="00C843F4">
        <w:rPr>
          <w:color w:val="000000" w:themeColor="text1"/>
          <w:lang w:eastAsia="ja-JP"/>
        </w:rPr>
        <w:t xml:space="preserve"> </w:t>
      </w:r>
      <w:r w:rsidR="00BD3DE0" w:rsidRPr="00C843F4">
        <w:rPr>
          <w:color w:val="000000" w:themeColor="text1"/>
          <w:lang w:eastAsia="ja-JP"/>
        </w:rPr>
        <w:t xml:space="preserve">significantly predicted diagnostic status of anxiety for </w:t>
      </w:r>
      <w:r w:rsidR="00D64011" w:rsidRPr="00C843F4">
        <w:rPr>
          <w:color w:val="000000" w:themeColor="text1"/>
          <w:lang w:eastAsia="ja-JP"/>
        </w:rPr>
        <w:t>clinic-referred adolescents</w:t>
      </w:r>
      <w:r w:rsidR="00BD3DE0" w:rsidRPr="00C843F4">
        <w:rPr>
          <w:color w:val="000000" w:themeColor="text1"/>
          <w:lang w:eastAsia="ja-JP"/>
        </w:rPr>
        <w:t xml:space="preserve"> (12-17 years) but not children (7-11 years). </w:t>
      </w:r>
      <w:r w:rsidR="00590520" w:rsidRPr="00C843F4">
        <w:rPr>
          <w:color w:val="000000" w:themeColor="text1"/>
          <w:lang w:eastAsia="ja-JP"/>
        </w:rPr>
        <w:t>S</w:t>
      </w:r>
      <w:r w:rsidR="003F1367" w:rsidRPr="00C843F4">
        <w:rPr>
          <w:color w:val="000000" w:themeColor="text1"/>
          <w:lang w:eastAsia="ja-JP"/>
        </w:rPr>
        <w:t>alient changes in cognitive processing through</w:t>
      </w:r>
      <w:r w:rsidR="00642801" w:rsidRPr="00C843F4">
        <w:rPr>
          <w:color w:val="000000" w:themeColor="text1"/>
          <w:lang w:eastAsia="ja-JP"/>
        </w:rPr>
        <w:t>out</w:t>
      </w:r>
      <w:r w:rsidR="003F1367" w:rsidRPr="00C843F4">
        <w:rPr>
          <w:color w:val="000000" w:themeColor="text1"/>
          <w:lang w:eastAsia="ja-JP"/>
        </w:rPr>
        <w:t xml:space="preserve"> </w:t>
      </w:r>
      <w:r w:rsidR="00066AF9" w:rsidRPr="00C843F4">
        <w:rPr>
          <w:color w:val="000000" w:themeColor="text1"/>
          <w:lang w:eastAsia="ja-JP"/>
        </w:rPr>
        <w:t xml:space="preserve">childhood and </w:t>
      </w:r>
      <w:r w:rsidR="003F1367" w:rsidRPr="00C843F4">
        <w:rPr>
          <w:color w:val="000000" w:themeColor="text1"/>
          <w:lang w:eastAsia="ja-JP"/>
        </w:rPr>
        <w:t xml:space="preserve">adolescence </w:t>
      </w:r>
      <w:r w:rsidR="00590520" w:rsidRPr="00C843F4">
        <w:rPr>
          <w:color w:val="000000" w:themeColor="text1"/>
          <w:lang w:eastAsia="ja-JP"/>
        </w:rPr>
        <w:t xml:space="preserve">may </w:t>
      </w:r>
      <w:r w:rsidR="003F1367" w:rsidRPr="00C843F4">
        <w:rPr>
          <w:color w:val="000000" w:themeColor="text1"/>
          <w:lang w:eastAsia="ja-JP"/>
        </w:rPr>
        <w:t>influence the relation between children’s anxiety symptoms and cognitive biases</w:t>
      </w:r>
      <w:r w:rsidR="004709A9" w:rsidRPr="00C843F4">
        <w:rPr>
          <w:color w:val="000000" w:themeColor="text1"/>
          <w:lang w:eastAsia="ja-JP"/>
        </w:rPr>
        <w:t xml:space="preserve"> (Weems, Berman, Silverman and Saaveda, 2001)</w:t>
      </w:r>
      <w:r w:rsidR="009B643C" w:rsidRPr="00C843F4">
        <w:rPr>
          <w:color w:val="000000" w:themeColor="text1"/>
          <w:lang w:eastAsia="ja-JP"/>
        </w:rPr>
        <w:t>.</w:t>
      </w:r>
    </w:p>
    <w:p w14:paraId="69733681" w14:textId="41734481" w:rsidR="001B0D6D" w:rsidRPr="00C843F4" w:rsidRDefault="001B0D6D" w:rsidP="0005660E">
      <w:pPr>
        <w:spacing w:line="480" w:lineRule="auto"/>
        <w:ind w:firstLine="720"/>
        <w:rPr>
          <w:color w:val="000000" w:themeColor="text1"/>
          <w:lang w:eastAsia="ja-JP"/>
        </w:rPr>
      </w:pPr>
      <w:r w:rsidRPr="00C843F4">
        <w:rPr>
          <w:color w:val="000000" w:themeColor="text1"/>
          <w:lang w:eastAsia="ja-JP"/>
        </w:rPr>
        <w:t xml:space="preserve">Age has </w:t>
      </w:r>
      <w:r w:rsidR="00136457" w:rsidRPr="00C843F4">
        <w:rPr>
          <w:color w:val="000000" w:themeColor="text1"/>
          <w:lang w:eastAsia="ja-JP"/>
        </w:rPr>
        <w:t xml:space="preserve">also </w:t>
      </w:r>
      <w:r w:rsidRPr="00C843F4">
        <w:rPr>
          <w:color w:val="000000" w:themeColor="text1"/>
          <w:lang w:eastAsia="ja-JP"/>
        </w:rPr>
        <w:t>been f</w:t>
      </w:r>
      <w:r w:rsidR="00136457" w:rsidRPr="00C843F4">
        <w:rPr>
          <w:color w:val="000000" w:themeColor="text1"/>
          <w:lang w:eastAsia="ja-JP"/>
        </w:rPr>
        <w:t>ound to</w:t>
      </w:r>
      <w:r w:rsidR="001819EC" w:rsidRPr="00C843F4">
        <w:rPr>
          <w:color w:val="000000" w:themeColor="text1"/>
          <w:lang w:eastAsia="ja-JP"/>
        </w:rPr>
        <w:t xml:space="preserve"> moderate the link between </w:t>
      </w:r>
      <w:r w:rsidR="00136457" w:rsidRPr="00C843F4">
        <w:rPr>
          <w:color w:val="000000" w:themeColor="text1"/>
          <w:lang w:eastAsia="ja-JP"/>
        </w:rPr>
        <w:t xml:space="preserve">threat interpretation </w:t>
      </w:r>
      <w:r w:rsidR="00C326FC" w:rsidRPr="00C843F4">
        <w:rPr>
          <w:color w:val="000000" w:themeColor="text1"/>
          <w:lang w:eastAsia="ja-JP"/>
        </w:rPr>
        <w:t xml:space="preserve">bias </w:t>
      </w:r>
      <w:r w:rsidR="00136457" w:rsidRPr="00C843F4">
        <w:rPr>
          <w:color w:val="000000" w:themeColor="text1"/>
          <w:lang w:eastAsia="ja-JP"/>
        </w:rPr>
        <w:t>and anxiety.</w:t>
      </w:r>
      <w:r w:rsidR="001A703A" w:rsidRPr="00C843F4">
        <w:rPr>
          <w:color w:val="000000" w:themeColor="text1"/>
        </w:rPr>
        <w:t xml:space="preserve"> Threat interpretation is </w:t>
      </w:r>
      <w:r w:rsidR="007459A4" w:rsidRPr="00C843F4">
        <w:rPr>
          <w:color w:val="000000" w:themeColor="text1"/>
        </w:rPr>
        <w:t>characterized</w:t>
      </w:r>
      <w:r w:rsidR="001A703A" w:rsidRPr="00C843F4">
        <w:rPr>
          <w:color w:val="000000" w:themeColor="text1"/>
        </w:rPr>
        <w:t xml:space="preserve"> by the tendency to interpret ambiguous situations and stimuli </w:t>
      </w:r>
      <w:r w:rsidR="001819EC" w:rsidRPr="00C843F4">
        <w:rPr>
          <w:color w:val="000000" w:themeColor="text1"/>
        </w:rPr>
        <w:t>as</w:t>
      </w:r>
      <w:r w:rsidR="001A703A" w:rsidRPr="00C843F4">
        <w:rPr>
          <w:color w:val="000000" w:themeColor="text1"/>
        </w:rPr>
        <w:t xml:space="preserve"> threatening.</w:t>
      </w:r>
      <w:r w:rsidR="001A703A" w:rsidRPr="00C843F4">
        <w:rPr>
          <w:color w:val="000000" w:themeColor="text1"/>
          <w:lang w:eastAsia="ja-JP"/>
        </w:rPr>
        <w:t xml:space="preserve"> </w:t>
      </w:r>
      <w:r w:rsidR="005C6F12" w:rsidRPr="00C843F4">
        <w:rPr>
          <w:color w:val="000000" w:themeColor="text1"/>
        </w:rPr>
        <w:t xml:space="preserve">Adolescents (13-16 years) with an anxiety disorder have been found to choose more threatening interpretations of ambiguous events than adolescents without an anxiety disorder; a pattern not found in the child groups aged 7 to 9 years. (Waite, Codd &amp; Creswell, 2015). </w:t>
      </w:r>
      <w:r w:rsidR="003437EC" w:rsidRPr="00C843F4">
        <w:rPr>
          <w:color w:val="000000" w:themeColor="text1"/>
        </w:rPr>
        <w:t xml:space="preserve">The relation between threat interpretation and anxiety has </w:t>
      </w:r>
      <w:r w:rsidR="005C6F12" w:rsidRPr="00C843F4">
        <w:rPr>
          <w:color w:val="000000" w:themeColor="text1"/>
        </w:rPr>
        <w:t xml:space="preserve">also </w:t>
      </w:r>
      <w:r w:rsidR="003437EC" w:rsidRPr="00C843F4">
        <w:rPr>
          <w:color w:val="000000" w:themeColor="text1"/>
        </w:rPr>
        <w:t xml:space="preserve">been </w:t>
      </w:r>
      <w:r w:rsidR="007459A4" w:rsidRPr="00C843F4">
        <w:rPr>
          <w:color w:val="000000" w:themeColor="text1"/>
        </w:rPr>
        <w:t>analyzed</w:t>
      </w:r>
      <w:r w:rsidR="003437EC" w:rsidRPr="00C843F4">
        <w:rPr>
          <w:color w:val="000000" w:themeColor="text1"/>
        </w:rPr>
        <w:t xml:space="preserve"> longitudinally in a community sample of 10 - 11 year olds, and results suggest that the relationship </w:t>
      </w:r>
      <w:r w:rsidR="003437EC" w:rsidRPr="00C843F4">
        <w:rPr>
          <w:color w:val="000000" w:themeColor="text1"/>
        </w:rPr>
        <w:lastRenderedPageBreak/>
        <w:t>strengthened over time (</w:t>
      </w:r>
      <w:r w:rsidRPr="00C843F4">
        <w:rPr>
          <w:color w:val="000000" w:themeColor="text1"/>
        </w:rPr>
        <w:t xml:space="preserve">Creswell </w:t>
      </w:r>
      <w:r w:rsidR="003437EC" w:rsidRPr="00C843F4">
        <w:rPr>
          <w:color w:val="000000" w:themeColor="text1"/>
        </w:rPr>
        <w:t xml:space="preserve">&amp; O’Connor, </w:t>
      </w:r>
      <w:r w:rsidRPr="00C843F4">
        <w:rPr>
          <w:color w:val="000000" w:themeColor="text1"/>
        </w:rPr>
        <w:t>2011)</w:t>
      </w:r>
      <w:r w:rsidR="003437EC" w:rsidRPr="00C843F4">
        <w:rPr>
          <w:color w:val="000000" w:themeColor="text1"/>
        </w:rPr>
        <w:t>.</w:t>
      </w:r>
      <w:r w:rsidRPr="00C843F4">
        <w:rPr>
          <w:color w:val="000000" w:themeColor="text1"/>
        </w:rPr>
        <w:t xml:space="preserve"> </w:t>
      </w:r>
      <w:r w:rsidR="001D2852" w:rsidRPr="00C843F4">
        <w:rPr>
          <w:color w:val="000000" w:themeColor="text1"/>
        </w:rPr>
        <w:t>The authors</w:t>
      </w:r>
      <w:r w:rsidRPr="00C843F4">
        <w:rPr>
          <w:color w:val="000000" w:themeColor="text1"/>
        </w:rPr>
        <w:t xml:space="preserve"> reasoned that </w:t>
      </w:r>
      <w:r w:rsidR="00FC1B0C" w:rsidRPr="00C843F4">
        <w:rPr>
          <w:color w:val="000000" w:themeColor="text1"/>
        </w:rPr>
        <w:t>cognitive biases</w:t>
      </w:r>
      <w:r w:rsidRPr="00C843F4">
        <w:rPr>
          <w:color w:val="000000" w:themeColor="text1"/>
        </w:rPr>
        <w:t xml:space="preserve"> might act as a risk </w:t>
      </w:r>
      <w:r w:rsidR="00066AF9" w:rsidRPr="00C843F4">
        <w:rPr>
          <w:color w:val="000000" w:themeColor="text1"/>
        </w:rPr>
        <w:t xml:space="preserve">factor </w:t>
      </w:r>
      <w:r w:rsidRPr="00C843F4">
        <w:rPr>
          <w:color w:val="000000" w:themeColor="text1"/>
        </w:rPr>
        <w:t xml:space="preserve">for psychopathology </w:t>
      </w:r>
      <w:r w:rsidR="004774FA" w:rsidRPr="00C843F4">
        <w:rPr>
          <w:color w:val="000000" w:themeColor="text1"/>
        </w:rPr>
        <w:t>as</w:t>
      </w:r>
      <w:r w:rsidRPr="00C843F4">
        <w:rPr>
          <w:color w:val="000000" w:themeColor="text1"/>
        </w:rPr>
        <w:t xml:space="preserve"> cognitive styles become more stable with increasing cognitive maturity. </w:t>
      </w:r>
    </w:p>
    <w:p w14:paraId="24E26680" w14:textId="3819004F" w:rsidR="001B0D6D" w:rsidRPr="00C843F4" w:rsidRDefault="006E1FF2" w:rsidP="0005660E">
      <w:pPr>
        <w:widowControl w:val="0"/>
        <w:autoSpaceDE w:val="0"/>
        <w:autoSpaceDN w:val="0"/>
        <w:adjustRightInd w:val="0"/>
        <w:spacing w:line="480" w:lineRule="auto"/>
        <w:ind w:firstLine="720"/>
        <w:rPr>
          <w:color w:val="000000" w:themeColor="text1"/>
          <w:lang w:eastAsia="ja-JP"/>
        </w:rPr>
      </w:pPr>
      <w:r w:rsidRPr="00C843F4">
        <w:rPr>
          <w:rFonts w:eastAsia="Times New Roman" w:cs="Arial"/>
          <w:color w:val="000000" w:themeColor="text1"/>
          <w:lang w:eastAsia="en-GB"/>
        </w:rPr>
        <w:t>R</w:t>
      </w:r>
      <w:r w:rsidR="00907894" w:rsidRPr="00C843F4">
        <w:rPr>
          <w:rFonts w:eastAsia="Times New Roman" w:cs="Arial"/>
          <w:color w:val="000000" w:themeColor="text1"/>
          <w:lang w:eastAsia="en-GB"/>
        </w:rPr>
        <w:t xml:space="preserve">esearch has </w:t>
      </w:r>
      <w:r w:rsidR="008C6608" w:rsidRPr="00C843F4">
        <w:rPr>
          <w:rFonts w:eastAsia="Times New Roman" w:cs="Arial"/>
          <w:color w:val="000000" w:themeColor="text1"/>
          <w:lang w:eastAsia="en-GB"/>
        </w:rPr>
        <w:t xml:space="preserve">also </w:t>
      </w:r>
      <w:r w:rsidR="00063457" w:rsidRPr="00C843F4">
        <w:rPr>
          <w:rFonts w:eastAsia="Times New Roman" w:cs="Arial"/>
          <w:color w:val="000000" w:themeColor="text1"/>
          <w:lang w:eastAsia="en-GB"/>
        </w:rPr>
        <w:t>shown</w:t>
      </w:r>
      <w:r w:rsidR="00907894" w:rsidRPr="00C843F4">
        <w:rPr>
          <w:color w:val="000000" w:themeColor="text1"/>
          <w:lang w:eastAsia="ja-JP"/>
        </w:rPr>
        <w:t xml:space="preserve"> that </w:t>
      </w:r>
      <w:r w:rsidR="008C6608" w:rsidRPr="00C843F4">
        <w:rPr>
          <w:color w:val="000000" w:themeColor="text1"/>
          <w:lang w:eastAsia="ja-JP"/>
        </w:rPr>
        <w:t xml:space="preserve">a </w:t>
      </w:r>
      <w:r w:rsidR="00907894" w:rsidRPr="00C843F4">
        <w:rPr>
          <w:color w:val="000000" w:themeColor="text1"/>
          <w:lang w:eastAsia="ja-JP"/>
        </w:rPr>
        <w:t xml:space="preserve">negative attributional </w:t>
      </w:r>
      <w:r w:rsidR="008C6608" w:rsidRPr="00C843F4">
        <w:rPr>
          <w:color w:val="000000" w:themeColor="text1"/>
          <w:lang w:eastAsia="ja-JP"/>
        </w:rPr>
        <w:t>style</w:t>
      </w:r>
      <w:r w:rsidR="00BF1595" w:rsidRPr="00C843F4">
        <w:rPr>
          <w:color w:val="000000" w:themeColor="text1"/>
          <w:lang w:eastAsia="ja-JP"/>
        </w:rPr>
        <w:t xml:space="preserve"> </w:t>
      </w:r>
      <w:r w:rsidR="00907894" w:rsidRPr="00C843F4">
        <w:rPr>
          <w:color w:val="000000" w:themeColor="text1"/>
          <w:lang w:eastAsia="ja-JP"/>
        </w:rPr>
        <w:t>may confer vulnerability to the development of depression (Ab</w:t>
      </w:r>
      <w:r w:rsidR="00EB0153" w:rsidRPr="00C843F4">
        <w:rPr>
          <w:color w:val="000000" w:themeColor="text1"/>
          <w:lang w:eastAsia="ja-JP"/>
        </w:rPr>
        <w:t xml:space="preserve">ela, 2001; </w:t>
      </w:r>
      <w:r w:rsidR="00C017D6" w:rsidRPr="00C843F4">
        <w:rPr>
          <w:color w:val="000000" w:themeColor="text1"/>
          <w:lang w:eastAsia="ja-JP"/>
        </w:rPr>
        <w:t>Runyon &amp; Kenny, 2002</w:t>
      </w:r>
      <w:r w:rsidR="00BB4AB6" w:rsidRPr="00C843F4">
        <w:rPr>
          <w:color w:val="000000" w:themeColor="text1"/>
          <w:lang w:eastAsia="ja-JP"/>
        </w:rPr>
        <w:t xml:space="preserve">). </w:t>
      </w:r>
      <w:r w:rsidR="005C6F12" w:rsidRPr="00C843F4">
        <w:rPr>
          <w:color w:val="000000" w:themeColor="text1"/>
          <w:lang w:eastAsia="ja-JP"/>
        </w:rPr>
        <w:t>O</w:t>
      </w:r>
      <w:r w:rsidR="00231FE0" w:rsidRPr="00C843F4">
        <w:rPr>
          <w:color w:val="000000" w:themeColor="text1"/>
          <w:lang w:eastAsia="ja-JP"/>
        </w:rPr>
        <w:t xml:space="preserve">ne study </w:t>
      </w:r>
      <w:r w:rsidR="005C3702" w:rsidRPr="00C843F4">
        <w:rPr>
          <w:color w:val="000000" w:themeColor="text1"/>
          <w:lang w:eastAsia="ja-JP"/>
        </w:rPr>
        <w:t>has shown</w:t>
      </w:r>
      <w:r w:rsidR="00231FE0" w:rsidRPr="00C843F4">
        <w:rPr>
          <w:color w:val="000000" w:themeColor="text1"/>
          <w:lang w:eastAsia="ja-JP"/>
        </w:rPr>
        <w:t xml:space="preserve"> that </w:t>
      </w:r>
      <w:r w:rsidR="00063457" w:rsidRPr="00C843F4">
        <w:rPr>
          <w:color w:val="000000" w:themeColor="text1"/>
          <w:lang w:eastAsia="ja-JP"/>
        </w:rPr>
        <w:t xml:space="preserve">it is not before the age of 14 or 15, </w:t>
      </w:r>
      <w:r w:rsidR="003A0C6F" w:rsidRPr="00C843F4">
        <w:rPr>
          <w:color w:val="000000" w:themeColor="text1"/>
          <w:lang w:eastAsia="ja-JP"/>
        </w:rPr>
        <w:t>that</w:t>
      </w:r>
      <w:r w:rsidR="00063457" w:rsidRPr="00C843F4">
        <w:rPr>
          <w:color w:val="000000" w:themeColor="text1"/>
          <w:lang w:eastAsia="ja-JP"/>
        </w:rPr>
        <w:t xml:space="preserve"> individuals’ causal attributions interact with stressful life events to predict an increase in depression</w:t>
      </w:r>
      <w:r w:rsidR="003A0C6F" w:rsidRPr="00C843F4">
        <w:rPr>
          <w:color w:val="000000" w:themeColor="text1"/>
          <w:lang w:eastAsia="ja-JP"/>
        </w:rPr>
        <w:t xml:space="preserve"> (Cole et al., 2008)</w:t>
      </w:r>
      <w:r w:rsidR="00063457" w:rsidRPr="00C843F4">
        <w:rPr>
          <w:color w:val="000000" w:themeColor="text1"/>
          <w:lang w:eastAsia="ja-JP"/>
        </w:rPr>
        <w:t xml:space="preserve">. </w:t>
      </w:r>
      <w:r w:rsidR="005C6F12" w:rsidRPr="00C843F4">
        <w:rPr>
          <w:color w:val="000000" w:themeColor="text1"/>
          <w:lang w:eastAsia="ja-JP"/>
        </w:rPr>
        <w:t xml:space="preserve">Therefore, age may play a moderating role in the link between attributional style and the emergence of depression. </w:t>
      </w:r>
      <w:r w:rsidR="00063457" w:rsidRPr="00C843F4">
        <w:rPr>
          <w:color w:val="000000" w:themeColor="text1"/>
          <w:lang w:eastAsia="ja-JP"/>
        </w:rPr>
        <w:t xml:space="preserve">However, it is currently unclear whether there are normative developmental changes in attributional style </w:t>
      </w:r>
      <w:r w:rsidR="0078365F" w:rsidRPr="00C843F4">
        <w:rPr>
          <w:color w:val="000000" w:themeColor="text1"/>
          <w:lang w:eastAsia="ja-JP"/>
        </w:rPr>
        <w:t>during adolescence</w:t>
      </w:r>
      <w:r w:rsidR="00143420" w:rsidRPr="00C843F4">
        <w:rPr>
          <w:color w:val="000000" w:themeColor="text1"/>
          <w:lang w:eastAsia="ja-JP"/>
        </w:rPr>
        <w:t xml:space="preserve">: </w:t>
      </w:r>
      <w:r w:rsidR="0078365F" w:rsidRPr="00C843F4">
        <w:rPr>
          <w:color w:val="000000" w:themeColor="text1"/>
          <w:lang w:eastAsia="ja-JP"/>
        </w:rPr>
        <w:t>uncovering</w:t>
      </w:r>
      <w:r w:rsidR="00063457" w:rsidRPr="00C843F4">
        <w:rPr>
          <w:color w:val="000000" w:themeColor="text1"/>
          <w:lang w:eastAsia="ja-JP"/>
        </w:rPr>
        <w:t xml:space="preserve"> </w:t>
      </w:r>
      <w:r w:rsidR="0078365F" w:rsidRPr="00C843F4">
        <w:rPr>
          <w:color w:val="000000" w:themeColor="text1"/>
          <w:lang w:eastAsia="ja-JP"/>
        </w:rPr>
        <w:t>such</w:t>
      </w:r>
      <w:r w:rsidR="00063457" w:rsidRPr="00C843F4">
        <w:rPr>
          <w:color w:val="000000" w:themeColor="text1"/>
          <w:lang w:eastAsia="ja-JP"/>
        </w:rPr>
        <w:t xml:space="preserve"> changes may </w:t>
      </w:r>
      <w:r w:rsidR="0078365F" w:rsidRPr="00C843F4">
        <w:rPr>
          <w:color w:val="000000" w:themeColor="text1"/>
          <w:lang w:eastAsia="ja-JP"/>
        </w:rPr>
        <w:t xml:space="preserve">have </w:t>
      </w:r>
      <w:r w:rsidR="00CE0FF3" w:rsidRPr="00C843F4">
        <w:rPr>
          <w:color w:val="000000" w:themeColor="text1"/>
          <w:lang w:eastAsia="ja-JP"/>
        </w:rPr>
        <w:t xml:space="preserve">implications for attribution theory. </w:t>
      </w:r>
    </w:p>
    <w:p w14:paraId="2C9881C3" w14:textId="322D9797" w:rsidR="006E648B" w:rsidRPr="00C843F4" w:rsidRDefault="00AD5479" w:rsidP="0005660E">
      <w:pPr>
        <w:spacing w:line="480" w:lineRule="auto"/>
        <w:ind w:firstLine="720"/>
        <w:rPr>
          <w:color w:val="000000" w:themeColor="text1"/>
          <w:lang w:eastAsia="ja-JP"/>
        </w:rPr>
      </w:pPr>
      <w:r w:rsidRPr="00C843F4">
        <w:rPr>
          <w:color w:val="000000" w:themeColor="text1"/>
          <w:lang w:eastAsia="ja-JP"/>
        </w:rPr>
        <w:t>Overall</w:t>
      </w:r>
      <w:r w:rsidR="00A4231C" w:rsidRPr="00C843F4">
        <w:rPr>
          <w:color w:val="000000" w:themeColor="text1"/>
        </w:rPr>
        <w:t xml:space="preserve">, independent findings from studies exploring different cognitive biases mirror each other in that several biases appear to be increasingly related to psychopathology as young people enter adolescence. </w:t>
      </w:r>
      <w:r w:rsidR="0078365F" w:rsidRPr="00C843F4">
        <w:rPr>
          <w:color w:val="000000" w:themeColor="text1"/>
        </w:rPr>
        <w:t>This suggests</w:t>
      </w:r>
      <w:r w:rsidR="00A4231C" w:rsidRPr="00C843F4">
        <w:rPr>
          <w:color w:val="000000" w:themeColor="text1"/>
        </w:rPr>
        <w:t xml:space="preserve"> there may be a</w:t>
      </w:r>
      <w:r w:rsidR="00483481" w:rsidRPr="00C843F4">
        <w:rPr>
          <w:color w:val="000000" w:themeColor="text1"/>
        </w:rPr>
        <w:t>n important</w:t>
      </w:r>
      <w:r w:rsidR="00A4231C" w:rsidRPr="00C843F4">
        <w:rPr>
          <w:color w:val="000000" w:themeColor="text1"/>
        </w:rPr>
        <w:t xml:space="preserve"> developmental </w:t>
      </w:r>
      <w:r w:rsidR="00483481" w:rsidRPr="00C843F4">
        <w:rPr>
          <w:color w:val="000000" w:themeColor="text1"/>
        </w:rPr>
        <w:t>change</w:t>
      </w:r>
      <w:r w:rsidR="00A4231C" w:rsidRPr="00C843F4">
        <w:rPr>
          <w:color w:val="000000" w:themeColor="text1"/>
        </w:rPr>
        <w:t xml:space="preserve"> </w:t>
      </w:r>
      <w:r w:rsidR="00483481" w:rsidRPr="00C843F4">
        <w:rPr>
          <w:color w:val="000000" w:themeColor="text1"/>
        </w:rPr>
        <w:t>occurring during adolescence</w:t>
      </w:r>
      <w:r w:rsidR="00A4231C" w:rsidRPr="00C843F4">
        <w:rPr>
          <w:color w:val="000000" w:themeColor="text1"/>
        </w:rPr>
        <w:t>.</w:t>
      </w:r>
      <w:r w:rsidR="00483481" w:rsidRPr="00C843F4">
        <w:rPr>
          <w:color w:val="000000" w:themeColor="text1"/>
          <w:lang w:eastAsia="ja-JP"/>
        </w:rPr>
        <w:t xml:space="preserve"> </w:t>
      </w:r>
      <w:r w:rsidR="0078365F" w:rsidRPr="00C843F4">
        <w:rPr>
          <w:color w:val="000000" w:themeColor="text1"/>
        </w:rPr>
        <w:t>T</w:t>
      </w:r>
      <w:r w:rsidR="00483481" w:rsidRPr="00C843F4">
        <w:rPr>
          <w:color w:val="000000" w:themeColor="text1"/>
        </w:rPr>
        <w:t xml:space="preserve">o fully understand how age might moderate the relation between biases and psychopathology, it </w:t>
      </w:r>
      <w:r w:rsidR="008271C5" w:rsidRPr="00C843F4">
        <w:rPr>
          <w:color w:val="000000" w:themeColor="text1"/>
        </w:rPr>
        <w:t xml:space="preserve">would </w:t>
      </w:r>
      <w:r w:rsidR="00483481" w:rsidRPr="00C843F4">
        <w:rPr>
          <w:color w:val="000000" w:themeColor="text1"/>
        </w:rPr>
        <w:t>be helpful to explore if there</w:t>
      </w:r>
      <w:r w:rsidR="00E10174" w:rsidRPr="00C843F4">
        <w:rPr>
          <w:color w:val="000000" w:themeColor="text1"/>
        </w:rPr>
        <w:t xml:space="preserve"> </w:t>
      </w:r>
      <w:r w:rsidR="00483481" w:rsidRPr="00C843F4">
        <w:rPr>
          <w:color w:val="000000" w:themeColor="text1"/>
        </w:rPr>
        <w:t>exist age-related changes</w:t>
      </w:r>
      <w:r w:rsidR="00423500" w:rsidRPr="00C843F4">
        <w:rPr>
          <w:color w:val="000000" w:themeColor="text1"/>
        </w:rPr>
        <w:t xml:space="preserve"> in the endorsement of biases </w:t>
      </w:r>
      <w:r w:rsidR="00483481" w:rsidRPr="00C843F4">
        <w:rPr>
          <w:color w:val="000000" w:themeColor="text1"/>
        </w:rPr>
        <w:t>in a normative sample.</w:t>
      </w:r>
      <w:r w:rsidR="00483481" w:rsidRPr="00C843F4">
        <w:rPr>
          <w:color w:val="000000" w:themeColor="text1"/>
          <w:lang w:eastAsia="ja-JP"/>
        </w:rPr>
        <w:t xml:space="preserve"> </w:t>
      </w:r>
      <w:r w:rsidR="00483481" w:rsidRPr="00C843F4">
        <w:rPr>
          <w:color w:val="000000" w:themeColor="text1"/>
        </w:rPr>
        <w:t xml:space="preserve">Given the social context of many cognitive biases, normative </w:t>
      </w:r>
      <w:r w:rsidR="00483481" w:rsidRPr="00C843F4">
        <w:rPr>
          <w:color w:val="000000" w:themeColor="text1"/>
          <w:lang w:eastAsia="ja-JP"/>
        </w:rPr>
        <w:t xml:space="preserve">changes may </w:t>
      </w:r>
      <w:r w:rsidR="00030E90" w:rsidRPr="00C843F4">
        <w:rPr>
          <w:color w:val="000000" w:themeColor="text1"/>
          <w:lang w:eastAsia="ja-JP"/>
        </w:rPr>
        <w:t xml:space="preserve">reflect </w:t>
      </w:r>
      <w:r w:rsidR="00483481" w:rsidRPr="00C843F4">
        <w:rPr>
          <w:color w:val="000000" w:themeColor="text1"/>
          <w:lang w:eastAsia="ja-JP"/>
        </w:rPr>
        <w:t xml:space="preserve">more global social-cognitive development, and thus it might be fruitful to understand age-related changes that occur in </w:t>
      </w:r>
      <w:r w:rsidR="00030E90" w:rsidRPr="00C843F4">
        <w:rPr>
          <w:color w:val="000000" w:themeColor="text1"/>
          <w:lang w:eastAsia="ja-JP"/>
        </w:rPr>
        <w:t xml:space="preserve">the absence </w:t>
      </w:r>
      <w:r w:rsidR="00483481" w:rsidRPr="00C843F4">
        <w:rPr>
          <w:color w:val="000000" w:themeColor="text1"/>
          <w:lang w:eastAsia="ja-JP"/>
        </w:rPr>
        <w:t>of mental health difficulties</w:t>
      </w:r>
      <w:r w:rsidR="00455BBA" w:rsidRPr="00C843F4">
        <w:rPr>
          <w:color w:val="000000" w:themeColor="text1"/>
          <w:lang w:eastAsia="ja-JP"/>
        </w:rPr>
        <w:t>.</w:t>
      </w:r>
    </w:p>
    <w:p w14:paraId="7760A71C" w14:textId="29EDAAC4" w:rsidR="006E648B" w:rsidRPr="00C843F4" w:rsidRDefault="00AA7652" w:rsidP="0005660E">
      <w:pPr>
        <w:spacing w:line="480" w:lineRule="auto"/>
        <w:rPr>
          <w:b/>
          <w:color w:val="000000" w:themeColor="text1"/>
        </w:rPr>
      </w:pPr>
      <w:r w:rsidRPr="00C843F4">
        <w:rPr>
          <w:b/>
          <w:color w:val="000000" w:themeColor="text1"/>
        </w:rPr>
        <w:t>The Present S</w:t>
      </w:r>
      <w:r w:rsidR="006E648B" w:rsidRPr="00C843F4">
        <w:rPr>
          <w:b/>
          <w:color w:val="000000" w:themeColor="text1"/>
        </w:rPr>
        <w:t>tudy</w:t>
      </w:r>
    </w:p>
    <w:p w14:paraId="0E49FD37" w14:textId="7B2890B4" w:rsidR="00A4231C" w:rsidRPr="00C843F4" w:rsidRDefault="00603FA1" w:rsidP="0005660E">
      <w:pPr>
        <w:spacing w:line="480" w:lineRule="auto"/>
        <w:ind w:firstLine="720"/>
        <w:rPr>
          <w:b/>
          <w:color w:val="000000" w:themeColor="text1"/>
        </w:rPr>
      </w:pPr>
      <w:r w:rsidRPr="00C843F4">
        <w:rPr>
          <w:color w:val="000000" w:themeColor="text1"/>
        </w:rPr>
        <w:t>T</w:t>
      </w:r>
      <w:r w:rsidR="00BD3DE0" w:rsidRPr="00C843F4">
        <w:rPr>
          <w:color w:val="000000" w:themeColor="text1"/>
        </w:rPr>
        <w:t xml:space="preserve">he </w:t>
      </w:r>
      <w:r w:rsidR="009D4530" w:rsidRPr="00C843F4">
        <w:rPr>
          <w:color w:val="000000" w:themeColor="text1"/>
        </w:rPr>
        <w:t>aim</w:t>
      </w:r>
      <w:r w:rsidR="000F46F4" w:rsidRPr="00C843F4">
        <w:rPr>
          <w:color w:val="000000" w:themeColor="text1"/>
        </w:rPr>
        <w:t xml:space="preserve"> of the </w:t>
      </w:r>
      <w:r w:rsidR="00BD3DE0" w:rsidRPr="00C843F4">
        <w:rPr>
          <w:color w:val="000000" w:themeColor="text1"/>
        </w:rPr>
        <w:t xml:space="preserve">current study </w:t>
      </w:r>
      <w:r w:rsidR="005556FC" w:rsidRPr="00C843F4">
        <w:rPr>
          <w:color w:val="000000" w:themeColor="text1"/>
        </w:rPr>
        <w:t>wa</w:t>
      </w:r>
      <w:r w:rsidR="00483481" w:rsidRPr="00C843F4">
        <w:rPr>
          <w:color w:val="000000" w:themeColor="text1"/>
        </w:rPr>
        <w:t>s</w:t>
      </w:r>
      <w:r w:rsidR="00BD3DE0" w:rsidRPr="00C843F4">
        <w:rPr>
          <w:color w:val="000000" w:themeColor="text1"/>
        </w:rPr>
        <w:t xml:space="preserve"> to explore </w:t>
      </w:r>
      <w:r w:rsidR="009944EA" w:rsidRPr="00C843F4">
        <w:rPr>
          <w:color w:val="000000" w:themeColor="text1"/>
        </w:rPr>
        <w:t>the effects of age on</w:t>
      </w:r>
      <w:r w:rsidR="00BD3DE0" w:rsidRPr="00C843F4">
        <w:rPr>
          <w:color w:val="000000" w:themeColor="text1"/>
        </w:rPr>
        <w:t xml:space="preserve"> seven </w:t>
      </w:r>
      <w:r w:rsidR="000F46F4" w:rsidRPr="00C843F4">
        <w:rPr>
          <w:color w:val="000000" w:themeColor="text1"/>
        </w:rPr>
        <w:t>cognitive</w:t>
      </w:r>
      <w:r w:rsidR="00BD3DE0" w:rsidRPr="00C843F4">
        <w:rPr>
          <w:color w:val="000000" w:themeColor="text1"/>
        </w:rPr>
        <w:t xml:space="preserve"> biases </w:t>
      </w:r>
      <w:r w:rsidR="009750EA" w:rsidRPr="00C843F4">
        <w:rPr>
          <w:color w:val="000000" w:themeColor="text1"/>
        </w:rPr>
        <w:t>in an adolescent sample</w:t>
      </w:r>
      <w:r w:rsidR="009944EA" w:rsidRPr="00C843F4">
        <w:rPr>
          <w:color w:val="000000" w:themeColor="text1"/>
        </w:rPr>
        <w:t xml:space="preserve"> </w:t>
      </w:r>
      <w:r w:rsidR="00BD3DE0" w:rsidRPr="00C843F4">
        <w:rPr>
          <w:color w:val="000000" w:themeColor="text1"/>
        </w:rPr>
        <w:t>including</w:t>
      </w:r>
      <w:r w:rsidR="000F46F4" w:rsidRPr="00C843F4">
        <w:rPr>
          <w:color w:val="000000" w:themeColor="text1"/>
        </w:rPr>
        <w:t>:</w:t>
      </w:r>
      <w:r w:rsidR="00BD3DE0" w:rsidRPr="00C843F4">
        <w:rPr>
          <w:color w:val="000000" w:themeColor="text1"/>
        </w:rPr>
        <w:t xml:space="preserve"> threat interpretation, n</w:t>
      </w:r>
      <w:r w:rsidR="00636069" w:rsidRPr="00C843F4">
        <w:rPr>
          <w:color w:val="000000" w:themeColor="text1"/>
        </w:rPr>
        <w:t xml:space="preserve">egative attributions, </w:t>
      </w:r>
      <w:r w:rsidR="00641D06" w:rsidRPr="00C843F4">
        <w:rPr>
          <w:color w:val="000000" w:themeColor="text1"/>
        </w:rPr>
        <w:t>personalizing</w:t>
      </w:r>
      <w:r w:rsidR="00BD3DE0" w:rsidRPr="00C843F4">
        <w:rPr>
          <w:color w:val="000000" w:themeColor="text1"/>
        </w:rPr>
        <w:t xml:space="preserve">, selective abstraction, mind reading, </w:t>
      </w:r>
      <w:r w:rsidR="00641D06" w:rsidRPr="00C843F4">
        <w:rPr>
          <w:color w:val="000000" w:themeColor="text1"/>
        </w:rPr>
        <w:t>overgeneralizing</w:t>
      </w:r>
      <w:r w:rsidR="00BD3DE0" w:rsidRPr="00C843F4">
        <w:rPr>
          <w:color w:val="000000" w:themeColor="text1"/>
        </w:rPr>
        <w:t xml:space="preserve"> and </w:t>
      </w:r>
      <w:r w:rsidR="00BD3DE0" w:rsidRPr="00C843F4">
        <w:rPr>
          <w:color w:val="000000" w:themeColor="text1"/>
        </w:rPr>
        <w:lastRenderedPageBreak/>
        <w:t>underestimation of ability to cope</w:t>
      </w:r>
      <w:r w:rsidR="00AD5479" w:rsidRPr="00C843F4">
        <w:rPr>
          <w:color w:val="000000" w:themeColor="text1"/>
        </w:rPr>
        <w:t xml:space="preserve"> (Table 1)</w:t>
      </w:r>
      <w:r w:rsidR="00BD3DE0" w:rsidRPr="00C843F4">
        <w:rPr>
          <w:color w:val="000000" w:themeColor="text1"/>
        </w:rPr>
        <w:t xml:space="preserve">. </w:t>
      </w:r>
      <w:r w:rsidR="00435F4A" w:rsidRPr="00C843F4">
        <w:rPr>
          <w:color w:val="000000" w:themeColor="text1"/>
        </w:rPr>
        <w:t xml:space="preserve">These were chosen </w:t>
      </w:r>
      <w:r w:rsidR="009750EA" w:rsidRPr="00C843F4">
        <w:rPr>
          <w:color w:val="000000" w:themeColor="text1"/>
        </w:rPr>
        <w:t xml:space="preserve">to cover a range of </w:t>
      </w:r>
      <w:r w:rsidR="00DD3856" w:rsidRPr="00C843F4">
        <w:rPr>
          <w:color w:val="000000" w:themeColor="text1"/>
        </w:rPr>
        <w:t xml:space="preserve">cognitive biases that have been found to be associated with </w:t>
      </w:r>
      <w:r w:rsidR="0036725F" w:rsidRPr="00C843F4">
        <w:rPr>
          <w:color w:val="000000" w:themeColor="text1"/>
        </w:rPr>
        <w:t xml:space="preserve">mental health symptoms </w:t>
      </w:r>
      <w:r w:rsidR="00395A76" w:rsidRPr="00C843F4">
        <w:rPr>
          <w:color w:val="000000" w:themeColor="text1"/>
        </w:rPr>
        <w:t xml:space="preserve">(Maric &amp; Heyne, 2011; Waite, Codd &amp; Creswell, 2015; </w:t>
      </w:r>
      <w:r w:rsidR="00395A76" w:rsidRPr="00C843F4">
        <w:rPr>
          <w:color w:val="000000" w:themeColor="text1"/>
          <w:lang w:eastAsia="ja-JP"/>
        </w:rPr>
        <w:t>Cole et al., 2008)</w:t>
      </w:r>
      <w:r w:rsidR="00395A76" w:rsidRPr="00C843F4">
        <w:rPr>
          <w:color w:val="000000" w:themeColor="text1"/>
        </w:rPr>
        <w:t>.</w:t>
      </w:r>
      <w:r w:rsidR="00DD3856" w:rsidRPr="00C843F4">
        <w:rPr>
          <w:color w:val="000000" w:themeColor="text1"/>
        </w:rPr>
        <w:t xml:space="preserve"> </w:t>
      </w:r>
      <w:r w:rsidR="003F29F6" w:rsidRPr="00C843F4">
        <w:rPr>
          <w:color w:val="000000" w:themeColor="text1"/>
        </w:rPr>
        <w:t>For this reason,</w:t>
      </w:r>
      <w:r w:rsidR="00845B00" w:rsidRPr="00C843F4">
        <w:rPr>
          <w:color w:val="000000" w:themeColor="text1"/>
        </w:rPr>
        <w:t xml:space="preserve"> p</w:t>
      </w:r>
      <w:r w:rsidRPr="00C843F4">
        <w:rPr>
          <w:color w:val="000000" w:themeColor="text1"/>
        </w:rPr>
        <w:t xml:space="preserve">sychopathology symptoms </w:t>
      </w:r>
      <w:r w:rsidR="009D4530" w:rsidRPr="00C843F4">
        <w:rPr>
          <w:color w:val="000000" w:themeColor="text1"/>
        </w:rPr>
        <w:t>were a</w:t>
      </w:r>
      <w:r w:rsidRPr="00C843F4">
        <w:rPr>
          <w:color w:val="000000" w:themeColor="text1"/>
        </w:rPr>
        <w:t xml:space="preserve"> possible confound</w:t>
      </w:r>
      <w:r w:rsidR="00590DFE" w:rsidRPr="00C843F4">
        <w:rPr>
          <w:color w:val="000000" w:themeColor="text1"/>
        </w:rPr>
        <w:t>,</w:t>
      </w:r>
      <w:r w:rsidRPr="00C843F4">
        <w:rPr>
          <w:color w:val="000000" w:themeColor="text1"/>
        </w:rPr>
        <w:t xml:space="preserve"> </w:t>
      </w:r>
      <w:r w:rsidR="00CC40C3" w:rsidRPr="00C843F4">
        <w:rPr>
          <w:color w:val="000000" w:themeColor="text1"/>
        </w:rPr>
        <w:t xml:space="preserve">and </w:t>
      </w:r>
      <w:r w:rsidR="009D4530" w:rsidRPr="00C843F4">
        <w:rPr>
          <w:color w:val="000000" w:themeColor="text1"/>
        </w:rPr>
        <w:t>therefore</w:t>
      </w:r>
      <w:r w:rsidR="00845B00" w:rsidRPr="00C843F4">
        <w:rPr>
          <w:color w:val="000000" w:themeColor="text1"/>
        </w:rPr>
        <w:t xml:space="preserve"> </w:t>
      </w:r>
      <w:r w:rsidR="00641D06" w:rsidRPr="00C843F4">
        <w:rPr>
          <w:color w:val="000000" w:themeColor="text1"/>
        </w:rPr>
        <w:t>externalizing</w:t>
      </w:r>
      <w:r w:rsidR="00133673" w:rsidRPr="00C843F4">
        <w:rPr>
          <w:color w:val="000000" w:themeColor="text1"/>
        </w:rPr>
        <w:t xml:space="preserve"> and </w:t>
      </w:r>
      <w:r w:rsidR="00641D06" w:rsidRPr="00C843F4">
        <w:rPr>
          <w:color w:val="000000" w:themeColor="text1"/>
        </w:rPr>
        <w:t>internalizing</w:t>
      </w:r>
      <w:r w:rsidR="00133673" w:rsidRPr="00C843F4">
        <w:rPr>
          <w:color w:val="000000" w:themeColor="text1"/>
        </w:rPr>
        <w:t xml:space="preserve"> </w:t>
      </w:r>
      <w:r w:rsidR="00845B00" w:rsidRPr="00C843F4">
        <w:rPr>
          <w:color w:val="000000" w:themeColor="text1"/>
        </w:rPr>
        <w:t xml:space="preserve">difficulties were </w:t>
      </w:r>
      <w:r w:rsidR="009D4530" w:rsidRPr="00C843F4">
        <w:rPr>
          <w:color w:val="000000" w:themeColor="text1"/>
        </w:rPr>
        <w:t xml:space="preserve">also </w:t>
      </w:r>
      <w:r w:rsidR="00845B00" w:rsidRPr="00C843F4">
        <w:rPr>
          <w:color w:val="000000" w:themeColor="text1"/>
        </w:rPr>
        <w:t xml:space="preserve">measured. </w:t>
      </w:r>
      <w:r w:rsidR="00FB0DF3" w:rsidRPr="00C843F4">
        <w:rPr>
          <w:color w:val="000000" w:themeColor="text1"/>
        </w:rPr>
        <w:t>Given research suggesting protracted social cognitive development during adolescence, and findings from the literature demonstrating association</w:t>
      </w:r>
      <w:r w:rsidR="00715D30" w:rsidRPr="00C843F4">
        <w:rPr>
          <w:color w:val="000000" w:themeColor="text1"/>
        </w:rPr>
        <w:t>s</w:t>
      </w:r>
      <w:r w:rsidR="00FB0DF3" w:rsidRPr="00C843F4">
        <w:rPr>
          <w:color w:val="000000" w:themeColor="text1"/>
        </w:rPr>
        <w:t xml:space="preserve"> between</w:t>
      </w:r>
      <w:r w:rsidR="006F2C8C" w:rsidRPr="00C843F4">
        <w:rPr>
          <w:color w:val="000000" w:themeColor="text1"/>
        </w:rPr>
        <w:t xml:space="preserve"> </w:t>
      </w:r>
      <w:r w:rsidR="00446AA5" w:rsidRPr="00C843F4">
        <w:rPr>
          <w:color w:val="000000" w:themeColor="text1"/>
        </w:rPr>
        <w:t xml:space="preserve">emotional symptoms </w:t>
      </w:r>
      <w:r w:rsidR="00FB0DF3" w:rsidRPr="00C843F4">
        <w:rPr>
          <w:color w:val="000000" w:themeColor="text1"/>
        </w:rPr>
        <w:t xml:space="preserve">and cognitive biases </w:t>
      </w:r>
      <w:r w:rsidR="00715D30" w:rsidRPr="00C843F4">
        <w:rPr>
          <w:color w:val="000000" w:themeColor="text1"/>
        </w:rPr>
        <w:t xml:space="preserve">that increase </w:t>
      </w:r>
      <w:r w:rsidR="00FB0DF3" w:rsidRPr="00C843F4">
        <w:rPr>
          <w:color w:val="000000" w:themeColor="text1"/>
        </w:rPr>
        <w:t>with age</w:t>
      </w:r>
      <w:r w:rsidR="001B13E2" w:rsidRPr="00C843F4">
        <w:rPr>
          <w:color w:val="000000" w:themeColor="text1"/>
        </w:rPr>
        <w:t xml:space="preserve"> during this time</w:t>
      </w:r>
      <w:r w:rsidR="00FB0DF3" w:rsidRPr="00C843F4">
        <w:rPr>
          <w:color w:val="000000" w:themeColor="text1"/>
        </w:rPr>
        <w:t>, a significant positive association between age and each of the seven biases was predicted</w:t>
      </w:r>
      <w:r w:rsidR="00446AA5" w:rsidRPr="00C843F4">
        <w:rPr>
          <w:color w:val="000000" w:themeColor="text1"/>
        </w:rPr>
        <w:t xml:space="preserve">. </w:t>
      </w:r>
      <w:r w:rsidR="00FC559A" w:rsidRPr="00C843F4">
        <w:rPr>
          <w:color w:val="000000" w:themeColor="text1"/>
        </w:rPr>
        <w:t>We also explored whether a quadratic model would better fit the data, given theories of non-linear social and affective development during adolescence (e.g. Casey</w:t>
      </w:r>
      <w:r w:rsidR="00475EEC" w:rsidRPr="00C843F4">
        <w:rPr>
          <w:color w:val="000000" w:themeColor="text1"/>
        </w:rPr>
        <w:t>, Jones &amp; Hare, 2008</w:t>
      </w:r>
      <w:r w:rsidR="00FC559A" w:rsidRPr="00C843F4">
        <w:rPr>
          <w:color w:val="000000" w:themeColor="text1"/>
        </w:rPr>
        <w:t>).</w:t>
      </w:r>
      <w:r w:rsidR="00BA2B47" w:rsidRPr="00C843F4">
        <w:rPr>
          <w:color w:val="000000" w:themeColor="text1"/>
        </w:rPr>
        <w:t xml:space="preserve"> </w:t>
      </w:r>
      <w:r w:rsidR="00641D06" w:rsidRPr="00C843F4">
        <w:rPr>
          <w:color w:val="000000" w:themeColor="text1"/>
        </w:rPr>
        <w:t>I</w:t>
      </w:r>
      <w:r w:rsidR="00133673" w:rsidRPr="00C843F4">
        <w:rPr>
          <w:color w:val="000000" w:themeColor="text1"/>
        </w:rPr>
        <w:t xml:space="preserve">n light of data demonstrating emerging sexual </w:t>
      </w:r>
      <w:r w:rsidR="00641D06" w:rsidRPr="00C843F4">
        <w:rPr>
          <w:color w:val="000000" w:themeColor="text1"/>
        </w:rPr>
        <w:t>dimorphism</w:t>
      </w:r>
      <w:r w:rsidR="00133673" w:rsidRPr="00C843F4">
        <w:rPr>
          <w:color w:val="000000" w:themeColor="text1"/>
        </w:rPr>
        <w:t xml:space="preserve"> in prevalence rates of psychopathology</w:t>
      </w:r>
      <w:r w:rsidR="004A60F7" w:rsidRPr="00C843F4">
        <w:rPr>
          <w:color w:val="000000" w:themeColor="text1"/>
        </w:rPr>
        <w:t xml:space="preserve"> associated with biases</w:t>
      </w:r>
      <w:r w:rsidR="00133673" w:rsidRPr="00C843F4">
        <w:rPr>
          <w:color w:val="000000" w:themeColor="text1"/>
        </w:rPr>
        <w:t xml:space="preserve">, particularly during adolescence </w:t>
      </w:r>
      <w:r w:rsidR="00133673" w:rsidRPr="00C843F4">
        <w:t xml:space="preserve">(Altemus, Sarvaiya &amp; Epperson, 2014), </w:t>
      </w:r>
      <w:r w:rsidR="00133673" w:rsidRPr="00C843F4">
        <w:rPr>
          <w:color w:val="000000" w:themeColor="text1"/>
        </w:rPr>
        <w:t>we also examined whether there may be increasing rates of biases with age in females but not males.</w:t>
      </w:r>
    </w:p>
    <w:p w14:paraId="75392BD8" w14:textId="54B49ACA" w:rsidR="00796ECF" w:rsidRPr="00C843F4" w:rsidRDefault="00453D19" w:rsidP="00107B76">
      <w:pPr>
        <w:spacing w:line="480" w:lineRule="auto"/>
        <w:jc w:val="center"/>
        <w:rPr>
          <w:b/>
          <w:color w:val="000000" w:themeColor="text1"/>
        </w:rPr>
      </w:pPr>
      <w:r w:rsidRPr="00C843F4">
        <w:rPr>
          <w:b/>
          <w:color w:val="000000" w:themeColor="text1"/>
        </w:rPr>
        <w:t>Method</w:t>
      </w:r>
    </w:p>
    <w:p w14:paraId="4F7D0B47" w14:textId="64590D4D" w:rsidR="00622A5F" w:rsidRPr="00C843F4" w:rsidRDefault="00622A5F" w:rsidP="0005660E">
      <w:pPr>
        <w:spacing w:line="480" w:lineRule="auto"/>
        <w:rPr>
          <w:b/>
          <w:color w:val="000000" w:themeColor="text1"/>
        </w:rPr>
      </w:pPr>
      <w:r w:rsidRPr="00C843F4">
        <w:rPr>
          <w:b/>
          <w:color w:val="000000" w:themeColor="text1"/>
        </w:rPr>
        <w:t xml:space="preserve">Participants </w:t>
      </w:r>
      <w:r w:rsidR="00E22367" w:rsidRPr="00C843F4">
        <w:rPr>
          <w:b/>
          <w:color w:val="000000" w:themeColor="text1"/>
        </w:rPr>
        <w:t>and Procedure</w:t>
      </w:r>
    </w:p>
    <w:p w14:paraId="06FBEA16" w14:textId="73F53926" w:rsidR="00E61276" w:rsidRPr="00C843F4" w:rsidRDefault="00654545" w:rsidP="0005660E">
      <w:pPr>
        <w:spacing w:line="480" w:lineRule="auto"/>
        <w:ind w:firstLine="720"/>
        <w:rPr>
          <w:color w:val="000000" w:themeColor="text1"/>
        </w:rPr>
      </w:pPr>
      <w:r w:rsidRPr="00C843F4">
        <w:rPr>
          <w:color w:val="000000" w:themeColor="text1"/>
        </w:rPr>
        <w:t>Data are reported for</w:t>
      </w:r>
      <w:r w:rsidR="00BD3DE0" w:rsidRPr="00C843F4">
        <w:rPr>
          <w:color w:val="000000" w:themeColor="text1"/>
        </w:rPr>
        <w:t xml:space="preserve"> a community sample </w:t>
      </w:r>
      <w:r w:rsidRPr="00C843F4">
        <w:rPr>
          <w:color w:val="000000" w:themeColor="text1"/>
        </w:rPr>
        <w:t xml:space="preserve">of </w:t>
      </w:r>
      <w:r w:rsidR="00D1555F" w:rsidRPr="00C843F4">
        <w:rPr>
          <w:color w:val="000000" w:themeColor="text1"/>
        </w:rPr>
        <w:t>540</w:t>
      </w:r>
      <w:r w:rsidR="00BD3DE0" w:rsidRPr="00C843F4">
        <w:rPr>
          <w:color w:val="000000" w:themeColor="text1"/>
        </w:rPr>
        <w:t xml:space="preserve"> </w:t>
      </w:r>
      <w:r w:rsidRPr="00C843F4">
        <w:rPr>
          <w:color w:val="000000" w:themeColor="text1"/>
        </w:rPr>
        <w:t>adolescents</w:t>
      </w:r>
      <w:r w:rsidR="003467F1" w:rsidRPr="00C843F4">
        <w:rPr>
          <w:color w:val="000000" w:themeColor="text1"/>
        </w:rPr>
        <w:t xml:space="preserve"> </w:t>
      </w:r>
      <w:r w:rsidR="00E61276" w:rsidRPr="00C843F4">
        <w:rPr>
          <w:color w:val="000000" w:themeColor="text1"/>
        </w:rPr>
        <w:t>(</w:t>
      </w:r>
      <w:r w:rsidR="003467F1" w:rsidRPr="00C843F4">
        <w:rPr>
          <w:color w:val="000000" w:themeColor="text1"/>
        </w:rPr>
        <w:t>309 were female</w:t>
      </w:r>
      <w:r w:rsidR="00E61276" w:rsidRPr="00C843F4">
        <w:rPr>
          <w:color w:val="000000" w:themeColor="text1"/>
        </w:rPr>
        <w:t xml:space="preserve">) with a </w:t>
      </w:r>
      <w:r w:rsidR="0041712D" w:rsidRPr="00C843F4">
        <w:rPr>
          <w:color w:val="000000" w:themeColor="text1"/>
        </w:rPr>
        <w:t xml:space="preserve">mean age </w:t>
      </w:r>
      <w:r w:rsidR="00E61276" w:rsidRPr="00C843F4">
        <w:rPr>
          <w:color w:val="000000" w:themeColor="text1"/>
        </w:rPr>
        <w:t>of</w:t>
      </w:r>
      <w:r w:rsidR="0041712D" w:rsidRPr="00C843F4">
        <w:rPr>
          <w:color w:val="000000" w:themeColor="text1"/>
        </w:rPr>
        <w:t xml:space="preserve"> 14.13 years</w:t>
      </w:r>
      <w:r w:rsidR="003467F1" w:rsidRPr="00C843F4">
        <w:rPr>
          <w:color w:val="000000" w:themeColor="text1"/>
        </w:rPr>
        <w:t xml:space="preserve"> (</w:t>
      </w:r>
      <w:r w:rsidR="0041712D" w:rsidRPr="00C843F4">
        <w:rPr>
          <w:color w:val="000000" w:themeColor="text1"/>
        </w:rPr>
        <w:t>SD = 1.75, range</w:t>
      </w:r>
      <w:r w:rsidR="003467F1" w:rsidRPr="00C843F4">
        <w:rPr>
          <w:color w:val="000000" w:themeColor="text1"/>
        </w:rPr>
        <w:t xml:space="preserve"> </w:t>
      </w:r>
      <w:r w:rsidR="0041712D" w:rsidRPr="00C843F4">
        <w:rPr>
          <w:color w:val="000000" w:themeColor="text1"/>
        </w:rPr>
        <w:t>10–17 years)</w:t>
      </w:r>
      <w:r w:rsidR="00E61276" w:rsidRPr="00C843F4">
        <w:rPr>
          <w:color w:val="000000" w:themeColor="text1"/>
        </w:rPr>
        <w:t xml:space="preserve">. Participants were </w:t>
      </w:r>
      <w:r w:rsidR="0041712D" w:rsidRPr="00C843F4">
        <w:rPr>
          <w:color w:val="000000" w:themeColor="text1"/>
        </w:rPr>
        <w:t xml:space="preserve">recruited </w:t>
      </w:r>
      <w:r w:rsidR="00E61276" w:rsidRPr="00C843F4">
        <w:rPr>
          <w:color w:val="000000" w:themeColor="text1"/>
        </w:rPr>
        <w:t xml:space="preserve">across </w:t>
      </w:r>
      <w:r w:rsidR="00FE4DDB" w:rsidRPr="00C843F4">
        <w:rPr>
          <w:color w:val="000000" w:themeColor="text1"/>
        </w:rPr>
        <w:t xml:space="preserve">two </w:t>
      </w:r>
      <w:r w:rsidR="00BD3DE0" w:rsidRPr="00C843F4">
        <w:rPr>
          <w:color w:val="000000" w:themeColor="text1"/>
        </w:rPr>
        <w:t>secondary scho</w:t>
      </w:r>
      <w:r w:rsidR="00DD1337" w:rsidRPr="00C843F4">
        <w:rPr>
          <w:color w:val="000000" w:themeColor="text1"/>
        </w:rPr>
        <w:t>ol</w:t>
      </w:r>
      <w:r w:rsidR="00FE4DDB" w:rsidRPr="00C843F4">
        <w:rPr>
          <w:color w:val="000000" w:themeColor="text1"/>
        </w:rPr>
        <w:t>s</w:t>
      </w:r>
      <w:r w:rsidR="00B73C64" w:rsidRPr="00C843F4">
        <w:rPr>
          <w:color w:val="000000" w:themeColor="text1"/>
        </w:rPr>
        <w:t xml:space="preserve"> </w:t>
      </w:r>
      <w:r w:rsidR="00FE4DDB" w:rsidRPr="00C843F4">
        <w:rPr>
          <w:color w:val="000000" w:themeColor="text1"/>
        </w:rPr>
        <w:t>a</w:t>
      </w:r>
      <w:r w:rsidR="00454C6B" w:rsidRPr="00C843F4">
        <w:rPr>
          <w:color w:val="000000" w:themeColor="text1"/>
        </w:rPr>
        <w:t xml:space="preserve"> </w:t>
      </w:r>
      <w:r w:rsidR="00895CD5" w:rsidRPr="00C843F4">
        <w:rPr>
          <w:color w:val="000000" w:themeColor="text1"/>
        </w:rPr>
        <w:t>s</w:t>
      </w:r>
      <w:r w:rsidR="00BD3DE0" w:rsidRPr="00C843F4">
        <w:rPr>
          <w:color w:val="000000" w:themeColor="text1"/>
        </w:rPr>
        <w:t xml:space="preserve">ixth </w:t>
      </w:r>
      <w:r w:rsidR="00895CD5" w:rsidRPr="00C843F4">
        <w:rPr>
          <w:color w:val="000000" w:themeColor="text1"/>
        </w:rPr>
        <w:t>form c</w:t>
      </w:r>
      <w:r w:rsidR="00BD3DE0" w:rsidRPr="00C843F4">
        <w:rPr>
          <w:color w:val="000000" w:themeColor="text1"/>
        </w:rPr>
        <w:t xml:space="preserve">ollege </w:t>
      </w:r>
      <w:r w:rsidR="00D72686" w:rsidRPr="00C843F4">
        <w:rPr>
          <w:color w:val="000000" w:themeColor="text1"/>
        </w:rPr>
        <w:t xml:space="preserve">(schooling for 16-18 years) </w:t>
      </w:r>
      <w:r w:rsidR="00FE4DDB" w:rsidRPr="00C843F4">
        <w:rPr>
          <w:color w:val="000000" w:themeColor="text1"/>
        </w:rPr>
        <w:t>and two primary schools</w:t>
      </w:r>
      <w:r w:rsidR="00B73C64" w:rsidRPr="00C843F4">
        <w:rPr>
          <w:color w:val="000000" w:themeColor="text1"/>
        </w:rPr>
        <w:t xml:space="preserve"> </w:t>
      </w:r>
      <w:r w:rsidR="0041712D" w:rsidRPr="00C843F4">
        <w:rPr>
          <w:color w:val="000000" w:themeColor="text1"/>
        </w:rPr>
        <w:t>in London and Surrey</w:t>
      </w:r>
      <w:r w:rsidR="00E61276" w:rsidRPr="00C843F4">
        <w:rPr>
          <w:color w:val="000000" w:themeColor="text1"/>
        </w:rPr>
        <w:t>, UK</w:t>
      </w:r>
      <w:r w:rsidR="00FE4DDB" w:rsidRPr="00C843F4">
        <w:rPr>
          <w:color w:val="000000" w:themeColor="text1"/>
        </w:rPr>
        <w:t xml:space="preserve">. </w:t>
      </w:r>
      <w:r w:rsidR="00C57A62" w:rsidRPr="00C843F4">
        <w:rPr>
          <w:color w:val="000000" w:themeColor="text1"/>
        </w:rPr>
        <w:t xml:space="preserve">Schools were opportunistically sampled following initial contact </w:t>
      </w:r>
      <w:r w:rsidR="00AD5479" w:rsidRPr="00C843F4">
        <w:rPr>
          <w:color w:val="000000" w:themeColor="text1"/>
        </w:rPr>
        <w:t>with</w:t>
      </w:r>
      <w:r w:rsidR="00C57A62" w:rsidRPr="00C843F4">
        <w:rPr>
          <w:color w:val="000000" w:themeColor="text1"/>
        </w:rPr>
        <w:t xml:space="preserve"> approximately 20 schools in London and Surrey. </w:t>
      </w:r>
      <w:r w:rsidR="00882A1F" w:rsidRPr="00C843F4">
        <w:rPr>
          <w:color w:val="000000" w:themeColor="text1"/>
        </w:rPr>
        <w:t>Of the students who took part in the research, t</w:t>
      </w:r>
      <w:r w:rsidR="006D2B9D" w:rsidRPr="00C843F4">
        <w:rPr>
          <w:color w:val="000000" w:themeColor="text1"/>
        </w:rPr>
        <w:t xml:space="preserve">he </w:t>
      </w:r>
      <w:r w:rsidR="004B2E5F" w:rsidRPr="00C843F4">
        <w:rPr>
          <w:color w:val="000000" w:themeColor="text1"/>
        </w:rPr>
        <w:t>mean</w:t>
      </w:r>
      <w:r w:rsidR="006D2B9D" w:rsidRPr="00C843F4">
        <w:rPr>
          <w:color w:val="000000" w:themeColor="text1"/>
        </w:rPr>
        <w:t xml:space="preserve"> percentage of missing data across all analyses was 3%. </w:t>
      </w:r>
      <w:r w:rsidR="0015326D" w:rsidRPr="00C843F4">
        <w:rPr>
          <w:color w:val="000000" w:themeColor="text1"/>
        </w:rPr>
        <w:t xml:space="preserve">Data for ethnicity were missing for </w:t>
      </w:r>
      <w:r w:rsidR="00D57842" w:rsidRPr="00C843F4">
        <w:rPr>
          <w:color w:val="000000" w:themeColor="text1"/>
        </w:rPr>
        <w:t>24 participants (4%). O</w:t>
      </w:r>
      <w:r w:rsidR="00181B63" w:rsidRPr="00C843F4">
        <w:rPr>
          <w:color w:val="000000" w:themeColor="text1"/>
        </w:rPr>
        <w:t>f the remaining 516</w:t>
      </w:r>
      <w:r w:rsidR="00D57842" w:rsidRPr="00C843F4">
        <w:rPr>
          <w:color w:val="000000" w:themeColor="text1"/>
        </w:rPr>
        <w:t xml:space="preserve"> participants</w:t>
      </w:r>
      <w:r w:rsidR="00181B63" w:rsidRPr="00C843F4">
        <w:rPr>
          <w:color w:val="000000" w:themeColor="text1"/>
        </w:rPr>
        <w:t xml:space="preserve">, 29% were White British, </w:t>
      </w:r>
      <w:r w:rsidR="00D57842" w:rsidRPr="00C843F4">
        <w:rPr>
          <w:color w:val="000000" w:themeColor="text1"/>
        </w:rPr>
        <w:t xml:space="preserve">25% </w:t>
      </w:r>
      <w:r w:rsidR="00D57842" w:rsidRPr="00C843F4">
        <w:rPr>
          <w:color w:val="000000" w:themeColor="text1"/>
        </w:rPr>
        <w:lastRenderedPageBreak/>
        <w:t xml:space="preserve">Bangladeshi, </w:t>
      </w:r>
      <w:r w:rsidR="00181B63" w:rsidRPr="00C843F4">
        <w:rPr>
          <w:color w:val="000000" w:themeColor="text1"/>
        </w:rPr>
        <w:t xml:space="preserve">21% British Asian, 8% Black British, 7% Asian Other and 6% Other. </w:t>
      </w:r>
      <w:r w:rsidR="00727FF0" w:rsidRPr="00C843F4">
        <w:rPr>
          <w:color w:val="000000" w:themeColor="text1"/>
        </w:rPr>
        <w:t>These figures are</w:t>
      </w:r>
      <w:r w:rsidR="00FD65A8" w:rsidRPr="00C843F4">
        <w:rPr>
          <w:color w:val="000000" w:themeColor="text1"/>
        </w:rPr>
        <w:t xml:space="preserve"> </w:t>
      </w:r>
      <w:r w:rsidR="00FC55BD" w:rsidRPr="00C843F4">
        <w:rPr>
          <w:color w:val="000000" w:themeColor="text1"/>
        </w:rPr>
        <w:t>representative of</w:t>
      </w:r>
      <w:r w:rsidR="004B2E5F" w:rsidRPr="00C843F4">
        <w:rPr>
          <w:color w:val="000000" w:themeColor="text1"/>
        </w:rPr>
        <w:t xml:space="preserve"> the</w:t>
      </w:r>
      <w:r w:rsidR="00FC55BD" w:rsidRPr="00C843F4">
        <w:rPr>
          <w:color w:val="000000" w:themeColor="text1"/>
        </w:rPr>
        <w:t xml:space="preserve"> </w:t>
      </w:r>
      <w:r w:rsidR="00FD65A8" w:rsidRPr="00C843F4">
        <w:rPr>
          <w:color w:val="000000" w:themeColor="text1"/>
        </w:rPr>
        <w:t xml:space="preserve">ethnic </w:t>
      </w:r>
      <w:r w:rsidR="00FC55BD" w:rsidRPr="00C843F4">
        <w:rPr>
          <w:color w:val="000000" w:themeColor="text1"/>
        </w:rPr>
        <w:t>diversity</w:t>
      </w:r>
      <w:r w:rsidR="00FD65A8" w:rsidRPr="00C843F4">
        <w:rPr>
          <w:color w:val="000000" w:themeColor="text1"/>
        </w:rPr>
        <w:t xml:space="preserve"> in Tower Hamlets, London </w:t>
      </w:r>
      <w:r w:rsidR="00FC55BD" w:rsidRPr="00C843F4">
        <w:rPr>
          <w:color w:val="000000" w:themeColor="text1"/>
        </w:rPr>
        <w:t xml:space="preserve">where </w:t>
      </w:r>
      <w:r w:rsidR="00720906" w:rsidRPr="00C843F4">
        <w:rPr>
          <w:color w:val="000000" w:themeColor="text1"/>
        </w:rPr>
        <w:t>the majority</w:t>
      </w:r>
      <w:r w:rsidR="00986819" w:rsidRPr="00C843F4">
        <w:rPr>
          <w:color w:val="000000" w:themeColor="text1"/>
        </w:rPr>
        <w:t xml:space="preserve"> </w:t>
      </w:r>
      <w:r w:rsidR="00FC55BD" w:rsidRPr="00C843F4">
        <w:rPr>
          <w:color w:val="000000" w:themeColor="text1"/>
        </w:rPr>
        <w:t>of data w</w:t>
      </w:r>
      <w:r w:rsidR="004B2E5F" w:rsidRPr="00C843F4">
        <w:rPr>
          <w:color w:val="000000" w:themeColor="text1"/>
        </w:rPr>
        <w:t>ere</w:t>
      </w:r>
      <w:r w:rsidR="00FC55BD" w:rsidRPr="00C843F4">
        <w:rPr>
          <w:color w:val="000000" w:themeColor="text1"/>
        </w:rPr>
        <w:t xml:space="preserve"> collected. </w:t>
      </w:r>
      <w:r w:rsidR="00C45DA3" w:rsidRPr="00C843F4">
        <w:rPr>
          <w:color w:val="000000" w:themeColor="text1"/>
        </w:rPr>
        <w:t>Data from the Department of Education (2015) showed that the five schools ranged from “high” to “low” compared to national averages in terms of the percentage of students eligible for free school meals (an index of deprivation). Thus, the sample was both ethnically and socially diverse.</w:t>
      </w:r>
      <w:r w:rsidR="00C53DEE" w:rsidRPr="00C843F4">
        <w:rPr>
          <w:color w:val="000000" w:themeColor="text1"/>
        </w:rPr>
        <w:t xml:space="preserve"> </w:t>
      </w:r>
    </w:p>
    <w:p w14:paraId="7437611D" w14:textId="09500C69" w:rsidR="009C5871" w:rsidRPr="00C843F4" w:rsidRDefault="00BA0A5E" w:rsidP="0005660E">
      <w:pPr>
        <w:spacing w:line="480" w:lineRule="auto"/>
        <w:ind w:firstLine="720"/>
        <w:rPr>
          <w:color w:val="000000" w:themeColor="text1"/>
        </w:rPr>
      </w:pPr>
      <w:r w:rsidRPr="00C843F4">
        <w:rPr>
          <w:color w:val="000000" w:themeColor="text1"/>
        </w:rPr>
        <w:t xml:space="preserve">Data collection took place over two </w:t>
      </w:r>
      <w:r w:rsidR="008B30E4" w:rsidRPr="00C843F4">
        <w:rPr>
          <w:color w:val="000000" w:themeColor="text1"/>
        </w:rPr>
        <w:t>sessions</w:t>
      </w:r>
      <w:r w:rsidR="00895CD5" w:rsidRPr="00C843F4">
        <w:rPr>
          <w:color w:val="000000" w:themeColor="text1"/>
        </w:rPr>
        <w:t>, typicall</w:t>
      </w:r>
      <w:r w:rsidR="0041712D" w:rsidRPr="00C843F4">
        <w:rPr>
          <w:color w:val="000000" w:themeColor="text1"/>
        </w:rPr>
        <w:t>y one week apart, and involved</w:t>
      </w:r>
      <w:r w:rsidR="00895CD5" w:rsidRPr="00C843F4">
        <w:rPr>
          <w:color w:val="000000" w:themeColor="text1"/>
        </w:rPr>
        <w:t xml:space="preserve"> completing </w:t>
      </w:r>
      <w:r w:rsidR="00E630B1" w:rsidRPr="00C843F4">
        <w:rPr>
          <w:color w:val="000000" w:themeColor="text1"/>
        </w:rPr>
        <w:t>a</w:t>
      </w:r>
      <w:r w:rsidR="0041712D" w:rsidRPr="00C843F4">
        <w:rPr>
          <w:color w:val="000000" w:themeColor="text1"/>
        </w:rPr>
        <w:t xml:space="preserve"> fixed order</w:t>
      </w:r>
      <w:r w:rsidR="00895CD5" w:rsidRPr="00C843F4">
        <w:rPr>
          <w:color w:val="000000" w:themeColor="text1"/>
        </w:rPr>
        <w:t xml:space="preserve"> </w:t>
      </w:r>
      <w:r w:rsidR="00E630B1" w:rsidRPr="00C843F4">
        <w:rPr>
          <w:color w:val="000000" w:themeColor="text1"/>
        </w:rPr>
        <w:t xml:space="preserve">battery of </w:t>
      </w:r>
      <w:r w:rsidR="00895CD5" w:rsidRPr="00C843F4">
        <w:rPr>
          <w:color w:val="000000" w:themeColor="text1"/>
        </w:rPr>
        <w:t>self-report questionnaires</w:t>
      </w:r>
      <w:r w:rsidR="00F311AA" w:rsidRPr="00C843F4">
        <w:rPr>
          <w:color w:val="000000" w:themeColor="text1"/>
        </w:rPr>
        <w:t xml:space="preserve"> in </w:t>
      </w:r>
      <w:r w:rsidR="0041712D" w:rsidRPr="00C843F4">
        <w:rPr>
          <w:color w:val="000000" w:themeColor="text1"/>
        </w:rPr>
        <w:t>a class environment under</w:t>
      </w:r>
      <w:r w:rsidR="00F311AA" w:rsidRPr="00C843F4">
        <w:rPr>
          <w:color w:val="000000" w:themeColor="text1"/>
        </w:rPr>
        <w:t xml:space="preserve"> exam conditions.</w:t>
      </w:r>
      <w:r w:rsidR="00895CD5" w:rsidRPr="00C843F4">
        <w:rPr>
          <w:color w:val="000000" w:themeColor="text1"/>
        </w:rPr>
        <w:t xml:space="preserve"> </w:t>
      </w:r>
      <w:r w:rsidR="00A9240A" w:rsidRPr="00C843F4">
        <w:rPr>
          <w:color w:val="000000" w:themeColor="text1"/>
        </w:rPr>
        <w:t>Cognitive</w:t>
      </w:r>
      <w:r w:rsidR="00F311AA" w:rsidRPr="00C843F4">
        <w:rPr>
          <w:color w:val="000000" w:themeColor="text1"/>
        </w:rPr>
        <w:t xml:space="preserve"> bias </w:t>
      </w:r>
      <w:r w:rsidR="00E22367" w:rsidRPr="00C843F4">
        <w:rPr>
          <w:color w:val="000000" w:themeColor="text1"/>
        </w:rPr>
        <w:t>measures</w:t>
      </w:r>
      <w:r w:rsidR="00F311AA" w:rsidRPr="00C843F4">
        <w:rPr>
          <w:color w:val="000000" w:themeColor="text1"/>
        </w:rPr>
        <w:t xml:space="preserve"> were completed</w:t>
      </w:r>
      <w:r w:rsidR="00895CD5" w:rsidRPr="00C843F4">
        <w:rPr>
          <w:color w:val="000000" w:themeColor="text1"/>
        </w:rPr>
        <w:t xml:space="preserve"> during the first </w:t>
      </w:r>
      <w:r w:rsidR="00E40E31" w:rsidRPr="00C843F4">
        <w:rPr>
          <w:color w:val="000000" w:themeColor="text1"/>
        </w:rPr>
        <w:t>session</w:t>
      </w:r>
      <w:r w:rsidR="00895CD5" w:rsidRPr="00C843F4">
        <w:rPr>
          <w:color w:val="000000" w:themeColor="text1"/>
        </w:rPr>
        <w:t xml:space="preserve"> and </w:t>
      </w:r>
      <w:r w:rsidR="00F311AA" w:rsidRPr="00C843F4">
        <w:rPr>
          <w:color w:val="000000" w:themeColor="text1"/>
        </w:rPr>
        <w:t xml:space="preserve">the </w:t>
      </w:r>
      <w:r w:rsidR="00B63A64" w:rsidRPr="00C843F4">
        <w:rPr>
          <w:color w:val="000000" w:themeColor="text1"/>
        </w:rPr>
        <w:t xml:space="preserve">psychopathology </w:t>
      </w:r>
      <w:r w:rsidR="00E22367" w:rsidRPr="00C843F4">
        <w:rPr>
          <w:color w:val="000000" w:themeColor="text1"/>
        </w:rPr>
        <w:t>measure</w:t>
      </w:r>
      <w:r w:rsidR="00F311AA" w:rsidRPr="00C843F4">
        <w:rPr>
          <w:color w:val="000000" w:themeColor="text1"/>
        </w:rPr>
        <w:t xml:space="preserve"> was administered </w:t>
      </w:r>
      <w:r w:rsidR="00894D42" w:rsidRPr="00C843F4">
        <w:rPr>
          <w:color w:val="000000" w:themeColor="text1"/>
        </w:rPr>
        <w:t xml:space="preserve">during </w:t>
      </w:r>
      <w:r w:rsidR="00E22367" w:rsidRPr="00C843F4">
        <w:rPr>
          <w:color w:val="000000" w:themeColor="text1"/>
        </w:rPr>
        <w:t>a</w:t>
      </w:r>
      <w:r w:rsidR="00894D42" w:rsidRPr="00C843F4">
        <w:rPr>
          <w:color w:val="000000" w:themeColor="text1"/>
        </w:rPr>
        <w:t xml:space="preserve"> second </w:t>
      </w:r>
      <w:r w:rsidR="00E40E31" w:rsidRPr="00C843F4">
        <w:rPr>
          <w:color w:val="000000" w:themeColor="text1"/>
        </w:rPr>
        <w:t>session</w:t>
      </w:r>
      <w:r w:rsidR="00894D42" w:rsidRPr="00C843F4">
        <w:rPr>
          <w:color w:val="000000" w:themeColor="text1"/>
        </w:rPr>
        <w:t>.</w:t>
      </w:r>
      <w:r w:rsidR="008B30E4" w:rsidRPr="00C843F4">
        <w:rPr>
          <w:color w:val="000000" w:themeColor="text1"/>
        </w:rPr>
        <w:t xml:space="preserve"> </w:t>
      </w:r>
      <w:r w:rsidR="00E22367" w:rsidRPr="00C843F4">
        <w:rPr>
          <w:color w:val="000000" w:themeColor="text1"/>
        </w:rPr>
        <w:t xml:space="preserve"> </w:t>
      </w:r>
      <w:r w:rsidR="00753572" w:rsidRPr="00C843F4">
        <w:rPr>
          <w:color w:val="000000" w:themeColor="text1"/>
        </w:rPr>
        <w:t>Ethical approval was granted by the university Research Ethics Committee. Informed consent was obtained from all individual participants included in the study. Parental consent was obtained for participants under 16 years of age and informed participant consent was obtained for all respondents.</w:t>
      </w:r>
    </w:p>
    <w:p w14:paraId="2AD72153" w14:textId="219E5D1E" w:rsidR="007D3245" w:rsidRPr="00C843F4" w:rsidRDefault="00622A5F" w:rsidP="0005660E">
      <w:pPr>
        <w:pStyle w:val="Heading4"/>
        <w:spacing w:line="480" w:lineRule="auto"/>
        <w:jc w:val="left"/>
      </w:pPr>
      <w:r w:rsidRPr="00C843F4">
        <w:rPr>
          <w:rFonts w:ascii="Times New Roman" w:hAnsi="Times New Roman" w:cs="Times New Roman"/>
          <w:bCs w:val="0"/>
          <w:iCs w:val="0"/>
          <w:color w:val="000000" w:themeColor="text1"/>
        </w:rPr>
        <w:t>Measures</w:t>
      </w:r>
    </w:p>
    <w:p w14:paraId="1322F49C" w14:textId="55E92922" w:rsidR="004A62DC" w:rsidRPr="00C843F4" w:rsidRDefault="00C73C76" w:rsidP="0005660E">
      <w:pPr>
        <w:spacing w:line="480" w:lineRule="auto"/>
        <w:ind w:firstLine="720"/>
        <w:rPr>
          <w:color w:val="000000" w:themeColor="text1"/>
        </w:rPr>
      </w:pPr>
      <w:r w:rsidRPr="00C843F4">
        <w:rPr>
          <w:color w:val="000000" w:themeColor="text1"/>
        </w:rPr>
        <w:t xml:space="preserve">Three self-report measures of cognitive biases </w:t>
      </w:r>
      <w:r w:rsidR="00B41147" w:rsidRPr="00C843F4">
        <w:rPr>
          <w:color w:val="000000" w:themeColor="text1"/>
        </w:rPr>
        <w:t>and</w:t>
      </w:r>
      <w:r w:rsidRPr="00C843F4">
        <w:rPr>
          <w:color w:val="000000" w:themeColor="text1"/>
        </w:rPr>
        <w:t xml:space="preserve"> one screening measure of psychopathology</w:t>
      </w:r>
      <w:r w:rsidR="00B41147" w:rsidRPr="00C843F4">
        <w:rPr>
          <w:color w:val="000000" w:themeColor="text1"/>
        </w:rPr>
        <w:t xml:space="preserve"> were administered</w:t>
      </w:r>
      <w:r w:rsidRPr="00C843F4">
        <w:rPr>
          <w:color w:val="000000" w:themeColor="text1"/>
        </w:rPr>
        <w:t>.</w:t>
      </w:r>
      <w:r w:rsidR="00F83197" w:rsidRPr="00C843F4">
        <w:rPr>
          <w:color w:val="000000" w:themeColor="text1"/>
        </w:rPr>
        <w:t xml:space="preserve"> Demographic information was collected on a separate questionnaire completed by the participants</w:t>
      </w:r>
      <w:r w:rsidR="007F01C1" w:rsidRPr="00C843F4">
        <w:rPr>
          <w:color w:val="000000" w:themeColor="text1"/>
        </w:rPr>
        <w:t>,</w:t>
      </w:r>
      <w:r w:rsidR="006815CF" w:rsidRPr="00C843F4">
        <w:rPr>
          <w:color w:val="000000" w:themeColor="text1"/>
        </w:rPr>
        <w:t xml:space="preserve"> </w:t>
      </w:r>
      <w:r w:rsidR="007F01C1" w:rsidRPr="00C843F4">
        <w:rPr>
          <w:color w:val="000000" w:themeColor="text1"/>
        </w:rPr>
        <w:t>and</w:t>
      </w:r>
      <w:r w:rsidR="006815CF" w:rsidRPr="00C843F4">
        <w:rPr>
          <w:color w:val="000000" w:themeColor="text1"/>
        </w:rPr>
        <w:t xml:space="preserve"> m</w:t>
      </w:r>
      <w:r w:rsidR="006D53F8" w:rsidRPr="00C843F4">
        <w:rPr>
          <w:color w:val="000000" w:themeColor="text1"/>
        </w:rPr>
        <w:t xml:space="preserve">aternal </w:t>
      </w:r>
      <w:r w:rsidR="00A06486" w:rsidRPr="00C843F4">
        <w:rPr>
          <w:color w:val="000000" w:themeColor="text1"/>
        </w:rPr>
        <w:t>education</w:t>
      </w:r>
      <w:r w:rsidR="003F4F69" w:rsidRPr="00C843F4">
        <w:rPr>
          <w:color w:val="000000" w:themeColor="text1"/>
        </w:rPr>
        <w:t xml:space="preserve"> (secondary, </w:t>
      </w:r>
      <w:r w:rsidR="003D512C" w:rsidRPr="00C843F4">
        <w:rPr>
          <w:color w:val="000000" w:themeColor="text1"/>
        </w:rPr>
        <w:t>further, higher</w:t>
      </w:r>
      <w:r w:rsidR="003F4F69" w:rsidRPr="00C843F4">
        <w:rPr>
          <w:color w:val="000000" w:themeColor="text1"/>
        </w:rPr>
        <w:t>)</w:t>
      </w:r>
      <w:r w:rsidR="007F01C1" w:rsidRPr="00C843F4">
        <w:rPr>
          <w:color w:val="000000" w:themeColor="text1"/>
        </w:rPr>
        <w:t xml:space="preserve"> was</w:t>
      </w:r>
      <w:r w:rsidR="00A06486" w:rsidRPr="00C843F4">
        <w:rPr>
          <w:color w:val="000000" w:themeColor="text1"/>
        </w:rPr>
        <w:t xml:space="preserve"> used as a </w:t>
      </w:r>
      <w:r w:rsidR="003F4F69" w:rsidRPr="00C843F4">
        <w:rPr>
          <w:color w:val="000000" w:themeColor="text1"/>
        </w:rPr>
        <w:t xml:space="preserve">categorical measure </w:t>
      </w:r>
      <w:r w:rsidR="00A06486" w:rsidRPr="00C843F4">
        <w:rPr>
          <w:color w:val="000000" w:themeColor="text1"/>
        </w:rPr>
        <w:t>of socio</w:t>
      </w:r>
      <w:r w:rsidR="00A35F43" w:rsidRPr="00C843F4">
        <w:rPr>
          <w:color w:val="000000" w:themeColor="text1"/>
        </w:rPr>
        <w:t>-</w:t>
      </w:r>
      <w:r w:rsidR="00A06486" w:rsidRPr="00C843F4">
        <w:rPr>
          <w:color w:val="000000" w:themeColor="text1"/>
        </w:rPr>
        <w:t xml:space="preserve">economic status (Entwisle &amp; Astone, 1994). </w:t>
      </w:r>
    </w:p>
    <w:p w14:paraId="70E40991" w14:textId="333790A0" w:rsidR="000B6C0F" w:rsidRPr="00C843F4" w:rsidRDefault="004A62DC" w:rsidP="0005660E">
      <w:pPr>
        <w:spacing w:line="480" w:lineRule="auto"/>
        <w:rPr>
          <w:rFonts w:eastAsia="Times New Roman"/>
          <w:color w:val="000000" w:themeColor="text1"/>
          <w:lang w:eastAsia="en-GB"/>
        </w:rPr>
      </w:pPr>
      <w:r w:rsidRPr="00C843F4">
        <w:rPr>
          <w:color w:val="000000" w:themeColor="text1"/>
        </w:rPr>
        <w:tab/>
      </w:r>
      <w:r w:rsidR="00BC56CF" w:rsidRPr="00C843F4">
        <w:rPr>
          <w:rFonts w:eastAsia="Times New Roman"/>
          <w:b/>
          <w:color w:val="000000" w:themeColor="text1"/>
          <w:lang w:eastAsia="en-GB"/>
        </w:rPr>
        <w:t>Children’s Negative Cognitive Errors Questionnaire</w:t>
      </w:r>
      <w:r w:rsidR="00F5385C" w:rsidRPr="00C843F4">
        <w:rPr>
          <w:rFonts w:eastAsia="Times New Roman"/>
          <w:b/>
          <w:color w:val="000000" w:themeColor="text1"/>
          <w:lang w:eastAsia="en-GB"/>
        </w:rPr>
        <w:t>-</w:t>
      </w:r>
      <w:r w:rsidR="00BC56CF" w:rsidRPr="00C843F4">
        <w:rPr>
          <w:rFonts w:eastAsia="Times New Roman"/>
          <w:b/>
          <w:color w:val="000000" w:themeColor="text1"/>
          <w:lang w:eastAsia="en-GB"/>
        </w:rPr>
        <w:t>Revised</w:t>
      </w:r>
      <w:r w:rsidR="00BC56CF" w:rsidRPr="00C843F4">
        <w:rPr>
          <w:rFonts w:eastAsia="Times New Roman"/>
          <w:color w:val="000000" w:themeColor="text1"/>
          <w:lang w:eastAsia="en-GB"/>
        </w:rPr>
        <w:t xml:space="preserve"> </w:t>
      </w:r>
      <w:r w:rsidR="00BC56CF" w:rsidRPr="00C843F4">
        <w:rPr>
          <w:rFonts w:eastAsia="Times New Roman"/>
          <w:b/>
          <w:color w:val="000000" w:themeColor="text1"/>
          <w:lang w:eastAsia="en-GB"/>
        </w:rPr>
        <w:t>(CNCEQ-R</w:t>
      </w:r>
      <w:r w:rsidR="007D012E" w:rsidRPr="00C843F4">
        <w:rPr>
          <w:rFonts w:eastAsia="Times New Roman"/>
          <w:b/>
          <w:color w:val="000000" w:themeColor="text1"/>
          <w:lang w:eastAsia="en-GB"/>
        </w:rPr>
        <w:t>).</w:t>
      </w:r>
      <w:r w:rsidR="007D012E" w:rsidRPr="00C843F4">
        <w:rPr>
          <w:rFonts w:eastAsia="Times New Roman"/>
          <w:color w:val="000000" w:themeColor="text1"/>
          <w:lang w:eastAsia="en-GB"/>
        </w:rPr>
        <w:t xml:space="preserve"> </w:t>
      </w:r>
      <w:r w:rsidR="00BC56CF" w:rsidRPr="00C843F4">
        <w:rPr>
          <w:rFonts w:eastAsia="Times New Roman"/>
          <w:color w:val="000000" w:themeColor="text1"/>
          <w:lang w:eastAsia="en-GB"/>
        </w:rPr>
        <w:t xml:space="preserve">The CNCEQ-R </w:t>
      </w:r>
      <w:r w:rsidR="007D012E" w:rsidRPr="00C843F4">
        <w:rPr>
          <w:rFonts w:eastAsia="Times New Roman"/>
          <w:color w:val="000000" w:themeColor="text1"/>
          <w:lang w:eastAsia="en-GB"/>
        </w:rPr>
        <w:t xml:space="preserve">(Maric, Heyne, Van Widenfelt &amp; Westenberg, 2011) </w:t>
      </w:r>
      <w:r w:rsidR="00D50B9F" w:rsidRPr="00C843F4">
        <w:rPr>
          <w:rFonts w:eastAsia="Times New Roman"/>
          <w:color w:val="000000" w:themeColor="text1"/>
          <w:lang w:eastAsia="en-GB"/>
        </w:rPr>
        <w:t>has</w:t>
      </w:r>
      <w:r w:rsidR="00BC56CF" w:rsidRPr="00C843F4">
        <w:rPr>
          <w:rFonts w:eastAsia="Times New Roman"/>
          <w:color w:val="000000" w:themeColor="text1"/>
          <w:lang w:eastAsia="en-GB"/>
        </w:rPr>
        <w:t xml:space="preserve"> 16 item</w:t>
      </w:r>
      <w:r w:rsidR="00D50B9F" w:rsidRPr="00C843F4">
        <w:rPr>
          <w:rFonts w:eastAsia="Times New Roman"/>
          <w:color w:val="000000" w:themeColor="text1"/>
          <w:lang w:eastAsia="en-GB"/>
        </w:rPr>
        <w:t>s</w:t>
      </w:r>
      <w:r w:rsidR="00BC56CF" w:rsidRPr="00C843F4">
        <w:rPr>
          <w:rFonts w:eastAsia="Times New Roman"/>
          <w:color w:val="000000" w:themeColor="text1"/>
          <w:lang w:eastAsia="en-GB"/>
        </w:rPr>
        <w:t xml:space="preserve"> </w:t>
      </w:r>
      <w:r w:rsidR="007A5040" w:rsidRPr="00C843F4">
        <w:rPr>
          <w:rFonts w:eastAsia="Times New Roman"/>
          <w:color w:val="000000" w:themeColor="text1"/>
          <w:lang w:eastAsia="en-GB"/>
        </w:rPr>
        <w:t>me</w:t>
      </w:r>
      <w:r w:rsidR="00D50B9F" w:rsidRPr="00C843F4">
        <w:rPr>
          <w:rFonts w:eastAsia="Times New Roman"/>
          <w:color w:val="000000" w:themeColor="text1"/>
          <w:lang w:eastAsia="en-GB"/>
        </w:rPr>
        <w:t>asuring</w:t>
      </w:r>
      <w:r w:rsidR="00BC56CF" w:rsidRPr="00C843F4">
        <w:rPr>
          <w:rFonts w:eastAsia="Times New Roman"/>
          <w:color w:val="000000" w:themeColor="text1"/>
          <w:lang w:eastAsia="en-GB"/>
        </w:rPr>
        <w:t xml:space="preserve"> </w:t>
      </w:r>
      <w:r w:rsidR="007A5040" w:rsidRPr="00C843F4">
        <w:rPr>
          <w:rFonts w:eastAsia="Times New Roman"/>
          <w:color w:val="000000" w:themeColor="text1"/>
          <w:lang w:eastAsia="en-GB"/>
        </w:rPr>
        <w:t xml:space="preserve">underestimating ability to cope (UAC), </w:t>
      </w:r>
      <w:r w:rsidR="00F5385C" w:rsidRPr="00C843F4">
        <w:rPr>
          <w:rFonts w:eastAsia="Times New Roman"/>
          <w:color w:val="000000" w:themeColor="text1"/>
          <w:lang w:eastAsia="en-GB"/>
        </w:rPr>
        <w:t>personalizing</w:t>
      </w:r>
      <w:r w:rsidR="007A5040" w:rsidRPr="00C843F4">
        <w:rPr>
          <w:rFonts w:eastAsia="Times New Roman"/>
          <w:color w:val="000000" w:themeColor="text1"/>
          <w:lang w:eastAsia="en-GB"/>
        </w:rPr>
        <w:t xml:space="preserve">, selective abstraction, </w:t>
      </w:r>
      <w:r w:rsidR="00F5385C" w:rsidRPr="00C843F4">
        <w:rPr>
          <w:rFonts w:eastAsia="Times New Roman"/>
          <w:color w:val="000000" w:themeColor="text1"/>
          <w:lang w:eastAsia="en-GB"/>
        </w:rPr>
        <w:t>overgeneralizing</w:t>
      </w:r>
      <w:r w:rsidR="007A5040" w:rsidRPr="00C843F4">
        <w:rPr>
          <w:rFonts w:eastAsia="Times New Roman"/>
          <w:color w:val="000000" w:themeColor="text1"/>
          <w:lang w:eastAsia="en-GB"/>
        </w:rPr>
        <w:t xml:space="preserve"> and mind reading </w:t>
      </w:r>
      <w:r w:rsidR="00F5385C" w:rsidRPr="00C843F4">
        <w:rPr>
          <w:rFonts w:eastAsia="Times New Roman"/>
          <w:color w:val="000000" w:themeColor="text1"/>
          <w:lang w:eastAsia="en-GB"/>
        </w:rPr>
        <w:t>on a five-</w:t>
      </w:r>
      <w:r w:rsidR="00D50B9F" w:rsidRPr="00C843F4">
        <w:rPr>
          <w:rFonts w:eastAsia="Times New Roman"/>
          <w:color w:val="000000" w:themeColor="text1"/>
          <w:lang w:eastAsia="en-GB"/>
        </w:rPr>
        <w:t>point scale</w:t>
      </w:r>
      <w:r w:rsidR="007A5040" w:rsidRPr="00C843F4">
        <w:rPr>
          <w:rFonts w:eastAsia="Times New Roman"/>
          <w:color w:val="000000" w:themeColor="text1"/>
          <w:lang w:eastAsia="en-GB"/>
        </w:rPr>
        <w:t xml:space="preserve">. </w:t>
      </w:r>
      <w:r w:rsidR="00BC56CF" w:rsidRPr="00C843F4">
        <w:rPr>
          <w:rFonts w:eastAsia="Times New Roman"/>
          <w:color w:val="000000" w:themeColor="text1"/>
          <w:lang w:eastAsia="en-GB"/>
        </w:rPr>
        <w:t xml:space="preserve">Participants are given descriptions of hypothetical situations, which are followed by a statement in the form </w:t>
      </w:r>
      <w:r w:rsidR="00BC56CF" w:rsidRPr="00C843F4">
        <w:rPr>
          <w:rFonts w:eastAsia="Times New Roman"/>
          <w:color w:val="000000" w:themeColor="text1"/>
          <w:lang w:eastAsia="en-GB"/>
        </w:rPr>
        <w:lastRenderedPageBreak/>
        <w:t>of a thought about the situation.</w:t>
      </w:r>
      <w:r w:rsidR="007A5040" w:rsidRPr="00C843F4">
        <w:rPr>
          <w:rFonts w:eastAsia="Times New Roman"/>
          <w:color w:val="000000" w:themeColor="text1"/>
          <w:lang w:eastAsia="en-GB"/>
        </w:rPr>
        <w:t xml:space="preserve"> </w:t>
      </w:r>
      <w:r w:rsidR="009A3466" w:rsidRPr="00C843F4">
        <w:rPr>
          <w:rFonts w:eastAsia="Times New Roman"/>
          <w:color w:val="000000" w:themeColor="text1"/>
          <w:lang w:eastAsia="en-GB"/>
        </w:rPr>
        <w:t>One</w:t>
      </w:r>
      <w:r w:rsidR="00FF47CC" w:rsidRPr="00C843F4">
        <w:rPr>
          <w:rFonts w:eastAsia="Times New Roman"/>
          <w:color w:val="000000" w:themeColor="text1"/>
          <w:lang w:eastAsia="en-GB"/>
        </w:rPr>
        <w:t xml:space="preserve"> item </w:t>
      </w:r>
      <w:r w:rsidR="0008002E" w:rsidRPr="00C843F4">
        <w:rPr>
          <w:rFonts w:eastAsia="Times New Roman"/>
          <w:color w:val="000000" w:themeColor="text1"/>
          <w:lang w:eastAsia="en-GB"/>
        </w:rPr>
        <w:t>asks the respondent to imagine</w:t>
      </w:r>
      <w:r w:rsidR="00FF47CC" w:rsidRPr="00C843F4">
        <w:rPr>
          <w:rFonts w:eastAsia="Times New Roman"/>
          <w:color w:val="000000" w:themeColor="text1"/>
          <w:lang w:eastAsia="en-GB"/>
        </w:rPr>
        <w:t xml:space="preserve"> </w:t>
      </w:r>
      <w:r w:rsidR="0008002E" w:rsidRPr="00C843F4">
        <w:rPr>
          <w:rFonts w:eastAsia="Times New Roman"/>
          <w:color w:val="000000" w:themeColor="text1"/>
          <w:lang w:eastAsia="en-GB"/>
        </w:rPr>
        <w:t xml:space="preserve">they are giving a talk in front of their class and a few classmates suddenly start laughing. </w:t>
      </w:r>
      <w:r w:rsidR="00FF47CC" w:rsidRPr="00C843F4">
        <w:rPr>
          <w:rFonts w:eastAsia="Times New Roman"/>
          <w:color w:val="000000" w:themeColor="text1"/>
          <w:lang w:eastAsia="en-GB"/>
        </w:rPr>
        <w:t xml:space="preserve">This </w:t>
      </w:r>
      <w:r w:rsidR="00F5385C" w:rsidRPr="00C843F4">
        <w:rPr>
          <w:rFonts w:eastAsia="Times New Roman"/>
          <w:color w:val="000000" w:themeColor="text1"/>
          <w:lang w:eastAsia="en-GB"/>
        </w:rPr>
        <w:t xml:space="preserve">vignette </w:t>
      </w:r>
      <w:r w:rsidR="00FF47CC" w:rsidRPr="00C843F4">
        <w:rPr>
          <w:rFonts w:eastAsia="Times New Roman"/>
          <w:color w:val="000000" w:themeColor="text1"/>
          <w:lang w:eastAsia="en-GB"/>
        </w:rPr>
        <w:t xml:space="preserve">is followed by the thought: “They </w:t>
      </w:r>
      <w:r w:rsidR="0008002E" w:rsidRPr="00C843F4">
        <w:rPr>
          <w:rFonts w:eastAsia="Times New Roman"/>
          <w:color w:val="000000" w:themeColor="text1"/>
          <w:lang w:eastAsia="en-GB"/>
        </w:rPr>
        <w:t>think I’m doing a bad job</w:t>
      </w:r>
      <w:r w:rsidR="00FF47CC" w:rsidRPr="00C843F4">
        <w:rPr>
          <w:rFonts w:eastAsia="Times New Roman"/>
          <w:color w:val="000000" w:themeColor="text1"/>
          <w:lang w:eastAsia="en-GB"/>
        </w:rPr>
        <w:t xml:space="preserve">”. </w:t>
      </w:r>
      <w:r w:rsidR="00FE4DDB" w:rsidRPr="00C843F4">
        <w:rPr>
          <w:rFonts w:eastAsia="Times New Roman"/>
          <w:color w:val="000000" w:themeColor="text1"/>
          <w:lang w:eastAsia="en-GB"/>
        </w:rPr>
        <w:t>Participants are</w:t>
      </w:r>
      <w:r w:rsidR="00BD3DE0" w:rsidRPr="00C843F4">
        <w:rPr>
          <w:rFonts w:eastAsia="Times New Roman"/>
          <w:color w:val="000000" w:themeColor="text1"/>
          <w:lang w:eastAsia="en-GB"/>
        </w:rPr>
        <w:t xml:space="preserve"> </w:t>
      </w:r>
      <w:r w:rsidR="00A62A3D" w:rsidRPr="00C843F4">
        <w:rPr>
          <w:rFonts w:eastAsia="Times New Roman"/>
          <w:color w:val="000000" w:themeColor="text1"/>
          <w:lang w:eastAsia="en-GB"/>
        </w:rPr>
        <w:t xml:space="preserve">then </w:t>
      </w:r>
      <w:r w:rsidR="00BD3DE0" w:rsidRPr="00C843F4">
        <w:rPr>
          <w:rFonts w:eastAsia="Times New Roman"/>
          <w:color w:val="000000" w:themeColor="text1"/>
          <w:lang w:eastAsia="en-GB"/>
        </w:rPr>
        <w:t xml:space="preserve">asked to rate the extent to which the </w:t>
      </w:r>
      <w:r w:rsidR="00FF47CC" w:rsidRPr="00C843F4">
        <w:rPr>
          <w:rFonts w:eastAsia="Times New Roman"/>
          <w:color w:val="000000" w:themeColor="text1"/>
          <w:lang w:eastAsia="en-GB"/>
        </w:rPr>
        <w:t>thought</w:t>
      </w:r>
      <w:r w:rsidR="00BD3DE0" w:rsidRPr="00C843F4">
        <w:rPr>
          <w:rFonts w:eastAsia="Times New Roman"/>
          <w:color w:val="000000" w:themeColor="text1"/>
          <w:lang w:eastAsia="en-GB"/>
        </w:rPr>
        <w:t xml:space="preserve"> represents how </w:t>
      </w:r>
      <w:r w:rsidR="00FE4DDB" w:rsidRPr="00C843F4">
        <w:rPr>
          <w:rFonts w:eastAsia="Times New Roman"/>
          <w:color w:val="000000" w:themeColor="text1"/>
          <w:lang w:eastAsia="en-GB"/>
        </w:rPr>
        <w:t>they</w:t>
      </w:r>
      <w:r w:rsidR="00BD3DE0" w:rsidRPr="00C843F4">
        <w:rPr>
          <w:rFonts w:eastAsia="Times New Roman"/>
          <w:color w:val="000000" w:themeColor="text1"/>
          <w:lang w:eastAsia="en-GB"/>
        </w:rPr>
        <w:t xml:space="preserve"> would think if experiencing that situation</w:t>
      </w:r>
      <w:r w:rsidR="00B72D7E" w:rsidRPr="00C843F4">
        <w:rPr>
          <w:rFonts w:eastAsia="Times New Roman"/>
          <w:color w:val="000000" w:themeColor="text1"/>
          <w:lang w:eastAsia="en-GB"/>
        </w:rPr>
        <w:t xml:space="preserve">. </w:t>
      </w:r>
      <w:r w:rsidR="008C6600" w:rsidRPr="00C843F4">
        <w:rPr>
          <w:rFonts w:eastAsia="Times New Roman"/>
          <w:color w:val="000000" w:themeColor="text1"/>
          <w:lang w:eastAsia="en-GB"/>
        </w:rPr>
        <w:t>The measure has demonstrated acceptable construct validity (</w:t>
      </w:r>
      <w:r w:rsidR="008C6600" w:rsidRPr="00C843F4">
        <w:t>Weems, Berman, Silverman, Saavedra</w:t>
      </w:r>
      <w:r w:rsidR="008C6600" w:rsidRPr="00C843F4">
        <w:rPr>
          <w:rFonts w:eastAsia="Times New Roman"/>
          <w:color w:val="000000" w:themeColor="text1"/>
          <w:lang w:eastAsia="en-GB"/>
        </w:rPr>
        <w:t>, 2001) and the i</w:t>
      </w:r>
      <w:r w:rsidR="000B6C0F" w:rsidRPr="00C843F4">
        <w:rPr>
          <w:rFonts w:eastAsia="Times New Roman"/>
          <w:color w:val="000000" w:themeColor="text1"/>
          <w:lang w:eastAsia="en-GB"/>
        </w:rPr>
        <w:t>nternal consistency</w:t>
      </w:r>
      <w:r w:rsidR="00D56783" w:rsidRPr="00C843F4">
        <w:rPr>
          <w:rFonts w:eastAsia="Times New Roman"/>
          <w:color w:val="000000" w:themeColor="text1"/>
          <w:lang w:eastAsia="en-GB"/>
        </w:rPr>
        <w:t xml:space="preserve"> </w:t>
      </w:r>
      <w:r w:rsidR="008C6600" w:rsidRPr="00C843F4">
        <w:rPr>
          <w:rFonts w:eastAsia="Times New Roman"/>
          <w:color w:val="000000" w:themeColor="text1"/>
          <w:lang w:eastAsia="en-GB"/>
        </w:rPr>
        <w:t>in the current sample</w:t>
      </w:r>
      <w:r w:rsidR="00D56783" w:rsidRPr="00C843F4">
        <w:rPr>
          <w:rFonts w:eastAsia="Times New Roman"/>
          <w:color w:val="000000" w:themeColor="text1"/>
          <w:lang w:eastAsia="en-GB"/>
        </w:rPr>
        <w:t xml:space="preserve"> was </w:t>
      </w:r>
      <w:r w:rsidR="000B6C0F" w:rsidRPr="00C843F4">
        <w:rPr>
          <w:rFonts w:eastAsia="Times New Roman"/>
          <w:color w:val="000000" w:themeColor="text1"/>
          <w:lang w:eastAsia="en-GB"/>
        </w:rPr>
        <w:t>adequate (α=</w:t>
      </w:r>
      <w:r w:rsidR="00D56783" w:rsidRPr="00C843F4">
        <w:rPr>
          <w:rFonts w:eastAsia="Times New Roman"/>
          <w:color w:val="000000" w:themeColor="text1"/>
          <w:lang w:eastAsia="en-GB"/>
        </w:rPr>
        <w:t>.83</w:t>
      </w:r>
      <w:r w:rsidR="000B6C0F" w:rsidRPr="00C843F4">
        <w:rPr>
          <w:rFonts w:eastAsia="Times New Roman"/>
          <w:color w:val="000000" w:themeColor="text1"/>
          <w:lang w:eastAsia="en-GB"/>
        </w:rPr>
        <w:t>).</w:t>
      </w:r>
    </w:p>
    <w:p w14:paraId="243C2970" w14:textId="5ECFA75E" w:rsidR="00920269" w:rsidRPr="00C843F4" w:rsidRDefault="00BD3DE0" w:rsidP="0005660E">
      <w:pPr>
        <w:spacing w:line="480" w:lineRule="auto"/>
        <w:ind w:firstLine="720"/>
      </w:pPr>
      <w:r w:rsidRPr="00C843F4">
        <w:rPr>
          <w:b/>
          <w:color w:val="000000" w:themeColor="text1"/>
        </w:rPr>
        <w:t>Children’s Attributional Style Questionnaire</w:t>
      </w:r>
      <w:r w:rsidR="001D264A" w:rsidRPr="00C843F4">
        <w:rPr>
          <w:b/>
          <w:color w:val="000000" w:themeColor="text1"/>
        </w:rPr>
        <w:t>-</w:t>
      </w:r>
      <w:r w:rsidR="00892C67" w:rsidRPr="00C843F4">
        <w:rPr>
          <w:b/>
          <w:color w:val="000000" w:themeColor="text1"/>
        </w:rPr>
        <w:t>Revised</w:t>
      </w:r>
      <w:r w:rsidRPr="00C843F4">
        <w:rPr>
          <w:color w:val="000000" w:themeColor="text1"/>
        </w:rPr>
        <w:t xml:space="preserve"> </w:t>
      </w:r>
      <w:r w:rsidRPr="00C843F4">
        <w:rPr>
          <w:b/>
          <w:color w:val="000000" w:themeColor="text1"/>
        </w:rPr>
        <w:t>(</w:t>
      </w:r>
      <w:r w:rsidR="00477482" w:rsidRPr="00C843F4">
        <w:rPr>
          <w:rFonts w:eastAsia="Times New Roman"/>
          <w:b/>
          <w:color w:val="000000" w:themeColor="text1"/>
          <w:lang w:eastAsia="en-GB"/>
        </w:rPr>
        <w:t>CASQ-R</w:t>
      </w:r>
      <w:r w:rsidR="007D012E" w:rsidRPr="00C843F4">
        <w:rPr>
          <w:rFonts w:eastAsia="Times New Roman"/>
          <w:b/>
          <w:color w:val="000000" w:themeColor="text1"/>
          <w:lang w:eastAsia="en-GB"/>
        </w:rPr>
        <w:t>).</w:t>
      </w:r>
      <w:r w:rsidR="007D012E" w:rsidRPr="00C843F4">
        <w:rPr>
          <w:rFonts w:eastAsia="Times New Roman"/>
          <w:color w:val="000000" w:themeColor="text1"/>
          <w:lang w:eastAsia="en-GB"/>
        </w:rPr>
        <w:t xml:space="preserve"> </w:t>
      </w:r>
      <w:r w:rsidR="001D264A" w:rsidRPr="00C843F4">
        <w:rPr>
          <w:rFonts w:eastAsia="Times New Roman"/>
          <w:color w:val="000000" w:themeColor="text1"/>
          <w:lang w:eastAsia="en-GB"/>
        </w:rPr>
        <w:t xml:space="preserve"> </w:t>
      </w:r>
      <w:r w:rsidR="00D50B9F" w:rsidRPr="00C843F4">
        <w:rPr>
          <w:rFonts w:eastAsia="Times New Roman"/>
          <w:color w:val="000000" w:themeColor="text1"/>
          <w:lang w:eastAsia="en-GB"/>
        </w:rPr>
        <w:t xml:space="preserve">The CASQ-R </w:t>
      </w:r>
      <w:r w:rsidR="007D012E" w:rsidRPr="00C843F4">
        <w:rPr>
          <w:rFonts w:eastAsia="Times New Roman"/>
          <w:color w:val="000000" w:themeColor="text1"/>
          <w:lang w:eastAsia="en-GB"/>
        </w:rPr>
        <w:t xml:space="preserve">(Kaslow &amp; Nolen-Hoeksema, 1991) </w:t>
      </w:r>
      <w:r w:rsidR="00D50B9F" w:rsidRPr="00C843F4">
        <w:rPr>
          <w:color w:val="000000" w:themeColor="text1"/>
        </w:rPr>
        <w:t xml:space="preserve">is a </w:t>
      </w:r>
      <w:r w:rsidR="00892C67" w:rsidRPr="00C843F4">
        <w:rPr>
          <w:rFonts w:eastAsia="Times New Roman"/>
          <w:color w:val="000000" w:themeColor="text1"/>
          <w:lang w:eastAsia="en-GB"/>
        </w:rPr>
        <w:t>24-</w:t>
      </w:r>
      <w:r w:rsidR="001D264A" w:rsidRPr="00C843F4">
        <w:rPr>
          <w:rFonts w:eastAsia="Times New Roman"/>
          <w:color w:val="000000" w:themeColor="text1"/>
          <w:lang w:eastAsia="en-GB"/>
        </w:rPr>
        <w:t>item</w:t>
      </w:r>
      <w:r w:rsidR="00D50B9F" w:rsidRPr="00C843F4">
        <w:rPr>
          <w:rFonts w:eastAsia="Times New Roman"/>
          <w:color w:val="000000" w:themeColor="text1"/>
          <w:lang w:eastAsia="en-GB"/>
        </w:rPr>
        <w:t xml:space="preserve"> questionnaire that measures i</w:t>
      </w:r>
      <w:r w:rsidR="00C3602D" w:rsidRPr="00C843F4">
        <w:rPr>
          <w:rFonts w:eastAsia="Times New Roman"/>
          <w:color w:val="000000" w:themeColor="text1"/>
          <w:lang w:eastAsia="en-GB"/>
        </w:rPr>
        <w:t>nternal</w:t>
      </w:r>
      <w:r w:rsidR="00892C67" w:rsidRPr="00C843F4">
        <w:rPr>
          <w:rFonts w:eastAsia="Times New Roman"/>
          <w:color w:val="000000" w:themeColor="text1"/>
          <w:lang w:eastAsia="en-GB"/>
        </w:rPr>
        <w:t>-external</w:t>
      </w:r>
      <w:r w:rsidR="00C3602D" w:rsidRPr="00C843F4">
        <w:rPr>
          <w:rFonts w:eastAsia="Times New Roman"/>
          <w:color w:val="000000" w:themeColor="text1"/>
          <w:lang w:eastAsia="en-GB"/>
        </w:rPr>
        <w:t>, stable</w:t>
      </w:r>
      <w:r w:rsidR="00892C67" w:rsidRPr="00C843F4">
        <w:rPr>
          <w:rFonts w:eastAsia="Times New Roman"/>
          <w:color w:val="000000" w:themeColor="text1"/>
          <w:lang w:eastAsia="en-GB"/>
        </w:rPr>
        <w:t>-unstable</w:t>
      </w:r>
      <w:r w:rsidR="00C3602D" w:rsidRPr="00C843F4">
        <w:rPr>
          <w:rFonts w:eastAsia="Times New Roman"/>
          <w:color w:val="000000" w:themeColor="text1"/>
          <w:lang w:eastAsia="en-GB"/>
        </w:rPr>
        <w:t xml:space="preserve"> and</w:t>
      </w:r>
      <w:r w:rsidR="002F01B2" w:rsidRPr="00C843F4">
        <w:rPr>
          <w:rFonts w:eastAsia="Times New Roman"/>
          <w:color w:val="000000" w:themeColor="text1"/>
          <w:lang w:eastAsia="en-GB"/>
        </w:rPr>
        <w:t xml:space="preserve"> global</w:t>
      </w:r>
      <w:r w:rsidR="00892C67" w:rsidRPr="00C843F4">
        <w:rPr>
          <w:rFonts w:eastAsia="Times New Roman"/>
          <w:color w:val="000000" w:themeColor="text1"/>
          <w:lang w:eastAsia="en-GB"/>
        </w:rPr>
        <w:t>-specific</w:t>
      </w:r>
      <w:r w:rsidR="00C3602D" w:rsidRPr="00C843F4">
        <w:rPr>
          <w:rFonts w:eastAsia="Times New Roman"/>
          <w:color w:val="000000" w:themeColor="text1"/>
          <w:lang w:eastAsia="en-GB"/>
        </w:rPr>
        <w:t xml:space="preserve"> attributions of</w:t>
      </w:r>
      <w:r w:rsidR="002F01B2" w:rsidRPr="00C843F4">
        <w:rPr>
          <w:rFonts w:eastAsia="Times New Roman"/>
          <w:color w:val="000000" w:themeColor="text1"/>
          <w:lang w:eastAsia="en-GB"/>
        </w:rPr>
        <w:t xml:space="preserve"> </w:t>
      </w:r>
      <w:r w:rsidR="00517CA6" w:rsidRPr="00C843F4">
        <w:rPr>
          <w:rFonts w:eastAsia="Times New Roman"/>
          <w:color w:val="000000" w:themeColor="text1"/>
          <w:lang w:eastAsia="en-GB"/>
        </w:rPr>
        <w:t xml:space="preserve">negative </w:t>
      </w:r>
      <w:r w:rsidR="00892C67" w:rsidRPr="00C843F4">
        <w:rPr>
          <w:rFonts w:eastAsia="Times New Roman"/>
          <w:color w:val="000000" w:themeColor="text1"/>
          <w:lang w:eastAsia="en-GB"/>
        </w:rPr>
        <w:t>situations</w:t>
      </w:r>
      <w:r w:rsidR="00C3602D" w:rsidRPr="00C843F4">
        <w:rPr>
          <w:rFonts w:eastAsia="Times New Roman"/>
          <w:color w:val="000000" w:themeColor="text1"/>
          <w:lang w:eastAsia="en-GB"/>
        </w:rPr>
        <w:t xml:space="preserve">. </w:t>
      </w:r>
      <w:r w:rsidR="00D50B9F" w:rsidRPr="00C843F4">
        <w:rPr>
          <w:rFonts w:eastAsia="Times New Roman"/>
          <w:color w:val="000000" w:themeColor="text1"/>
          <w:lang w:eastAsia="en-GB"/>
        </w:rPr>
        <w:t xml:space="preserve">A sample </w:t>
      </w:r>
      <w:r w:rsidR="005C5ED0" w:rsidRPr="00C843F4">
        <w:rPr>
          <w:rFonts w:eastAsia="Times New Roman"/>
          <w:color w:val="000000" w:themeColor="text1"/>
          <w:lang w:eastAsia="en-GB"/>
        </w:rPr>
        <w:t xml:space="preserve">internal-external item </w:t>
      </w:r>
      <w:r w:rsidR="00D50B9F" w:rsidRPr="00C843F4">
        <w:rPr>
          <w:rFonts w:eastAsia="Times New Roman"/>
          <w:color w:val="000000" w:themeColor="text1"/>
          <w:lang w:eastAsia="en-GB"/>
        </w:rPr>
        <w:t>is</w:t>
      </w:r>
      <w:r w:rsidR="00177613" w:rsidRPr="00C843F4">
        <w:rPr>
          <w:rFonts w:eastAsia="Times New Roman"/>
          <w:color w:val="000000" w:themeColor="text1"/>
          <w:lang w:eastAsia="en-GB"/>
        </w:rPr>
        <w:t>: “A good friend tells you that he or she hates you</w:t>
      </w:r>
      <w:r w:rsidR="005C5ED0" w:rsidRPr="00C843F4">
        <w:rPr>
          <w:rFonts w:eastAsia="Times New Roman"/>
          <w:color w:val="000000" w:themeColor="text1"/>
          <w:lang w:eastAsia="en-GB"/>
        </w:rPr>
        <w:t>.</w:t>
      </w:r>
      <w:r w:rsidR="00177613" w:rsidRPr="00C843F4">
        <w:rPr>
          <w:rFonts w:eastAsia="Times New Roman"/>
          <w:color w:val="000000" w:themeColor="text1"/>
          <w:lang w:eastAsia="en-GB"/>
        </w:rPr>
        <w:t>”</w:t>
      </w:r>
      <w:r w:rsidR="005C5ED0" w:rsidRPr="00C843F4">
        <w:rPr>
          <w:rFonts w:eastAsia="Times New Roman"/>
          <w:color w:val="000000" w:themeColor="text1"/>
          <w:lang w:eastAsia="en-GB"/>
        </w:rPr>
        <w:t xml:space="preserve"> Participants choose between the following explanations </w:t>
      </w:r>
      <w:r w:rsidR="00D50B9F" w:rsidRPr="00C843F4">
        <w:rPr>
          <w:rFonts w:eastAsia="Times New Roman"/>
          <w:color w:val="000000" w:themeColor="text1"/>
          <w:lang w:eastAsia="en-GB"/>
        </w:rPr>
        <w:t xml:space="preserve">of the </w:t>
      </w:r>
      <w:r w:rsidR="005C5ED0" w:rsidRPr="00C843F4">
        <w:rPr>
          <w:rFonts w:eastAsia="Times New Roman"/>
          <w:color w:val="000000" w:themeColor="text1"/>
          <w:lang w:eastAsia="en-GB"/>
        </w:rPr>
        <w:t xml:space="preserve">situation: “My friend was in a bad mood that day” or “I wasn’t nice to my friend that day”. </w:t>
      </w:r>
      <w:r w:rsidR="001F7802" w:rsidRPr="00C843F4">
        <w:rPr>
          <w:rFonts w:eastAsia="Times New Roman"/>
          <w:color w:val="000000" w:themeColor="text1"/>
          <w:lang w:eastAsia="en-GB"/>
        </w:rPr>
        <w:t xml:space="preserve">The measure has shown good criterion-related validity and </w:t>
      </w:r>
      <w:r w:rsidR="00D56783" w:rsidRPr="00C843F4">
        <w:rPr>
          <w:color w:val="000000" w:themeColor="text1"/>
        </w:rPr>
        <w:t>Cronbach’s alpha</w:t>
      </w:r>
      <w:r w:rsidR="00773DA5" w:rsidRPr="00C843F4">
        <w:t xml:space="preserve"> </w:t>
      </w:r>
      <w:r w:rsidR="001F7802" w:rsidRPr="00C843F4">
        <w:t xml:space="preserve">in the current sample </w:t>
      </w:r>
      <w:r w:rsidR="00773DA5" w:rsidRPr="00C843F4">
        <w:t xml:space="preserve">was .56, which is in line with previously reported alphas (Thompson, Kaslow, Weiss &amp; Nolen-Hoeksema, 1998). </w:t>
      </w:r>
    </w:p>
    <w:p w14:paraId="2844EE73" w14:textId="68FFFB3B" w:rsidR="00387743" w:rsidRPr="00C843F4" w:rsidRDefault="00BD3DE0" w:rsidP="0005660E">
      <w:pPr>
        <w:spacing w:line="480" w:lineRule="auto"/>
        <w:ind w:firstLine="720"/>
        <w:rPr>
          <w:color w:val="000000" w:themeColor="text1"/>
        </w:rPr>
      </w:pPr>
      <w:r w:rsidRPr="00C843F4">
        <w:rPr>
          <w:b/>
          <w:color w:val="000000" w:themeColor="text1"/>
        </w:rPr>
        <w:t>Ambiguous Scenarios Questionnaire</w:t>
      </w:r>
      <w:r w:rsidR="00F5385C" w:rsidRPr="00C843F4">
        <w:rPr>
          <w:b/>
          <w:color w:val="000000" w:themeColor="text1"/>
        </w:rPr>
        <w:t>-</w:t>
      </w:r>
      <w:r w:rsidRPr="00C843F4">
        <w:rPr>
          <w:b/>
          <w:color w:val="000000" w:themeColor="text1"/>
        </w:rPr>
        <w:t>child version (ASQ-C</w:t>
      </w:r>
      <w:r w:rsidR="007D012E" w:rsidRPr="00C843F4">
        <w:rPr>
          <w:b/>
          <w:color w:val="000000" w:themeColor="text1"/>
        </w:rPr>
        <w:t>).</w:t>
      </w:r>
      <w:r w:rsidR="007D012E" w:rsidRPr="00C843F4">
        <w:rPr>
          <w:color w:val="000000" w:themeColor="text1"/>
        </w:rPr>
        <w:t xml:space="preserve"> The ASQ-C (Barrett et al., 1996) </w:t>
      </w:r>
      <w:r w:rsidRPr="00C843F4">
        <w:rPr>
          <w:color w:val="000000" w:themeColor="text1"/>
        </w:rPr>
        <w:t>present</w:t>
      </w:r>
      <w:r w:rsidR="007D012E" w:rsidRPr="00C843F4">
        <w:rPr>
          <w:color w:val="000000" w:themeColor="text1"/>
        </w:rPr>
        <w:t>s participants</w:t>
      </w:r>
      <w:r w:rsidRPr="00C843F4">
        <w:rPr>
          <w:color w:val="000000" w:themeColor="text1"/>
        </w:rPr>
        <w:t xml:space="preserve"> with 12</w:t>
      </w:r>
      <w:r w:rsidR="00232CE6" w:rsidRPr="00C843F4">
        <w:rPr>
          <w:color w:val="000000" w:themeColor="text1"/>
        </w:rPr>
        <w:t xml:space="preserve"> ambiguous</w:t>
      </w:r>
      <w:r w:rsidRPr="00C843F4">
        <w:rPr>
          <w:color w:val="000000" w:themeColor="text1"/>
        </w:rPr>
        <w:t xml:space="preserve"> situations</w:t>
      </w:r>
      <w:r w:rsidR="00243AAC" w:rsidRPr="00C843F4">
        <w:rPr>
          <w:color w:val="000000" w:themeColor="text1"/>
        </w:rPr>
        <w:t xml:space="preserve"> </w:t>
      </w:r>
      <w:r w:rsidR="00C94A93" w:rsidRPr="00C843F4">
        <w:rPr>
          <w:color w:val="000000" w:themeColor="text1"/>
        </w:rPr>
        <w:t>followed by</w:t>
      </w:r>
      <w:r w:rsidRPr="00C843F4">
        <w:rPr>
          <w:color w:val="000000" w:themeColor="text1"/>
        </w:rPr>
        <w:t xml:space="preserve"> </w:t>
      </w:r>
      <w:r w:rsidR="00FA23BE" w:rsidRPr="00C843F4">
        <w:rPr>
          <w:color w:val="000000" w:themeColor="text1"/>
        </w:rPr>
        <w:t>a threatening and</w:t>
      </w:r>
      <w:r w:rsidR="00243AAC" w:rsidRPr="00C843F4">
        <w:rPr>
          <w:color w:val="000000" w:themeColor="text1"/>
        </w:rPr>
        <w:t xml:space="preserve"> </w:t>
      </w:r>
      <w:r w:rsidR="00C94A93" w:rsidRPr="00C843F4">
        <w:rPr>
          <w:color w:val="000000" w:themeColor="text1"/>
        </w:rPr>
        <w:t xml:space="preserve">a </w:t>
      </w:r>
      <w:r w:rsidR="00243AAC" w:rsidRPr="00C843F4">
        <w:rPr>
          <w:color w:val="000000" w:themeColor="text1"/>
        </w:rPr>
        <w:t>non-threatening interpretation</w:t>
      </w:r>
      <w:r w:rsidRPr="00C843F4">
        <w:rPr>
          <w:color w:val="000000" w:themeColor="text1"/>
        </w:rPr>
        <w:t xml:space="preserve"> of </w:t>
      </w:r>
      <w:r w:rsidR="00243AAC" w:rsidRPr="00C843F4">
        <w:rPr>
          <w:color w:val="000000" w:themeColor="text1"/>
        </w:rPr>
        <w:t xml:space="preserve">the </w:t>
      </w:r>
      <w:r w:rsidRPr="00C843F4">
        <w:rPr>
          <w:color w:val="000000" w:themeColor="text1"/>
        </w:rPr>
        <w:t>scenario</w:t>
      </w:r>
      <w:r w:rsidR="00D50B9F" w:rsidRPr="00C843F4">
        <w:rPr>
          <w:color w:val="000000" w:themeColor="text1"/>
        </w:rPr>
        <w:t>.</w:t>
      </w:r>
      <w:r w:rsidRPr="00C843F4">
        <w:rPr>
          <w:color w:val="000000" w:themeColor="text1"/>
        </w:rPr>
        <w:t xml:space="preserve"> </w:t>
      </w:r>
      <w:r w:rsidR="00D50B9F" w:rsidRPr="00C843F4">
        <w:rPr>
          <w:color w:val="000000" w:themeColor="text1"/>
        </w:rPr>
        <w:t xml:space="preserve">Respondents </w:t>
      </w:r>
      <w:r w:rsidRPr="00C843F4">
        <w:rPr>
          <w:color w:val="000000" w:themeColor="text1"/>
        </w:rPr>
        <w:t xml:space="preserve">are asked which one they think is </w:t>
      </w:r>
      <w:r w:rsidR="00232CE6" w:rsidRPr="00C843F4">
        <w:rPr>
          <w:color w:val="000000" w:themeColor="text1"/>
        </w:rPr>
        <w:t>most</w:t>
      </w:r>
      <w:r w:rsidRPr="00C843F4">
        <w:rPr>
          <w:color w:val="000000" w:themeColor="text1"/>
        </w:rPr>
        <w:t xml:space="preserve"> likely. </w:t>
      </w:r>
      <w:r w:rsidR="00D50B9F" w:rsidRPr="00C843F4">
        <w:rPr>
          <w:color w:val="000000" w:themeColor="text1"/>
        </w:rPr>
        <w:t xml:space="preserve">One item </w:t>
      </w:r>
      <w:r w:rsidR="00FF47CC" w:rsidRPr="00C843F4">
        <w:rPr>
          <w:color w:val="000000" w:themeColor="text1"/>
        </w:rPr>
        <w:t xml:space="preserve">describes a situation where you </w:t>
      </w:r>
      <w:r w:rsidR="00FC559A" w:rsidRPr="00C843F4">
        <w:rPr>
          <w:color w:val="000000" w:themeColor="text1"/>
        </w:rPr>
        <w:t>hear a big crash in the house at night</w:t>
      </w:r>
      <w:r w:rsidR="00D50B9F" w:rsidRPr="00C843F4">
        <w:rPr>
          <w:color w:val="000000" w:themeColor="text1"/>
        </w:rPr>
        <w:t xml:space="preserve"> and </w:t>
      </w:r>
      <w:r w:rsidR="00FC559A" w:rsidRPr="00C843F4">
        <w:rPr>
          <w:color w:val="000000" w:themeColor="text1"/>
        </w:rPr>
        <w:t xml:space="preserve">participants choose between the following interpretations: “Someone has dropped something on the floor” or “One of your parents has fallen and is hurt”. </w:t>
      </w:r>
      <w:r w:rsidR="000B6C0F" w:rsidRPr="00C843F4">
        <w:rPr>
          <w:color w:val="000000" w:themeColor="text1"/>
        </w:rPr>
        <w:t>Internal consistency</w:t>
      </w:r>
      <w:r w:rsidR="00D56783" w:rsidRPr="00C843F4">
        <w:rPr>
          <w:lang w:eastAsia="ja-JP"/>
        </w:rPr>
        <w:t xml:space="preserve"> was</w:t>
      </w:r>
      <w:r w:rsidR="000B6C0F" w:rsidRPr="00C843F4">
        <w:rPr>
          <w:lang w:eastAsia="ja-JP"/>
        </w:rPr>
        <w:t xml:space="preserve"> adequate</w:t>
      </w:r>
      <w:r w:rsidR="00D56783" w:rsidRPr="00C843F4">
        <w:rPr>
          <w:lang w:eastAsia="ja-JP"/>
        </w:rPr>
        <w:t xml:space="preserve"> </w:t>
      </w:r>
      <w:r w:rsidR="000B6C0F" w:rsidRPr="00C843F4">
        <w:rPr>
          <w:lang w:eastAsia="ja-JP"/>
        </w:rPr>
        <w:t>(</w:t>
      </w:r>
      <w:r w:rsidR="000B6C0F" w:rsidRPr="00C843F4">
        <w:rPr>
          <w:rFonts w:eastAsia="Times New Roman"/>
          <w:color w:val="000000" w:themeColor="text1"/>
          <w:lang w:eastAsia="en-GB"/>
        </w:rPr>
        <w:t>α=</w:t>
      </w:r>
      <w:r w:rsidR="00D56783" w:rsidRPr="00C843F4">
        <w:rPr>
          <w:lang w:eastAsia="ja-JP"/>
        </w:rPr>
        <w:t>.89</w:t>
      </w:r>
      <w:r w:rsidR="000B6C0F" w:rsidRPr="00C843F4">
        <w:rPr>
          <w:lang w:eastAsia="ja-JP"/>
        </w:rPr>
        <w:t>)</w:t>
      </w:r>
      <w:r w:rsidR="00C34699" w:rsidRPr="00C843F4">
        <w:rPr>
          <w:lang w:eastAsia="ja-JP"/>
        </w:rPr>
        <w:t xml:space="preserve">.  </w:t>
      </w:r>
    </w:p>
    <w:p w14:paraId="63DF5BE7" w14:textId="712DC5C2" w:rsidR="00DB4D40" w:rsidRPr="00C843F4" w:rsidRDefault="00F5385C" w:rsidP="00D94E2F">
      <w:pPr>
        <w:spacing w:line="480" w:lineRule="auto"/>
        <w:rPr>
          <w:b/>
          <w:color w:val="000000" w:themeColor="text1"/>
        </w:rPr>
      </w:pPr>
      <w:r w:rsidRPr="00C843F4">
        <w:rPr>
          <w:b/>
          <w:i/>
          <w:color w:val="000000" w:themeColor="text1"/>
        </w:rPr>
        <w:tab/>
      </w:r>
      <w:r w:rsidR="00BD3DE0" w:rsidRPr="00C843F4">
        <w:rPr>
          <w:b/>
          <w:color w:val="000000" w:themeColor="text1"/>
        </w:rPr>
        <w:t>Strength and Difficulties Questionnaire (SDQ</w:t>
      </w:r>
      <w:r w:rsidR="007D012E" w:rsidRPr="00C843F4">
        <w:rPr>
          <w:b/>
          <w:color w:val="000000" w:themeColor="text1"/>
        </w:rPr>
        <w:t>).</w:t>
      </w:r>
      <w:r w:rsidR="007D012E" w:rsidRPr="00C843F4">
        <w:rPr>
          <w:color w:val="000000" w:themeColor="text1"/>
        </w:rPr>
        <w:t xml:space="preserve"> </w:t>
      </w:r>
      <w:r w:rsidR="004A62DC" w:rsidRPr="00C843F4">
        <w:rPr>
          <w:color w:val="000000" w:themeColor="text1"/>
        </w:rPr>
        <w:t xml:space="preserve">The </w:t>
      </w:r>
      <w:r w:rsidR="00FE4DDB" w:rsidRPr="00C843F4">
        <w:rPr>
          <w:color w:val="000000" w:themeColor="text1"/>
        </w:rPr>
        <w:t xml:space="preserve">SDQ </w:t>
      </w:r>
      <w:r w:rsidR="007D012E" w:rsidRPr="00C843F4">
        <w:rPr>
          <w:color w:val="000000" w:themeColor="text1"/>
        </w:rPr>
        <w:t xml:space="preserve">(Goodman, 1997) </w:t>
      </w:r>
      <w:r w:rsidR="004A62DC" w:rsidRPr="00C843F4">
        <w:rPr>
          <w:color w:val="000000" w:themeColor="text1"/>
        </w:rPr>
        <w:t xml:space="preserve">comprises </w:t>
      </w:r>
      <w:r w:rsidR="00BD3DE0" w:rsidRPr="00C843F4">
        <w:rPr>
          <w:color w:val="000000" w:themeColor="text1"/>
        </w:rPr>
        <w:t>25 items</w:t>
      </w:r>
      <w:r w:rsidR="004A62DC" w:rsidRPr="00C843F4">
        <w:rPr>
          <w:color w:val="000000" w:themeColor="text1"/>
        </w:rPr>
        <w:t xml:space="preserve"> measuring externalizing and internaliz</w:t>
      </w:r>
      <w:r w:rsidR="009A3466" w:rsidRPr="00C843F4">
        <w:rPr>
          <w:color w:val="000000" w:themeColor="text1"/>
        </w:rPr>
        <w:t xml:space="preserve">ing difficulties over the past </w:t>
      </w:r>
      <w:r w:rsidR="009A3466" w:rsidRPr="00C843F4">
        <w:rPr>
          <w:color w:val="000000" w:themeColor="text1"/>
        </w:rPr>
        <w:lastRenderedPageBreak/>
        <w:t>six</w:t>
      </w:r>
      <w:r w:rsidR="004A62DC" w:rsidRPr="00C843F4">
        <w:rPr>
          <w:color w:val="000000" w:themeColor="text1"/>
        </w:rPr>
        <w:t xml:space="preserve"> months</w:t>
      </w:r>
      <w:r w:rsidR="00BD3DE0" w:rsidRPr="00C843F4">
        <w:rPr>
          <w:color w:val="000000" w:themeColor="text1"/>
        </w:rPr>
        <w:t xml:space="preserve">. Responses are </w:t>
      </w:r>
      <w:r w:rsidR="003E7EEA" w:rsidRPr="00C843F4">
        <w:rPr>
          <w:color w:val="000000" w:themeColor="text1"/>
        </w:rPr>
        <w:t>coded</w:t>
      </w:r>
      <w:r w:rsidR="00FE4DDB" w:rsidRPr="00C843F4">
        <w:rPr>
          <w:color w:val="000000" w:themeColor="text1"/>
        </w:rPr>
        <w:t xml:space="preserve"> on a </w:t>
      </w:r>
      <w:r w:rsidR="004A62DC" w:rsidRPr="00C843F4">
        <w:rPr>
          <w:color w:val="000000" w:themeColor="text1"/>
        </w:rPr>
        <w:t xml:space="preserve">three </w:t>
      </w:r>
      <w:r w:rsidR="00FE4DDB" w:rsidRPr="00C843F4">
        <w:rPr>
          <w:color w:val="000000" w:themeColor="text1"/>
        </w:rPr>
        <w:t>point scale including</w:t>
      </w:r>
      <w:r w:rsidR="00BD3DE0" w:rsidRPr="00C843F4">
        <w:rPr>
          <w:color w:val="000000" w:themeColor="text1"/>
        </w:rPr>
        <w:t xml:space="preserve"> </w:t>
      </w:r>
      <w:r w:rsidR="009A3466" w:rsidRPr="00C843F4">
        <w:rPr>
          <w:color w:val="000000" w:themeColor="text1"/>
        </w:rPr>
        <w:t>“</w:t>
      </w:r>
      <w:r w:rsidR="00BD3DE0" w:rsidRPr="00C843F4">
        <w:rPr>
          <w:color w:val="000000" w:themeColor="text1"/>
        </w:rPr>
        <w:t>Not True</w:t>
      </w:r>
      <w:r w:rsidR="009A3466" w:rsidRPr="00C843F4">
        <w:rPr>
          <w:color w:val="000000" w:themeColor="text1"/>
        </w:rPr>
        <w:t>”</w:t>
      </w:r>
      <w:r w:rsidR="00BD3DE0" w:rsidRPr="00C843F4">
        <w:rPr>
          <w:color w:val="000000" w:themeColor="text1"/>
        </w:rPr>
        <w:t xml:space="preserve">, </w:t>
      </w:r>
      <w:r w:rsidR="009A3466" w:rsidRPr="00C843F4">
        <w:rPr>
          <w:color w:val="000000" w:themeColor="text1"/>
        </w:rPr>
        <w:t>“</w:t>
      </w:r>
      <w:r w:rsidR="00BD3DE0" w:rsidRPr="00C843F4">
        <w:rPr>
          <w:color w:val="000000" w:themeColor="text1"/>
        </w:rPr>
        <w:t xml:space="preserve">Somewhat </w:t>
      </w:r>
      <w:r w:rsidR="003E7EEA" w:rsidRPr="00C843F4">
        <w:rPr>
          <w:color w:val="000000" w:themeColor="text1"/>
        </w:rPr>
        <w:t>True</w:t>
      </w:r>
      <w:r w:rsidR="009A3466" w:rsidRPr="00C843F4">
        <w:rPr>
          <w:color w:val="000000" w:themeColor="text1"/>
        </w:rPr>
        <w:t>”</w:t>
      </w:r>
      <w:r w:rsidR="003E7EEA" w:rsidRPr="00C843F4">
        <w:rPr>
          <w:color w:val="000000" w:themeColor="text1"/>
        </w:rPr>
        <w:t xml:space="preserve"> </w:t>
      </w:r>
      <w:r w:rsidR="00AE6380" w:rsidRPr="00C843F4">
        <w:rPr>
          <w:color w:val="000000" w:themeColor="text1"/>
        </w:rPr>
        <w:t xml:space="preserve">and </w:t>
      </w:r>
      <w:r w:rsidR="009A3466" w:rsidRPr="00C843F4">
        <w:rPr>
          <w:color w:val="000000" w:themeColor="text1"/>
        </w:rPr>
        <w:t>“</w:t>
      </w:r>
      <w:r w:rsidR="00AE6380" w:rsidRPr="00C843F4">
        <w:rPr>
          <w:color w:val="000000" w:themeColor="text1"/>
        </w:rPr>
        <w:t>Certainly True</w:t>
      </w:r>
      <w:r w:rsidR="009A3466" w:rsidRPr="00C843F4">
        <w:rPr>
          <w:color w:val="000000" w:themeColor="text1"/>
        </w:rPr>
        <w:t>”</w:t>
      </w:r>
      <w:r w:rsidR="00AC4CD6" w:rsidRPr="00C843F4">
        <w:rPr>
          <w:color w:val="000000" w:themeColor="text1"/>
        </w:rPr>
        <w:t xml:space="preserve">. </w:t>
      </w:r>
      <w:r w:rsidR="00EF1295" w:rsidRPr="00C843F4">
        <w:rPr>
          <w:color w:val="000000" w:themeColor="text1"/>
        </w:rPr>
        <w:t xml:space="preserve">A sample item is “I worry a lot.” </w:t>
      </w:r>
      <w:r w:rsidR="0005660E" w:rsidRPr="00C843F4">
        <w:rPr>
          <w:color w:val="000000" w:themeColor="text1"/>
        </w:rPr>
        <w:t xml:space="preserve">Good reliability and validity has been widely reported for the SDQ (Goodman, 2001). </w:t>
      </w:r>
      <w:r w:rsidR="000B6C0F" w:rsidRPr="00C843F4">
        <w:rPr>
          <w:color w:val="000000" w:themeColor="text1"/>
        </w:rPr>
        <w:t xml:space="preserve">The scale demonstrated adequate </w:t>
      </w:r>
      <w:r w:rsidR="000B6C0F" w:rsidRPr="00C843F4">
        <w:rPr>
          <w:rFonts w:eastAsia="Arial Unicode MS"/>
          <w:shd w:val="clear" w:color="auto" w:fill="FFFFFF"/>
        </w:rPr>
        <w:t>internal consistency</w:t>
      </w:r>
      <w:r w:rsidR="00C34699" w:rsidRPr="00C843F4">
        <w:rPr>
          <w:rFonts w:eastAsia="Arial Unicode MS"/>
          <w:shd w:val="clear" w:color="auto" w:fill="FFFFFF"/>
        </w:rPr>
        <w:t xml:space="preserve"> for the </w:t>
      </w:r>
      <w:r w:rsidR="00F15365" w:rsidRPr="00C843F4">
        <w:rPr>
          <w:rFonts w:eastAsia="Arial Unicode MS"/>
          <w:shd w:val="clear" w:color="auto" w:fill="FFFFFF"/>
        </w:rPr>
        <w:t>internalizing and externalizing subscales</w:t>
      </w:r>
      <w:r w:rsidR="00221B03" w:rsidRPr="00C843F4">
        <w:rPr>
          <w:rFonts w:eastAsia="Arial Unicode MS"/>
          <w:shd w:val="clear" w:color="auto" w:fill="FFFFFF"/>
        </w:rPr>
        <w:t xml:space="preserve"> </w:t>
      </w:r>
      <w:r w:rsidR="000B6C0F" w:rsidRPr="00C843F4">
        <w:rPr>
          <w:rFonts w:eastAsia="Arial Unicode MS"/>
          <w:shd w:val="clear" w:color="auto" w:fill="FFFFFF"/>
        </w:rPr>
        <w:t>(</w:t>
      </w:r>
      <w:r w:rsidR="000B6C0F" w:rsidRPr="00C843F4">
        <w:rPr>
          <w:rFonts w:eastAsia="Times New Roman"/>
          <w:color w:val="000000" w:themeColor="text1"/>
          <w:lang w:eastAsia="en-GB"/>
        </w:rPr>
        <w:t>α</w:t>
      </w:r>
      <w:r w:rsidR="000B6C0F" w:rsidRPr="00C843F4">
        <w:rPr>
          <w:rFonts w:eastAsia="Arial Unicode MS"/>
          <w:shd w:val="clear" w:color="auto" w:fill="FFFFFF"/>
        </w:rPr>
        <w:t>s=</w:t>
      </w:r>
      <w:r w:rsidR="00221B03" w:rsidRPr="00C843F4">
        <w:rPr>
          <w:rFonts w:eastAsia="Arial Unicode MS"/>
          <w:shd w:val="clear" w:color="auto" w:fill="FFFFFF"/>
        </w:rPr>
        <w:t>.71 and</w:t>
      </w:r>
      <w:r w:rsidR="00F15365" w:rsidRPr="00C843F4">
        <w:rPr>
          <w:rFonts w:eastAsia="Arial Unicode MS"/>
          <w:shd w:val="clear" w:color="auto" w:fill="FFFFFF"/>
        </w:rPr>
        <w:t xml:space="preserve"> </w:t>
      </w:r>
      <w:r w:rsidR="00C34699" w:rsidRPr="00C843F4">
        <w:rPr>
          <w:rFonts w:eastAsia="Arial Unicode MS"/>
          <w:shd w:val="clear" w:color="auto" w:fill="FFFFFF"/>
        </w:rPr>
        <w:t>.72</w:t>
      </w:r>
      <w:r w:rsidR="00D56783" w:rsidRPr="00C843F4">
        <w:rPr>
          <w:rFonts w:eastAsia="Arial Unicode MS"/>
          <w:shd w:val="clear" w:color="auto" w:fill="FFFFFF"/>
        </w:rPr>
        <w:t>,</w:t>
      </w:r>
      <w:r w:rsidR="00F15365" w:rsidRPr="00C843F4">
        <w:rPr>
          <w:rFonts w:eastAsia="Arial Unicode MS"/>
          <w:lang w:eastAsia="ja-JP"/>
        </w:rPr>
        <w:t xml:space="preserve"> respectively</w:t>
      </w:r>
      <w:r w:rsidR="000B6C0F" w:rsidRPr="00C843F4">
        <w:rPr>
          <w:rFonts w:eastAsia="Arial Unicode MS"/>
          <w:lang w:eastAsia="ja-JP"/>
        </w:rPr>
        <w:t>)</w:t>
      </w:r>
      <w:r w:rsidR="00F15365" w:rsidRPr="00C843F4">
        <w:rPr>
          <w:rFonts w:eastAsia="Arial Unicode MS"/>
          <w:lang w:eastAsia="ja-JP"/>
        </w:rPr>
        <w:t>.</w:t>
      </w:r>
    </w:p>
    <w:p w14:paraId="55F82C99" w14:textId="24E880D6" w:rsidR="00A31C1B" w:rsidRPr="00C843F4" w:rsidRDefault="0034636A" w:rsidP="007D012E">
      <w:pPr>
        <w:spacing w:line="480" w:lineRule="auto"/>
        <w:jc w:val="center"/>
        <w:rPr>
          <w:color w:val="000000" w:themeColor="text1"/>
        </w:rPr>
      </w:pPr>
      <w:r w:rsidRPr="00C843F4">
        <w:rPr>
          <w:b/>
          <w:color w:val="000000" w:themeColor="text1"/>
        </w:rPr>
        <w:t>Results</w:t>
      </w:r>
    </w:p>
    <w:p w14:paraId="70DF334F" w14:textId="6646799D" w:rsidR="00DD72E7" w:rsidRPr="00C843F4" w:rsidRDefault="00B73C64" w:rsidP="0005660E">
      <w:pPr>
        <w:spacing w:line="480" w:lineRule="auto"/>
        <w:ind w:firstLine="720"/>
        <w:rPr>
          <w:color w:val="000000" w:themeColor="text1"/>
        </w:rPr>
      </w:pPr>
      <w:r w:rsidRPr="00C843F4">
        <w:rPr>
          <w:color w:val="000000" w:themeColor="text1"/>
        </w:rPr>
        <w:t xml:space="preserve">Analyses were </w:t>
      </w:r>
      <w:r w:rsidR="00625650" w:rsidRPr="00C843F4">
        <w:rPr>
          <w:color w:val="000000" w:themeColor="text1"/>
        </w:rPr>
        <w:t>performed</w:t>
      </w:r>
      <w:r w:rsidRPr="00C843F4">
        <w:rPr>
          <w:color w:val="000000" w:themeColor="text1"/>
        </w:rPr>
        <w:t xml:space="preserve"> using SPSS software</w:t>
      </w:r>
      <w:r w:rsidR="00EC712C" w:rsidRPr="00C843F4">
        <w:rPr>
          <w:color w:val="000000" w:themeColor="text1"/>
        </w:rPr>
        <w:t xml:space="preserve"> (v. 23.0)</w:t>
      </w:r>
      <w:r w:rsidR="00625650" w:rsidRPr="00C843F4">
        <w:rPr>
          <w:color w:val="000000" w:themeColor="text1"/>
        </w:rPr>
        <w:t>.</w:t>
      </w:r>
      <w:r w:rsidRPr="00C843F4">
        <w:rPr>
          <w:color w:val="000000" w:themeColor="text1"/>
        </w:rPr>
        <w:t xml:space="preserve"> </w:t>
      </w:r>
      <w:r w:rsidR="00BA342C" w:rsidRPr="00C843F4">
        <w:rPr>
          <w:color w:val="000000" w:themeColor="text1"/>
        </w:rPr>
        <w:t>Tables 2 and 3 displays c</w:t>
      </w:r>
      <w:r w:rsidR="00A558A3" w:rsidRPr="00C843F4">
        <w:rPr>
          <w:color w:val="000000" w:themeColor="text1"/>
        </w:rPr>
        <w:t xml:space="preserve">orrelations among </w:t>
      </w:r>
      <w:r w:rsidR="00CA6854" w:rsidRPr="00C843F4">
        <w:rPr>
          <w:color w:val="000000" w:themeColor="text1"/>
        </w:rPr>
        <w:t>variables</w:t>
      </w:r>
      <w:r w:rsidR="00A558A3" w:rsidRPr="00C843F4">
        <w:rPr>
          <w:color w:val="000000" w:themeColor="text1"/>
        </w:rPr>
        <w:t xml:space="preserve"> </w:t>
      </w:r>
      <w:r w:rsidR="00BA342C" w:rsidRPr="00C843F4">
        <w:rPr>
          <w:color w:val="000000" w:themeColor="text1"/>
        </w:rPr>
        <w:t xml:space="preserve">and the </w:t>
      </w:r>
      <w:r w:rsidR="0028121D" w:rsidRPr="00C843F4">
        <w:rPr>
          <w:color w:val="000000" w:themeColor="text1"/>
        </w:rPr>
        <w:t xml:space="preserve">means </w:t>
      </w:r>
      <w:r w:rsidR="00BA342C" w:rsidRPr="00C843F4">
        <w:rPr>
          <w:color w:val="000000" w:themeColor="text1"/>
        </w:rPr>
        <w:t>and</w:t>
      </w:r>
      <w:r w:rsidR="0028121D" w:rsidRPr="00C843F4">
        <w:rPr>
          <w:color w:val="000000" w:themeColor="text1"/>
        </w:rPr>
        <w:t xml:space="preserve"> standard deviations of each variable by age and sex</w:t>
      </w:r>
      <w:r w:rsidR="00BA342C" w:rsidRPr="00C843F4">
        <w:rPr>
          <w:color w:val="000000" w:themeColor="text1"/>
        </w:rPr>
        <w:t xml:space="preserve"> respectively</w:t>
      </w:r>
      <w:r w:rsidR="0028121D" w:rsidRPr="00C843F4">
        <w:rPr>
          <w:color w:val="000000" w:themeColor="text1"/>
        </w:rPr>
        <w:t xml:space="preserve">. </w:t>
      </w:r>
      <w:r w:rsidR="00220B1D" w:rsidRPr="00C843F4">
        <w:rPr>
          <w:color w:val="000000" w:themeColor="text1"/>
        </w:rPr>
        <w:t>Separate r</w:t>
      </w:r>
      <w:r w:rsidR="001474B1" w:rsidRPr="00C843F4">
        <w:rPr>
          <w:color w:val="000000" w:themeColor="text1"/>
        </w:rPr>
        <w:t xml:space="preserve">egression analyses were </w:t>
      </w:r>
      <w:r w:rsidR="001B2F1C" w:rsidRPr="00C843F4">
        <w:rPr>
          <w:color w:val="000000" w:themeColor="text1"/>
        </w:rPr>
        <w:t>performed to examine the effects of age on seven cognitive biases</w:t>
      </w:r>
      <w:r w:rsidR="00AD5024" w:rsidRPr="00C843F4">
        <w:rPr>
          <w:color w:val="000000" w:themeColor="text1"/>
        </w:rPr>
        <w:t xml:space="preserve">. </w:t>
      </w:r>
      <w:r w:rsidR="009B1D92" w:rsidRPr="00C843F4">
        <w:rPr>
          <w:color w:val="000000" w:themeColor="text1"/>
        </w:rPr>
        <w:t xml:space="preserve">Familywise error rate was controlled for </w:t>
      </w:r>
      <w:r w:rsidR="007F026D" w:rsidRPr="00C843F4">
        <w:rPr>
          <w:color w:val="000000" w:themeColor="text1"/>
        </w:rPr>
        <w:t xml:space="preserve">by Bonferroni correction. </w:t>
      </w:r>
      <w:r w:rsidR="00C8108B" w:rsidRPr="00C843F4">
        <w:rPr>
          <w:color w:val="000000" w:themeColor="text1"/>
        </w:rPr>
        <w:t xml:space="preserve">To </w:t>
      </w:r>
      <w:r w:rsidR="007F026D" w:rsidRPr="00C843F4">
        <w:rPr>
          <w:color w:val="000000" w:themeColor="text1"/>
        </w:rPr>
        <w:t>adjust</w:t>
      </w:r>
      <w:r w:rsidR="00C8108B" w:rsidRPr="00C843F4">
        <w:rPr>
          <w:color w:val="000000" w:themeColor="text1"/>
        </w:rPr>
        <w:t xml:space="preserve"> for multiple comparisons</w:t>
      </w:r>
      <w:r w:rsidR="00D4248A" w:rsidRPr="00C843F4">
        <w:rPr>
          <w:color w:val="000000" w:themeColor="text1"/>
        </w:rPr>
        <w:t xml:space="preserve"> for seven biases</w:t>
      </w:r>
      <w:r w:rsidR="00C8108B" w:rsidRPr="00C843F4">
        <w:rPr>
          <w:color w:val="000000" w:themeColor="text1"/>
        </w:rPr>
        <w:t xml:space="preserve"> the alpha level for the model</w:t>
      </w:r>
      <w:r w:rsidR="00347E1D" w:rsidRPr="00C843F4">
        <w:rPr>
          <w:color w:val="000000" w:themeColor="text1"/>
        </w:rPr>
        <w:t>s</w:t>
      </w:r>
      <w:r w:rsidR="00C8108B" w:rsidRPr="00C843F4">
        <w:rPr>
          <w:color w:val="000000" w:themeColor="text1"/>
        </w:rPr>
        <w:t xml:space="preserve"> was set at </w:t>
      </w:r>
      <w:r w:rsidR="00B41147" w:rsidRPr="00C843F4">
        <w:rPr>
          <w:i/>
          <w:color w:val="000000" w:themeColor="text1"/>
        </w:rPr>
        <w:t>a</w:t>
      </w:r>
      <w:r w:rsidR="00B41147" w:rsidRPr="00C843F4">
        <w:rPr>
          <w:color w:val="000000" w:themeColor="text1"/>
        </w:rPr>
        <w:t xml:space="preserve"> =</w:t>
      </w:r>
      <w:r w:rsidR="00C8108B" w:rsidRPr="00C843F4">
        <w:rPr>
          <w:color w:val="000000" w:themeColor="text1"/>
        </w:rPr>
        <w:t xml:space="preserve"> .007. </w:t>
      </w:r>
      <w:r w:rsidR="004A62DC" w:rsidRPr="00C843F4">
        <w:rPr>
          <w:color w:val="000000" w:themeColor="text1"/>
        </w:rPr>
        <w:t>A</w:t>
      </w:r>
      <w:r w:rsidR="001B2F1C" w:rsidRPr="00C843F4">
        <w:rPr>
          <w:color w:val="000000" w:themeColor="text1"/>
        </w:rPr>
        <w:t xml:space="preserve">ge (in months) was </w:t>
      </w:r>
      <w:r w:rsidR="00EF059D" w:rsidRPr="00C843F4">
        <w:rPr>
          <w:color w:val="000000" w:themeColor="text1"/>
        </w:rPr>
        <w:t>mean centered</w:t>
      </w:r>
      <w:r w:rsidR="00726694" w:rsidRPr="00C843F4">
        <w:rPr>
          <w:color w:val="000000" w:themeColor="text1"/>
        </w:rPr>
        <w:t xml:space="preserve"> and both age and age</w:t>
      </w:r>
      <w:r w:rsidR="00726694" w:rsidRPr="00C843F4">
        <w:rPr>
          <w:color w:val="000000" w:themeColor="text1"/>
          <w:vertAlign w:val="superscript"/>
        </w:rPr>
        <w:t>2</w:t>
      </w:r>
      <w:r w:rsidR="001608C9" w:rsidRPr="00C843F4">
        <w:rPr>
          <w:color w:val="000000" w:themeColor="text1"/>
        </w:rPr>
        <w:t xml:space="preserve"> </w:t>
      </w:r>
      <w:r w:rsidR="00726694" w:rsidRPr="00C843F4">
        <w:rPr>
          <w:color w:val="000000" w:themeColor="text1"/>
        </w:rPr>
        <w:t xml:space="preserve">were </w:t>
      </w:r>
      <w:r w:rsidR="001B2F1C" w:rsidRPr="00C843F4">
        <w:rPr>
          <w:color w:val="000000" w:themeColor="text1"/>
        </w:rPr>
        <w:t>entered as predictor</w:t>
      </w:r>
      <w:r w:rsidR="00726694" w:rsidRPr="00C843F4">
        <w:rPr>
          <w:color w:val="000000" w:themeColor="text1"/>
        </w:rPr>
        <w:t>s</w:t>
      </w:r>
      <w:r w:rsidR="001B2F1C" w:rsidRPr="00C843F4">
        <w:rPr>
          <w:color w:val="000000" w:themeColor="text1"/>
        </w:rPr>
        <w:t xml:space="preserve"> with </w:t>
      </w:r>
      <w:r w:rsidR="00A931D2" w:rsidRPr="00C843F4">
        <w:rPr>
          <w:color w:val="000000" w:themeColor="text1"/>
        </w:rPr>
        <w:t xml:space="preserve">each </w:t>
      </w:r>
      <w:r w:rsidR="001B2F1C" w:rsidRPr="00C843F4">
        <w:rPr>
          <w:color w:val="000000" w:themeColor="text1"/>
        </w:rPr>
        <w:t xml:space="preserve">bias score </w:t>
      </w:r>
      <w:r w:rsidR="00726694" w:rsidRPr="00C843F4">
        <w:rPr>
          <w:color w:val="000000" w:themeColor="text1"/>
        </w:rPr>
        <w:t xml:space="preserve">entered </w:t>
      </w:r>
      <w:r w:rsidR="000E7BED" w:rsidRPr="00C843F4">
        <w:rPr>
          <w:color w:val="000000" w:themeColor="text1"/>
        </w:rPr>
        <w:t>as the dependent variable.</w:t>
      </w:r>
      <w:r w:rsidR="00DD72E7" w:rsidRPr="00C843F4">
        <w:rPr>
          <w:color w:val="000000" w:themeColor="text1"/>
        </w:rPr>
        <w:t xml:space="preserve"> </w:t>
      </w:r>
      <w:r w:rsidR="0028121D" w:rsidRPr="00C843F4">
        <w:rPr>
          <w:color w:val="000000" w:themeColor="text1"/>
        </w:rPr>
        <w:t>Table 4</w:t>
      </w:r>
      <w:r w:rsidR="00184C26" w:rsidRPr="00C843F4">
        <w:rPr>
          <w:color w:val="000000" w:themeColor="text1"/>
        </w:rPr>
        <w:t xml:space="preserve"> contains the standardized coefficients for both the linear and quadratic predictors for each of the seven biases. </w:t>
      </w:r>
      <w:r w:rsidR="00CB013F" w:rsidRPr="00C843F4">
        <w:rPr>
          <w:color w:val="000000" w:themeColor="text1"/>
        </w:rPr>
        <w:t xml:space="preserve"> </w:t>
      </w:r>
      <w:r w:rsidR="0062530C" w:rsidRPr="00C843F4">
        <w:rPr>
          <w:color w:val="000000" w:themeColor="text1"/>
        </w:rPr>
        <w:t xml:space="preserve">A </w:t>
      </w:r>
      <w:r w:rsidR="0048661D" w:rsidRPr="00C843F4">
        <w:rPr>
          <w:color w:val="000000" w:themeColor="text1"/>
        </w:rPr>
        <w:t xml:space="preserve">significant </w:t>
      </w:r>
      <w:r w:rsidR="0062530C" w:rsidRPr="00C843F4">
        <w:rPr>
          <w:color w:val="000000" w:themeColor="text1"/>
        </w:rPr>
        <w:t>linear association was observed between age and threat interpretation, negative attributions and o</w:t>
      </w:r>
      <w:r w:rsidR="0048661D" w:rsidRPr="00C843F4">
        <w:rPr>
          <w:color w:val="000000" w:themeColor="text1"/>
        </w:rPr>
        <w:t>vergeneralizing</w:t>
      </w:r>
      <w:r w:rsidR="0062530C" w:rsidRPr="00C843F4">
        <w:rPr>
          <w:color w:val="000000" w:themeColor="text1"/>
        </w:rPr>
        <w:t>, while r</w:t>
      </w:r>
      <w:r w:rsidR="00AD5479" w:rsidRPr="00C843F4">
        <w:rPr>
          <w:color w:val="000000" w:themeColor="text1"/>
        </w:rPr>
        <w:t>egression equations for mind reading, underestima</w:t>
      </w:r>
      <w:r w:rsidR="008A3E28" w:rsidRPr="00C843F4">
        <w:rPr>
          <w:color w:val="000000" w:themeColor="text1"/>
        </w:rPr>
        <w:t xml:space="preserve">ting ability to cope, </w:t>
      </w:r>
      <w:r w:rsidR="00C24B49" w:rsidRPr="00C843F4">
        <w:rPr>
          <w:color w:val="000000" w:themeColor="text1"/>
        </w:rPr>
        <w:t>personalizing</w:t>
      </w:r>
      <w:r w:rsidR="00AD5479" w:rsidRPr="00C843F4">
        <w:rPr>
          <w:color w:val="000000" w:themeColor="text1"/>
        </w:rPr>
        <w:t xml:space="preserve"> and selective abstractions were not significant, with neither linear nor quadratic trends with age observed. </w:t>
      </w:r>
    </w:p>
    <w:p w14:paraId="569C4338" w14:textId="77777777" w:rsidR="00CE57F5" w:rsidRPr="00C843F4" w:rsidRDefault="00CE57F5" w:rsidP="0005660E">
      <w:pPr>
        <w:spacing w:line="480" w:lineRule="auto"/>
        <w:ind w:firstLine="720"/>
        <w:rPr>
          <w:color w:val="000000" w:themeColor="text1"/>
        </w:rPr>
      </w:pPr>
    </w:p>
    <w:p w14:paraId="5BB96F1D" w14:textId="1B26FCFF" w:rsidR="002126E2" w:rsidRPr="00C843F4" w:rsidRDefault="00721283" w:rsidP="0005660E">
      <w:pPr>
        <w:spacing w:line="480" w:lineRule="auto"/>
        <w:rPr>
          <w:b/>
          <w:color w:val="000000" w:themeColor="text1"/>
        </w:rPr>
      </w:pPr>
      <w:r w:rsidRPr="00C843F4">
        <w:rPr>
          <w:b/>
          <w:color w:val="000000" w:themeColor="text1"/>
        </w:rPr>
        <w:t>Adjusted</w:t>
      </w:r>
      <w:r w:rsidR="00625650" w:rsidRPr="00C843F4">
        <w:rPr>
          <w:b/>
          <w:color w:val="000000" w:themeColor="text1"/>
        </w:rPr>
        <w:t xml:space="preserve"> </w:t>
      </w:r>
      <w:r w:rsidR="007D012E" w:rsidRPr="00C843F4">
        <w:rPr>
          <w:b/>
          <w:color w:val="000000" w:themeColor="text1"/>
        </w:rPr>
        <w:t>A</w:t>
      </w:r>
      <w:r w:rsidR="00133673" w:rsidRPr="00C843F4">
        <w:rPr>
          <w:b/>
          <w:color w:val="000000" w:themeColor="text1"/>
        </w:rPr>
        <w:t>nalyses</w:t>
      </w:r>
    </w:p>
    <w:p w14:paraId="48A6B705" w14:textId="7BC21088" w:rsidR="00AC4CD6" w:rsidRPr="00C843F4" w:rsidRDefault="0048661D" w:rsidP="0005660E">
      <w:pPr>
        <w:spacing w:line="480" w:lineRule="auto"/>
        <w:ind w:firstLine="720"/>
        <w:rPr>
          <w:color w:val="000000" w:themeColor="text1"/>
        </w:rPr>
      </w:pPr>
      <w:r w:rsidRPr="00C843F4">
        <w:rPr>
          <w:color w:val="000000" w:themeColor="text1"/>
        </w:rPr>
        <w:t>T</w:t>
      </w:r>
      <w:r w:rsidR="003F4F69" w:rsidRPr="00C843F4">
        <w:rPr>
          <w:color w:val="000000" w:themeColor="text1"/>
        </w:rPr>
        <w:t>o assess the full age range across adolescence, p</w:t>
      </w:r>
      <w:r w:rsidR="001B02FC" w:rsidRPr="00C843F4">
        <w:rPr>
          <w:color w:val="000000" w:themeColor="text1"/>
        </w:rPr>
        <w:t>articipant</w:t>
      </w:r>
      <w:r w:rsidR="00707F2D" w:rsidRPr="00C843F4">
        <w:rPr>
          <w:color w:val="000000" w:themeColor="text1"/>
        </w:rPr>
        <w:t xml:space="preserve">s were </w:t>
      </w:r>
      <w:r w:rsidR="003F4F69" w:rsidRPr="00C843F4">
        <w:rPr>
          <w:color w:val="000000" w:themeColor="text1"/>
        </w:rPr>
        <w:t xml:space="preserve">necessarily </w:t>
      </w:r>
      <w:r w:rsidR="00707F2D" w:rsidRPr="00C843F4">
        <w:rPr>
          <w:color w:val="000000" w:themeColor="text1"/>
        </w:rPr>
        <w:t>recruited from primary</w:t>
      </w:r>
      <w:r w:rsidR="003F4F69" w:rsidRPr="00C843F4">
        <w:rPr>
          <w:color w:val="000000" w:themeColor="text1"/>
        </w:rPr>
        <w:t xml:space="preserve"> (ages 10-11)</w:t>
      </w:r>
      <w:r w:rsidR="00707F2D" w:rsidRPr="00C843F4">
        <w:rPr>
          <w:color w:val="000000" w:themeColor="text1"/>
        </w:rPr>
        <w:t>, secondary</w:t>
      </w:r>
      <w:r w:rsidR="003F4F69" w:rsidRPr="00C843F4">
        <w:rPr>
          <w:color w:val="000000" w:themeColor="text1"/>
        </w:rPr>
        <w:t xml:space="preserve"> (11-16)</w:t>
      </w:r>
      <w:r w:rsidR="00707F2D" w:rsidRPr="00C843F4">
        <w:rPr>
          <w:color w:val="000000" w:themeColor="text1"/>
        </w:rPr>
        <w:t xml:space="preserve"> and</w:t>
      </w:r>
      <w:r w:rsidR="001B02FC" w:rsidRPr="00C843F4">
        <w:rPr>
          <w:color w:val="000000" w:themeColor="text1"/>
        </w:rPr>
        <w:t xml:space="preserve"> sixth form</w:t>
      </w:r>
      <w:r w:rsidR="003F4F69" w:rsidRPr="00C843F4">
        <w:rPr>
          <w:color w:val="000000" w:themeColor="text1"/>
        </w:rPr>
        <w:t xml:space="preserve"> (16-17)</w:t>
      </w:r>
      <w:r w:rsidR="001B02FC" w:rsidRPr="00C843F4">
        <w:rPr>
          <w:color w:val="000000" w:themeColor="text1"/>
        </w:rPr>
        <w:t xml:space="preserve"> education</w:t>
      </w:r>
      <w:r w:rsidR="003F4F69" w:rsidRPr="00C843F4">
        <w:rPr>
          <w:color w:val="000000" w:themeColor="text1"/>
        </w:rPr>
        <w:t>al settings, reflecting the structure of the local education system. Since</w:t>
      </w:r>
      <w:r w:rsidR="001B02FC" w:rsidRPr="00C843F4">
        <w:rPr>
          <w:color w:val="000000" w:themeColor="text1"/>
        </w:rPr>
        <w:t xml:space="preserve"> different age groups were recruited from different schools, </w:t>
      </w:r>
      <w:r w:rsidR="003F4F69" w:rsidRPr="00C843F4">
        <w:rPr>
          <w:color w:val="000000" w:themeColor="text1"/>
        </w:rPr>
        <w:t xml:space="preserve">this </w:t>
      </w:r>
      <w:r w:rsidR="001B02FC" w:rsidRPr="00C843F4">
        <w:rPr>
          <w:color w:val="000000" w:themeColor="text1"/>
        </w:rPr>
        <w:t>allow</w:t>
      </w:r>
      <w:r w:rsidR="003F4F69" w:rsidRPr="00C843F4">
        <w:rPr>
          <w:color w:val="000000" w:themeColor="text1"/>
        </w:rPr>
        <w:t>ed</w:t>
      </w:r>
      <w:r w:rsidR="001B02FC" w:rsidRPr="00C843F4">
        <w:rPr>
          <w:color w:val="000000" w:themeColor="text1"/>
        </w:rPr>
        <w:t xml:space="preserve"> for the </w:t>
      </w:r>
      <w:r w:rsidR="001B02FC" w:rsidRPr="00C843F4">
        <w:rPr>
          <w:color w:val="000000" w:themeColor="text1"/>
        </w:rPr>
        <w:lastRenderedPageBreak/>
        <w:t xml:space="preserve">possibility of confounding cohort effects. </w:t>
      </w:r>
      <w:r w:rsidR="00EA1C76" w:rsidRPr="00C843F4">
        <w:rPr>
          <w:color w:val="000000" w:themeColor="text1"/>
        </w:rPr>
        <w:t xml:space="preserve">Indeed, </w:t>
      </w:r>
      <w:r w:rsidR="00563B27" w:rsidRPr="00C843F4">
        <w:rPr>
          <w:color w:val="000000" w:themeColor="text1"/>
        </w:rPr>
        <w:t xml:space="preserve">the </w:t>
      </w:r>
      <w:r w:rsidR="003F4F69" w:rsidRPr="00C843F4">
        <w:rPr>
          <w:color w:val="000000" w:themeColor="text1"/>
        </w:rPr>
        <w:t xml:space="preserve">SES </w:t>
      </w:r>
      <w:r w:rsidR="00563B27" w:rsidRPr="00C843F4">
        <w:rPr>
          <w:color w:val="000000" w:themeColor="text1"/>
        </w:rPr>
        <w:t xml:space="preserve">proxy </w:t>
      </w:r>
      <w:r w:rsidR="003F4F69" w:rsidRPr="00C843F4">
        <w:rPr>
          <w:color w:val="000000" w:themeColor="text1"/>
        </w:rPr>
        <w:t>of m</w:t>
      </w:r>
      <w:r w:rsidR="004B69BB" w:rsidRPr="00C843F4">
        <w:rPr>
          <w:color w:val="000000" w:themeColor="text1"/>
        </w:rPr>
        <w:t xml:space="preserve">aternal education </w:t>
      </w:r>
      <w:r w:rsidR="00360FE2" w:rsidRPr="00C843F4">
        <w:t>differ</w:t>
      </w:r>
      <w:r w:rsidR="004B69BB" w:rsidRPr="00C843F4">
        <w:t>ed</w:t>
      </w:r>
      <w:r w:rsidR="00360FE2" w:rsidRPr="00C843F4">
        <w:t xml:space="preserve"> significantly </w:t>
      </w:r>
      <w:r w:rsidR="002B3C79" w:rsidRPr="00C843F4">
        <w:t xml:space="preserve">by school, </w:t>
      </w:r>
      <w:r w:rsidR="00360FE2" w:rsidRPr="00C843F4">
        <w:sym w:font="Symbol" w:char="F063"/>
      </w:r>
      <w:r w:rsidR="00360FE2" w:rsidRPr="00C843F4">
        <w:rPr>
          <w:vertAlign w:val="superscript"/>
        </w:rPr>
        <w:t>2</w:t>
      </w:r>
      <w:r w:rsidR="004B69BB" w:rsidRPr="00C843F4">
        <w:t>(1</w:t>
      </w:r>
      <w:r w:rsidR="000F33B3" w:rsidRPr="00C843F4">
        <w:t>2</w:t>
      </w:r>
      <w:r w:rsidR="004B69BB" w:rsidRPr="00C843F4">
        <w:t>) = 48.46</w:t>
      </w:r>
      <w:r w:rsidR="00360FE2" w:rsidRPr="00C843F4">
        <w:t xml:space="preserve">, </w:t>
      </w:r>
      <w:r w:rsidR="00360FE2" w:rsidRPr="00C843F4">
        <w:rPr>
          <w:i/>
        </w:rPr>
        <w:t xml:space="preserve">p </w:t>
      </w:r>
      <w:r w:rsidR="002B3C79" w:rsidRPr="00C843F4">
        <w:t>&lt; .001,</w:t>
      </w:r>
      <w:r w:rsidR="00552975" w:rsidRPr="00C843F4">
        <w:t xml:space="preserve"> </w:t>
      </w:r>
      <w:r w:rsidR="00EA1C76" w:rsidRPr="00C843F4">
        <w:t xml:space="preserve">as did </w:t>
      </w:r>
      <w:r w:rsidR="00E62E15" w:rsidRPr="00C843F4">
        <w:t>internalizing</w:t>
      </w:r>
      <w:r w:rsidR="000F33B3" w:rsidRPr="00C843F4">
        <w:t xml:space="preserve"> </w:t>
      </w:r>
      <w:r w:rsidR="001909B8" w:rsidRPr="00C843F4">
        <w:t>SDQ scores</w:t>
      </w:r>
      <w:r w:rsidR="002B3C79" w:rsidRPr="00C843F4">
        <w:t xml:space="preserve">, </w:t>
      </w:r>
      <w:r w:rsidR="001909B8" w:rsidRPr="00C843F4">
        <w:rPr>
          <w:i/>
        </w:rPr>
        <w:t>F</w:t>
      </w:r>
      <w:r w:rsidR="002B3C79" w:rsidRPr="00C843F4">
        <w:t>(3, 530) = 7.66,</w:t>
      </w:r>
      <w:r w:rsidR="002B3C79" w:rsidRPr="00C843F4">
        <w:rPr>
          <w:i/>
        </w:rPr>
        <w:t xml:space="preserve"> p</w:t>
      </w:r>
      <w:r w:rsidR="002B3C79" w:rsidRPr="00C843F4">
        <w:t xml:space="preserve"> &lt; .001</w:t>
      </w:r>
      <w:r w:rsidR="00041D80" w:rsidRPr="00C843F4">
        <w:t xml:space="preserve">. </w:t>
      </w:r>
      <w:r w:rsidR="00E85B71" w:rsidRPr="00C843F4">
        <w:t>T</w:t>
      </w:r>
      <w:r w:rsidR="001909B8" w:rsidRPr="00C843F4">
        <w:t>here were no significant differenc</w:t>
      </w:r>
      <w:r w:rsidR="002B3C79" w:rsidRPr="00C843F4">
        <w:t xml:space="preserve">es in </w:t>
      </w:r>
      <w:r w:rsidR="00E62E15" w:rsidRPr="00C843F4">
        <w:t>externalizing</w:t>
      </w:r>
      <w:r w:rsidR="002B3C79" w:rsidRPr="00C843F4">
        <w:t xml:space="preserve"> SDQ scores by school, </w:t>
      </w:r>
      <w:r w:rsidR="001909B8" w:rsidRPr="00C843F4">
        <w:rPr>
          <w:i/>
        </w:rPr>
        <w:t>F</w:t>
      </w:r>
      <w:r w:rsidR="001909B8" w:rsidRPr="00C843F4">
        <w:t xml:space="preserve">(3, 530) </w:t>
      </w:r>
      <w:r w:rsidR="002B3C79" w:rsidRPr="00C843F4">
        <w:t xml:space="preserve">= 2.37, </w:t>
      </w:r>
      <w:r w:rsidR="002B3C79" w:rsidRPr="00C843F4">
        <w:rPr>
          <w:i/>
        </w:rPr>
        <w:t>p</w:t>
      </w:r>
      <w:r w:rsidR="002B3C79" w:rsidRPr="00C843F4">
        <w:t xml:space="preserve"> = .07</w:t>
      </w:r>
      <w:r w:rsidR="00E85B71" w:rsidRPr="00C843F4">
        <w:t>, and</w:t>
      </w:r>
      <w:r w:rsidR="006B1E39" w:rsidRPr="00C843F4">
        <w:t xml:space="preserve"> </w:t>
      </w:r>
      <w:r w:rsidR="00E85B71" w:rsidRPr="00C843F4">
        <w:t>c</w:t>
      </w:r>
      <w:r w:rsidR="00E3023B" w:rsidRPr="00C843F4">
        <w:t xml:space="preserve">orrelations among age </w:t>
      </w:r>
      <w:r w:rsidR="00D404BF" w:rsidRPr="00C843F4">
        <w:t xml:space="preserve">and </w:t>
      </w:r>
      <w:r w:rsidR="00E62E15" w:rsidRPr="00C843F4">
        <w:t>internalizing</w:t>
      </w:r>
      <w:r w:rsidR="00FB2F55" w:rsidRPr="00C843F4">
        <w:t>/</w:t>
      </w:r>
      <w:r w:rsidR="00E62E15" w:rsidRPr="00C843F4">
        <w:t>externalizing</w:t>
      </w:r>
      <w:r w:rsidR="00FB2F55" w:rsidRPr="00C843F4">
        <w:t xml:space="preserve"> SDQ scores were not significant (</w:t>
      </w:r>
      <w:r w:rsidR="00FB2F55" w:rsidRPr="00C843F4">
        <w:rPr>
          <w:i/>
        </w:rPr>
        <w:t>r</w:t>
      </w:r>
      <w:r w:rsidR="00FB2F55" w:rsidRPr="00C843F4">
        <w:t xml:space="preserve"> = .07, </w:t>
      </w:r>
      <w:r w:rsidR="00FB2F55" w:rsidRPr="00C843F4">
        <w:rPr>
          <w:i/>
        </w:rPr>
        <w:t>p</w:t>
      </w:r>
      <w:r w:rsidR="00FB2F55" w:rsidRPr="00C843F4">
        <w:t xml:space="preserve"> = .10 and</w:t>
      </w:r>
      <w:r w:rsidR="00113A81" w:rsidRPr="00C843F4">
        <w:t xml:space="preserve"> </w:t>
      </w:r>
      <w:r w:rsidR="00113A81" w:rsidRPr="00C843F4">
        <w:rPr>
          <w:i/>
        </w:rPr>
        <w:t>r</w:t>
      </w:r>
      <w:r w:rsidR="00113A81" w:rsidRPr="00C843F4">
        <w:t xml:space="preserve"> = .04,</w:t>
      </w:r>
      <w:r w:rsidR="00113A81" w:rsidRPr="00C843F4">
        <w:rPr>
          <w:i/>
        </w:rPr>
        <w:t xml:space="preserve"> p</w:t>
      </w:r>
      <w:r w:rsidR="00113A81" w:rsidRPr="00C843F4">
        <w:t xml:space="preserve"> = .42</w:t>
      </w:r>
      <w:r w:rsidR="00D515D5" w:rsidRPr="00C843F4">
        <w:t>,</w:t>
      </w:r>
      <w:r w:rsidR="00113A81" w:rsidRPr="00C843F4">
        <w:t xml:space="preserve"> respectively)</w:t>
      </w:r>
      <w:r w:rsidR="00D404BF" w:rsidRPr="00C843F4">
        <w:t>.</w:t>
      </w:r>
      <w:r w:rsidR="005A562F" w:rsidRPr="00C843F4">
        <w:t xml:space="preserve"> However, </w:t>
      </w:r>
      <w:r w:rsidR="00675345" w:rsidRPr="00C843F4">
        <w:t>for completeness</w:t>
      </w:r>
      <w:r w:rsidR="005A562F" w:rsidRPr="00C843F4">
        <w:t xml:space="preserve">, </w:t>
      </w:r>
      <w:r w:rsidR="00721283" w:rsidRPr="00C843F4">
        <w:t>adjust</w:t>
      </w:r>
      <w:r w:rsidR="00563B27" w:rsidRPr="00C843F4">
        <w:t>ed scores were used</w:t>
      </w:r>
      <w:r w:rsidR="00721283" w:rsidRPr="00C843F4">
        <w:t xml:space="preserve"> </w:t>
      </w:r>
      <w:r w:rsidR="005A562F" w:rsidRPr="00C843F4">
        <w:t xml:space="preserve">for both </w:t>
      </w:r>
      <w:r w:rsidR="00A35F43" w:rsidRPr="00C843F4">
        <w:rPr>
          <w:color w:val="000000" w:themeColor="text1"/>
        </w:rPr>
        <w:t>psychopathology</w:t>
      </w:r>
      <w:r w:rsidR="00D85782" w:rsidRPr="00C843F4">
        <w:rPr>
          <w:color w:val="000000" w:themeColor="text1"/>
        </w:rPr>
        <w:t xml:space="preserve"> (including </w:t>
      </w:r>
      <w:r w:rsidR="00E62E15" w:rsidRPr="00C843F4">
        <w:rPr>
          <w:color w:val="000000" w:themeColor="text1"/>
        </w:rPr>
        <w:t>internalizing</w:t>
      </w:r>
      <w:r w:rsidR="00D85782" w:rsidRPr="00C843F4">
        <w:rPr>
          <w:color w:val="000000" w:themeColor="text1"/>
        </w:rPr>
        <w:t xml:space="preserve"> and </w:t>
      </w:r>
      <w:r w:rsidR="00E62E15" w:rsidRPr="00C843F4">
        <w:rPr>
          <w:color w:val="000000" w:themeColor="text1"/>
        </w:rPr>
        <w:t>externalizing</w:t>
      </w:r>
      <w:r w:rsidR="00D85782" w:rsidRPr="00C843F4">
        <w:rPr>
          <w:color w:val="000000" w:themeColor="text1"/>
        </w:rPr>
        <w:t xml:space="preserve"> symptoms as separate variables)</w:t>
      </w:r>
      <w:r w:rsidR="00A35F43" w:rsidRPr="00C843F4">
        <w:rPr>
          <w:color w:val="000000" w:themeColor="text1"/>
        </w:rPr>
        <w:t xml:space="preserve"> and socio-economic status </w:t>
      </w:r>
      <w:r w:rsidR="005A562F" w:rsidRPr="00C843F4">
        <w:rPr>
          <w:color w:val="000000" w:themeColor="text1"/>
        </w:rPr>
        <w:t xml:space="preserve">in </w:t>
      </w:r>
      <w:r w:rsidRPr="00C843F4">
        <w:rPr>
          <w:color w:val="000000" w:themeColor="text1"/>
        </w:rPr>
        <w:t xml:space="preserve">follow-up </w:t>
      </w:r>
      <w:r w:rsidR="005A562F" w:rsidRPr="00C843F4">
        <w:rPr>
          <w:color w:val="000000" w:themeColor="text1"/>
        </w:rPr>
        <w:t>analyses</w:t>
      </w:r>
      <w:r w:rsidR="00A35F43" w:rsidRPr="00C843F4">
        <w:rPr>
          <w:color w:val="000000" w:themeColor="text1"/>
        </w:rPr>
        <w:t xml:space="preserve">. </w:t>
      </w:r>
    </w:p>
    <w:p w14:paraId="21F14BA2" w14:textId="5D70FE94" w:rsidR="00BA342C" w:rsidRPr="00C843F4" w:rsidRDefault="00A14D32" w:rsidP="0005660E">
      <w:pPr>
        <w:spacing w:line="480" w:lineRule="auto"/>
        <w:ind w:firstLine="720"/>
        <w:rPr>
          <w:color w:val="000000" w:themeColor="text1"/>
        </w:rPr>
      </w:pPr>
      <w:r w:rsidRPr="00C843F4">
        <w:rPr>
          <w:color w:val="000000" w:themeColor="text1"/>
        </w:rPr>
        <w:t>Three</w:t>
      </w:r>
      <w:r w:rsidR="00133673" w:rsidRPr="00C843F4">
        <w:rPr>
          <w:color w:val="000000" w:themeColor="text1"/>
        </w:rPr>
        <w:t xml:space="preserve"> hierarchical</w:t>
      </w:r>
      <w:r w:rsidR="00751917" w:rsidRPr="00C843F4">
        <w:rPr>
          <w:color w:val="000000" w:themeColor="text1"/>
        </w:rPr>
        <w:t xml:space="preserve"> </w:t>
      </w:r>
      <w:r w:rsidR="0048661D" w:rsidRPr="00C843F4">
        <w:rPr>
          <w:color w:val="000000" w:themeColor="text1"/>
        </w:rPr>
        <w:t>regressions (presented in Table 5) demonstrated that while both internalizing and externalizing scores were significantly related to threat interpretation, negative attributions and overgeneralizing, age contributed to significant additional variance in each case after correcting for multiple comparisons (</w:t>
      </w:r>
      <w:r w:rsidR="0048661D" w:rsidRPr="00C843F4">
        <w:rPr>
          <w:i/>
          <w:lang w:val="en-GB"/>
        </w:rPr>
        <w:t>p</w:t>
      </w:r>
      <w:r w:rsidR="0048661D" w:rsidRPr="00C843F4">
        <w:rPr>
          <w:lang w:val="en-GB"/>
        </w:rPr>
        <w:t xml:space="preserve"> &lt; .017)</w:t>
      </w:r>
      <w:r w:rsidR="0048661D" w:rsidRPr="00C843F4">
        <w:rPr>
          <w:color w:val="000000" w:themeColor="text1"/>
        </w:rPr>
        <w:t>.</w:t>
      </w:r>
    </w:p>
    <w:p w14:paraId="7238DE26" w14:textId="07AFCAE0" w:rsidR="00EE55DC" w:rsidRPr="00C843F4" w:rsidRDefault="00BA6FE8" w:rsidP="0005660E">
      <w:pPr>
        <w:spacing w:line="480" w:lineRule="auto"/>
        <w:ind w:firstLine="720"/>
        <w:rPr>
          <w:i/>
          <w:color w:val="000000" w:themeColor="text1"/>
        </w:rPr>
      </w:pPr>
      <w:r w:rsidRPr="00C843F4">
        <w:rPr>
          <w:color w:val="000000" w:themeColor="text1"/>
        </w:rPr>
        <w:t xml:space="preserve">To </w:t>
      </w:r>
      <w:r w:rsidR="00721283" w:rsidRPr="00C843F4">
        <w:rPr>
          <w:color w:val="000000" w:themeColor="text1"/>
        </w:rPr>
        <w:t xml:space="preserve">adjust </w:t>
      </w:r>
      <w:r w:rsidRPr="00C843F4">
        <w:rPr>
          <w:color w:val="000000" w:themeColor="text1"/>
        </w:rPr>
        <w:t xml:space="preserve">for the potential confounding effects of socio-economic status three hierarchical regression analyses were conducted to test the incremental contribution of age on threat interpretation, negative attributions and </w:t>
      </w:r>
      <w:r w:rsidR="00E62E15" w:rsidRPr="00C843F4">
        <w:rPr>
          <w:color w:val="000000" w:themeColor="text1"/>
        </w:rPr>
        <w:t>overgeneralizing</w:t>
      </w:r>
      <w:r w:rsidRPr="00C843F4">
        <w:rPr>
          <w:color w:val="000000" w:themeColor="text1"/>
        </w:rPr>
        <w:t xml:space="preserve"> bias after </w:t>
      </w:r>
      <w:r w:rsidR="00721283" w:rsidRPr="00C843F4">
        <w:rPr>
          <w:color w:val="000000" w:themeColor="text1"/>
        </w:rPr>
        <w:t xml:space="preserve">adjusting </w:t>
      </w:r>
      <w:r w:rsidRPr="00C843F4">
        <w:rPr>
          <w:color w:val="000000" w:themeColor="text1"/>
        </w:rPr>
        <w:t>for mother’s level of education</w:t>
      </w:r>
      <w:r w:rsidR="009022CB" w:rsidRPr="00C843F4">
        <w:rPr>
          <w:color w:val="000000" w:themeColor="text1"/>
        </w:rPr>
        <w:t xml:space="preserve"> </w:t>
      </w:r>
      <w:r w:rsidR="003D512C" w:rsidRPr="00C843F4">
        <w:rPr>
          <w:color w:val="000000" w:themeColor="text1"/>
        </w:rPr>
        <w:t xml:space="preserve">(secondary, further, </w:t>
      </w:r>
      <w:r w:rsidRPr="00C843F4">
        <w:rPr>
          <w:color w:val="000000" w:themeColor="text1"/>
        </w:rPr>
        <w:t>higher)</w:t>
      </w:r>
      <w:r w:rsidR="009022CB" w:rsidRPr="00C843F4">
        <w:rPr>
          <w:color w:val="000000" w:themeColor="text1"/>
        </w:rPr>
        <w:t xml:space="preserve">. </w:t>
      </w:r>
      <w:r w:rsidR="006B1E39" w:rsidRPr="00C843F4">
        <w:rPr>
          <w:color w:val="000000" w:themeColor="text1"/>
        </w:rPr>
        <w:t>Data for maternal education was only available for a subsection of the sample (</w:t>
      </w:r>
      <w:r w:rsidR="006B1E39" w:rsidRPr="00C843F4">
        <w:rPr>
          <w:i/>
          <w:color w:val="000000" w:themeColor="text1"/>
        </w:rPr>
        <w:t>N</w:t>
      </w:r>
      <w:r w:rsidR="006B1E39" w:rsidRPr="00C843F4">
        <w:rPr>
          <w:color w:val="000000" w:themeColor="text1"/>
        </w:rPr>
        <w:t xml:space="preserve"> = 265). </w:t>
      </w:r>
      <w:r w:rsidR="00431D90" w:rsidRPr="00C843F4">
        <w:rPr>
          <w:color w:val="000000" w:themeColor="text1"/>
        </w:rPr>
        <w:t>R</w:t>
      </w:r>
      <w:r w:rsidRPr="00C843F4">
        <w:rPr>
          <w:color w:val="000000" w:themeColor="text1"/>
        </w:rPr>
        <w:t xml:space="preserve">esults </w:t>
      </w:r>
      <w:r w:rsidR="00BA342C" w:rsidRPr="00C843F4">
        <w:rPr>
          <w:color w:val="000000" w:themeColor="text1"/>
        </w:rPr>
        <w:t xml:space="preserve">are displayed in Table 6 and indicate </w:t>
      </w:r>
      <w:r w:rsidRPr="00C843F4">
        <w:rPr>
          <w:color w:val="000000" w:themeColor="text1"/>
        </w:rPr>
        <w:t xml:space="preserve">that </w:t>
      </w:r>
      <w:r w:rsidR="00197005" w:rsidRPr="00C843F4">
        <w:t xml:space="preserve">age was still a significant predictor for all three biases when including maternal education in the model, </w:t>
      </w:r>
      <w:r w:rsidR="00197005" w:rsidRPr="00C843F4">
        <w:rPr>
          <w:color w:val="000000" w:themeColor="text1"/>
        </w:rPr>
        <w:t>although this was no longer significant for threat interpretation following Bonferroni correction</w:t>
      </w:r>
      <w:r w:rsidR="00BA342C" w:rsidRPr="00C843F4">
        <w:rPr>
          <w:color w:val="000000" w:themeColor="text1"/>
        </w:rPr>
        <w:t>.</w:t>
      </w:r>
    </w:p>
    <w:p w14:paraId="676FBB84" w14:textId="7E069A1C" w:rsidR="00133673" w:rsidRPr="00C843F4" w:rsidRDefault="00133673" w:rsidP="0005660E">
      <w:pPr>
        <w:spacing w:line="480" w:lineRule="auto"/>
        <w:rPr>
          <w:b/>
          <w:color w:val="000000" w:themeColor="text1"/>
        </w:rPr>
      </w:pPr>
      <w:r w:rsidRPr="00C843F4">
        <w:rPr>
          <w:b/>
          <w:color w:val="000000" w:themeColor="text1"/>
        </w:rPr>
        <w:t xml:space="preserve">Effects of </w:t>
      </w:r>
      <w:r w:rsidR="007D012E" w:rsidRPr="00C843F4">
        <w:rPr>
          <w:b/>
          <w:color w:val="000000" w:themeColor="text1"/>
        </w:rPr>
        <w:t>G</w:t>
      </w:r>
      <w:r w:rsidRPr="00C843F4">
        <w:rPr>
          <w:b/>
          <w:color w:val="000000" w:themeColor="text1"/>
        </w:rPr>
        <w:t>ender</w:t>
      </w:r>
    </w:p>
    <w:p w14:paraId="777461EC" w14:textId="5E5320DA" w:rsidR="006B1E39" w:rsidRPr="00C843F4" w:rsidRDefault="006B1E39" w:rsidP="0005660E">
      <w:pPr>
        <w:spacing w:line="480" w:lineRule="auto"/>
        <w:ind w:firstLine="720"/>
        <w:rPr>
          <w:color w:val="000000" w:themeColor="text1"/>
        </w:rPr>
      </w:pPr>
      <w:r w:rsidRPr="00C843F4">
        <w:rPr>
          <w:color w:val="000000" w:themeColor="text1"/>
        </w:rPr>
        <w:t xml:space="preserve">To investigate potential effects of gender, the relation between age and the threat interpretation, negative attributions and </w:t>
      </w:r>
      <w:r w:rsidR="00E62E15" w:rsidRPr="00C843F4">
        <w:rPr>
          <w:color w:val="000000" w:themeColor="text1"/>
        </w:rPr>
        <w:t>overgeneralizing</w:t>
      </w:r>
      <w:r w:rsidRPr="00C843F4">
        <w:rPr>
          <w:color w:val="000000" w:themeColor="text1"/>
        </w:rPr>
        <w:t xml:space="preserve"> was tested separately for males and females with alpha set at </w:t>
      </w:r>
      <w:r w:rsidR="00B41147" w:rsidRPr="00C843F4">
        <w:rPr>
          <w:i/>
          <w:color w:val="000000" w:themeColor="text1"/>
        </w:rPr>
        <w:t>a</w:t>
      </w:r>
      <w:r w:rsidR="00B41147" w:rsidRPr="00C843F4">
        <w:rPr>
          <w:color w:val="000000" w:themeColor="text1"/>
        </w:rPr>
        <w:t xml:space="preserve"> =</w:t>
      </w:r>
      <w:r w:rsidRPr="00C843F4">
        <w:rPr>
          <w:color w:val="000000" w:themeColor="text1"/>
        </w:rPr>
        <w:t xml:space="preserve"> .008 to </w:t>
      </w:r>
      <w:r w:rsidR="00B14488" w:rsidRPr="00C843F4">
        <w:rPr>
          <w:color w:val="000000" w:themeColor="text1"/>
        </w:rPr>
        <w:t>correct for six</w:t>
      </w:r>
      <w:r w:rsidRPr="00C843F4">
        <w:rPr>
          <w:color w:val="000000" w:themeColor="text1"/>
        </w:rPr>
        <w:t xml:space="preserve"> comparisons. The </w:t>
      </w:r>
      <w:r w:rsidRPr="00C843F4">
        <w:rPr>
          <w:color w:val="000000" w:themeColor="text1"/>
        </w:rPr>
        <w:lastRenderedPageBreak/>
        <w:t xml:space="preserve">effect of age on all three biases was only significant (following correction) for females, </w:t>
      </w:r>
      <w:r w:rsidRPr="00C843F4">
        <w:rPr>
          <w:i/>
          <w:color w:val="000000" w:themeColor="text1"/>
        </w:rPr>
        <w:t>F</w:t>
      </w:r>
      <w:r w:rsidRPr="00C843F4">
        <w:rPr>
          <w:color w:val="000000" w:themeColor="text1"/>
        </w:rPr>
        <w:t xml:space="preserve">(1,303) = 10.42, </w:t>
      </w:r>
      <w:r w:rsidRPr="00C843F4">
        <w:rPr>
          <w:i/>
          <w:color w:val="000000" w:themeColor="text1"/>
        </w:rPr>
        <w:t>p</w:t>
      </w:r>
      <w:r w:rsidRPr="00C843F4">
        <w:rPr>
          <w:color w:val="000000" w:themeColor="text1"/>
        </w:rPr>
        <w:t xml:space="preserve"> = .001, </w:t>
      </w:r>
      <w:r w:rsidRPr="00C843F4">
        <w:rPr>
          <w:i/>
          <w:color w:val="000000" w:themeColor="text1"/>
        </w:rPr>
        <w:t>R</w:t>
      </w:r>
      <w:r w:rsidRPr="00C843F4">
        <w:rPr>
          <w:i/>
          <w:color w:val="000000" w:themeColor="text1"/>
          <w:vertAlign w:val="superscript"/>
        </w:rPr>
        <w:t>2</w:t>
      </w:r>
      <w:r w:rsidRPr="00C843F4">
        <w:rPr>
          <w:color w:val="000000" w:themeColor="text1"/>
        </w:rPr>
        <w:t xml:space="preserve"> = .03, </w:t>
      </w:r>
      <w:r w:rsidRPr="00C843F4">
        <w:rPr>
          <w:i/>
          <w:color w:val="000000" w:themeColor="text1"/>
        </w:rPr>
        <w:t>R</w:t>
      </w:r>
      <w:r w:rsidRPr="00C843F4">
        <w:rPr>
          <w:i/>
          <w:color w:val="000000" w:themeColor="text1"/>
          <w:vertAlign w:val="superscript"/>
        </w:rPr>
        <w:t>2</w:t>
      </w:r>
      <w:r w:rsidRPr="00C843F4">
        <w:rPr>
          <w:color w:val="000000" w:themeColor="text1"/>
          <w:vertAlign w:val="subscript"/>
        </w:rPr>
        <w:t>Adjusted</w:t>
      </w:r>
      <w:r w:rsidRPr="00C843F4">
        <w:rPr>
          <w:color w:val="000000" w:themeColor="text1"/>
        </w:rPr>
        <w:t xml:space="preserve"> = .03.</w:t>
      </w:r>
    </w:p>
    <w:p w14:paraId="741B7E43" w14:textId="025537F3" w:rsidR="00CE57F5" w:rsidRPr="00C843F4" w:rsidRDefault="006B1E39" w:rsidP="0005660E">
      <w:pPr>
        <w:spacing w:line="480" w:lineRule="auto"/>
        <w:ind w:firstLine="720"/>
        <w:rPr>
          <w:color w:val="000000" w:themeColor="text1"/>
        </w:rPr>
      </w:pPr>
      <w:r w:rsidRPr="00C843F4">
        <w:rPr>
          <w:color w:val="000000" w:themeColor="text1"/>
        </w:rPr>
        <w:t xml:space="preserve">Given potential gender differences, we subsequently compared the slopes for the two genders directly, using an age*gender interaction term. Three hierarchical regression analyses were conducted for threat interpretation, negative attributions and </w:t>
      </w:r>
      <w:r w:rsidR="00E62E15" w:rsidRPr="00C843F4">
        <w:rPr>
          <w:color w:val="000000" w:themeColor="text1"/>
        </w:rPr>
        <w:t>overgeneralizing</w:t>
      </w:r>
      <w:r w:rsidRPr="00C843F4">
        <w:rPr>
          <w:color w:val="000000" w:themeColor="text1"/>
        </w:rPr>
        <w:t xml:space="preserve"> with age (mean centered) and gender added into the model first and the interaction term added second. However, interaction terms for all three biases were not significant. </w:t>
      </w:r>
    </w:p>
    <w:p w14:paraId="3DB2BE9F" w14:textId="0D47A66B" w:rsidR="002126E2" w:rsidRPr="00C843F4" w:rsidRDefault="00CC1877" w:rsidP="007D012E">
      <w:pPr>
        <w:spacing w:line="480" w:lineRule="auto"/>
        <w:jc w:val="center"/>
        <w:rPr>
          <w:b/>
          <w:color w:val="000000" w:themeColor="text1"/>
        </w:rPr>
      </w:pPr>
      <w:r w:rsidRPr="00C843F4">
        <w:rPr>
          <w:b/>
          <w:color w:val="000000" w:themeColor="text1"/>
        </w:rPr>
        <w:t>Discussion</w:t>
      </w:r>
    </w:p>
    <w:p w14:paraId="3DE12424" w14:textId="3C90655D" w:rsidR="00680B5A" w:rsidRPr="00C843F4" w:rsidRDefault="0090501A" w:rsidP="0005660E">
      <w:pPr>
        <w:spacing w:line="480" w:lineRule="auto"/>
        <w:ind w:firstLine="720"/>
        <w:rPr>
          <w:color w:val="000000" w:themeColor="text1"/>
        </w:rPr>
      </w:pPr>
      <w:r w:rsidRPr="00C843F4">
        <w:rPr>
          <w:color w:val="000000" w:themeColor="text1"/>
        </w:rPr>
        <w:t>The current study</w:t>
      </w:r>
      <w:r w:rsidR="004855A3" w:rsidRPr="00C843F4">
        <w:rPr>
          <w:color w:val="000000" w:themeColor="text1"/>
        </w:rPr>
        <w:t xml:space="preserve"> is the first to</w:t>
      </w:r>
      <w:r w:rsidRPr="00C843F4">
        <w:rPr>
          <w:color w:val="000000" w:themeColor="text1"/>
        </w:rPr>
        <w:t xml:space="preserve"> </w:t>
      </w:r>
      <w:r w:rsidR="004855A3" w:rsidRPr="00C843F4">
        <w:rPr>
          <w:color w:val="000000" w:themeColor="text1"/>
        </w:rPr>
        <w:t>provide</w:t>
      </w:r>
      <w:r w:rsidR="00870B5B" w:rsidRPr="00C843F4">
        <w:rPr>
          <w:color w:val="000000" w:themeColor="text1"/>
        </w:rPr>
        <w:t xml:space="preserve"> data on </w:t>
      </w:r>
      <w:r w:rsidR="00680B5A" w:rsidRPr="00C843F4">
        <w:rPr>
          <w:color w:val="000000" w:themeColor="text1"/>
        </w:rPr>
        <w:t xml:space="preserve">cross-sectional age-related </w:t>
      </w:r>
      <w:r w:rsidR="00870B5B" w:rsidRPr="00C843F4">
        <w:rPr>
          <w:color w:val="000000" w:themeColor="text1"/>
        </w:rPr>
        <w:t>changes in seven cog</w:t>
      </w:r>
      <w:r w:rsidR="00905811" w:rsidRPr="00C843F4">
        <w:rPr>
          <w:color w:val="000000" w:themeColor="text1"/>
        </w:rPr>
        <w:t>nitive biases across adolescen</w:t>
      </w:r>
      <w:r w:rsidR="00AB66CA" w:rsidRPr="00C843F4">
        <w:rPr>
          <w:color w:val="000000" w:themeColor="text1"/>
        </w:rPr>
        <w:t>ce</w:t>
      </w:r>
      <w:r w:rsidR="00905811" w:rsidRPr="00C843F4">
        <w:rPr>
          <w:color w:val="000000" w:themeColor="text1"/>
        </w:rPr>
        <w:t xml:space="preserve">. </w:t>
      </w:r>
      <w:r w:rsidR="00C30D80" w:rsidRPr="00C843F4">
        <w:rPr>
          <w:color w:val="000000" w:themeColor="text1"/>
        </w:rPr>
        <w:t xml:space="preserve">Age had a </w:t>
      </w:r>
      <w:r w:rsidR="0023681F" w:rsidRPr="00C843F4">
        <w:rPr>
          <w:color w:val="000000" w:themeColor="text1"/>
        </w:rPr>
        <w:t xml:space="preserve">positive </w:t>
      </w:r>
      <w:r w:rsidR="00C30D80" w:rsidRPr="00C843F4">
        <w:rPr>
          <w:color w:val="000000" w:themeColor="text1"/>
        </w:rPr>
        <w:t xml:space="preserve">linear effect on threat </w:t>
      </w:r>
      <w:r w:rsidR="00EB5153" w:rsidRPr="00C843F4">
        <w:rPr>
          <w:color w:val="000000" w:themeColor="text1"/>
        </w:rPr>
        <w:t>interpretations</w:t>
      </w:r>
      <w:r w:rsidR="00C30D80" w:rsidRPr="00C843F4">
        <w:rPr>
          <w:color w:val="000000" w:themeColor="text1"/>
        </w:rPr>
        <w:t>, negative attributions</w:t>
      </w:r>
      <w:r w:rsidR="0023681F" w:rsidRPr="00C843F4">
        <w:rPr>
          <w:color w:val="000000" w:themeColor="text1"/>
        </w:rPr>
        <w:t xml:space="preserve"> and</w:t>
      </w:r>
      <w:r w:rsidR="00C30D80" w:rsidRPr="00C843F4">
        <w:rPr>
          <w:color w:val="000000" w:themeColor="text1"/>
        </w:rPr>
        <w:t xml:space="preserve"> </w:t>
      </w:r>
      <w:r w:rsidR="00E62E15" w:rsidRPr="00C843F4">
        <w:rPr>
          <w:color w:val="000000" w:themeColor="text1"/>
        </w:rPr>
        <w:t>overgeneralizing</w:t>
      </w:r>
      <w:r w:rsidR="00E41949" w:rsidRPr="00C843F4">
        <w:rPr>
          <w:color w:val="000000" w:themeColor="text1"/>
        </w:rPr>
        <w:t xml:space="preserve"> between 10 and 17 years</w:t>
      </w:r>
      <w:r w:rsidR="0023681F" w:rsidRPr="00C843F4">
        <w:rPr>
          <w:color w:val="000000" w:themeColor="text1"/>
        </w:rPr>
        <w:t xml:space="preserve">. </w:t>
      </w:r>
      <w:r w:rsidR="00A433B7" w:rsidRPr="00C843F4">
        <w:rPr>
          <w:color w:val="000000" w:themeColor="text1"/>
        </w:rPr>
        <w:t>A</w:t>
      </w:r>
      <w:r w:rsidR="00D43B00" w:rsidRPr="00C843F4">
        <w:rPr>
          <w:color w:val="000000" w:themeColor="text1"/>
        </w:rPr>
        <w:t xml:space="preserve">nalyses </w:t>
      </w:r>
      <w:r w:rsidR="00721283" w:rsidRPr="00C843F4">
        <w:rPr>
          <w:color w:val="000000" w:themeColor="text1"/>
        </w:rPr>
        <w:t xml:space="preserve">adjusting </w:t>
      </w:r>
      <w:r w:rsidR="00D43B00" w:rsidRPr="00C843F4">
        <w:rPr>
          <w:color w:val="000000" w:themeColor="text1"/>
        </w:rPr>
        <w:t xml:space="preserve">for </w:t>
      </w:r>
      <w:r w:rsidR="00AB66CA" w:rsidRPr="00C843F4">
        <w:rPr>
          <w:color w:val="000000" w:themeColor="text1"/>
        </w:rPr>
        <w:t>psychopathol</w:t>
      </w:r>
      <w:r w:rsidR="00A433B7" w:rsidRPr="00C843F4">
        <w:rPr>
          <w:color w:val="000000" w:themeColor="text1"/>
        </w:rPr>
        <w:t>o</w:t>
      </w:r>
      <w:r w:rsidR="00AB66CA" w:rsidRPr="00C843F4">
        <w:rPr>
          <w:color w:val="000000" w:themeColor="text1"/>
        </w:rPr>
        <w:t xml:space="preserve">gy and </w:t>
      </w:r>
      <w:r w:rsidR="00D43B00" w:rsidRPr="00C843F4">
        <w:rPr>
          <w:color w:val="000000" w:themeColor="text1"/>
        </w:rPr>
        <w:t>m</w:t>
      </w:r>
      <w:r w:rsidR="00E3008B" w:rsidRPr="00C843F4">
        <w:rPr>
          <w:color w:val="000000" w:themeColor="text1"/>
        </w:rPr>
        <w:t>aternal</w:t>
      </w:r>
      <w:r w:rsidR="00D43B00" w:rsidRPr="00C843F4">
        <w:rPr>
          <w:color w:val="000000" w:themeColor="text1"/>
        </w:rPr>
        <w:t xml:space="preserve"> education</w:t>
      </w:r>
      <w:r w:rsidR="00156907" w:rsidRPr="00C843F4">
        <w:rPr>
          <w:color w:val="000000" w:themeColor="text1"/>
        </w:rPr>
        <w:t xml:space="preserve"> as a proxy for </w:t>
      </w:r>
      <w:r w:rsidR="005964D8" w:rsidRPr="00C843F4">
        <w:rPr>
          <w:color w:val="000000" w:themeColor="text1"/>
        </w:rPr>
        <w:t>socio-economic status</w:t>
      </w:r>
      <w:r w:rsidR="006B1E39" w:rsidRPr="00C843F4">
        <w:rPr>
          <w:color w:val="000000" w:themeColor="text1"/>
        </w:rPr>
        <w:t xml:space="preserve"> showed</w:t>
      </w:r>
      <w:r w:rsidR="00D43B00" w:rsidRPr="00C843F4">
        <w:rPr>
          <w:color w:val="000000" w:themeColor="text1"/>
        </w:rPr>
        <w:t xml:space="preserve"> </w:t>
      </w:r>
      <w:r w:rsidR="006D12AD" w:rsidRPr="00C843F4">
        <w:rPr>
          <w:color w:val="000000" w:themeColor="text1"/>
        </w:rPr>
        <w:t>that age contributed</w:t>
      </w:r>
      <w:r w:rsidR="00D43B00" w:rsidRPr="00C843F4">
        <w:rPr>
          <w:color w:val="000000" w:themeColor="text1"/>
        </w:rPr>
        <w:t xml:space="preserve"> to significant additional variance </w:t>
      </w:r>
      <w:r w:rsidR="00150608" w:rsidRPr="00C843F4">
        <w:rPr>
          <w:color w:val="000000" w:themeColor="text1"/>
        </w:rPr>
        <w:t xml:space="preserve">in </w:t>
      </w:r>
      <w:r w:rsidR="00A433B7" w:rsidRPr="00C843F4">
        <w:rPr>
          <w:color w:val="000000" w:themeColor="text1"/>
        </w:rPr>
        <w:t>these three biases</w:t>
      </w:r>
      <w:r w:rsidR="00150608" w:rsidRPr="00C843F4">
        <w:rPr>
          <w:color w:val="000000" w:themeColor="text1"/>
        </w:rPr>
        <w:t xml:space="preserve">. </w:t>
      </w:r>
      <w:r w:rsidR="006B1E39" w:rsidRPr="00C843F4">
        <w:rPr>
          <w:color w:val="000000" w:themeColor="text1"/>
        </w:rPr>
        <w:t xml:space="preserve">Following correction, this was no longer significant for threat interpretation, possibly due to reduced power as we had data on maternal education for a subsection of our sample. Additionally, while exploratory analyses suggested age effects may be stronger in females than males, age and gender did not interact to predict these biases in the full sample. </w:t>
      </w:r>
    </w:p>
    <w:p w14:paraId="73A0B82D" w14:textId="7B3C3298" w:rsidR="00505568" w:rsidRPr="00C843F4" w:rsidRDefault="002A2440" w:rsidP="0005660E">
      <w:pPr>
        <w:spacing w:line="480" w:lineRule="auto"/>
        <w:ind w:firstLine="720"/>
        <w:rPr>
          <w:color w:val="000000" w:themeColor="text1"/>
        </w:rPr>
      </w:pPr>
      <w:r w:rsidRPr="00C843F4">
        <w:rPr>
          <w:color w:val="000000" w:themeColor="text1"/>
        </w:rPr>
        <w:t xml:space="preserve">Age effects observed in the present study are likely due to developmental changes. </w:t>
      </w:r>
      <w:r w:rsidR="00837B3E" w:rsidRPr="00C843F4">
        <w:rPr>
          <w:color w:val="000000" w:themeColor="text1"/>
        </w:rPr>
        <w:t xml:space="preserve">Developmental factors are likely to be multifactorial, although one </w:t>
      </w:r>
      <w:r w:rsidR="00407B36" w:rsidRPr="00C843F4">
        <w:rPr>
          <w:color w:val="000000" w:themeColor="text1"/>
        </w:rPr>
        <w:t>cognitive system</w:t>
      </w:r>
      <w:r w:rsidR="00C30D80" w:rsidRPr="00C843F4">
        <w:rPr>
          <w:color w:val="000000" w:themeColor="text1"/>
        </w:rPr>
        <w:t xml:space="preserve"> that could be driving the relation between age and negative biases </w:t>
      </w:r>
      <w:r w:rsidR="00563B27" w:rsidRPr="00C843F4">
        <w:rPr>
          <w:color w:val="000000" w:themeColor="text1"/>
        </w:rPr>
        <w:t>are</w:t>
      </w:r>
      <w:r w:rsidR="00837B3E" w:rsidRPr="00C843F4">
        <w:rPr>
          <w:color w:val="000000" w:themeColor="text1"/>
        </w:rPr>
        <w:t xml:space="preserve"> the </w:t>
      </w:r>
      <w:r w:rsidR="00B0679E" w:rsidRPr="00C843F4">
        <w:rPr>
          <w:color w:val="000000" w:themeColor="text1"/>
        </w:rPr>
        <w:t xml:space="preserve">developmental changes in social </w:t>
      </w:r>
      <w:r w:rsidR="00837B3E" w:rsidRPr="00C843F4">
        <w:rPr>
          <w:color w:val="000000" w:themeColor="text1"/>
        </w:rPr>
        <w:t xml:space="preserve">cognition that occur during adolescence. </w:t>
      </w:r>
      <w:r w:rsidR="00AB66CA" w:rsidRPr="00C843F4">
        <w:rPr>
          <w:color w:val="000000" w:themeColor="text1"/>
        </w:rPr>
        <w:t xml:space="preserve">Clearly </w:t>
      </w:r>
      <w:r w:rsidR="00085CF7" w:rsidRPr="00C843F4">
        <w:rPr>
          <w:color w:val="000000" w:themeColor="text1"/>
        </w:rPr>
        <w:t>maturation in social-cognitive abilities allow</w:t>
      </w:r>
      <w:r w:rsidR="009D0806" w:rsidRPr="00C843F4">
        <w:rPr>
          <w:color w:val="000000" w:themeColor="text1"/>
        </w:rPr>
        <w:t>s</w:t>
      </w:r>
      <w:r w:rsidR="00085CF7" w:rsidRPr="00C843F4">
        <w:rPr>
          <w:color w:val="000000" w:themeColor="text1"/>
        </w:rPr>
        <w:t xml:space="preserve"> for </w:t>
      </w:r>
      <w:r w:rsidR="007B0503" w:rsidRPr="00C843F4">
        <w:rPr>
          <w:color w:val="000000" w:themeColor="text1"/>
        </w:rPr>
        <w:t xml:space="preserve">a </w:t>
      </w:r>
      <w:r w:rsidR="00085CF7" w:rsidRPr="00C843F4">
        <w:rPr>
          <w:color w:val="000000" w:themeColor="text1"/>
        </w:rPr>
        <w:t>more complex and integrated understanding of the social world and facilitate</w:t>
      </w:r>
      <w:r w:rsidR="00F07CC9" w:rsidRPr="00C843F4">
        <w:rPr>
          <w:color w:val="000000" w:themeColor="text1"/>
        </w:rPr>
        <w:t>s</w:t>
      </w:r>
      <w:r w:rsidR="00085CF7" w:rsidRPr="00C843F4">
        <w:rPr>
          <w:color w:val="000000" w:themeColor="text1"/>
        </w:rPr>
        <w:t xml:space="preserve"> more complex social relationships </w:t>
      </w:r>
      <w:r w:rsidR="00085CF7" w:rsidRPr="00C843F4">
        <w:rPr>
          <w:color w:val="000000" w:themeColor="text1"/>
        </w:rPr>
        <w:lastRenderedPageBreak/>
        <w:t>with others</w:t>
      </w:r>
      <w:r w:rsidR="00736582" w:rsidRPr="00C843F4">
        <w:rPr>
          <w:color w:val="000000" w:themeColor="text1"/>
        </w:rPr>
        <w:t xml:space="preserve"> </w:t>
      </w:r>
      <w:r w:rsidR="00736582" w:rsidRPr="00C843F4">
        <w:rPr>
          <w:color w:val="000000" w:themeColor="text1"/>
          <w:lang w:eastAsia="ja-JP"/>
        </w:rPr>
        <w:t>(Nelson, Leibenluft, McLure &amp; Pine, 2005)</w:t>
      </w:r>
      <w:r w:rsidR="00085CF7" w:rsidRPr="00C843F4">
        <w:rPr>
          <w:color w:val="000000" w:themeColor="text1"/>
        </w:rPr>
        <w:t xml:space="preserve">, </w:t>
      </w:r>
      <w:r w:rsidR="00AB66CA" w:rsidRPr="00C843F4">
        <w:rPr>
          <w:color w:val="000000" w:themeColor="text1"/>
        </w:rPr>
        <w:t xml:space="preserve">but </w:t>
      </w:r>
      <w:r w:rsidR="00085CF7" w:rsidRPr="00C843F4">
        <w:rPr>
          <w:color w:val="000000" w:themeColor="text1"/>
        </w:rPr>
        <w:t xml:space="preserve">becoming proficient in </w:t>
      </w:r>
      <w:r w:rsidR="007B0503" w:rsidRPr="00C843F4">
        <w:rPr>
          <w:color w:val="000000" w:themeColor="text1"/>
        </w:rPr>
        <w:t>such tasks may also give rise to increase</w:t>
      </w:r>
      <w:r w:rsidR="00A41A6F" w:rsidRPr="00C843F4">
        <w:rPr>
          <w:color w:val="000000" w:themeColor="text1"/>
        </w:rPr>
        <w:t>d</w:t>
      </w:r>
      <w:r w:rsidR="007B0503" w:rsidRPr="00C843F4">
        <w:rPr>
          <w:color w:val="000000" w:themeColor="text1"/>
        </w:rPr>
        <w:t xml:space="preserve"> sensitivity to negative soc</w:t>
      </w:r>
      <w:r w:rsidR="00846279" w:rsidRPr="00C843F4">
        <w:rPr>
          <w:color w:val="000000" w:themeColor="text1"/>
        </w:rPr>
        <w:t>ial stimuli and the negative information-processing of ambiguous stimuli</w:t>
      </w:r>
      <w:r w:rsidR="006E0DD2" w:rsidRPr="00C843F4">
        <w:rPr>
          <w:color w:val="000000" w:themeColor="text1"/>
        </w:rPr>
        <w:t xml:space="preserve"> </w:t>
      </w:r>
      <w:r w:rsidR="00505568" w:rsidRPr="00C843F4">
        <w:rPr>
          <w:color w:val="000000" w:themeColor="text1"/>
          <w:lang w:eastAsia="ja-JP"/>
        </w:rPr>
        <w:t>(Sebastian, Viding, Williams &amp; Blakemore, 2010)</w:t>
      </w:r>
      <w:r w:rsidR="00D62EB5" w:rsidRPr="00C843F4">
        <w:rPr>
          <w:color w:val="000000" w:themeColor="text1"/>
          <w:lang w:eastAsia="ja-JP"/>
        </w:rPr>
        <w:t xml:space="preserve">. </w:t>
      </w:r>
      <w:r w:rsidR="003D1FA6" w:rsidRPr="00C843F4">
        <w:rPr>
          <w:color w:val="000000" w:themeColor="text1"/>
          <w:lang w:eastAsia="ja-JP"/>
        </w:rPr>
        <w:t>Further, y</w:t>
      </w:r>
      <w:r w:rsidR="00CE67F2" w:rsidRPr="00C843F4">
        <w:rPr>
          <w:color w:val="000000" w:themeColor="text1"/>
          <w:lang w:eastAsia="ja-JP"/>
        </w:rPr>
        <w:t xml:space="preserve">oung people may be more likely to interpret ambiguous social stimuli as negative or threatening </w:t>
      </w:r>
      <w:r w:rsidR="006E0DD2" w:rsidRPr="00C843F4">
        <w:rPr>
          <w:color w:val="000000" w:themeColor="text1"/>
          <w:lang w:eastAsia="ja-JP"/>
        </w:rPr>
        <w:t>because of</w:t>
      </w:r>
      <w:r w:rsidR="00CE67F2" w:rsidRPr="00C843F4">
        <w:rPr>
          <w:color w:val="000000" w:themeColor="text1"/>
          <w:lang w:eastAsia="ja-JP"/>
        </w:rPr>
        <w:t xml:space="preserve"> increased sensitivity to pee</w:t>
      </w:r>
      <w:r w:rsidR="00FC48E6" w:rsidRPr="00C843F4">
        <w:rPr>
          <w:color w:val="000000" w:themeColor="text1"/>
          <w:lang w:eastAsia="ja-JP"/>
        </w:rPr>
        <w:t xml:space="preserve">r acceptance and rejection </w:t>
      </w:r>
      <w:r w:rsidR="00CE67F2" w:rsidRPr="00C843F4">
        <w:rPr>
          <w:color w:val="000000" w:themeColor="text1"/>
          <w:lang w:eastAsia="ja-JP"/>
        </w:rPr>
        <w:t>during adolescence (</w:t>
      </w:r>
      <w:r w:rsidR="002B6F0D" w:rsidRPr="00C843F4">
        <w:rPr>
          <w:color w:val="000000" w:themeColor="text1"/>
          <w:lang w:eastAsia="ja-JP"/>
        </w:rPr>
        <w:t>Platt, Kadosh &amp; Lau, 2013</w:t>
      </w:r>
      <w:r w:rsidR="00FC48E6" w:rsidRPr="00C843F4">
        <w:rPr>
          <w:color w:val="000000" w:themeColor="text1"/>
          <w:lang w:eastAsia="ja-JP"/>
        </w:rPr>
        <w:t>)</w:t>
      </w:r>
      <w:r w:rsidR="00C55775" w:rsidRPr="00C843F4">
        <w:rPr>
          <w:color w:val="000000" w:themeColor="text1"/>
          <w:lang w:eastAsia="ja-JP"/>
        </w:rPr>
        <w:t>.</w:t>
      </w:r>
      <w:r w:rsidR="005739FD" w:rsidRPr="00C843F4">
        <w:rPr>
          <w:color w:val="000000" w:themeColor="text1"/>
          <w:lang w:eastAsia="ja-JP"/>
        </w:rPr>
        <w:t xml:space="preserve"> </w:t>
      </w:r>
    </w:p>
    <w:p w14:paraId="5211F661" w14:textId="4E3E77E7" w:rsidR="00460927" w:rsidRPr="00C843F4" w:rsidRDefault="00F07CC9" w:rsidP="0005660E">
      <w:pPr>
        <w:spacing w:line="480" w:lineRule="auto"/>
        <w:ind w:firstLine="720"/>
        <w:rPr>
          <w:color w:val="000000" w:themeColor="text1"/>
          <w:lang w:val="en-GB" w:eastAsia="ja-JP"/>
        </w:rPr>
      </w:pPr>
      <w:r w:rsidRPr="00C843F4">
        <w:rPr>
          <w:color w:val="000000" w:themeColor="text1"/>
        </w:rPr>
        <w:t xml:space="preserve">Separable </w:t>
      </w:r>
      <w:r w:rsidR="002F3C34" w:rsidRPr="00C843F4">
        <w:rPr>
          <w:color w:val="000000" w:themeColor="text1"/>
        </w:rPr>
        <w:t xml:space="preserve">developmental factors </w:t>
      </w:r>
      <w:r w:rsidRPr="00C843F4">
        <w:rPr>
          <w:color w:val="000000" w:themeColor="text1"/>
        </w:rPr>
        <w:t xml:space="preserve">may also at least partially </w:t>
      </w:r>
      <w:r w:rsidR="00227248" w:rsidRPr="00C843F4">
        <w:rPr>
          <w:color w:val="000000" w:themeColor="text1"/>
        </w:rPr>
        <w:t>underlie the age-related changes in each</w:t>
      </w:r>
      <w:r w:rsidR="00336200" w:rsidRPr="00C843F4">
        <w:rPr>
          <w:color w:val="000000" w:themeColor="text1"/>
        </w:rPr>
        <w:t xml:space="preserve"> specific</w:t>
      </w:r>
      <w:r w:rsidR="002F3C34" w:rsidRPr="00C843F4">
        <w:rPr>
          <w:color w:val="000000" w:themeColor="text1"/>
        </w:rPr>
        <w:t xml:space="preserve"> cognitive bias</w:t>
      </w:r>
      <w:r w:rsidRPr="00C843F4">
        <w:rPr>
          <w:color w:val="000000" w:themeColor="text1"/>
        </w:rPr>
        <w:t xml:space="preserve"> seen in the present study</w:t>
      </w:r>
      <w:r w:rsidR="002F3C34" w:rsidRPr="00C843F4">
        <w:rPr>
          <w:color w:val="000000" w:themeColor="text1"/>
        </w:rPr>
        <w:t xml:space="preserve">. In terms of negative attributions, </w:t>
      </w:r>
      <w:r w:rsidR="00563B27" w:rsidRPr="00C843F4">
        <w:rPr>
          <w:color w:val="000000" w:themeColor="text1"/>
        </w:rPr>
        <w:t xml:space="preserve">one speculative hypothesis arises from </w:t>
      </w:r>
      <w:r w:rsidR="00023159" w:rsidRPr="00C843F4">
        <w:rPr>
          <w:color w:val="000000" w:themeColor="text1"/>
        </w:rPr>
        <w:t xml:space="preserve">previous research </w:t>
      </w:r>
      <w:r w:rsidR="00600A73" w:rsidRPr="00C843F4">
        <w:rPr>
          <w:color w:val="000000" w:themeColor="text1"/>
        </w:rPr>
        <w:t>that</w:t>
      </w:r>
      <w:r w:rsidR="00563B27" w:rsidRPr="00C843F4">
        <w:rPr>
          <w:color w:val="000000" w:themeColor="text1"/>
        </w:rPr>
        <w:t xml:space="preserve"> </w:t>
      </w:r>
      <w:r w:rsidR="00023159" w:rsidRPr="00C843F4">
        <w:rPr>
          <w:color w:val="000000" w:themeColor="text1"/>
        </w:rPr>
        <w:t xml:space="preserve">found that </w:t>
      </w:r>
      <w:r w:rsidR="00BD52FA" w:rsidRPr="00C843F4">
        <w:rPr>
          <w:color w:val="000000" w:themeColor="text1"/>
          <w:lang w:eastAsia="ja-JP"/>
        </w:rPr>
        <w:t xml:space="preserve">negative cognitions emerge as a consequence </w:t>
      </w:r>
      <w:r w:rsidR="008D7961" w:rsidRPr="00C843F4">
        <w:rPr>
          <w:color w:val="000000" w:themeColor="text1"/>
          <w:lang w:eastAsia="ja-JP"/>
        </w:rPr>
        <w:t>of negative life events</w:t>
      </w:r>
      <w:r w:rsidR="00023159" w:rsidRPr="00C843F4">
        <w:rPr>
          <w:color w:val="000000" w:themeColor="text1"/>
        </w:rPr>
        <w:t xml:space="preserve"> </w:t>
      </w:r>
      <w:r w:rsidR="00087D26" w:rsidRPr="00C843F4">
        <w:rPr>
          <w:color w:val="000000" w:themeColor="text1"/>
        </w:rPr>
        <w:t>(</w:t>
      </w:r>
      <w:r w:rsidR="00023159" w:rsidRPr="00C843F4">
        <w:rPr>
          <w:color w:val="000000" w:themeColor="text1"/>
        </w:rPr>
        <w:t>Turner and Cole</w:t>
      </w:r>
      <w:r w:rsidR="00087D26" w:rsidRPr="00C843F4">
        <w:rPr>
          <w:color w:val="000000" w:themeColor="text1"/>
        </w:rPr>
        <w:t xml:space="preserve">, </w:t>
      </w:r>
      <w:r w:rsidR="00023159" w:rsidRPr="00C843F4">
        <w:rPr>
          <w:color w:val="000000" w:themeColor="text1"/>
          <w:lang w:eastAsia="ja-JP"/>
        </w:rPr>
        <w:t>1994</w:t>
      </w:r>
      <w:r w:rsidR="00087D26" w:rsidRPr="00C843F4">
        <w:rPr>
          <w:color w:val="000000" w:themeColor="text1"/>
          <w:lang w:eastAsia="ja-JP"/>
        </w:rPr>
        <w:t>; Mezulis, Hyde &amp; Abramson, 2006</w:t>
      </w:r>
      <w:r w:rsidR="00023159" w:rsidRPr="00C843F4">
        <w:rPr>
          <w:color w:val="000000" w:themeColor="text1"/>
          <w:lang w:eastAsia="ja-JP"/>
        </w:rPr>
        <w:t>)</w:t>
      </w:r>
      <w:r w:rsidR="00BD52FA" w:rsidRPr="00C843F4">
        <w:rPr>
          <w:color w:val="000000" w:themeColor="text1"/>
          <w:lang w:eastAsia="ja-JP"/>
        </w:rPr>
        <w:t>.</w:t>
      </w:r>
      <w:r w:rsidR="008D7961" w:rsidRPr="00C843F4">
        <w:rPr>
          <w:color w:val="000000" w:themeColor="text1"/>
          <w:lang w:eastAsia="ja-JP"/>
        </w:rPr>
        <w:t xml:space="preserve"> Although negative life events were not measured in the c</w:t>
      </w:r>
      <w:r w:rsidR="002172DD" w:rsidRPr="00C843F4">
        <w:rPr>
          <w:color w:val="000000" w:themeColor="text1"/>
          <w:lang w:eastAsia="ja-JP"/>
        </w:rPr>
        <w:t>urrent study, older adolescents</w:t>
      </w:r>
      <w:r w:rsidR="008D7961" w:rsidRPr="00C843F4">
        <w:rPr>
          <w:color w:val="000000" w:themeColor="text1"/>
          <w:lang w:eastAsia="ja-JP"/>
        </w:rPr>
        <w:t xml:space="preserve"> </w:t>
      </w:r>
      <w:r w:rsidR="006634C0" w:rsidRPr="00C843F4">
        <w:rPr>
          <w:color w:val="000000" w:themeColor="text1"/>
          <w:lang w:eastAsia="ja-JP"/>
        </w:rPr>
        <w:t xml:space="preserve">have </w:t>
      </w:r>
      <w:r w:rsidR="002172DD" w:rsidRPr="00C843F4">
        <w:rPr>
          <w:color w:val="000000" w:themeColor="text1"/>
          <w:lang w:eastAsia="ja-JP"/>
        </w:rPr>
        <w:t>reported</w:t>
      </w:r>
      <w:r w:rsidR="00FB4698" w:rsidRPr="00C843F4">
        <w:rPr>
          <w:color w:val="000000" w:themeColor="text1"/>
          <w:lang w:eastAsia="ja-JP"/>
        </w:rPr>
        <w:t xml:space="preserve"> </w:t>
      </w:r>
      <w:r w:rsidR="008D7961" w:rsidRPr="00C843F4">
        <w:rPr>
          <w:color w:val="000000" w:themeColor="text1"/>
          <w:lang w:eastAsia="ja-JP"/>
        </w:rPr>
        <w:t xml:space="preserve">a greater number of negative </w:t>
      </w:r>
      <w:r w:rsidR="00FB4698" w:rsidRPr="00C843F4">
        <w:rPr>
          <w:color w:val="000000" w:themeColor="text1"/>
          <w:lang w:eastAsia="ja-JP"/>
        </w:rPr>
        <w:t>life events</w:t>
      </w:r>
      <w:r w:rsidR="00B9686E" w:rsidRPr="00C843F4">
        <w:rPr>
          <w:color w:val="000000" w:themeColor="text1"/>
          <w:lang w:eastAsia="ja-JP"/>
        </w:rPr>
        <w:t xml:space="preserve"> involving peers, school and family</w:t>
      </w:r>
      <w:r w:rsidR="008D7961" w:rsidRPr="00C843F4">
        <w:rPr>
          <w:color w:val="000000" w:themeColor="text1"/>
          <w:lang w:eastAsia="ja-JP"/>
        </w:rPr>
        <w:t xml:space="preserve"> </w:t>
      </w:r>
      <w:r w:rsidR="00B9686E" w:rsidRPr="00C843F4">
        <w:rPr>
          <w:color w:val="000000" w:themeColor="text1"/>
          <w:lang w:eastAsia="ja-JP"/>
        </w:rPr>
        <w:t>than</w:t>
      </w:r>
      <w:r w:rsidR="008D7961" w:rsidRPr="00C843F4">
        <w:rPr>
          <w:color w:val="000000" w:themeColor="text1"/>
          <w:lang w:eastAsia="ja-JP"/>
        </w:rPr>
        <w:t xml:space="preserve"> younger </w:t>
      </w:r>
      <w:r w:rsidR="00B9686E" w:rsidRPr="00C843F4">
        <w:rPr>
          <w:color w:val="000000" w:themeColor="text1"/>
          <w:lang w:eastAsia="ja-JP"/>
        </w:rPr>
        <w:t>adolescents</w:t>
      </w:r>
      <w:r w:rsidR="008D7961" w:rsidRPr="00C843F4">
        <w:rPr>
          <w:color w:val="000000" w:themeColor="text1"/>
          <w:lang w:eastAsia="ja-JP"/>
        </w:rPr>
        <w:t xml:space="preserve"> </w:t>
      </w:r>
      <w:r w:rsidR="00FB4698" w:rsidRPr="00C843F4">
        <w:rPr>
          <w:color w:val="000000" w:themeColor="text1"/>
          <w:lang w:eastAsia="ja-JP"/>
        </w:rPr>
        <w:t>(Larson &amp; Ham, 1993</w:t>
      </w:r>
      <w:r w:rsidR="00B9686E" w:rsidRPr="00C843F4">
        <w:rPr>
          <w:color w:val="000000" w:themeColor="text1"/>
          <w:lang w:eastAsia="ja-JP"/>
        </w:rPr>
        <w:t>)</w:t>
      </w:r>
      <w:r w:rsidR="00600A73" w:rsidRPr="00C843F4">
        <w:rPr>
          <w:color w:val="000000" w:themeColor="text1"/>
          <w:lang w:eastAsia="ja-JP"/>
        </w:rPr>
        <w:t xml:space="preserve"> and future research might explore how t</w:t>
      </w:r>
      <w:r w:rsidR="00B9686E" w:rsidRPr="00C843F4">
        <w:rPr>
          <w:color w:val="000000" w:themeColor="text1"/>
          <w:lang w:eastAsia="ja-JP"/>
        </w:rPr>
        <w:t>he experience of negative life events</w:t>
      </w:r>
      <w:r w:rsidR="008D7961" w:rsidRPr="00C843F4">
        <w:rPr>
          <w:color w:val="000000" w:themeColor="text1"/>
          <w:lang w:eastAsia="ja-JP"/>
        </w:rPr>
        <w:t xml:space="preserve"> may </w:t>
      </w:r>
      <w:r w:rsidR="00A9519D" w:rsidRPr="00C843F4">
        <w:rPr>
          <w:color w:val="000000" w:themeColor="text1"/>
          <w:lang w:eastAsia="ja-JP"/>
        </w:rPr>
        <w:t xml:space="preserve">in part </w:t>
      </w:r>
      <w:r w:rsidR="00F95AB5" w:rsidRPr="00C843F4">
        <w:rPr>
          <w:color w:val="000000" w:themeColor="text1"/>
          <w:lang w:eastAsia="ja-JP"/>
        </w:rPr>
        <w:t>contribute to the increasing</w:t>
      </w:r>
      <w:r w:rsidR="00A9519D" w:rsidRPr="00C843F4">
        <w:rPr>
          <w:color w:val="000000" w:themeColor="text1"/>
          <w:lang w:eastAsia="ja-JP"/>
        </w:rPr>
        <w:t xml:space="preserve"> negative attribution scores</w:t>
      </w:r>
      <w:r w:rsidR="00F95AB5" w:rsidRPr="00C843F4">
        <w:rPr>
          <w:color w:val="000000" w:themeColor="text1"/>
          <w:lang w:eastAsia="ja-JP"/>
        </w:rPr>
        <w:t xml:space="preserve"> across adolescence</w:t>
      </w:r>
      <w:r w:rsidR="00A9519D" w:rsidRPr="00C843F4">
        <w:rPr>
          <w:color w:val="000000" w:themeColor="text1"/>
          <w:lang w:eastAsia="ja-JP"/>
        </w:rPr>
        <w:t xml:space="preserve">. </w:t>
      </w:r>
      <w:r w:rsidR="007904D8" w:rsidRPr="00C843F4">
        <w:rPr>
          <w:color w:val="000000" w:themeColor="text1"/>
        </w:rPr>
        <w:t xml:space="preserve">Similarly, </w:t>
      </w:r>
      <w:r w:rsidR="00E62E15" w:rsidRPr="00C843F4">
        <w:rPr>
          <w:color w:val="000000" w:themeColor="text1"/>
        </w:rPr>
        <w:t>overgeneralizing</w:t>
      </w:r>
      <w:r w:rsidR="002F3C34" w:rsidRPr="00C843F4">
        <w:rPr>
          <w:color w:val="000000" w:themeColor="text1"/>
        </w:rPr>
        <w:t xml:space="preserve"> involves making assumptions about future events or situations, and thus relies heavily on the individual’s tendency towards future thinking and making significant links between past and future experiences of a given situation. </w:t>
      </w:r>
      <w:r w:rsidR="007E22D7" w:rsidRPr="00C843F4">
        <w:rPr>
          <w:color w:val="000000" w:themeColor="text1"/>
        </w:rPr>
        <w:t>Adolescents have been shown to exhibit developmental gains in abstract thought and reasoning regarding future events</w:t>
      </w:r>
      <w:r w:rsidR="000306CF" w:rsidRPr="00C843F4">
        <w:rPr>
          <w:color w:val="000000" w:themeColor="text1"/>
        </w:rPr>
        <w:t xml:space="preserve"> (</w:t>
      </w:r>
      <w:r w:rsidR="007E22D7" w:rsidRPr="00C843F4">
        <w:rPr>
          <w:color w:val="000000" w:themeColor="text1"/>
        </w:rPr>
        <w:t>Got</w:t>
      </w:r>
      <w:r w:rsidR="00F9392A" w:rsidRPr="00C843F4">
        <w:rPr>
          <w:color w:val="000000" w:themeColor="text1"/>
        </w:rPr>
        <w:t>t</w:t>
      </w:r>
      <w:r w:rsidR="007E22D7" w:rsidRPr="00C843F4">
        <w:rPr>
          <w:color w:val="000000" w:themeColor="text1"/>
        </w:rPr>
        <w:t xml:space="preserve"> and Lah</w:t>
      </w:r>
      <w:r w:rsidR="000306CF" w:rsidRPr="00C843F4">
        <w:rPr>
          <w:color w:val="000000" w:themeColor="text1"/>
        </w:rPr>
        <w:t xml:space="preserve">, </w:t>
      </w:r>
      <w:r w:rsidR="007E22D7" w:rsidRPr="00C843F4">
        <w:rPr>
          <w:color w:val="000000" w:themeColor="text1"/>
        </w:rPr>
        <w:t>2014)</w:t>
      </w:r>
      <w:r w:rsidR="000306CF" w:rsidRPr="00C843F4">
        <w:rPr>
          <w:color w:val="000000" w:themeColor="text1"/>
        </w:rPr>
        <w:t>.</w:t>
      </w:r>
      <w:r w:rsidR="007E22D7" w:rsidRPr="00C843F4">
        <w:rPr>
          <w:color w:val="000000" w:themeColor="text1"/>
        </w:rPr>
        <w:t xml:space="preserve"> </w:t>
      </w:r>
      <w:r w:rsidR="00D041B8" w:rsidRPr="00C843F4">
        <w:rPr>
          <w:color w:val="000000" w:themeColor="text1"/>
        </w:rPr>
        <w:t>It could be that developmental gains in young people’s ability to represent their future drives age-related</w:t>
      </w:r>
      <w:r w:rsidR="00A7671A" w:rsidRPr="00C843F4">
        <w:rPr>
          <w:color w:val="000000" w:themeColor="text1"/>
        </w:rPr>
        <w:t xml:space="preserve"> gains in </w:t>
      </w:r>
      <w:r w:rsidR="00E62E15" w:rsidRPr="00C843F4">
        <w:rPr>
          <w:color w:val="000000" w:themeColor="text1"/>
        </w:rPr>
        <w:t>overgeneralizing</w:t>
      </w:r>
      <w:r w:rsidR="00A7671A" w:rsidRPr="00C843F4">
        <w:rPr>
          <w:color w:val="000000" w:themeColor="text1"/>
        </w:rPr>
        <w:t xml:space="preserve"> bias</w:t>
      </w:r>
      <w:r w:rsidR="0094273B" w:rsidRPr="00C843F4">
        <w:rPr>
          <w:color w:val="000000" w:themeColor="text1"/>
        </w:rPr>
        <w:t xml:space="preserve">. </w:t>
      </w:r>
      <w:r w:rsidR="00F36FFC" w:rsidRPr="00C843F4">
        <w:rPr>
          <w:color w:val="000000" w:themeColor="text1"/>
        </w:rPr>
        <w:t>Future research could test this hypothesis by exploring the link between negative life events</w:t>
      </w:r>
      <w:r w:rsidR="00CA1666" w:rsidRPr="00C843F4">
        <w:rPr>
          <w:color w:val="000000" w:themeColor="text1"/>
        </w:rPr>
        <w:t>, future-</w:t>
      </w:r>
      <w:r w:rsidR="00F36FFC" w:rsidRPr="00C843F4">
        <w:rPr>
          <w:color w:val="000000" w:themeColor="text1"/>
        </w:rPr>
        <w:t xml:space="preserve">focused thinking and increases in negative cognitive biases in typically developing adolescents. </w:t>
      </w:r>
      <w:r w:rsidR="00F269C0" w:rsidRPr="00C843F4">
        <w:rPr>
          <w:color w:val="000000" w:themeColor="text1"/>
          <w:lang w:val="en-GB" w:eastAsia="ja-JP"/>
        </w:rPr>
        <w:t xml:space="preserve"> </w:t>
      </w:r>
    </w:p>
    <w:p w14:paraId="2E68CCD3" w14:textId="670DC454" w:rsidR="00C1717A" w:rsidRPr="00C843F4" w:rsidRDefault="00460927" w:rsidP="0005660E">
      <w:pPr>
        <w:spacing w:line="480" w:lineRule="auto"/>
        <w:ind w:firstLine="720"/>
        <w:rPr>
          <w:color w:val="000000" w:themeColor="text1"/>
        </w:rPr>
      </w:pPr>
      <w:r w:rsidRPr="00C843F4">
        <w:rPr>
          <w:color w:val="000000" w:themeColor="text1"/>
          <w:lang w:val="en-GB" w:eastAsia="ja-JP"/>
        </w:rPr>
        <w:lastRenderedPageBreak/>
        <w:t>More broadly, p</w:t>
      </w:r>
      <w:r w:rsidR="00335125" w:rsidRPr="00C843F4">
        <w:rPr>
          <w:color w:val="000000" w:themeColor="text1"/>
          <w:lang w:val="en-GB" w:eastAsia="ja-JP"/>
        </w:rPr>
        <w:t xml:space="preserve">ubertal </w:t>
      </w:r>
      <w:r w:rsidR="00451098" w:rsidRPr="00C843F4">
        <w:rPr>
          <w:color w:val="000000" w:themeColor="text1"/>
          <w:lang w:val="en-GB" w:eastAsia="ja-JP"/>
        </w:rPr>
        <w:t xml:space="preserve">and social maturation </w:t>
      </w:r>
      <w:r w:rsidR="00335125" w:rsidRPr="00C843F4">
        <w:rPr>
          <w:color w:val="000000" w:themeColor="text1"/>
          <w:lang w:val="en-GB" w:eastAsia="ja-JP"/>
        </w:rPr>
        <w:t xml:space="preserve">during adolescence (Forbes &amp; Dahl, 2010) may also </w:t>
      </w:r>
      <w:r w:rsidRPr="00C843F4">
        <w:rPr>
          <w:color w:val="000000" w:themeColor="text1"/>
          <w:lang w:val="en-GB" w:eastAsia="ja-JP"/>
        </w:rPr>
        <w:t xml:space="preserve">drive changes in negative </w:t>
      </w:r>
      <w:r w:rsidR="00451098" w:rsidRPr="00C843F4">
        <w:rPr>
          <w:color w:val="000000" w:themeColor="text1"/>
          <w:lang w:val="en-GB" w:eastAsia="ja-JP"/>
        </w:rPr>
        <w:t>information</w:t>
      </w:r>
      <w:r w:rsidRPr="00C843F4">
        <w:rPr>
          <w:color w:val="000000" w:themeColor="text1"/>
          <w:lang w:val="en-GB" w:eastAsia="ja-JP"/>
        </w:rPr>
        <w:t xml:space="preserve"> processing. Hormonal changes during puberty has an organizational effect on brain development and has been associated with patterns of psychopathology (Sisk &amp; Zehr, 2005). The age effects observe</w:t>
      </w:r>
      <w:r w:rsidR="00451098" w:rsidRPr="00C843F4">
        <w:rPr>
          <w:color w:val="000000" w:themeColor="text1"/>
          <w:lang w:val="en-GB" w:eastAsia="ja-JP"/>
        </w:rPr>
        <w:t>d</w:t>
      </w:r>
      <w:r w:rsidRPr="00C843F4">
        <w:rPr>
          <w:color w:val="000000" w:themeColor="text1"/>
          <w:lang w:val="en-GB" w:eastAsia="ja-JP"/>
        </w:rPr>
        <w:t xml:space="preserve"> in the current study are likely driven by a complex combination of social, biological and cognitive maturation during adolescence. </w:t>
      </w:r>
    </w:p>
    <w:p w14:paraId="44A4765A" w14:textId="5F53DB69" w:rsidR="002B5D59" w:rsidRPr="00C843F4" w:rsidRDefault="0090501A" w:rsidP="0005660E">
      <w:pPr>
        <w:spacing w:line="480" w:lineRule="auto"/>
        <w:ind w:firstLine="720"/>
        <w:rPr>
          <w:color w:val="000000" w:themeColor="text1"/>
        </w:rPr>
      </w:pPr>
      <w:r w:rsidRPr="00C843F4">
        <w:rPr>
          <w:color w:val="000000" w:themeColor="text1"/>
        </w:rPr>
        <w:t xml:space="preserve">Understanding developmental </w:t>
      </w:r>
      <w:r w:rsidR="00CD67A3" w:rsidRPr="00C843F4">
        <w:rPr>
          <w:color w:val="000000" w:themeColor="text1"/>
        </w:rPr>
        <w:t xml:space="preserve">changes in </w:t>
      </w:r>
      <w:r w:rsidRPr="00C843F4">
        <w:rPr>
          <w:color w:val="000000" w:themeColor="text1"/>
        </w:rPr>
        <w:t>cognitive biases across adolescence has clinical implications for cognitive-</w:t>
      </w:r>
      <w:r w:rsidR="00966BB2" w:rsidRPr="00C843F4">
        <w:rPr>
          <w:color w:val="000000" w:themeColor="text1"/>
        </w:rPr>
        <w:t>behavioral</w:t>
      </w:r>
      <w:r w:rsidRPr="00C843F4">
        <w:rPr>
          <w:color w:val="000000" w:themeColor="text1"/>
        </w:rPr>
        <w:t xml:space="preserve"> therapies (CBT) that aim to </w:t>
      </w:r>
      <w:r w:rsidR="00AB66CA" w:rsidRPr="00C843F4">
        <w:rPr>
          <w:color w:val="000000" w:themeColor="text1"/>
        </w:rPr>
        <w:t xml:space="preserve">change </w:t>
      </w:r>
      <w:r w:rsidRPr="00C843F4">
        <w:rPr>
          <w:color w:val="000000" w:themeColor="text1"/>
        </w:rPr>
        <w:t xml:space="preserve">unhelpful thinking patterns </w:t>
      </w:r>
      <w:r w:rsidR="00345344" w:rsidRPr="00C843F4">
        <w:rPr>
          <w:color w:val="000000" w:themeColor="text1"/>
        </w:rPr>
        <w:t xml:space="preserve">and biases </w:t>
      </w:r>
      <w:r w:rsidRPr="00C843F4">
        <w:rPr>
          <w:color w:val="000000" w:themeColor="text1"/>
        </w:rPr>
        <w:t xml:space="preserve">and encourage </w:t>
      </w:r>
      <w:r w:rsidR="00A2520D" w:rsidRPr="00C843F4">
        <w:rPr>
          <w:color w:val="000000" w:themeColor="text1"/>
        </w:rPr>
        <w:t xml:space="preserve">more </w:t>
      </w:r>
      <w:r w:rsidRPr="00C843F4">
        <w:rPr>
          <w:color w:val="000000" w:themeColor="text1"/>
        </w:rPr>
        <w:t xml:space="preserve">balanced thought processes. </w:t>
      </w:r>
      <w:r w:rsidR="00E62E15" w:rsidRPr="00C843F4">
        <w:rPr>
          <w:color w:val="000000" w:themeColor="text1"/>
        </w:rPr>
        <w:t>CBT</w:t>
      </w:r>
      <w:r w:rsidRPr="00C843F4">
        <w:rPr>
          <w:color w:val="000000" w:themeColor="text1"/>
        </w:rPr>
        <w:t xml:space="preserve"> is one of the most prevalent therapeutic models available for young people due to its </w:t>
      </w:r>
      <w:r w:rsidR="00345344" w:rsidRPr="00C843F4">
        <w:rPr>
          <w:color w:val="000000" w:themeColor="text1"/>
        </w:rPr>
        <w:t xml:space="preserve">substantial </w:t>
      </w:r>
      <w:r w:rsidR="00F2519D" w:rsidRPr="00C843F4">
        <w:rPr>
          <w:color w:val="000000" w:themeColor="text1"/>
        </w:rPr>
        <w:t>evidence base (</w:t>
      </w:r>
      <w:r w:rsidR="008E38BA" w:rsidRPr="00C843F4">
        <w:rPr>
          <w:color w:val="000000" w:themeColor="text1"/>
        </w:rPr>
        <w:t xml:space="preserve">Das et al., 2016). </w:t>
      </w:r>
      <w:r w:rsidRPr="00C843F4">
        <w:rPr>
          <w:color w:val="000000" w:themeColor="text1"/>
        </w:rPr>
        <w:t xml:space="preserve">An important task for the CBT therapist is to consider whether the young person’s presenting cognitive style is within expected normal variations of development or whether it represents a significant deviation from the expected developmental trajectory (Stallard, 2005). However, to date little </w:t>
      </w:r>
      <w:r w:rsidR="003709BE" w:rsidRPr="00C843F4">
        <w:rPr>
          <w:color w:val="000000" w:themeColor="text1"/>
        </w:rPr>
        <w:t xml:space="preserve">is </w:t>
      </w:r>
      <w:r w:rsidRPr="00C843F4">
        <w:rPr>
          <w:color w:val="000000" w:themeColor="text1"/>
        </w:rPr>
        <w:t xml:space="preserve">known about </w:t>
      </w:r>
      <w:r w:rsidR="00CD67A3" w:rsidRPr="00C843F4">
        <w:rPr>
          <w:color w:val="000000" w:themeColor="text1"/>
        </w:rPr>
        <w:t xml:space="preserve">the </w:t>
      </w:r>
      <w:r w:rsidRPr="00C843F4">
        <w:rPr>
          <w:color w:val="000000" w:themeColor="text1"/>
        </w:rPr>
        <w:t xml:space="preserve">normative development of cognitive biases leaving clinicians without evidence-based norms with which to </w:t>
      </w:r>
      <w:r w:rsidR="00652CB4" w:rsidRPr="00C843F4">
        <w:rPr>
          <w:color w:val="000000" w:themeColor="text1"/>
        </w:rPr>
        <w:t xml:space="preserve">understand </w:t>
      </w:r>
      <w:r w:rsidRPr="00C843F4">
        <w:rPr>
          <w:color w:val="000000" w:themeColor="text1"/>
        </w:rPr>
        <w:t>the young person</w:t>
      </w:r>
      <w:r w:rsidR="00652CB4" w:rsidRPr="00C843F4">
        <w:rPr>
          <w:color w:val="000000" w:themeColor="text1"/>
        </w:rPr>
        <w:t>’s thinking styles</w:t>
      </w:r>
      <w:r w:rsidRPr="00C843F4">
        <w:rPr>
          <w:color w:val="000000" w:themeColor="text1"/>
        </w:rPr>
        <w:t xml:space="preserve">. </w:t>
      </w:r>
      <w:r w:rsidR="00345344" w:rsidRPr="00C843F4">
        <w:rPr>
          <w:color w:val="000000" w:themeColor="text1"/>
        </w:rPr>
        <w:t>The</w:t>
      </w:r>
      <w:r w:rsidR="000306CF" w:rsidRPr="00C843F4">
        <w:rPr>
          <w:color w:val="000000" w:themeColor="text1"/>
        </w:rPr>
        <w:t>se</w:t>
      </w:r>
      <w:r w:rsidR="00345344" w:rsidRPr="00C843F4">
        <w:rPr>
          <w:color w:val="000000" w:themeColor="text1"/>
        </w:rPr>
        <w:t xml:space="preserve"> findings offer</w:t>
      </w:r>
      <w:r w:rsidR="00136FA1" w:rsidRPr="00C843F4">
        <w:rPr>
          <w:color w:val="000000" w:themeColor="text1"/>
        </w:rPr>
        <w:t xml:space="preserve"> preliminary data on the age effects</w:t>
      </w:r>
      <w:r w:rsidR="00345344" w:rsidRPr="00C843F4">
        <w:rPr>
          <w:color w:val="000000" w:themeColor="text1"/>
        </w:rPr>
        <w:t xml:space="preserve"> </w:t>
      </w:r>
      <w:r w:rsidR="00136FA1" w:rsidRPr="00C843F4">
        <w:rPr>
          <w:color w:val="000000" w:themeColor="text1"/>
        </w:rPr>
        <w:t xml:space="preserve">of cognitive biases </w:t>
      </w:r>
      <w:r w:rsidR="00345344" w:rsidRPr="00C843F4">
        <w:rPr>
          <w:color w:val="000000" w:themeColor="text1"/>
        </w:rPr>
        <w:t xml:space="preserve">for clinicians to support their interventions. </w:t>
      </w:r>
      <w:r w:rsidR="007A7332" w:rsidRPr="00C843F4">
        <w:rPr>
          <w:color w:val="000000" w:themeColor="text1"/>
        </w:rPr>
        <w:t xml:space="preserve">Additionally, normative data on age-related changes in cognitive biases might be useful </w:t>
      </w:r>
      <w:r w:rsidR="00475DAD" w:rsidRPr="00C843F4">
        <w:rPr>
          <w:color w:val="000000" w:themeColor="text1"/>
        </w:rPr>
        <w:t xml:space="preserve">for researchers hoping to understand deviations from typical development. </w:t>
      </w:r>
    </w:p>
    <w:p w14:paraId="7C9D6CA7" w14:textId="0768AA83" w:rsidR="005F00C8" w:rsidRPr="00C843F4" w:rsidRDefault="002B5D59" w:rsidP="0005660E">
      <w:pPr>
        <w:spacing w:line="480" w:lineRule="auto"/>
        <w:ind w:firstLine="720"/>
        <w:rPr>
          <w:color w:val="000000" w:themeColor="text1"/>
        </w:rPr>
      </w:pPr>
      <w:r w:rsidRPr="00C843F4">
        <w:rPr>
          <w:color w:val="000000" w:themeColor="text1"/>
        </w:rPr>
        <w:t xml:space="preserve">The next step for research exploring developmental norms in cognitive biases might include the exploration of longitudinal </w:t>
      </w:r>
      <w:r w:rsidR="00D2517D" w:rsidRPr="00C843F4">
        <w:rPr>
          <w:color w:val="000000" w:themeColor="text1"/>
        </w:rPr>
        <w:t>trends</w:t>
      </w:r>
      <w:r w:rsidRPr="00C843F4">
        <w:rPr>
          <w:color w:val="000000" w:themeColor="text1"/>
        </w:rPr>
        <w:t xml:space="preserve">. Furthermore, it might be fruitful to </w:t>
      </w:r>
      <w:r w:rsidR="00F05701" w:rsidRPr="00C843F4">
        <w:rPr>
          <w:color w:val="000000" w:themeColor="text1"/>
        </w:rPr>
        <w:t>examine</w:t>
      </w:r>
      <w:r w:rsidRPr="00C843F4">
        <w:rPr>
          <w:color w:val="000000" w:themeColor="text1"/>
        </w:rPr>
        <w:t xml:space="preserve"> whether experimental methods of measuring cognitive biases correspond with the self-report data presented </w:t>
      </w:r>
      <w:r w:rsidR="000306CF" w:rsidRPr="00C843F4">
        <w:rPr>
          <w:color w:val="000000" w:themeColor="text1"/>
        </w:rPr>
        <w:t>here</w:t>
      </w:r>
      <w:r w:rsidRPr="00C843F4">
        <w:rPr>
          <w:color w:val="000000" w:themeColor="text1"/>
        </w:rPr>
        <w:t>. For example, the homophone</w:t>
      </w:r>
      <w:r w:rsidR="008125B6" w:rsidRPr="00C843F4">
        <w:rPr>
          <w:color w:val="000000" w:themeColor="text1"/>
        </w:rPr>
        <w:t xml:space="preserve"> spelling</w:t>
      </w:r>
      <w:r w:rsidRPr="00C843F4">
        <w:rPr>
          <w:color w:val="000000" w:themeColor="text1"/>
        </w:rPr>
        <w:t xml:space="preserve"> task</w:t>
      </w:r>
      <w:r w:rsidR="007079A4" w:rsidRPr="00C843F4">
        <w:rPr>
          <w:color w:val="000000" w:themeColor="text1"/>
        </w:rPr>
        <w:t xml:space="preserve"> </w:t>
      </w:r>
      <w:r w:rsidR="00CC61DD" w:rsidRPr="00C843F4">
        <w:rPr>
          <w:color w:val="000000" w:themeColor="text1"/>
        </w:rPr>
        <w:t xml:space="preserve">(e.g. Richards, Reynolds &amp; French, 1993) </w:t>
      </w:r>
      <w:r w:rsidR="00BF7C4A" w:rsidRPr="00C843F4">
        <w:rPr>
          <w:color w:val="000000" w:themeColor="text1"/>
        </w:rPr>
        <w:t xml:space="preserve">involves </w:t>
      </w:r>
      <w:r w:rsidR="007A629C" w:rsidRPr="00C843F4">
        <w:rPr>
          <w:color w:val="000000" w:themeColor="text1"/>
        </w:rPr>
        <w:t>listening to homophones</w:t>
      </w:r>
      <w:r w:rsidR="008125B6" w:rsidRPr="00C843F4">
        <w:rPr>
          <w:color w:val="000000" w:themeColor="text1"/>
        </w:rPr>
        <w:t xml:space="preserve"> </w:t>
      </w:r>
      <w:r w:rsidR="007A629C" w:rsidRPr="00C843F4">
        <w:rPr>
          <w:color w:val="000000" w:themeColor="text1"/>
        </w:rPr>
        <w:t xml:space="preserve">(e.g. </w:t>
      </w:r>
      <w:r w:rsidR="00BA0E08" w:rsidRPr="00C843F4">
        <w:rPr>
          <w:color w:val="000000" w:themeColor="text1"/>
        </w:rPr>
        <w:t>“</w:t>
      </w:r>
      <w:r w:rsidR="006F5B57" w:rsidRPr="00C843F4">
        <w:rPr>
          <w:color w:val="000000" w:themeColor="text1"/>
        </w:rPr>
        <w:t>die</w:t>
      </w:r>
      <w:r w:rsidR="00BA0E08" w:rsidRPr="00C843F4">
        <w:rPr>
          <w:color w:val="000000" w:themeColor="text1"/>
        </w:rPr>
        <w:t>”</w:t>
      </w:r>
      <w:r w:rsidR="00924F66" w:rsidRPr="00C843F4">
        <w:rPr>
          <w:color w:val="000000" w:themeColor="text1"/>
        </w:rPr>
        <w:t xml:space="preserve"> or </w:t>
      </w:r>
      <w:r w:rsidR="00BA0E08" w:rsidRPr="00C843F4">
        <w:rPr>
          <w:color w:val="000000" w:themeColor="text1"/>
        </w:rPr>
        <w:lastRenderedPageBreak/>
        <w:t>“</w:t>
      </w:r>
      <w:r w:rsidR="008125B6" w:rsidRPr="00C843F4">
        <w:rPr>
          <w:color w:val="000000" w:themeColor="text1"/>
        </w:rPr>
        <w:t>dye</w:t>
      </w:r>
      <w:r w:rsidR="00BA0E08" w:rsidRPr="00C843F4">
        <w:rPr>
          <w:color w:val="000000" w:themeColor="text1"/>
        </w:rPr>
        <w:t>”</w:t>
      </w:r>
      <w:r w:rsidR="006F5B57" w:rsidRPr="00C843F4">
        <w:rPr>
          <w:color w:val="000000" w:themeColor="text1"/>
        </w:rPr>
        <w:t xml:space="preserve">) and spelling out </w:t>
      </w:r>
      <w:r w:rsidR="007079A4" w:rsidRPr="00C843F4">
        <w:rPr>
          <w:color w:val="000000" w:themeColor="text1"/>
        </w:rPr>
        <w:t>either the threatening or nonthreatening interpretation</w:t>
      </w:r>
      <w:r w:rsidRPr="00C843F4">
        <w:rPr>
          <w:color w:val="000000" w:themeColor="text1"/>
        </w:rPr>
        <w:t xml:space="preserve">. However, </w:t>
      </w:r>
      <w:r w:rsidR="007A68F8" w:rsidRPr="00C843F4">
        <w:rPr>
          <w:color w:val="000000" w:themeColor="text1"/>
        </w:rPr>
        <w:t>e</w:t>
      </w:r>
      <w:r w:rsidR="00A923F0" w:rsidRPr="00C843F4">
        <w:rPr>
          <w:color w:val="000000" w:themeColor="text1"/>
        </w:rPr>
        <w:t>xisting experimental paradigms tend to measure a more general negative or threatening interpretation bias</w:t>
      </w:r>
      <w:r w:rsidR="007A68F8" w:rsidRPr="00C843F4">
        <w:rPr>
          <w:color w:val="000000" w:themeColor="text1"/>
        </w:rPr>
        <w:t xml:space="preserve"> (e.g. </w:t>
      </w:r>
      <w:r w:rsidR="007A68F8" w:rsidRPr="00C843F4">
        <w:rPr>
          <w:rFonts w:eastAsia="Times New Roman"/>
          <w:color w:val="000000" w:themeColor="text1"/>
          <w:shd w:val="clear" w:color="auto" w:fill="FFFFFF"/>
        </w:rPr>
        <w:t xml:space="preserve">Haller, Raeder, Scerif, Kadosh &amp; Lau, 2016; Orchard, Pass &amp; Reynolds, 2016b) </w:t>
      </w:r>
      <w:r w:rsidR="007A68F8" w:rsidRPr="00C843F4">
        <w:rPr>
          <w:color w:val="000000" w:themeColor="text1"/>
        </w:rPr>
        <w:t xml:space="preserve">rather than specific biases such as mind reading or </w:t>
      </w:r>
      <w:r w:rsidR="00E62E15" w:rsidRPr="00C843F4">
        <w:rPr>
          <w:color w:val="000000" w:themeColor="text1"/>
        </w:rPr>
        <w:t>overgeneralizing</w:t>
      </w:r>
      <w:r w:rsidR="007A68F8" w:rsidRPr="00C843F4">
        <w:rPr>
          <w:color w:val="000000" w:themeColor="text1"/>
        </w:rPr>
        <w:t xml:space="preserve"> negative events</w:t>
      </w:r>
      <w:r w:rsidR="005C00EA" w:rsidRPr="00C843F4">
        <w:rPr>
          <w:rFonts w:eastAsia="Times New Roman"/>
          <w:color w:val="000000" w:themeColor="text1"/>
          <w:shd w:val="clear" w:color="auto" w:fill="FFFFFF"/>
        </w:rPr>
        <w:t>.</w:t>
      </w:r>
      <w:r w:rsidRPr="00C843F4">
        <w:rPr>
          <w:color w:val="000000" w:themeColor="text1"/>
        </w:rPr>
        <w:t xml:space="preserve"> </w:t>
      </w:r>
      <w:r w:rsidR="00F05701" w:rsidRPr="00C843F4">
        <w:rPr>
          <w:color w:val="000000" w:themeColor="text1"/>
        </w:rPr>
        <w:t>A weakness of the adolescent research in this area is the limited number of cognitive bias measure</w:t>
      </w:r>
      <w:r w:rsidR="007A68F8" w:rsidRPr="00C843F4">
        <w:rPr>
          <w:color w:val="000000" w:themeColor="text1"/>
        </w:rPr>
        <w:t>s that explore</w:t>
      </w:r>
      <w:r w:rsidR="00F05701" w:rsidRPr="00C843F4">
        <w:rPr>
          <w:color w:val="000000" w:themeColor="text1"/>
        </w:rPr>
        <w:t xml:space="preserve"> several different </w:t>
      </w:r>
      <w:r w:rsidR="007A68F8" w:rsidRPr="00C843F4">
        <w:rPr>
          <w:color w:val="000000" w:themeColor="text1"/>
        </w:rPr>
        <w:t xml:space="preserve">types of </w:t>
      </w:r>
      <w:r w:rsidR="00F05701" w:rsidRPr="00C843F4">
        <w:rPr>
          <w:color w:val="000000" w:themeColor="text1"/>
        </w:rPr>
        <w:t>cognitive biases making it difficult for researchers to explore multiple cognitive biases simultaneously. It is clear from the current study that exploring several cognitive biases together</w:t>
      </w:r>
      <w:r w:rsidR="0004687B" w:rsidRPr="00C843F4">
        <w:rPr>
          <w:color w:val="000000" w:themeColor="text1"/>
        </w:rPr>
        <w:t xml:space="preserve"> using an amalgam of measures</w:t>
      </w:r>
      <w:r w:rsidR="00F05701" w:rsidRPr="00C843F4">
        <w:rPr>
          <w:color w:val="000000" w:themeColor="text1"/>
        </w:rPr>
        <w:t xml:space="preserve"> has revealed </w:t>
      </w:r>
      <w:r w:rsidR="00C843F4" w:rsidRPr="00C843F4">
        <w:rPr>
          <w:color w:val="000000" w:themeColor="text1"/>
        </w:rPr>
        <w:t>age-related</w:t>
      </w:r>
      <w:r w:rsidR="00F05701" w:rsidRPr="00C843F4">
        <w:rPr>
          <w:color w:val="000000" w:themeColor="text1"/>
        </w:rPr>
        <w:t xml:space="preserve"> patterns </w:t>
      </w:r>
      <w:r w:rsidR="001214FB" w:rsidRPr="00C843F4">
        <w:rPr>
          <w:color w:val="000000" w:themeColor="text1"/>
        </w:rPr>
        <w:t xml:space="preserve">across biases </w:t>
      </w:r>
      <w:r w:rsidR="00F05701" w:rsidRPr="00C843F4">
        <w:rPr>
          <w:color w:val="000000" w:themeColor="text1"/>
        </w:rPr>
        <w:t xml:space="preserve">that might have otherwise been overlooked if biases were explored singularly. </w:t>
      </w:r>
      <w:r w:rsidR="0004687B" w:rsidRPr="00C843F4">
        <w:rPr>
          <w:color w:val="000000" w:themeColor="text1"/>
        </w:rPr>
        <w:t xml:space="preserve">The relation among these biases </w:t>
      </w:r>
      <w:r w:rsidR="00940837" w:rsidRPr="00C843F4">
        <w:rPr>
          <w:color w:val="000000" w:themeColor="text1"/>
        </w:rPr>
        <w:t xml:space="preserve">(see Table 2 for </w:t>
      </w:r>
      <w:r w:rsidR="00A558A3" w:rsidRPr="00C843F4">
        <w:rPr>
          <w:color w:val="000000" w:themeColor="text1"/>
        </w:rPr>
        <w:t xml:space="preserve">correlations) </w:t>
      </w:r>
      <w:r w:rsidR="0004687B" w:rsidRPr="00C843F4">
        <w:rPr>
          <w:color w:val="000000" w:themeColor="text1"/>
        </w:rPr>
        <w:t xml:space="preserve">and the common developmental factors that might drive these age-related changes could be an interesting focus for future research. </w:t>
      </w:r>
    </w:p>
    <w:p w14:paraId="7BB0F4E2" w14:textId="0A0052FA" w:rsidR="00F05701" w:rsidRPr="00C843F4" w:rsidRDefault="0090501A" w:rsidP="0005660E">
      <w:pPr>
        <w:spacing w:line="480" w:lineRule="auto"/>
        <w:ind w:firstLine="720"/>
        <w:rPr>
          <w:color w:val="000000" w:themeColor="text1"/>
        </w:rPr>
      </w:pPr>
      <w:r w:rsidRPr="00C843F4">
        <w:rPr>
          <w:color w:val="000000" w:themeColor="text1"/>
        </w:rPr>
        <w:t xml:space="preserve">The findings discussed in this </w:t>
      </w:r>
      <w:r w:rsidR="00106C75" w:rsidRPr="00C843F4">
        <w:rPr>
          <w:color w:val="000000" w:themeColor="text1"/>
        </w:rPr>
        <w:t>study</w:t>
      </w:r>
      <w:r w:rsidRPr="00C843F4">
        <w:rPr>
          <w:color w:val="000000" w:themeColor="text1"/>
        </w:rPr>
        <w:t xml:space="preserve"> need to be considered in light of some limitations of the current investigation. </w:t>
      </w:r>
      <w:r w:rsidR="000F5D2C" w:rsidRPr="00C843F4">
        <w:rPr>
          <w:color w:val="000000" w:themeColor="text1"/>
        </w:rPr>
        <w:t>First, the study relied</w:t>
      </w:r>
      <w:r w:rsidRPr="00C843F4">
        <w:rPr>
          <w:color w:val="000000" w:themeColor="text1"/>
        </w:rPr>
        <w:t xml:space="preserve"> on self-repo</w:t>
      </w:r>
      <w:r w:rsidR="00905811" w:rsidRPr="00C843F4">
        <w:rPr>
          <w:color w:val="000000" w:themeColor="text1"/>
        </w:rPr>
        <w:t>rt</w:t>
      </w:r>
      <w:r w:rsidRPr="00C843F4">
        <w:rPr>
          <w:color w:val="000000" w:themeColor="text1"/>
        </w:rPr>
        <w:t xml:space="preserve"> assessment of both cognitive biases and psychopathology without triangulation by clinical assessment</w:t>
      </w:r>
      <w:r w:rsidR="00DD3506" w:rsidRPr="00C843F4">
        <w:rPr>
          <w:color w:val="000000" w:themeColor="text1"/>
        </w:rPr>
        <w:t>.</w:t>
      </w:r>
      <w:r w:rsidR="00694407" w:rsidRPr="00C843F4">
        <w:rPr>
          <w:color w:val="000000" w:themeColor="text1"/>
        </w:rPr>
        <w:t xml:space="preserve"> </w:t>
      </w:r>
      <w:r w:rsidR="000F5D2C" w:rsidRPr="00C843F4">
        <w:rPr>
          <w:color w:val="000000" w:themeColor="text1"/>
        </w:rPr>
        <w:t xml:space="preserve">We further </w:t>
      </w:r>
      <w:r w:rsidR="002B5601" w:rsidRPr="00C843F4">
        <w:rPr>
          <w:color w:val="000000" w:themeColor="text1"/>
        </w:rPr>
        <w:t>recognize</w:t>
      </w:r>
      <w:r w:rsidR="000F5D2C" w:rsidRPr="00C843F4">
        <w:rPr>
          <w:color w:val="000000" w:themeColor="text1"/>
        </w:rPr>
        <w:t xml:space="preserve"> that c</w:t>
      </w:r>
      <w:r w:rsidR="00905811" w:rsidRPr="00C843F4">
        <w:rPr>
          <w:color w:val="000000" w:themeColor="text1"/>
        </w:rPr>
        <w:t xml:space="preserve">onclusions drawn from cross-sectional analyses of age </w:t>
      </w:r>
      <w:r w:rsidR="00345344" w:rsidRPr="00C843F4">
        <w:rPr>
          <w:color w:val="000000" w:themeColor="text1"/>
        </w:rPr>
        <w:t>also require support through</w:t>
      </w:r>
      <w:r w:rsidR="00905811" w:rsidRPr="00C843F4">
        <w:rPr>
          <w:color w:val="000000" w:themeColor="text1"/>
        </w:rPr>
        <w:t xml:space="preserve"> </w:t>
      </w:r>
      <w:r w:rsidR="00345344" w:rsidRPr="00C843F4">
        <w:rPr>
          <w:color w:val="000000" w:themeColor="text1"/>
        </w:rPr>
        <w:t xml:space="preserve">longitudinal </w:t>
      </w:r>
      <w:r w:rsidR="00905811" w:rsidRPr="00C843F4">
        <w:rPr>
          <w:color w:val="000000" w:themeColor="text1"/>
        </w:rPr>
        <w:t>research.</w:t>
      </w:r>
      <w:r w:rsidR="0010139D" w:rsidRPr="00C843F4">
        <w:rPr>
          <w:color w:val="000000" w:themeColor="text1"/>
        </w:rPr>
        <w:t xml:space="preserve"> Additionally, </w:t>
      </w:r>
      <w:r w:rsidR="00AC5930" w:rsidRPr="00C843F4">
        <w:rPr>
          <w:color w:val="000000" w:themeColor="text1"/>
        </w:rPr>
        <w:t>owing to the structure of the local school system, it was necessary to recruit participants of different ages from different schools, allowing for the possibility of confounding cohort effects. H</w:t>
      </w:r>
      <w:r w:rsidR="0010139D" w:rsidRPr="00C843F4">
        <w:rPr>
          <w:color w:val="000000" w:themeColor="text1"/>
        </w:rPr>
        <w:t>owever</w:t>
      </w:r>
      <w:r w:rsidR="00AC5930" w:rsidRPr="00C843F4">
        <w:rPr>
          <w:color w:val="000000" w:themeColor="text1"/>
        </w:rPr>
        <w:t>, we believe</w:t>
      </w:r>
      <w:r w:rsidR="0010139D" w:rsidRPr="00C843F4">
        <w:rPr>
          <w:color w:val="000000" w:themeColor="text1"/>
        </w:rPr>
        <w:t xml:space="preserve"> this is unlikely to account for the findings presented</w:t>
      </w:r>
      <w:r w:rsidR="00AC5930" w:rsidRPr="00C843F4">
        <w:rPr>
          <w:color w:val="000000" w:themeColor="text1"/>
        </w:rPr>
        <w:t>,</w:t>
      </w:r>
      <w:r w:rsidR="0010139D" w:rsidRPr="00C843F4">
        <w:rPr>
          <w:color w:val="000000" w:themeColor="text1"/>
        </w:rPr>
        <w:t xml:space="preserve"> as measures of socio-economic status and psychopathology</w:t>
      </w:r>
      <w:r w:rsidR="003061B0" w:rsidRPr="00C843F4">
        <w:rPr>
          <w:color w:val="000000" w:themeColor="text1"/>
        </w:rPr>
        <w:t xml:space="preserve"> </w:t>
      </w:r>
      <w:r w:rsidR="00AC5930" w:rsidRPr="00C843F4">
        <w:rPr>
          <w:color w:val="000000" w:themeColor="text1"/>
        </w:rPr>
        <w:t>(which differ</w:t>
      </w:r>
      <w:r w:rsidR="000F5D2C" w:rsidRPr="00C843F4">
        <w:rPr>
          <w:color w:val="000000" w:themeColor="text1"/>
        </w:rPr>
        <w:t>ed</w:t>
      </w:r>
      <w:r w:rsidR="00AC5930" w:rsidRPr="00C843F4">
        <w:rPr>
          <w:color w:val="000000" w:themeColor="text1"/>
        </w:rPr>
        <w:t xml:space="preserve"> between </w:t>
      </w:r>
      <w:r w:rsidR="00390C89" w:rsidRPr="00C843F4">
        <w:rPr>
          <w:color w:val="000000" w:themeColor="text1"/>
        </w:rPr>
        <w:t xml:space="preserve">some of the </w:t>
      </w:r>
      <w:r w:rsidR="00AC5930" w:rsidRPr="00C843F4">
        <w:rPr>
          <w:color w:val="000000" w:themeColor="text1"/>
        </w:rPr>
        <w:t>schools</w:t>
      </w:r>
      <w:r w:rsidR="00390C89" w:rsidRPr="00C843F4">
        <w:rPr>
          <w:color w:val="000000" w:themeColor="text1"/>
        </w:rPr>
        <w:t xml:space="preserve"> tested</w:t>
      </w:r>
      <w:r w:rsidR="00AC5930" w:rsidRPr="00C843F4">
        <w:rPr>
          <w:color w:val="000000" w:themeColor="text1"/>
        </w:rPr>
        <w:t xml:space="preserve">) </w:t>
      </w:r>
      <w:r w:rsidR="0010139D" w:rsidRPr="00C843F4">
        <w:rPr>
          <w:color w:val="000000" w:themeColor="text1"/>
        </w:rPr>
        <w:t xml:space="preserve">were accounted for in the </w:t>
      </w:r>
      <w:r w:rsidR="00721283" w:rsidRPr="00C843F4">
        <w:rPr>
          <w:color w:val="000000" w:themeColor="text1"/>
        </w:rPr>
        <w:t xml:space="preserve">adjusted </w:t>
      </w:r>
      <w:r w:rsidR="0010139D" w:rsidRPr="00C843F4">
        <w:rPr>
          <w:color w:val="000000" w:themeColor="text1"/>
        </w:rPr>
        <w:t>analyses</w:t>
      </w:r>
      <w:r w:rsidR="00AC5930" w:rsidRPr="00C843F4">
        <w:rPr>
          <w:color w:val="000000" w:themeColor="text1"/>
        </w:rPr>
        <w:t>, and age effects were still significant</w:t>
      </w:r>
      <w:r w:rsidR="0010139D" w:rsidRPr="00C843F4">
        <w:rPr>
          <w:color w:val="000000" w:themeColor="text1"/>
        </w:rPr>
        <w:t>.</w:t>
      </w:r>
      <w:r w:rsidR="00D95F4E" w:rsidRPr="00C843F4">
        <w:rPr>
          <w:color w:val="000000" w:themeColor="text1"/>
        </w:rPr>
        <w:t xml:space="preserve"> Age was not correlated with internalizing symptoms in our sample, which seems to contradict previous data </w:t>
      </w:r>
      <w:r w:rsidR="00C95116" w:rsidRPr="00C843F4">
        <w:rPr>
          <w:color w:val="000000" w:themeColor="text1"/>
        </w:rPr>
        <w:t>showing</w:t>
      </w:r>
      <w:r w:rsidR="00D95F4E" w:rsidRPr="00C843F4">
        <w:rPr>
          <w:color w:val="000000" w:themeColor="text1"/>
        </w:rPr>
        <w:t xml:space="preserve"> an increase in depre</w:t>
      </w:r>
      <w:r w:rsidR="00C95116" w:rsidRPr="00C843F4">
        <w:rPr>
          <w:color w:val="000000" w:themeColor="text1"/>
        </w:rPr>
        <w:t>ssive</w:t>
      </w:r>
      <w:r w:rsidR="00D95F4E" w:rsidRPr="00C843F4">
        <w:rPr>
          <w:color w:val="000000" w:themeColor="text1"/>
        </w:rPr>
        <w:t xml:space="preserve"> symptoms in </w:t>
      </w:r>
      <w:r w:rsidR="00D95F4E" w:rsidRPr="00C843F4">
        <w:rPr>
          <w:color w:val="000000" w:themeColor="text1"/>
        </w:rPr>
        <w:lastRenderedPageBreak/>
        <w:t xml:space="preserve">females </w:t>
      </w:r>
      <w:r w:rsidR="00C95116" w:rsidRPr="00C843F4">
        <w:rPr>
          <w:color w:val="000000" w:themeColor="text1"/>
        </w:rPr>
        <w:t>in early adolescence</w:t>
      </w:r>
      <w:r w:rsidR="00D95F4E" w:rsidRPr="00C843F4">
        <w:rPr>
          <w:color w:val="000000" w:themeColor="text1"/>
        </w:rPr>
        <w:t xml:space="preserve"> (</w:t>
      </w:r>
      <w:r w:rsidR="00E86CC2" w:rsidRPr="00C843F4">
        <w:rPr>
          <w:color w:val="000000" w:themeColor="text1"/>
        </w:rPr>
        <w:t>NHS Digital, 2018</w:t>
      </w:r>
      <w:r w:rsidR="00D95F4E" w:rsidRPr="00C843F4">
        <w:rPr>
          <w:color w:val="000000" w:themeColor="text1"/>
        </w:rPr>
        <w:t xml:space="preserve">). Given that anxiety and depression symptoms are combined in the internalizing subscale of the SDQ, it could be that our measure lacked sensitivity to pick up on any developmental changes specific to depression in females. </w:t>
      </w:r>
    </w:p>
    <w:p w14:paraId="3B05D41C" w14:textId="497C0215" w:rsidR="00CB6036" w:rsidRPr="00C843F4" w:rsidRDefault="00DA4050" w:rsidP="0005660E">
      <w:pPr>
        <w:spacing w:line="480" w:lineRule="auto"/>
        <w:rPr>
          <w:color w:val="000000" w:themeColor="text1"/>
        </w:rPr>
      </w:pPr>
      <w:r w:rsidRPr="00C843F4">
        <w:rPr>
          <w:b/>
          <w:bCs/>
          <w:color w:val="000000" w:themeColor="text1"/>
        </w:rPr>
        <w:tab/>
      </w:r>
      <w:r w:rsidR="0090501A" w:rsidRPr="00C843F4">
        <w:rPr>
          <w:color w:val="000000" w:themeColor="text1"/>
        </w:rPr>
        <w:t xml:space="preserve">The current study </w:t>
      </w:r>
      <w:r w:rsidR="00514879" w:rsidRPr="00C843F4">
        <w:rPr>
          <w:color w:val="000000" w:themeColor="text1"/>
        </w:rPr>
        <w:t>examined</w:t>
      </w:r>
      <w:r w:rsidR="0090501A" w:rsidRPr="00C843F4">
        <w:rPr>
          <w:color w:val="000000" w:themeColor="text1"/>
        </w:rPr>
        <w:t xml:space="preserve"> normative age-related </w:t>
      </w:r>
      <w:r w:rsidR="00905811" w:rsidRPr="00C843F4">
        <w:rPr>
          <w:color w:val="000000" w:themeColor="text1"/>
        </w:rPr>
        <w:t>changes</w:t>
      </w:r>
      <w:r w:rsidR="0090501A" w:rsidRPr="00C843F4">
        <w:rPr>
          <w:color w:val="000000" w:themeColor="text1"/>
        </w:rPr>
        <w:t xml:space="preserve"> in several cognitive biases </w:t>
      </w:r>
      <w:r w:rsidR="00905811" w:rsidRPr="00C843F4">
        <w:rPr>
          <w:color w:val="000000" w:themeColor="text1"/>
        </w:rPr>
        <w:t>during</w:t>
      </w:r>
      <w:r w:rsidR="00514879" w:rsidRPr="00C843F4">
        <w:rPr>
          <w:color w:val="000000" w:themeColor="text1"/>
        </w:rPr>
        <w:t xml:space="preserve"> adolescence</w:t>
      </w:r>
      <w:r w:rsidR="00E20734" w:rsidRPr="00C843F4">
        <w:rPr>
          <w:color w:val="000000" w:themeColor="text1"/>
        </w:rPr>
        <w:t xml:space="preserve">. </w:t>
      </w:r>
      <w:r w:rsidR="00905811" w:rsidRPr="00C843F4">
        <w:rPr>
          <w:color w:val="000000" w:themeColor="text1"/>
        </w:rPr>
        <w:t xml:space="preserve">Age exhibited a </w:t>
      </w:r>
      <w:r w:rsidR="00A06231" w:rsidRPr="00C843F4">
        <w:rPr>
          <w:color w:val="000000" w:themeColor="text1"/>
        </w:rPr>
        <w:t xml:space="preserve">positive </w:t>
      </w:r>
      <w:r w:rsidR="00905811" w:rsidRPr="00C843F4">
        <w:rPr>
          <w:color w:val="000000" w:themeColor="text1"/>
        </w:rPr>
        <w:t>linear effect on threat bias, negative attributions</w:t>
      </w:r>
      <w:r w:rsidRPr="00C843F4">
        <w:rPr>
          <w:color w:val="000000" w:themeColor="text1"/>
        </w:rPr>
        <w:t xml:space="preserve"> and </w:t>
      </w:r>
      <w:r w:rsidR="00E0646C" w:rsidRPr="00C843F4">
        <w:rPr>
          <w:color w:val="000000" w:themeColor="text1"/>
        </w:rPr>
        <w:t>overgeneralizing</w:t>
      </w:r>
      <w:r w:rsidR="00905811" w:rsidRPr="00C843F4">
        <w:rPr>
          <w:color w:val="000000" w:themeColor="text1"/>
        </w:rPr>
        <w:t xml:space="preserve"> scores </w:t>
      </w:r>
      <w:r w:rsidR="00514879" w:rsidRPr="00C843F4">
        <w:rPr>
          <w:color w:val="000000" w:themeColor="text1"/>
        </w:rPr>
        <w:t>with</w:t>
      </w:r>
      <w:r w:rsidR="00A06231" w:rsidRPr="00C843F4">
        <w:rPr>
          <w:color w:val="000000" w:themeColor="text1"/>
        </w:rPr>
        <w:t xml:space="preserve"> the remaining biases </w:t>
      </w:r>
      <w:r w:rsidR="00CA3BEE" w:rsidRPr="00C843F4">
        <w:rPr>
          <w:color w:val="000000" w:themeColor="text1"/>
        </w:rPr>
        <w:t xml:space="preserve">showing </w:t>
      </w:r>
      <w:r w:rsidR="000F5D2C" w:rsidRPr="00C843F4">
        <w:rPr>
          <w:color w:val="000000" w:themeColor="text1"/>
        </w:rPr>
        <w:t xml:space="preserve">no change </w:t>
      </w:r>
      <w:r w:rsidR="00A06231" w:rsidRPr="00C843F4">
        <w:rPr>
          <w:color w:val="000000" w:themeColor="text1"/>
        </w:rPr>
        <w:t>across adoles</w:t>
      </w:r>
      <w:r w:rsidR="00CA3BEE" w:rsidRPr="00C843F4">
        <w:rPr>
          <w:color w:val="000000" w:themeColor="text1"/>
        </w:rPr>
        <w:t>c</w:t>
      </w:r>
      <w:r w:rsidR="00A06231" w:rsidRPr="00C843F4">
        <w:rPr>
          <w:color w:val="000000" w:themeColor="text1"/>
        </w:rPr>
        <w:t>ence</w:t>
      </w:r>
      <w:r w:rsidR="00514879" w:rsidRPr="00C843F4">
        <w:rPr>
          <w:color w:val="000000" w:themeColor="text1"/>
        </w:rPr>
        <w:t xml:space="preserve">. </w:t>
      </w:r>
      <w:r w:rsidR="0090501A" w:rsidRPr="00C843F4">
        <w:rPr>
          <w:color w:val="000000" w:themeColor="text1"/>
        </w:rPr>
        <w:t xml:space="preserve">Despite the importance of </w:t>
      </w:r>
      <w:r w:rsidR="00402690" w:rsidRPr="00C843F4">
        <w:rPr>
          <w:color w:val="000000" w:themeColor="text1"/>
        </w:rPr>
        <w:t>cognitive</w:t>
      </w:r>
      <w:r w:rsidR="00453E46" w:rsidRPr="00C843F4">
        <w:rPr>
          <w:color w:val="000000" w:themeColor="text1"/>
        </w:rPr>
        <w:t xml:space="preserve"> </w:t>
      </w:r>
      <w:r w:rsidR="0090501A" w:rsidRPr="00C843F4">
        <w:rPr>
          <w:color w:val="000000" w:themeColor="text1"/>
        </w:rPr>
        <w:t xml:space="preserve">biases for explaining </w:t>
      </w:r>
      <w:r w:rsidR="00345344" w:rsidRPr="00C843F4">
        <w:rPr>
          <w:color w:val="000000" w:themeColor="text1"/>
        </w:rPr>
        <w:t xml:space="preserve">the </w:t>
      </w:r>
      <w:r w:rsidR="0090501A" w:rsidRPr="00C843F4">
        <w:rPr>
          <w:color w:val="000000" w:themeColor="text1"/>
        </w:rPr>
        <w:t>cognitive underpinnings of psychopathology</w:t>
      </w:r>
      <w:r w:rsidR="00345344" w:rsidRPr="00C843F4">
        <w:rPr>
          <w:color w:val="000000" w:themeColor="text1"/>
        </w:rPr>
        <w:t xml:space="preserve"> and informing treatment </w:t>
      </w:r>
      <w:r w:rsidR="0090501A" w:rsidRPr="00C843F4">
        <w:rPr>
          <w:color w:val="000000" w:themeColor="text1"/>
        </w:rPr>
        <w:t xml:space="preserve">(Beck, 1976), </w:t>
      </w:r>
      <w:r w:rsidR="00F51553" w:rsidRPr="00C843F4">
        <w:rPr>
          <w:color w:val="000000" w:themeColor="text1"/>
        </w:rPr>
        <w:t xml:space="preserve">little research had examined </w:t>
      </w:r>
      <w:r w:rsidR="00905811" w:rsidRPr="00C843F4">
        <w:rPr>
          <w:color w:val="000000" w:themeColor="text1"/>
        </w:rPr>
        <w:t>how</w:t>
      </w:r>
      <w:r w:rsidR="0090501A" w:rsidRPr="00C843F4">
        <w:rPr>
          <w:color w:val="000000" w:themeColor="text1"/>
        </w:rPr>
        <w:t xml:space="preserve"> these thinking patterns </w:t>
      </w:r>
      <w:r w:rsidR="00514879" w:rsidRPr="00C843F4">
        <w:rPr>
          <w:color w:val="000000" w:themeColor="text1"/>
        </w:rPr>
        <w:t xml:space="preserve">develop </w:t>
      </w:r>
      <w:r w:rsidR="00905811" w:rsidRPr="00C843F4">
        <w:rPr>
          <w:color w:val="000000" w:themeColor="text1"/>
        </w:rPr>
        <w:t>across</w:t>
      </w:r>
      <w:r w:rsidR="00514879" w:rsidRPr="00C843F4">
        <w:rPr>
          <w:color w:val="000000" w:themeColor="text1"/>
        </w:rPr>
        <w:t xml:space="preserve"> adolescence</w:t>
      </w:r>
      <w:r w:rsidR="0090501A" w:rsidRPr="00C843F4">
        <w:rPr>
          <w:color w:val="000000" w:themeColor="text1"/>
        </w:rPr>
        <w:t>,</w:t>
      </w:r>
      <w:r w:rsidR="00514879" w:rsidRPr="00C843F4">
        <w:rPr>
          <w:color w:val="000000" w:themeColor="text1"/>
        </w:rPr>
        <w:t xml:space="preserve"> a key period of change in terms of social functioning and brain development (Kilford, Garrett &amp; Blakemore, 2016). </w:t>
      </w:r>
      <w:r w:rsidR="00CF69F3" w:rsidRPr="00C843F4">
        <w:rPr>
          <w:color w:val="000000" w:themeColor="text1"/>
        </w:rPr>
        <w:t xml:space="preserve">Our data provide an important first step in </w:t>
      </w:r>
      <w:r w:rsidR="007142A7" w:rsidRPr="00C843F4">
        <w:rPr>
          <w:color w:val="000000" w:themeColor="text1"/>
        </w:rPr>
        <w:t>addressing this question</w:t>
      </w:r>
      <w:r w:rsidR="00CF69F3" w:rsidRPr="00C843F4">
        <w:rPr>
          <w:color w:val="000000" w:themeColor="text1"/>
        </w:rPr>
        <w:t>.</w:t>
      </w:r>
      <w:r w:rsidR="00402690" w:rsidRPr="00C843F4">
        <w:rPr>
          <w:color w:val="000000" w:themeColor="text1"/>
        </w:rPr>
        <w:t xml:space="preserve"> </w:t>
      </w:r>
    </w:p>
    <w:p w14:paraId="799C882C" w14:textId="77777777" w:rsidR="007477C1" w:rsidRPr="00C843F4" w:rsidRDefault="007477C1" w:rsidP="0005660E">
      <w:pPr>
        <w:spacing w:line="480" w:lineRule="auto"/>
        <w:rPr>
          <w:color w:val="000000" w:themeColor="text1"/>
        </w:rPr>
      </w:pPr>
    </w:p>
    <w:p w14:paraId="61FF3BD8" w14:textId="121DE8BD" w:rsidR="00FF6D78" w:rsidRPr="00C843F4" w:rsidRDefault="00FF6D78" w:rsidP="0005660E">
      <w:pPr>
        <w:spacing w:line="480" w:lineRule="auto"/>
        <w:rPr>
          <w:color w:val="000000" w:themeColor="text1"/>
        </w:rPr>
      </w:pPr>
    </w:p>
    <w:p w14:paraId="20766883" w14:textId="799438DC" w:rsidR="00FF6D78" w:rsidRPr="00C843F4" w:rsidRDefault="00FF6D78" w:rsidP="00D94E2F">
      <w:pPr>
        <w:spacing w:line="480" w:lineRule="auto"/>
      </w:pPr>
    </w:p>
    <w:p w14:paraId="465656DE" w14:textId="77777777" w:rsidR="0054489A" w:rsidRPr="00C843F4" w:rsidRDefault="0054489A" w:rsidP="000B6C0F">
      <w:pPr>
        <w:spacing w:line="480" w:lineRule="auto"/>
        <w:jc w:val="center"/>
        <w:rPr>
          <w:b/>
          <w:color w:val="000000" w:themeColor="text1"/>
        </w:rPr>
      </w:pPr>
      <w:r w:rsidRPr="00C843F4">
        <w:br w:type="page"/>
      </w:r>
      <w:r w:rsidRPr="00C843F4">
        <w:rPr>
          <w:b/>
          <w:color w:val="000000" w:themeColor="text1"/>
        </w:rPr>
        <w:lastRenderedPageBreak/>
        <w:t>References</w:t>
      </w:r>
    </w:p>
    <w:p w14:paraId="6046CEF4" w14:textId="77777777" w:rsidR="00C843F4" w:rsidRPr="00C843F4" w:rsidRDefault="0054489A" w:rsidP="00C843F4">
      <w:pPr>
        <w:pStyle w:val="NormalWeb"/>
        <w:spacing w:line="480" w:lineRule="auto"/>
        <w:ind w:left="480" w:hanging="480"/>
        <w:contextualSpacing/>
        <w:rPr>
          <w:color w:val="000000" w:themeColor="text1"/>
          <w:lang w:eastAsia="ja-JP"/>
        </w:rPr>
      </w:pPr>
      <w:r w:rsidRPr="00C843F4">
        <w:rPr>
          <w:color w:val="000000" w:themeColor="text1"/>
          <w:lang w:eastAsia="ja-JP"/>
        </w:rPr>
        <w:t xml:space="preserve">Abela, J. R. Z. (2001). The hopelessness theory of depression: A test of the diathesis – stress and causal mediation components in third and seventh grade children. Journal of Abnormal Child Psychology, 29(3), 241–254. </w:t>
      </w:r>
    </w:p>
    <w:p w14:paraId="741168C7" w14:textId="177E4D4C" w:rsidR="00150608" w:rsidRPr="00C843F4" w:rsidRDefault="00150608" w:rsidP="00C843F4">
      <w:pPr>
        <w:pStyle w:val="NormalWeb"/>
        <w:spacing w:line="480" w:lineRule="auto"/>
        <w:ind w:left="480" w:hanging="480"/>
        <w:contextualSpacing/>
        <w:rPr>
          <w:color w:val="000000" w:themeColor="text1"/>
          <w:lang w:eastAsia="ja-JP"/>
        </w:rPr>
      </w:pPr>
      <w:r w:rsidRPr="00C843F4">
        <w:rPr>
          <w:color w:val="000000" w:themeColor="text1"/>
          <w:lang w:eastAsia="ja-JP"/>
        </w:rPr>
        <w:t>Altemus, M., Sarvaiya, N., &amp; Epperson, C.</w:t>
      </w:r>
      <w:r w:rsidR="00307EAF" w:rsidRPr="00C843F4">
        <w:rPr>
          <w:color w:val="000000" w:themeColor="text1"/>
          <w:lang w:eastAsia="ja-JP"/>
        </w:rPr>
        <w:t xml:space="preserve"> N.</w:t>
      </w:r>
      <w:r w:rsidRPr="00C843F4">
        <w:rPr>
          <w:color w:val="000000" w:themeColor="text1"/>
          <w:lang w:eastAsia="ja-JP"/>
        </w:rPr>
        <w:t xml:space="preserve"> (2014). Sex differences in anxiety and depression clinical perspectives. Frontiers in Neuroendocrinology, 35(3), 320–330. https://doi.org/10.1016/j.yfrne.2014.05.004</w:t>
      </w:r>
    </w:p>
    <w:p w14:paraId="7E39A7F6" w14:textId="0D452F42" w:rsidR="0054489A" w:rsidRPr="00C843F4" w:rsidRDefault="0054489A" w:rsidP="00C843F4">
      <w:pPr>
        <w:pStyle w:val="NormalWeb"/>
        <w:spacing w:line="480" w:lineRule="auto"/>
        <w:ind w:left="480" w:hanging="480"/>
        <w:contextualSpacing/>
        <w:rPr>
          <w:color w:val="000000" w:themeColor="text1"/>
        </w:rPr>
      </w:pPr>
      <w:r w:rsidRPr="00C843F4">
        <w:rPr>
          <w:color w:val="000000" w:themeColor="text1"/>
          <w:lang w:eastAsia="ja-JP"/>
        </w:rPr>
        <w:t xml:space="preserve">Barrett, P. M., Rapee, R. M., Dadds, M. M., &amp; Ryan, S. M. (1996). Family enhancement of cognitive style in anxious and aggressive children. </w:t>
      </w:r>
      <w:r w:rsidRPr="00C843F4">
        <w:rPr>
          <w:i/>
          <w:iCs/>
          <w:color w:val="000000" w:themeColor="text1"/>
          <w:lang w:eastAsia="ja-JP"/>
        </w:rPr>
        <w:t>Journal of Abnormal Child Psychology</w:t>
      </w:r>
      <w:r w:rsidRPr="00C843F4">
        <w:rPr>
          <w:color w:val="000000" w:themeColor="text1"/>
          <w:lang w:eastAsia="ja-JP"/>
        </w:rPr>
        <w:t xml:space="preserve">, </w:t>
      </w:r>
      <w:r w:rsidRPr="00C843F4">
        <w:rPr>
          <w:i/>
          <w:iCs/>
          <w:color w:val="000000" w:themeColor="text1"/>
          <w:lang w:eastAsia="ja-JP"/>
        </w:rPr>
        <w:t>24</w:t>
      </w:r>
      <w:r w:rsidRPr="00C843F4">
        <w:rPr>
          <w:color w:val="000000" w:themeColor="text1"/>
          <w:lang w:eastAsia="ja-JP"/>
        </w:rPr>
        <w:t xml:space="preserve">(2), 187–203. </w:t>
      </w:r>
      <w:r w:rsidR="00D21B22" w:rsidRPr="00C843F4">
        <w:rPr>
          <w:color w:val="000000" w:themeColor="text1"/>
          <w:lang w:eastAsia="ja-JP"/>
        </w:rPr>
        <w:t>doi.org/10.1007/BF01441484</w:t>
      </w:r>
    </w:p>
    <w:p w14:paraId="04ED7278" w14:textId="75437D62" w:rsidR="0054489A" w:rsidRPr="00C843F4" w:rsidRDefault="0054489A" w:rsidP="00C843F4">
      <w:pPr>
        <w:pStyle w:val="NormalWeb"/>
        <w:spacing w:line="480" w:lineRule="auto"/>
        <w:ind w:left="480" w:hanging="480"/>
        <w:contextualSpacing/>
        <w:rPr>
          <w:color w:val="000000" w:themeColor="text1"/>
        </w:rPr>
      </w:pPr>
      <w:r w:rsidRPr="00C843F4">
        <w:rPr>
          <w:color w:val="000000" w:themeColor="text1"/>
          <w:lang w:eastAsia="ja-JP"/>
        </w:rPr>
        <w:t xml:space="preserve">Beck, A. T. (1976). </w:t>
      </w:r>
      <w:r w:rsidRPr="00C843F4">
        <w:rPr>
          <w:i/>
          <w:iCs/>
          <w:color w:val="000000" w:themeColor="text1"/>
          <w:lang w:eastAsia="ja-JP"/>
        </w:rPr>
        <w:t>Cognitive therapy and the emotional disorders</w:t>
      </w:r>
      <w:r w:rsidR="00D21B22" w:rsidRPr="00C843F4">
        <w:rPr>
          <w:color w:val="000000" w:themeColor="text1"/>
          <w:lang w:eastAsia="ja-JP"/>
        </w:rPr>
        <w:t>. New York: International</w:t>
      </w:r>
      <w:r w:rsidRPr="00C843F4">
        <w:rPr>
          <w:color w:val="000000" w:themeColor="text1"/>
          <w:lang w:eastAsia="ja-JP"/>
        </w:rPr>
        <w:t xml:space="preserve"> Universities Press. </w:t>
      </w:r>
    </w:p>
    <w:p w14:paraId="3DF28BC3" w14:textId="77777777" w:rsidR="0054489A" w:rsidRPr="00C843F4" w:rsidRDefault="0054489A" w:rsidP="00C843F4">
      <w:pPr>
        <w:pStyle w:val="NormalWeb"/>
        <w:spacing w:line="480" w:lineRule="auto"/>
        <w:ind w:left="480" w:hanging="480"/>
        <w:contextualSpacing/>
        <w:rPr>
          <w:rFonts w:eastAsia="Times New Roman"/>
          <w:color w:val="000000" w:themeColor="text1"/>
          <w:shd w:val="clear" w:color="auto" w:fill="FFFFFF"/>
        </w:rPr>
      </w:pPr>
      <w:r w:rsidRPr="00C843F4">
        <w:rPr>
          <w:rFonts w:eastAsia="Times New Roman"/>
          <w:color w:val="000000" w:themeColor="text1"/>
          <w:shd w:val="clear" w:color="auto" w:fill="FFFFFF"/>
        </w:rPr>
        <w:t xml:space="preserve">Beck, A. T., Emery, G., &amp; Greenberg, R. L. (1985). </w:t>
      </w:r>
      <w:r w:rsidRPr="00C843F4">
        <w:rPr>
          <w:rFonts w:eastAsia="Times New Roman"/>
          <w:i/>
          <w:color w:val="000000" w:themeColor="text1"/>
          <w:shd w:val="clear" w:color="auto" w:fill="FFFFFF"/>
        </w:rPr>
        <w:t>Anxiety disorders and phobias: A cognitive approach</w:t>
      </w:r>
      <w:r w:rsidRPr="00C843F4">
        <w:rPr>
          <w:rFonts w:eastAsia="Times New Roman"/>
          <w:color w:val="000000" w:themeColor="text1"/>
          <w:shd w:val="clear" w:color="auto" w:fill="FFFFFF"/>
        </w:rPr>
        <w:t>.</w:t>
      </w:r>
      <w:r w:rsidRPr="00C843F4">
        <w:rPr>
          <w:rStyle w:val="apple-converted-space"/>
          <w:rFonts w:eastAsia="Times New Roman"/>
          <w:color w:val="000000" w:themeColor="text1"/>
          <w:shd w:val="clear" w:color="auto" w:fill="FFFFFF"/>
        </w:rPr>
        <w:t> </w:t>
      </w:r>
      <w:r w:rsidRPr="00C843F4">
        <w:rPr>
          <w:rFonts w:eastAsia="Times New Roman"/>
          <w:iCs/>
          <w:color w:val="000000" w:themeColor="text1"/>
        </w:rPr>
        <w:t>Basic Books, New York</w:t>
      </w:r>
      <w:r w:rsidRPr="00C843F4">
        <w:rPr>
          <w:rFonts w:eastAsia="Times New Roman"/>
          <w:color w:val="000000" w:themeColor="text1"/>
          <w:shd w:val="clear" w:color="auto" w:fill="FFFFFF"/>
        </w:rPr>
        <w:t>.</w:t>
      </w:r>
    </w:p>
    <w:p w14:paraId="1CE88AA3" w14:textId="77777777" w:rsidR="0054489A" w:rsidRPr="00C843F4" w:rsidRDefault="0054489A" w:rsidP="00C843F4">
      <w:pPr>
        <w:pStyle w:val="NormalWeb"/>
        <w:spacing w:line="480" w:lineRule="auto"/>
        <w:ind w:left="480" w:hanging="480"/>
        <w:contextualSpacing/>
        <w:rPr>
          <w:rFonts w:eastAsia="Times New Roman"/>
          <w:color w:val="000000" w:themeColor="text1"/>
          <w:shd w:val="clear" w:color="auto" w:fill="FFFFFF"/>
        </w:rPr>
      </w:pPr>
      <w:r w:rsidRPr="00C843F4">
        <w:rPr>
          <w:color w:val="000000" w:themeColor="text1"/>
          <w:lang w:eastAsia="ja-JP"/>
        </w:rPr>
        <w:t xml:space="preserve">Beck, A. T., Rush, A. J., Shaw, B. F., &amp; Emery, G. (1979). </w:t>
      </w:r>
      <w:r w:rsidRPr="00C843F4">
        <w:rPr>
          <w:i/>
          <w:iCs/>
          <w:color w:val="000000" w:themeColor="text1"/>
          <w:lang w:eastAsia="ja-JP"/>
        </w:rPr>
        <w:t xml:space="preserve">Cognitive therapy of depression. </w:t>
      </w:r>
      <w:r w:rsidRPr="00C843F4">
        <w:rPr>
          <w:color w:val="000000" w:themeColor="text1"/>
          <w:lang w:eastAsia="ja-JP"/>
        </w:rPr>
        <w:t xml:space="preserve">New York: Guilford. </w:t>
      </w:r>
    </w:p>
    <w:p w14:paraId="54F382C5" w14:textId="04F0E2DA" w:rsidR="0054489A" w:rsidRPr="00C843F4" w:rsidRDefault="0054489A" w:rsidP="00C843F4">
      <w:pPr>
        <w:pStyle w:val="NormalWeb"/>
        <w:spacing w:line="480" w:lineRule="auto"/>
        <w:ind w:left="480" w:hanging="480"/>
        <w:contextualSpacing/>
        <w:rPr>
          <w:color w:val="000000" w:themeColor="text1"/>
        </w:rPr>
      </w:pPr>
      <w:r w:rsidRPr="00C843F4">
        <w:rPr>
          <w:color w:val="000000" w:themeColor="text1"/>
        </w:rPr>
        <w:t>Cannon, M. F., &amp; Weems, C. F. (2010</w:t>
      </w:r>
      <w:r w:rsidR="00D21B22" w:rsidRPr="00C843F4">
        <w:rPr>
          <w:color w:val="000000" w:themeColor="text1"/>
        </w:rPr>
        <w:t>).</w:t>
      </w:r>
      <w:r w:rsidRPr="00C843F4">
        <w:rPr>
          <w:color w:val="000000" w:themeColor="text1"/>
        </w:rPr>
        <w:t xml:space="preserve"> Cognitive biases in childhood anxiety disorders: Do interpretive and judgment biases distinguish anxious youth from their non-anxious peers? </w:t>
      </w:r>
      <w:r w:rsidRPr="00C843F4">
        <w:rPr>
          <w:i/>
          <w:iCs/>
          <w:color w:val="000000" w:themeColor="text1"/>
        </w:rPr>
        <w:t>Journal of Anxiety Disorders</w:t>
      </w:r>
      <w:r w:rsidRPr="00C843F4">
        <w:rPr>
          <w:color w:val="000000" w:themeColor="text1"/>
        </w:rPr>
        <w:t xml:space="preserve">, </w:t>
      </w:r>
      <w:r w:rsidRPr="00C843F4">
        <w:rPr>
          <w:i/>
          <w:iCs/>
          <w:color w:val="000000" w:themeColor="text1"/>
        </w:rPr>
        <w:t>24</w:t>
      </w:r>
      <w:r w:rsidRPr="00C843F4">
        <w:rPr>
          <w:color w:val="000000" w:themeColor="text1"/>
        </w:rPr>
        <w:t>(7), 751–758. doi.org/10.1016/j.janxdis.2010.05.008</w:t>
      </w:r>
    </w:p>
    <w:p w14:paraId="1CEC90F1" w14:textId="5794B86C" w:rsidR="0054489A" w:rsidRPr="00C843F4" w:rsidRDefault="0054489A" w:rsidP="00C843F4">
      <w:pPr>
        <w:pStyle w:val="NormalWeb"/>
        <w:spacing w:line="480" w:lineRule="auto"/>
        <w:ind w:left="480" w:hanging="480"/>
        <w:contextualSpacing/>
        <w:rPr>
          <w:color w:val="000000" w:themeColor="text1"/>
        </w:rPr>
      </w:pPr>
      <w:r w:rsidRPr="00C843F4">
        <w:rPr>
          <w:rFonts w:eastAsia="Times New Roman"/>
          <w:color w:val="000000" w:themeColor="text1"/>
          <w:shd w:val="clear" w:color="auto" w:fill="FFFFFF"/>
        </w:rPr>
        <w:t>Casey, B. J., Jones, R. M., &amp; Hare, T. A. (2008). The adolescent brain.</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Annals of the New York Academy of Sciences</w:t>
      </w:r>
      <w:r w:rsidRPr="00C843F4">
        <w:rPr>
          <w:rFonts w:eastAsia="Times New Roman"/>
          <w:color w:val="000000" w:themeColor="text1"/>
          <w:shd w:val="clear" w:color="auto" w:fill="FFFFFF"/>
        </w:rPr>
        <w:t>,</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1124</w:t>
      </w:r>
      <w:r w:rsidRPr="00C843F4">
        <w:rPr>
          <w:rFonts w:eastAsia="Times New Roman"/>
          <w:color w:val="000000" w:themeColor="text1"/>
          <w:shd w:val="clear" w:color="auto" w:fill="FFFFFF"/>
        </w:rPr>
        <w:t>(1), 111-126.</w:t>
      </w:r>
      <w:r w:rsidR="00D21B22" w:rsidRPr="00C843F4">
        <w:rPr>
          <w:rFonts w:eastAsia="Times New Roman"/>
          <w:color w:val="000000" w:themeColor="text1"/>
          <w:shd w:val="clear" w:color="auto" w:fill="FFFFFF"/>
        </w:rPr>
        <w:t xml:space="preserve"> doi.org/10.1196/annals.1440.010</w:t>
      </w:r>
    </w:p>
    <w:p w14:paraId="3A812B11" w14:textId="03C78CE5" w:rsidR="0054489A" w:rsidRPr="00C843F4" w:rsidRDefault="0054489A" w:rsidP="00C843F4">
      <w:pPr>
        <w:pStyle w:val="NormalWeb"/>
        <w:spacing w:line="480" w:lineRule="auto"/>
        <w:ind w:left="480" w:hanging="480"/>
        <w:contextualSpacing/>
        <w:rPr>
          <w:color w:val="000000" w:themeColor="text1"/>
        </w:rPr>
      </w:pPr>
      <w:r w:rsidRPr="00C843F4">
        <w:rPr>
          <w:rFonts w:eastAsia="Times New Roman"/>
          <w:color w:val="000000" w:themeColor="text1"/>
          <w:shd w:val="clear" w:color="auto" w:fill="FFFFFF"/>
        </w:rPr>
        <w:t>Cole, D. A., Ciesla, J. A.,</w:t>
      </w:r>
      <w:r w:rsidR="00D21B22" w:rsidRPr="00C843F4">
        <w:rPr>
          <w:rFonts w:eastAsia="Times New Roman"/>
          <w:color w:val="000000" w:themeColor="text1"/>
          <w:shd w:val="clear" w:color="auto" w:fill="FFFFFF"/>
        </w:rPr>
        <w:t xml:space="preserve"> Dallaire, D. H., Jacquez, F. M.</w:t>
      </w:r>
      <w:r w:rsidRPr="00C843F4">
        <w:rPr>
          <w:rFonts w:eastAsia="Times New Roman"/>
          <w:color w:val="000000" w:themeColor="text1"/>
          <w:shd w:val="clear" w:color="auto" w:fill="FFFFFF"/>
        </w:rPr>
        <w:t xml:space="preserve">, Pineda, A. Q., LaGrange, B., ... &amp; Felton, J. W. (2008). Emergence of attributional style and its relation to </w:t>
      </w:r>
      <w:r w:rsidRPr="00C843F4">
        <w:rPr>
          <w:rFonts w:eastAsia="Times New Roman"/>
          <w:color w:val="000000" w:themeColor="text1"/>
          <w:shd w:val="clear" w:color="auto" w:fill="FFFFFF"/>
        </w:rPr>
        <w:lastRenderedPageBreak/>
        <w:t>depressive symptoms.</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Journal of Abnormal Psychology</w:t>
      </w:r>
      <w:r w:rsidRPr="00C843F4">
        <w:rPr>
          <w:rFonts w:eastAsia="Times New Roman"/>
          <w:color w:val="000000" w:themeColor="text1"/>
          <w:shd w:val="clear" w:color="auto" w:fill="FFFFFF"/>
        </w:rPr>
        <w:t>,</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117</w:t>
      </w:r>
      <w:r w:rsidRPr="00C843F4">
        <w:rPr>
          <w:rFonts w:eastAsia="Times New Roman"/>
          <w:color w:val="000000" w:themeColor="text1"/>
          <w:shd w:val="clear" w:color="auto" w:fill="FFFFFF"/>
        </w:rPr>
        <w:t>(1), 16-31.</w:t>
      </w:r>
      <w:r w:rsidRPr="00C843F4">
        <w:rPr>
          <w:color w:val="000000" w:themeColor="text1"/>
        </w:rPr>
        <w:t xml:space="preserve"> </w:t>
      </w:r>
      <w:r w:rsidRPr="00C843F4">
        <w:rPr>
          <w:rFonts w:eastAsia="Times New Roman"/>
          <w:color w:val="000000" w:themeColor="text1"/>
          <w:shd w:val="clear" w:color="auto" w:fill="FFFFFF"/>
        </w:rPr>
        <w:t>doi/10.1037/0021-843X.117.1.16</w:t>
      </w:r>
    </w:p>
    <w:p w14:paraId="085E09E4" w14:textId="77777777" w:rsidR="0054489A" w:rsidRPr="00C843F4" w:rsidRDefault="0054489A" w:rsidP="00C843F4">
      <w:pPr>
        <w:pStyle w:val="NormalWeb"/>
        <w:spacing w:line="480" w:lineRule="auto"/>
        <w:ind w:left="480" w:hanging="480"/>
        <w:contextualSpacing/>
        <w:rPr>
          <w:color w:val="000000" w:themeColor="text1"/>
        </w:rPr>
      </w:pPr>
      <w:r w:rsidRPr="00C843F4">
        <w:rPr>
          <w:color w:val="000000" w:themeColor="text1"/>
        </w:rPr>
        <w:t xml:space="preserve">Creswell, C., &amp; Connor, T. G. O. (2011). Interpretation bias and anxiety in childhood: Stability, specificity and longitudinal associations. </w:t>
      </w:r>
      <w:r w:rsidRPr="00C843F4">
        <w:rPr>
          <w:i/>
          <w:color w:val="000000" w:themeColor="text1"/>
        </w:rPr>
        <w:t>Behavioural and Cognitive Psychotherapy, 39</w:t>
      </w:r>
      <w:r w:rsidRPr="00C843F4">
        <w:rPr>
          <w:color w:val="000000" w:themeColor="text1"/>
        </w:rPr>
        <w:t>(2), 191–204. doi.org/10.1017/S1352465810000494</w:t>
      </w:r>
    </w:p>
    <w:p w14:paraId="233753E9" w14:textId="414EB17B" w:rsidR="0054489A" w:rsidRPr="00C843F4" w:rsidRDefault="0054489A" w:rsidP="00C843F4">
      <w:pPr>
        <w:pStyle w:val="NormalWeb"/>
        <w:spacing w:line="480" w:lineRule="auto"/>
        <w:ind w:left="480" w:hanging="480"/>
        <w:contextualSpacing/>
        <w:rPr>
          <w:color w:val="000000" w:themeColor="text1"/>
        </w:rPr>
      </w:pPr>
      <w:r w:rsidRPr="00C843F4">
        <w:rPr>
          <w:rFonts w:eastAsia="Times New Roman"/>
          <w:color w:val="000000" w:themeColor="text1"/>
          <w:shd w:val="clear" w:color="auto" w:fill="FFFFFF"/>
        </w:rPr>
        <w:t>Das, J. K., Salam, R. A., Lassi, Z. S., Khan, M. N., Mahmood, W., Patel, V., &amp; Bhutta, Z. A. (2016). Interventions</w:t>
      </w:r>
      <w:r w:rsidR="00D21B22" w:rsidRPr="00C843F4">
        <w:rPr>
          <w:rFonts w:eastAsia="Times New Roman"/>
          <w:color w:val="000000" w:themeColor="text1"/>
          <w:shd w:val="clear" w:color="auto" w:fill="FFFFFF"/>
        </w:rPr>
        <w:t xml:space="preserve"> for adolescent mental health: A</w:t>
      </w:r>
      <w:r w:rsidRPr="00C843F4">
        <w:rPr>
          <w:rFonts w:eastAsia="Times New Roman"/>
          <w:color w:val="000000" w:themeColor="text1"/>
          <w:shd w:val="clear" w:color="auto" w:fill="FFFFFF"/>
        </w:rPr>
        <w:t>n overview of systematic reviews.</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Journal of Adolescent Health</w:t>
      </w:r>
      <w:r w:rsidRPr="00C843F4">
        <w:rPr>
          <w:rFonts w:eastAsia="Times New Roman"/>
          <w:color w:val="000000" w:themeColor="text1"/>
          <w:shd w:val="clear" w:color="auto" w:fill="FFFFFF"/>
        </w:rPr>
        <w:t>,</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59</w:t>
      </w:r>
      <w:r w:rsidRPr="00C843F4">
        <w:rPr>
          <w:rFonts w:eastAsia="Times New Roman"/>
          <w:color w:val="000000" w:themeColor="text1"/>
          <w:shd w:val="clear" w:color="auto" w:fill="FFFFFF"/>
        </w:rPr>
        <w:t>(4), S49-S60.</w:t>
      </w:r>
      <w:r w:rsidR="00D21B22" w:rsidRPr="00C843F4">
        <w:t xml:space="preserve"> </w:t>
      </w:r>
      <w:r w:rsidR="00D21B22" w:rsidRPr="00C843F4">
        <w:rPr>
          <w:rFonts w:eastAsia="Times New Roman"/>
          <w:color w:val="000000" w:themeColor="text1"/>
          <w:shd w:val="clear" w:color="auto" w:fill="FFFFFF"/>
        </w:rPr>
        <w:t>doi.org/10.1016/j.jadohealth.2016.06.020</w:t>
      </w:r>
    </w:p>
    <w:p w14:paraId="1C9AD1DC" w14:textId="77777777" w:rsidR="0054489A" w:rsidRPr="00C843F4" w:rsidRDefault="0054489A" w:rsidP="00C843F4">
      <w:pPr>
        <w:pStyle w:val="NormalWeb"/>
        <w:spacing w:line="480" w:lineRule="auto"/>
        <w:ind w:left="480" w:hanging="480"/>
        <w:contextualSpacing/>
        <w:rPr>
          <w:color w:val="000000" w:themeColor="text1"/>
        </w:rPr>
      </w:pPr>
      <w:r w:rsidRPr="00C843F4">
        <w:rPr>
          <w:color w:val="000000" w:themeColor="text1"/>
        </w:rPr>
        <w:t xml:space="preserve">Decety, J., &amp; Michalska, K. J. (2010). Neurodevelopmental changes in the circuits underlying empathy and sympathy from childhood to adulthood. </w:t>
      </w:r>
      <w:r w:rsidRPr="00C843F4">
        <w:rPr>
          <w:i/>
          <w:color w:val="000000" w:themeColor="text1"/>
        </w:rPr>
        <w:t>Developmental Science</w:t>
      </w:r>
      <w:r w:rsidRPr="00C843F4">
        <w:rPr>
          <w:color w:val="000000" w:themeColor="text1"/>
        </w:rPr>
        <w:t xml:space="preserve">, </w:t>
      </w:r>
      <w:r w:rsidRPr="00C843F4">
        <w:rPr>
          <w:i/>
          <w:color w:val="000000" w:themeColor="text1"/>
        </w:rPr>
        <w:t>13</w:t>
      </w:r>
      <w:r w:rsidRPr="00C843F4">
        <w:rPr>
          <w:color w:val="000000" w:themeColor="text1"/>
        </w:rPr>
        <w:t>(</w:t>
      </w:r>
      <w:r w:rsidRPr="00C843F4">
        <w:rPr>
          <w:iCs/>
          <w:color w:val="000000" w:themeColor="text1"/>
        </w:rPr>
        <w:t>6)</w:t>
      </w:r>
      <w:r w:rsidRPr="00C843F4">
        <w:rPr>
          <w:color w:val="000000" w:themeColor="text1"/>
        </w:rPr>
        <w:t>, 886–899. doi.org/10.1111/j.1467-7687.2009.00940.x</w:t>
      </w:r>
    </w:p>
    <w:p w14:paraId="20335087" w14:textId="77777777" w:rsidR="00A06486" w:rsidRPr="00C843F4" w:rsidRDefault="0054489A" w:rsidP="00C843F4">
      <w:pPr>
        <w:pStyle w:val="NormalWeb"/>
        <w:spacing w:line="480" w:lineRule="auto"/>
        <w:ind w:left="480" w:hanging="480"/>
        <w:contextualSpacing/>
        <w:rPr>
          <w:color w:val="000000" w:themeColor="text1"/>
        </w:rPr>
      </w:pPr>
      <w:r w:rsidRPr="00C843F4">
        <w:rPr>
          <w:color w:val="000000" w:themeColor="text1"/>
        </w:rPr>
        <w:t xml:space="preserve">Dumontheil, I., Apperly, I. A., &amp; Blakemore, S. (2010). Online usage of theory of mind continues to develop in late adolescence. </w:t>
      </w:r>
      <w:r w:rsidRPr="00C843F4">
        <w:rPr>
          <w:i/>
          <w:color w:val="000000" w:themeColor="text1"/>
        </w:rPr>
        <w:t>Developmental Science</w:t>
      </w:r>
      <w:r w:rsidRPr="00C843F4">
        <w:rPr>
          <w:color w:val="000000" w:themeColor="text1"/>
        </w:rPr>
        <w:t xml:space="preserve">, </w:t>
      </w:r>
      <w:r w:rsidRPr="00C843F4">
        <w:rPr>
          <w:i/>
          <w:color w:val="000000" w:themeColor="text1"/>
        </w:rPr>
        <w:t>13(</w:t>
      </w:r>
      <w:r w:rsidRPr="00C843F4">
        <w:rPr>
          <w:iCs/>
          <w:color w:val="000000" w:themeColor="text1"/>
        </w:rPr>
        <w:t>2)</w:t>
      </w:r>
      <w:r w:rsidRPr="00C843F4">
        <w:rPr>
          <w:color w:val="000000" w:themeColor="text1"/>
        </w:rPr>
        <w:t>, 331–338. doi.org/10.1111/j.1467-7687.2009.00888.x</w:t>
      </w:r>
    </w:p>
    <w:p w14:paraId="332EADAA" w14:textId="0DB4679B" w:rsidR="00A06486" w:rsidRPr="00C843F4" w:rsidRDefault="00A06486" w:rsidP="00C843F4">
      <w:pPr>
        <w:pStyle w:val="NormalWeb"/>
        <w:spacing w:line="480" w:lineRule="auto"/>
        <w:ind w:left="480" w:hanging="480"/>
        <w:contextualSpacing/>
      </w:pPr>
      <w:r w:rsidRPr="00C843F4">
        <w:t>Entwisle</w:t>
      </w:r>
      <w:r w:rsidR="00D21B22" w:rsidRPr="00C843F4">
        <w:t>a</w:t>
      </w:r>
      <w:r w:rsidRPr="00C843F4">
        <w:t>, D. R.</w:t>
      </w:r>
      <w:r w:rsidR="003E7171" w:rsidRPr="00C843F4">
        <w:t>, &amp; Astone, N. M. (1994). Some p</w:t>
      </w:r>
      <w:r w:rsidRPr="00C843F4">
        <w:t>ractical</w:t>
      </w:r>
      <w:r w:rsidR="003E7171" w:rsidRPr="00C843F4">
        <w:t xml:space="preserve"> guidelines for measuring y</w:t>
      </w:r>
      <w:r w:rsidRPr="00C843F4">
        <w:t>outh’</w:t>
      </w:r>
      <w:r w:rsidR="003E7171" w:rsidRPr="00C843F4">
        <w:t>s r</w:t>
      </w:r>
      <w:r w:rsidRPr="00C843F4">
        <w:t>ace/</w:t>
      </w:r>
      <w:r w:rsidR="003E7171" w:rsidRPr="00C843F4">
        <w:t>e</w:t>
      </w:r>
      <w:r w:rsidRPr="00C843F4">
        <w:t xml:space="preserve">thnicity and </w:t>
      </w:r>
      <w:r w:rsidR="003E7171" w:rsidRPr="00C843F4">
        <w:t>socioeconomic s</w:t>
      </w:r>
      <w:r w:rsidRPr="00C843F4">
        <w:t xml:space="preserve">tatus. </w:t>
      </w:r>
      <w:r w:rsidRPr="00C843F4">
        <w:rPr>
          <w:i/>
          <w:iCs/>
        </w:rPr>
        <w:t>Child Development</w:t>
      </w:r>
      <w:r w:rsidRPr="00C843F4">
        <w:t xml:space="preserve">, </w:t>
      </w:r>
      <w:r w:rsidRPr="00C843F4">
        <w:rPr>
          <w:i/>
          <w:iCs/>
        </w:rPr>
        <w:t>65</w:t>
      </w:r>
      <w:r w:rsidRPr="00C843F4">
        <w:t>(6), 1521–1540.</w:t>
      </w:r>
      <w:r w:rsidR="00180784" w:rsidRPr="00C843F4">
        <w:t xml:space="preserve"> doi.org/10.1111/j.1467-8624.1994.tb00833.x</w:t>
      </w:r>
    </w:p>
    <w:p w14:paraId="12BA3E78" w14:textId="5E7EFD57" w:rsidR="0086117E" w:rsidRPr="00C843F4" w:rsidRDefault="0086117E" w:rsidP="00C843F4">
      <w:pPr>
        <w:pStyle w:val="NormalWeb"/>
        <w:spacing w:line="480" w:lineRule="auto"/>
        <w:ind w:left="480" w:hanging="480"/>
        <w:contextualSpacing/>
      </w:pPr>
      <w:r w:rsidRPr="00C843F4">
        <w:t>Forbes, </w:t>
      </w:r>
      <w:r w:rsidR="00335125" w:rsidRPr="00C843F4">
        <w:t xml:space="preserve">E. E. &amp; </w:t>
      </w:r>
      <w:r w:rsidRPr="00C843F4">
        <w:t>Dahl</w:t>
      </w:r>
      <w:r w:rsidR="00335125" w:rsidRPr="00C843F4">
        <w:t xml:space="preserve">, R. E. (2010). </w:t>
      </w:r>
      <w:r w:rsidRPr="00C843F4">
        <w:t>Pubertal development and behavior: Hormonal activation of social and motivational tendencies</w:t>
      </w:r>
      <w:r w:rsidR="00335125" w:rsidRPr="00C843F4">
        <w:t xml:space="preserve">. </w:t>
      </w:r>
      <w:r w:rsidRPr="00C843F4">
        <w:rPr>
          <w:i/>
        </w:rPr>
        <w:t>Brain and Cognition</w:t>
      </w:r>
      <w:r w:rsidRPr="00C843F4">
        <w:t>, 72, pp. 66-72</w:t>
      </w:r>
      <w:r w:rsidR="00335125" w:rsidRPr="00C843F4">
        <w:t>. doi.org/10.1016/j.bandc.2009.10.007</w:t>
      </w:r>
    </w:p>
    <w:p w14:paraId="76C486A0" w14:textId="03317E72" w:rsidR="0054489A" w:rsidRPr="00C843F4" w:rsidRDefault="0054489A" w:rsidP="00C843F4">
      <w:pPr>
        <w:pStyle w:val="NormalWeb"/>
        <w:spacing w:line="480" w:lineRule="auto"/>
        <w:ind w:left="480" w:hanging="480"/>
        <w:contextualSpacing/>
        <w:rPr>
          <w:color w:val="000000" w:themeColor="text1"/>
        </w:rPr>
      </w:pPr>
      <w:r w:rsidRPr="00C843F4">
        <w:rPr>
          <w:color w:val="000000" w:themeColor="text1"/>
        </w:rPr>
        <w:t xml:space="preserve">Goodman, R. (1997). The Strengths and Difficulties Questionnaire: A research note. </w:t>
      </w:r>
      <w:r w:rsidRPr="00C843F4">
        <w:rPr>
          <w:i/>
          <w:color w:val="000000" w:themeColor="text1"/>
        </w:rPr>
        <w:t>Journal of Child Psychology and Psychiatry</w:t>
      </w:r>
      <w:r w:rsidRPr="00C843F4">
        <w:rPr>
          <w:color w:val="000000" w:themeColor="text1"/>
        </w:rPr>
        <w:t xml:space="preserve">, </w:t>
      </w:r>
      <w:r w:rsidRPr="00C843F4">
        <w:rPr>
          <w:i/>
          <w:color w:val="000000" w:themeColor="text1"/>
        </w:rPr>
        <w:t>38</w:t>
      </w:r>
      <w:r w:rsidRPr="00C843F4">
        <w:rPr>
          <w:color w:val="000000" w:themeColor="text1"/>
        </w:rPr>
        <w:t>(5), 581–586.</w:t>
      </w:r>
      <w:r w:rsidR="00180784" w:rsidRPr="00C843F4">
        <w:rPr>
          <w:color w:val="000000" w:themeColor="text1"/>
        </w:rPr>
        <w:t xml:space="preserve"> doi.org/10.1111/j.1469-7610.1997.tb01545.x</w:t>
      </w:r>
    </w:p>
    <w:p w14:paraId="222D6440" w14:textId="3244B26B" w:rsidR="0005660E" w:rsidRPr="00C843F4" w:rsidRDefault="0005660E" w:rsidP="00C843F4">
      <w:pPr>
        <w:pStyle w:val="NormalWeb"/>
        <w:spacing w:line="480" w:lineRule="auto"/>
        <w:ind w:left="480" w:hanging="480"/>
        <w:contextualSpacing/>
        <w:rPr>
          <w:color w:val="000000" w:themeColor="text1"/>
          <w:lang w:val="en-GB"/>
        </w:rPr>
      </w:pPr>
      <w:r w:rsidRPr="00C843F4">
        <w:rPr>
          <w:color w:val="000000" w:themeColor="text1"/>
          <w:lang w:val="en-GB"/>
        </w:rPr>
        <w:lastRenderedPageBreak/>
        <w:t xml:space="preserve">Goodman R. (2001). Psychometric properties of the strengths and difficulties questionnaire. </w:t>
      </w:r>
      <w:r w:rsidRPr="00C843F4">
        <w:rPr>
          <w:i/>
          <w:color w:val="000000" w:themeColor="text1"/>
          <w:lang w:val="en-GB"/>
        </w:rPr>
        <w:t>Journal of the American Academy of Child and Adolescent Psychiatry</w:t>
      </w:r>
      <w:r w:rsidRPr="00C843F4">
        <w:rPr>
          <w:color w:val="000000" w:themeColor="text1"/>
          <w:lang w:val="en-GB"/>
        </w:rPr>
        <w:t>, 40: 1337–45.</w:t>
      </w:r>
      <w:r w:rsidR="00180784" w:rsidRPr="00C843F4">
        <w:rPr>
          <w:color w:val="000000" w:themeColor="text1"/>
          <w:lang w:val="en-GB"/>
        </w:rPr>
        <w:t xml:space="preserve"> doi.org/10.1097/00004583-200111000-00015</w:t>
      </w:r>
    </w:p>
    <w:p w14:paraId="6C6D8FC0" w14:textId="77777777" w:rsidR="0054489A" w:rsidRPr="00C843F4" w:rsidRDefault="0054489A" w:rsidP="00C843F4">
      <w:pPr>
        <w:pStyle w:val="NormalWeb"/>
        <w:spacing w:line="480" w:lineRule="auto"/>
        <w:ind w:left="480" w:hanging="480"/>
        <w:contextualSpacing/>
        <w:rPr>
          <w:color w:val="000000" w:themeColor="text1"/>
        </w:rPr>
      </w:pPr>
      <w:r w:rsidRPr="00C843F4">
        <w:rPr>
          <w:rFonts w:eastAsia="Times New Roman"/>
          <w:color w:val="000000" w:themeColor="text1"/>
          <w:lang w:eastAsia="en-GB"/>
        </w:rPr>
        <w:t xml:space="preserve">Gott, C., &amp; Lah, S. (2014). Episodic future thinking in children compared to adolescents. </w:t>
      </w:r>
      <w:r w:rsidRPr="00C843F4">
        <w:rPr>
          <w:rFonts w:eastAsia="Times New Roman"/>
          <w:i/>
          <w:iCs/>
          <w:color w:val="000000" w:themeColor="text1"/>
          <w:lang w:eastAsia="en-GB"/>
        </w:rPr>
        <w:t>Child Neuropsychology</w:t>
      </w:r>
      <w:r w:rsidRPr="00C843F4">
        <w:rPr>
          <w:rFonts w:eastAsia="Times New Roman"/>
          <w:color w:val="000000" w:themeColor="text1"/>
          <w:lang w:eastAsia="en-GB"/>
        </w:rPr>
        <w:t xml:space="preserve">, </w:t>
      </w:r>
      <w:r w:rsidRPr="00C843F4">
        <w:rPr>
          <w:rFonts w:eastAsia="Times New Roman"/>
          <w:i/>
          <w:iCs/>
          <w:color w:val="000000" w:themeColor="text1"/>
          <w:lang w:eastAsia="en-GB"/>
        </w:rPr>
        <w:t>20</w:t>
      </w:r>
      <w:r w:rsidRPr="00C843F4">
        <w:rPr>
          <w:rFonts w:eastAsia="Times New Roman"/>
          <w:color w:val="000000" w:themeColor="text1"/>
          <w:lang w:eastAsia="en-GB"/>
        </w:rPr>
        <w:t>(5), 625–640.</w:t>
      </w:r>
      <w:r w:rsidRPr="00C843F4">
        <w:rPr>
          <w:color w:val="000000" w:themeColor="text1"/>
        </w:rPr>
        <w:t xml:space="preserve"> </w:t>
      </w:r>
      <w:r w:rsidRPr="00C843F4">
        <w:rPr>
          <w:rFonts w:eastAsia="Times New Roman"/>
          <w:color w:val="000000" w:themeColor="text1"/>
          <w:lang w:eastAsia="en-GB"/>
        </w:rPr>
        <w:t>doi.org/10.1080/09297049.2013.840362</w:t>
      </w:r>
    </w:p>
    <w:p w14:paraId="6C375A89" w14:textId="0C3F9CA0" w:rsidR="00563AB7" w:rsidRPr="00C843F4" w:rsidRDefault="0054489A" w:rsidP="00C843F4">
      <w:pPr>
        <w:pStyle w:val="NormalWeb"/>
        <w:spacing w:line="480" w:lineRule="auto"/>
        <w:ind w:left="480" w:hanging="480"/>
        <w:contextualSpacing/>
        <w:rPr>
          <w:rFonts w:eastAsia="Times New Roman"/>
          <w:color w:val="000000" w:themeColor="text1"/>
          <w:shd w:val="clear" w:color="auto" w:fill="FFFFFF"/>
        </w:rPr>
      </w:pPr>
      <w:r w:rsidRPr="00C843F4">
        <w:rPr>
          <w:rFonts w:eastAsia="Times New Roman"/>
          <w:color w:val="000000" w:themeColor="text1"/>
          <w:shd w:val="clear" w:color="auto" w:fill="FFFFFF"/>
        </w:rPr>
        <w:t>Haller, S. P., Raeder, S. M., Scerif, G., Kadosh, K. C., &amp; Lau, J. Y. (2016). Measuring online interpretations and attributions of social situations: Links with adolescent social anxiety.</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Journal of behavior therapy and experimental psychiatry</w:t>
      </w:r>
      <w:r w:rsidRPr="00C843F4">
        <w:rPr>
          <w:rFonts w:eastAsia="Times New Roman"/>
          <w:color w:val="000000" w:themeColor="text1"/>
          <w:shd w:val="clear" w:color="auto" w:fill="FFFFFF"/>
        </w:rPr>
        <w:t>,</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50</w:t>
      </w:r>
      <w:r w:rsidRPr="00C843F4">
        <w:rPr>
          <w:rFonts w:eastAsia="Times New Roman"/>
          <w:color w:val="000000" w:themeColor="text1"/>
          <w:shd w:val="clear" w:color="auto" w:fill="FFFFFF"/>
        </w:rPr>
        <w:t>, 250-256</w:t>
      </w:r>
      <w:r w:rsidR="00563AB7" w:rsidRPr="00C843F4">
        <w:rPr>
          <w:rFonts w:eastAsia="Times New Roman"/>
          <w:color w:val="000000" w:themeColor="text1"/>
          <w:shd w:val="clear" w:color="auto" w:fill="FFFFFF"/>
        </w:rPr>
        <w:t>.</w:t>
      </w:r>
      <w:r w:rsidR="00180784" w:rsidRPr="00C843F4">
        <w:rPr>
          <w:rFonts w:eastAsia="Times New Roman"/>
          <w:color w:val="000000" w:themeColor="text1"/>
          <w:shd w:val="clear" w:color="auto" w:fill="FFFFFF"/>
        </w:rPr>
        <w:t xml:space="preserve"> </w:t>
      </w:r>
      <w:r w:rsidR="00184E39" w:rsidRPr="00C843F4">
        <w:rPr>
          <w:rFonts w:eastAsia="Times New Roman"/>
          <w:color w:val="000000" w:themeColor="text1"/>
          <w:shd w:val="clear" w:color="auto" w:fill="FFFFFF"/>
        </w:rPr>
        <w:t>doi.org/10.1016/j.jbtep.2015.09.009</w:t>
      </w:r>
    </w:p>
    <w:p w14:paraId="0A0D7607" w14:textId="0B2F4682" w:rsidR="009C295C" w:rsidRPr="00C843F4" w:rsidRDefault="0054489A" w:rsidP="00C843F4">
      <w:pPr>
        <w:pStyle w:val="NormalWeb"/>
        <w:spacing w:line="480" w:lineRule="auto"/>
        <w:ind w:left="480" w:hanging="480"/>
        <w:contextualSpacing/>
        <w:rPr>
          <w:color w:val="000000" w:themeColor="text1"/>
          <w:lang w:eastAsia="ja-JP"/>
        </w:rPr>
      </w:pPr>
      <w:r w:rsidRPr="00C843F4">
        <w:rPr>
          <w:color w:val="000000" w:themeColor="text1"/>
          <w:lang w:eastAsia="ja-JP"/>
        </w:rPr>
        <w:t xml:space="preserve">Harvey, A. G., Watkins, E., Mansell, W., &amp; Shafran, R. (2004). </w:t>
      </w:r>
      <w:r w:rsidR="00EB6C29" w:rsidRPr="00C843F4">
        <w:rPr>
          <w:i/>
          <w:iCs/>
          <w:color w:val="000000" w:themeColor="text1"/>
          <w:lang w:eastAsia="ja-JP"/>
        </w:rPr>
        <w:t>Cognitive behavioural</w:t>
      </w:r>
      <w:r w:rsidRPr="00C843F4">
        <w:rPr>
          <w:i/>
          <w:iCs/>
          <w:color w:val="000000" w:themeColor="text1"/>
          <w:lang w:eastAsia="ja-JP"/>
        </w:rPr>
        <w:t xml:space="preserve"> processes across psychological disorders: A transdiagnostic approach to research and treatment</w:t>
      </w:r>
      <w:r w:rsidRPr="00C843F4">
        <w:rPr>
          <w:color w:val="000000" w:themeColor="text1"/>
          <w:lang w:eastAsia="ja-JP"/>
        </w:rPr>
        <w:t xml:space="preserve">. New York, NY: Oxford University Press. </w:t>
      </w:r>
    </w:p>
    <w:p w14:paraId="4C935057" w14:textId="77777777" w:rsidR="0054489A" w:rsidRPr="00C843F4" w:rsidRDefault="0054489A" w:rsidP="00C843F4">
      <w:pPr>
        <w:pStyle w:val="NormalWeb"/>
        <w:spacing w:line="480" w:lineRule="auto"/>
        <w:ind w:left="480" w:hanging="480"/>
        <w:contextualSpacing/>
        <w:rPr>
          <w:color w:val="000000" w:themeColor="text1"/>
        </w:rPr>
      </w:pPr>
      <w:r w:rsidRPr="00C843F4">
        <w:rPr>
          <w:rFonts w:eastAsia="Times New Roman"/>
          <w:color w:val="000000" w:themeColor="text1"/>
          <w:shd w:val="clear" w:color="auto" w:fill="FFFFFF"/>
        </w:rPr>
        <w:t>Kaslow, N. J., &amp; Nolen-Hoeksema, S. (1991). Children’s Attributional Style Questionnaire-Revised.</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Unpublished manuscript, Emory University, Atlanta, GA</w:t>
      </w:r>
      <w:r w:rsidRPr="00C843F4">
        <w:rPr>
          <w:rFonts w:eastAsia="Times New Roman"/>
          <w:color w:val="000000" w:themeColor="text1"/>
          <w:shd w:val="clear" w:color="auto" w:fill="FFFFFF"/>
        </w:rPr>
        <w:t>.</w:t>
      </w:r>
    </w:p>
    <w:p w14:paraId="062ED896" w14:textId="77777777" w:rsidR="00B9686E" w:rsidRPr="00C843F4" w:rsidRDefault="0054489A" w:rsidP="00C843F4">
      <w:pPr>
        <w:pStyle w:val="NormalWeb"/>
        <w:spacing w:line="480" w:lineRule="auto"/>
        <w:ind w:left="480" w:hanging="480"/>
        <w:contextualSpacing/>
        <w:rPr>
          <w:color w:val="000000" w:themeColor="text1"/>
        </w:rPr>
      </w:pPr>
      <w:r w:rsidRPr="00C843F4">
        <w:rPr>
          <w:color w:val="000000" w:themeColor="text1"/>
        </w:rPr>
        <w:t xml:space="preserve">Kilford, E. J., Garrett, E., &amp; Blakemore, S. (2016). The development of social cognition in adolescence: An integrated perspective. </w:t>
      </w:r>
      <w:r w:rsidRPr="00C843F4">
        <w:rPr>
          <w:i/>
          <w:iCs/>
          <w:color w:val="000000" w:themeColor="text1"/>
        </w:rPr>
        <w:t>Neuroscience and Biobehavioral Reviews</w:t>
      </w:r>
      <w:r w:rsidRPr="00C843F4">
        <w:rPr>
          <w:color w:val="000000" w:themeColor="text1"/>
        </w:rPr>
        <w:t xml:space="preserve">, </w:t>
      </w:r>
      <w:r w:rsidRPr="00C843F4">
        <w:rPr>
          <w:i/>
          <w:iCs/>
          <w:color w:val="000000" w:themeColor="text1"/>
        </w:rPr>
        <w:t>70</w:t>
      </w:r>
      <w:r w:rsidRPr="00C843F4">
        <w:rPr>
          <w:color w:val="000000" w:themeColor="text1"/>
        </w:rPr>
        <w:t>, 106–120. doi.org/10.1016/j.neubiorev.2016.08.016</w:t>
      </w:r>
    </w:p>
    <w:p w14:paraId="180E5740" w14:textId="4468CA2D" w:rsidR="00B9686E" w:rsidRPr="00C843F4" w:rsidRDefault="00B9686E" w:rsidP="00C843F4">
      <w:pPr>
        <w:pStyle w:val="NormalWeb"/>
        <w:spacing w:line="480" w:lineRule="auto"/>
        <w:ind w:left="480" w:hanging="480"/>
        <w:contextualSpacing/>
        <w:rPr>
          <w:color w:val="000000" w:themeColor="text1"/>
        </w:rPr>
      </w:pPr>
      <w:r w:rsidRPr="00C843F4">
        <w:rPr>
          <w:rFonts w:eastAsia="Times New Roman"/>
          <w:color w:val="000000" w:themeColor="text1"/>
          <w:shd w:val="clear" w:color="auto" w:fill="FFFFFF"/>
        </w:rPr>
        <w:t>Larson, R., &amp; Ham, M. (1993). Stress and</w:t>
      </w:r>
      <w:r w:rsidR="00BF0119" w:rsidRPr="00C843F4">
        <w:rPr>
          <w:rFonts w:eastAsia="Times New Roman"/>
          <w:color w:val="000000" w:themeColor="text1"/>
          <w:shd w:val="clear" w:color="auto" w:fill="FFFFFF"/>
        </w:rPr>
        <w:t xml:space="preserve"> "</w:t>
      </w:r>
      <w:r w:rsidRPr="00C843F4">
        <w:rPr>
          <w:rFonts w:eastAsia="Times New Roman"/>
          <w:color w:val="000000" w:themeColor="text1"/>
          <w:shd w:val="clear" w:color="auto" w:fill="FFFFFF"/>
        </w:rPr>
        <w:t>storm and stress" in early adolescence: The relationship of negative events with dysphoric affect.</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Developmental psychology</w:t>
      </w:r>
      <w:r w:rsidRPr="00C843F4">
        <w:rPr>
          <w:rFonts w:eastAsia="Times New Roman"/>
          <w:color w:val="000000" w:themeColor="text1"/>
          <w:shd w:val="clear" w:color="auto" w:fill="FFFFFF"/>
        </w:rPr>
        <w:t>,</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29</w:t>
      </w:r>
      <w:r w:rsidRPr="00C843F4">
        <w:rPr>
          <w:rFonts w:eastAsia="Times New Roman"/>
          <w:color w:val="000000" w:themeColor="text1"/>
          <w:shd w:val="clear" w:color="auto" w:fill="FFFFFF"/>
        </w:rPr>
        <w:t>(1), 130-140.</w:t>
      </w:r>
      <w:r w:rsidRPr="00C843F4">
        <w:rPr>
          <w:color w:val="000000" w:themeColor="text1"/>
        </w:rPr>
        <w:t xml:space="preserve"> </w:t>
      </w:r>
      <w:r w:rsidRPr="00C843F4">
        <w:rPr>
          <w:rFonts w:eastAsia="Times New Roman"/>
          <w:color w:val="000000" w:themeColor="text1"/>
          <w:shd w:val="clear" w:color="auto" w:fill="FFFFFF"/>
        </w:rPr>
        <w:t>doi/10.1037/0012-1649.29.1.130</w:t>
      </w:r>
    </w:p>
    <w:p w14:paraId="4CFE28CB" w14:textId="5DB650E0" w:rsidR="0054489A" w:rsidRPr="00C843F4" w:rsidRDefault="0054489A" w:rsidP="00C843F4">
      <w:pPr>
        <w:pStyle w:val="NormalWeb"/>
        <w:spacing w:line="480" w:lineRule="auto"/>
        <w:ind w:left="480" w:hanging="480"/>
        <w:contextualSpacing/>
        <w:rPr>
          <w:color w:val="000000" w:themeColor="text1"/>
        </w:rPr>
      </w:pPr>
      <w:r w:rsidRPr="00C843F4">
        <w:rPr>
          <w:rFonts w:eastAsia="Times New Roman"/>
          <w:color w:val="000000" w:themeColor="text1"/>
          <w:shd w:val="clear" w:color="auto" w:fill="FFFFFF"/>
        </w:rPr>
        <w:t>Mathews, A., &amp; MacLeod, C. (2005). Cognitive vulnerability to emotional disorders.</w:t>
      </w:r>
      <w:r w:rsidRPr="00C843F4">
        <w:rPr>
          <w:rStyle w:val="apple-converted-space"/>
          <w:rFonts w:eastAsia="Times New Roman"/>
          <w:color w:val="000000" w:themeColor="text1"/>
          <w:shd w:val="clear" w:color="auto" w:fill="FFFFFF"/>
        </w:rPr>
        <w:t> </w:t>
      </w:r>
      <w:r w:rsidR="00E82C11" w:rsidRPr="00C843F4">
        <w:rPr>
          <w:rFonts w:eastAsia="Times New Roman"/>
          <w:i/>
          <w:iCs/>
          <w:color w:val="000000" w:themeColor="text1"/>
        </w:rPr>
        <w:t>Annual Review of Clinical Psychology</w:t>
      </w:r>
      <w:r w:rsidRPr="00C843F4">
        <w:rPr>
          <w:rFonts w:eastAsia="Times New Roman"/>
          <w:color w:val="000000" w:themeColor="text1"/>
          <w:shd w:val="clear" w:color="auto" w:fill="FFFFFF"/>
        </w:rPr>
        <w:t>,</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1</w:t>
      </w:r>
      <w:r w:rsidRPr="00C843F4">
        <w:rPr>
          <w:rFonts w:eastAsia="Times New Roman"/>
          <w:color w:val="000000" w:themeColor="text1"/>
          <w:shd w:val="clear" w:color="auto" w:fill="FFFFFF"/>
        </w:rPr>
        <w:t>, 167-195.</w:t>
      </w:r>
      <w:r w:rsidRPr="00C843F4">
        <w:rPr>
          <w:color w:val="000000" w:themeColor="text1"/>
        </w:rPr>
        <w:t xml:space="preserve"> doi.org/10.1146/annurev.clinpsy.1.102803.143916</w:t>
      </w:r>
    </w:p>
    <w:p w14:paraId="4D6FC9EA" w14:textId="77777777" w:rsidR="0054489A" w:rsidRPr="00C843F4" w:rsidRDefault="0054489A" w:rsidP="00C843F4">
      <w:pPr>
        <w:pStyle w:val="NormalWeb"/>
        <w:spacing w:line="480" w:lineRule="auto"/>
        <w:ind w:left="480" w:hanging="480"/>
        <w:contextualSpacing/>
        <w:rPr>
          <w:color w:val="000000" w:themeColor="text1"/>
        </w:rPr>
      </w:pPr>
      <w:r w:rsidRPr="00C843F4">
        <w:rPr>
          <w:color w:val="000000" w:themeColor="text1"/>
        </w:rPr>
        <w:lastRenderedPageBreak/>
        <w:t xml:space="preserve">Maric, M., &amp; Heyne, D. A., van Widenfelt, B. M., &amp; Westenberg, P. M. (2011). Distorted cognitive processing in youth: The structure of negative cognitive errors and their associations with anxiety. </w:t>
      </w:r>
      <w:r w:rsidRPr="00C843F4">
        <w:rPr>
          <w:i/>
          <w:color w:val="000000" w:themeColor="text1"/>
        </w:rPr>
        <w:t>Cognitive Therapy and Research</w:t>
      </w:r>
      <w:r w:rsidRPr="00C843F4">
        <w:rPr>
          <w:color w:val="000000" w:themeColor="text1"/>
        </w:rPr>
        <w:t xml:space="preserve">, </w:t>
      </w:r>
      <w:r w:rsidRPr="00C843F4">
        <w:rPr>
          <w:i/>
          <w:color w:val="000000" w:themeColor="text1"/>
        </w:rPr>
        <w:t>35</w:t>
      </w:r>
      <w:r w:rsidRPr="00C843F4">
        <w:rPr>
          <w:color w:val="000000" w:themeColor="text1"/>
        </w:rPr>
        <w:t>(1), 11–20. doi.org/10.1007/s10608-009-9285-3</w:t>
      </w:r>
    </w:p>
    <w:p w14:paraId="21D9CD89" w14:textId="54807FF4" w:rsidR="00087D26" w:rsidRPr="00C843F4" w:rsidRDefault="00087D26" w:rsidP="00C843F4">
      <w:pPr>
        <w:pStyle w:val="NormalWeb"/>
        <w:spacing w:line="480" w:lineRule="auto"/>
        <w:ind w:left="480" w:hanging="480"/>
        <w:contextualSpacing/>
        <w:rPr>
          <w:color w:val="000000" w:themeColor="text1"/>
        </w:rPr>
      </w:pPr>
      <w:r w:rsidRPr="00C843F4">
        <w:rPr>
          <w:rFonts w:eastAsia="Times New Roman"/>
          <w:color w:val="000000" w:themeColor="text1"/>
          <w:shd w:val="clear" w:color="auto" w:fill="FFFFFF"/>
        </w:rPr>
        <w:t>Mezulis, A. H., Hyde, J. S., &amp; Abramson, L. Y. (2006). The developmental origins of cognitiv</w:t>
      </w:r>
      <w:r w:rsidR="00E82C11" w:rsidRPr="00C843F4">
        <w:rPr>
          <w:rFonts w:eastAsia="Times New Roman"/>
          <w:color w:val="000000" w:themeColor="text1"/>
          <w:shd w:val="clear" w:color="auto" w:fill="FFFFFF"/>
        </w:rPr>
        <w:t>e vulnerability to depression: T</w:t>
      </w:r>
      <w:r w:rsidRPr="00C843F4">
        <w:rPr>
          <w:rFonts w:eastAsia="Times New Roman"/>
          <w:color w:val="000000" w:themeColor="text1"/>
          <w:shd w:val="clear" w:color="auto" w:fill="FFFFFF"/>
        </w:rPr>
        <w:t>emperament, parenting, and negative life events in childhood as contributors to negative cognitive style.</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Developmental psychology</w:t>
      </w:r>
      <w:r w:rsidRPr="00C843F4">
        <w:rPr>
          <w:rFonts w:eastAsia="Times New Roman"/>
          <w:color w:val="000000" w:themeColor="text1"/>
          <w:shd w:val="clear" w:color="auto" w:fill="FFFFFF"/>
        </w:rPr>
        <w:t>,</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42</w:t>
      </w:r>
      <w:r w:rsidRPr="00C843F4">
        <w:rPr>
          <w:rFonts w:eastAsia="Times New Roman"/>
          <w:color w:val="000000" w:themeColor="text1"/>
          <w:shd w:val="clear" w:color="auto" w:fill="FFFFFF"/>
        </w:rPr>
        <w:t>(6), 1012</w:t>
      </w:r>
      <w:r w:rsidR="00D810B1" w:rsidRPr="00C843F4">
        <w:rPr>
          <w:rFonts w:eastAsia="Times New Roman"/>
          <w:color w:val="000000" w:themeColor="text1"/>
          <w:shd w:val="clear" w:color="auto" w:fill="FFFFFF"/>
        </w:rPr>
        <w:t>-1025</w:t>
      </w:r>
      <w:r w:rsidRPr="00C843F4">
        <w:rPr>
          <w:rFonts w:eastAsia="Times New Roman"/>
          <w:color w:val="000000" w:themeColor="text1"/>
          <w:shd w:val="clear" w:color="auto" w:fill="FFFFFF"/>
        </w:rPr>
        <w:t>.</w:t>
      </w:r>
      <w:r w:rsidR="00D810B1" w:rsidRPr="00C843F4">
        <w:rPr>
          <w:color w:val="000000" w:themeColor="text1"/>
        </w:rPr>
        <w:t xml:space="preserve"> doi: 10.1037/0012-1649.42.6.1012</w:t>
      </w:r>
      <w:r w:rsidR="00D810B1" w:rsidRPr="00C843F4">
        <w:rPr>
          <w:rFonts w:ascii="SourceSansPro" w:hAnsi="SourceSansPro"/>
          <w:color w:val="000000" w:themeColor="text1"/>
          <w:sz w:val="14"/>
          <w:szCs w:val="14"/>
        </w:rPr>
        <w:t xml:space="preserve"> </w:t>
      </w:r>
    </w:p>
    <w:p w14:paraId="62D47101" w14:textId="77777777" w:rsidR="0054489A" w:rsidRPr="00C843F4" w:rsidRDefault="0054489A" w:rsidP="00C843F4">
      <w:pPr>
        <w:pStyle w:val="NormalWeb"/>
        <w:spacing w:line="480" w:lineRule="auto"/>
        <w:ind w:left="480" w:hanging="480"/>
        <w:contextualSpacing/>
        <w:rPr>
          <w:color w:val="000000" w:themeColor="text1"/>
        </w:rPr>
      </w:pPr>
      <w:r w:rsidRPr="00C843F4">
        <w:rPr>
          <w:color w:val="000000" w:themeColor="text1"/>
        </w:rPr>
        <w:t xml:space="preserve">Mills, K. L., Lalonde, F., Clasen, L. S., Giedd, J. N., &amp; Blakemore, S. (2014). Developmental changes in the structure of the social brain in late childhood and adolescence. </w:t>
      </w:r>
      <w:r w:rsidRPr="00C843F4">
        <w:rPr>
          <w:i/>
          <w:color w:val="000000" w:themeColor="text1"/>
        </w:rPr>
        <w:t>Social Cognitive and Affective Neuroscience</w:t>
      </w:r>
      <w:r w:rsidRPr="00C843F4">
        <w:rPr>
          <w:color w:val="000000" w:themeColor="text1"/>
        </w:rPr>
        <w:t xml:space="preserve">, </w:t>
      </w:r>
      <w:r w:rsidRPr="00C843F4">
        <w:rPr>
          <w:i/>
          <w:color w:val="000000" w:themeColor="text1"/>
        </w:rPr>
        <w:t>9</w:t>
      </w:r>
      <w:r w:rsidRPr="00C843F4">
        <w:rPr>
          <w:color w:val="000000" w:themeColor="text1"/>
        </w:rPr>
        <w:t>(1), 123–131. doi.org/10.1093/scan/nss113</w:t>
      </w:r>
    </w:p>
    <w:p w14:paraId="1D494715" w14:textId="45E104A5" w:rsidR="0054489A" w:rsidRPr="00C843F4" w:rsidRDefault="0054489A" w:rsidP="00C843F4">
      <w:pPr>
        <w:pStyle w:val="NormalWeb"/>
        <w:spacing w:line="480" w:lineRule="auto"/>
        <w:ind w:left="480" w:hanging="480"/>
        <w:contextualSpacing/>
        <w:rPr>
          <w:rFonts w:eastAsia="Times New Roman"/>
          <w:color w:val="000000" w:themeColor="text1"/>
          <w:shd w:val="clear" w:color="auto" w:fill="FFFFFF"/>
        </w:rPr>
      </w:pPr>
      <w:r w:rsidRPr="00C843F4">
        <w:rPr>
          <w:rFonts w:eastAsia="Times New Roman"/>
          <w:color w:val="000000" w:themeColor="text1"/>
          <w:shd w:val="clear" w:color="auto" w:fill="FFFFFF"/>
        </w:rPr>
        <w:t>Nelson, E. E., Leibenluft, E., Mc</w:t>
      </w:r>
      <w:r w:rsidR="00EB6C29" w:rsidRPr="00C843F4">
        <w:rPr>
          <w:rFonts w:eastAsia="Times New Roman"/>
          <w:color w:val="000000" w:themeColor="text1"/>
          <w:shd w:val="clear" w:color="auto" w:fill="FFFFFF"/>
        </w:rPr>
        <w:t>Clure, E. B. &amp; Pine, D. S. (2005</w:t>
      </w:r>
      <w:r w:rsidRPr="00C843F4">
        <w:rPr>
          <w:rFonts w:eastAsia="Times New Roman"/>
          <w:color w:val="000000" w:themeColor="text1"/>
          <w:shd w:val="clear" w:color="auto" w:fill="FFFFFF"/>
        </w:rPr>
        <w:t xml:space="preserve">). The social re-orientation of adolescence: A neuroscience perspective on the process and its relation to psychopathology. </w:t>
      </w:r>
      <w:r w:rsidRPr="00C843F4">
        <w:rPr>
          <w:rFonts w:eastAsia="Times New Roman"/>
          <w:i/>
          <w:color w:val="000000" w:themeColor="text1"/>
          <w:shd w:val="clear" w:color="auto" w:fill="FFFFFF"/>
        </w:rPr>
        <w:t>Psychological Medicine</w:t>
      </w:r>
      <w:r w:rsidRPr="00C843F4">
        <w:rPr>
          <w:rFonts w:eastAsia="Times New Roman"/>
          <w:color w:val="000000" w:themeColor="text1"/>
          <w:shd w:val="clear" w:color="auto" w:fill="FFFFFF"/>
        </w:rPr>
        <w:t xml:space="preserve">, </w:t>
      </w:r>
      <w:r w:rsidRPr="00C843F4">
        <w:rPr>
          <w:rFonts w:eastAsia="Times New Roman"/>
          <w:i/>
          <w:color w:val="000000" w:themeColor="text1"/>
          <w:shd w:val="clear" w:color="auto" w:fill="FFFFFF"/>
        </w:rPr>
        <w:t>35</w:t>
      </w:r>
      <w:r w:rsidR="00E82C11" w:rsidRPr="00C843F4">
        <w:rPr>
          <w:rFonts w:eastAsia="Times New Roman"/>
          <w:color w:val="000000" w:themeColor="text1"/>
          <w:shd w:val="clear" w:color="auto" w:fill="FFFFFF"/>
        </w:rPr>
        <w:t>(2), 163-174. Doi.org/</w:t>
      </w:r>
      <w:r w:rsidRPr="00C843F4">
        <w:rPr>
          <w:rFonts w:eastAsia="Times New Roman"/>
          <w:color w:val="000000" w:themeColor="text1"/>
          <w:shd w:val="clear" w:color="auto" w:fill="FFFFFF"/>
        </w:rPr>
        <w:t>10.1017/S0033291704003915</w:t>
      </w:r>
    </w:p>
    <w:p w14:paraId="6048BF72" w14:textId="32FF7D2D" w:rsidR="00E86CC2" w:rsidRPr="00C843F4" w:rsidRDefault="00E86CC2" w:rsidP="00C843F4">
      <w:pPr>
        <w:pStyle w:val="NormalWeb"/>
        <w:spacing w:line="480" w:lineRule="auto"/>
        <w:ind w:left="480" w:hanging="480"/>
        <w:contextualSpacing/>
        <w:rPr>
          <w:rFonts w:eastAsia="Times New Roman"/>
          <w:color w:val="000000" w:themeColor="text1"/>
          <w:shd w:val="clear" w:color="auto" w:fill="FFFFFF"/>
          <w:lang w:val="en-GB"/>
        </w:rPr>
      </w:pPr>
      <w:r w:rsidRPr="00C843F4">
        <w:rPr>
          <w:rFonts w:eastAsia="Times New Roman"/>
          <w:color w:val="000000" w:themeColor="text1"/>
          <w:shd w:val="clear" w:color="auto" w:fill="FFFFFF"/>
          <w:lang w:val="en-GB"/>
        </w:rPr>
        <w:t xml:space="preserve">NHS Digital. (2018). </w:t>
      </w:r>
      <w:r w:rsidRPr="00C843F4">
        <w:rPr>
          <w:rFonts w:eastAsia="Times New Roman"/>
          <w:i/>
          <w:color w:val="000000" w:themeColor="text1"/>
          <w:shd w:val="clear" w:color="auto" w:fill="FFFFFF"/>
          <w:lang w:val="en-GB"/>
        </w:rPr>
        <w:t>Mental health of children and young people in England, 2017: Trends and characteristics.</w:t>
      </w:r>
      <w:r w:rsidRPr="00C843F4">
        <w:rPr>
          <w:rFonts w:eastAsia="Times New Roman"/>
          <w:color w:val="000000" w:themeColor="text1"/>
          <w:shd w:val="clear" w:color="auto" w:fill="FFFFFF"/>
          <w:lang w:val="en-GB"/>
        </w:rPr>
        <w:t xml:space="preserve"> Health and Social Care Information Centre. Retrieved from https://digital.nhs.uk/data-and-information/publications/statistical/mental-health-of-children-and-young-people-in-england/2017/2017#resources</w:t>
      </w:r>
    </w:p>
    <w:p w14:paraId="1F38A275" w14:textId="77777777" w:rsidR="0054489A" w:rsidRPr="00C843F4" w:rsidRDefault="0054489A" w:rsidP="00C843F4">
      <w:pPr>
        <w:pStyle w:val="NormalWeb"/>
        <w:spacing w:line="480" w:lineRule="auto"/>
        <w:ind w:left="480" w:hanging="480"/>
        <w:contextualSpacing/>
        <w:rPr>
          <w:color w:val="000000" w:themeColor="text1"/>
          <w:lang w:eastAsia="ja-JP"/>
        </w:rPr>
      </w:pPr>
      <w:r w:rsidRPr="00C843F4">
        <w:rPr>
          <w:color w:val="000000" w:themeColor="text1"/>
          <w:lang w:eastAsia="ja-JP"/>
        </w:rPr>
        <w:t xml:space="preserve">Orchard, F., Pass, L., &amp; Reynolds, S. (2016a). Associations between interpretation bias and depression in adolescents. </w:t>
      </w:r>
      <w:r w:rsidRPr="00C843F4">
        <w:rPr>
          <w:rFonts w:ascii="Times" w:hAnsi="Times" w:cs="Times"/>
          <w:i/>
          <w:iCs/>
          <w:color w:val="000000" w:themeColor="text1"/>
          <w:lang w:eastAsia="ja-JP"/>
        </w:rPr>
        <w:t>Cognitive Therapy and Research</w:t>
      </w:r>
      <w:r w:rsidRPr="00C843F4">
        <w:rPr>
          <w:color w:val="000000" w:themeColor="text1"/>
          <w:lang w:eastAsia="ja-JP"/>
        </w:rPr>
        <w:t xml:space="preserve">, </w:t>
      </w:r>
      <w:r w:rsidRPr="00C843F4">
        <w:rPr>
          <w:i/>
          <w:color w:val="000000" w:themeColor="text1"/>
          <w:lang w:eastAsia="ja-JP"/>
        </w:rPr>
        <w:t>40</w:t>
      </w:r>
      <w:r w:rsidRPr="00C843F4">
        <w:rPr>
          <w:color w:val="000000" w:themeColor="text1"/>
          <w:lang w:eastAsia="ja-JP"/>
        </w:rPr>
        <w:t xml:space="preserve">(4), 577-583. doi.org/10.1007/s10608-016-9760-6 </w:t>
      </w:r>
    </w:p>
    <w:p w14:paraId="5ABD3453" w14:textId="6B929E71" w:rsidR="0054489A" w:rsidRPr="00C843F4" w:rsidRDefault="0054489A" w:rsidP="00C843F4">
      <w:pPr>
        <w:pStyle w:val="NormalWeb"/>
        <w:spacing w:line="480" w:lineRule="auto"/>
        <w:ind w:left="480" w:hanging="480"/>
        <w:contextualSpacing/>
        <w:rPr>
          <w:color w:val="000000" w:themeColor="text1"/>
          <w:lang w:eastAsia="ja-JP"/>
        </w:rPr>
      </w:pPr>
      <w:r w:rsidRPr="00C843F4">
        <w:rPr>
          <w:rFonts w:eastAsia="Times New Roman"/>
          <w:color w:val="000000" w:themeColor="text1"/>
          <w:shd w:val="clear" w:color="auto" w:fill="FFFFFF"/>
        </w:rPr>
        <w:lastRenderedPageBreak/>
        <w:t>Orchard, F., Pass, L., &amp; Reynolds, S. (2016b). ‘It Was All My Fault’; Negative Interpretation Bias in Depressed Adolescents.</w:t>
      </w:r>
      <w:r w:rsidRPr="00C843F4">
        <w:rPr>
          <w:rStyle w:val="apple-converted-space"/>
          <w:rFonts w:eastAsia="Times New Roman"/>
          <w:color w:val="000000" w:themeColor="text1"/>
          <w:shd w:val="clear" w:color="auto" w:fill="FFFFFF"/>
        </w:rPr>
        <w:t> </w:t>
      </w:r>
      <w:r w:rsidR="00E82C11" w:rsidRPr="00C843F4">
        <w:rPr>
          <w:rFonts w:eastAsia="Times New Roman"/>
          <w:i/>
          <w:iCs/>
          <w:color w:val="000000" w:themeColor="text1"/>
        </w:rPr>
        <w:t>Journal of Abnormal Child P</w:t>
      </w:r>
      <w:r w:rsidRPr="00C843F4">
        <w:rPr>
          <w:rFonts w:eastAsia="Times New Roman"/>
          <w:i/>
          <w:iCs/>
          <w:color w:val="000000" w:themeColor="text1"/>
        </w:rPr>
        <w:t>sychology</w:t>
      </w:r>
      <w:r w:rsidRPr="00C843F4">
        <w:rPr>
          <w:rFonts w:eastAsia="Times New Roman"/>
          <w:color w:val="000000" w:themeColor="text1"/>
          <w:shd w:val="clear" w:color="auto" w:fill="FFFFFF"/>
        </w:rPr>
        <w:t>,</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44</w:t>
      </w:r>
      <w:r w:rsidRPr="00C843F4">
        <w:rPr>
          <w:rFonts w:eastAsia="Times New Roman"/>
          <w:color w:val="000000" w:themeColor="text1"/>
          <w:shd w:val="clear" w:color="auto" w:fill="FFFFFF"/>
        </w:rPr>
        <w:t>(5), 991-998.</w:t>
      </w:r>
      <w:r w:rsidR="00E82C11" w:rsidRPr="00C843F4">
        <w:rPr>
          <w:rFonts w:eastAsia="Times New Roman"/>
          <w:color w:val="000000" w:themeColor="text1"/>
          <w:shd w:val="clear" w:color="auto" w:fill="FFFFFF"/>
        </w:rPr>
        <w:t xml:space="preserve"> doi.org/10.1007/s10802-015-0092-x</w:t>
      </w:r>
    </w:p>
    <w:p w14:paraId="278D3B7B" w14:textId="25FEDA32" w:rsidR="0054489A" w:rsidRPr="00C843F4" w:rsidRDefault="0054489A" w:rsidP="00C843F4">
      <w:pPr>
        <w:pStyle w:val="NormalWeb"/>
        <w:spacing w:line="480" w:lineRule="auto"/>
        <w:ind w:left="480" w:hanging="480"/>
        <w:contextualSpacing/>
        <w:rPr>
          <w:rFonts w:eastAsia="Times New Roman"/>
          <w:color w:val="000000" w:themeColor="text1"/>
          <w:shd w:val="clear" w:color="auto" w:fill="FFFFFF"/>
        </w:rPr>
      </w:pPr>
      <w:r w:rsidRPr="00C843F4">
        <w:rPr>
          <w:color w:val="000000" w:themeColor="text1"/>
          <w:lang w:eastAsia="ja-JP"/>
        </w:rPr>
        <w:t xml:space="preserve">Peterson, C., Semmel, A., Von Baeyer, C., Abramson, L. Y., Metalsky, G. I., &amp; Seligman, M. E. (1982). The attributional style questionnaire. </w:t>
      </w:r>
      <w:r w:rsidRPr="00C843F4">
        <w:rPr>
          <w:rFonts w:ascii="Times" w:hAnsi="Times" w:cs="Times"/>
          <w:i/>
          <w:iCs/>
          <w:color w:val="000000" w:themeColor="text1"/>
          <w:lang w:eastAsia="ja-JP"/>
        </w:rPr>
        <w:t>Cognitive Therapy and Research</w:t>
      </w:r>
      <w:r w:rsidRPr="00C843F4">
        <w:rPr>
          <w:color w:val="000000" w:themeColor="text1"/>
          <w:lang w:eastAsia="ja-JP"/>
        </w:rPr>
        <w:t xml:space="preserve">, </w:t>
      </w:r>
      <w:r w:rsidRPr="00C843F4">
        <w:rPr>
          <w:rFonts w:ascii="Times" w:hAnsi="Times" w:cs="Times"/>
          <w:i/>
          <w:iCs/>
          <w:color w:val="000000" w:themeColor="text1"/>
          <w:lang w:eastAsia="ja-JP"/>
        </w:rPr>
        <w:t>6</w:t>
      </w:r>
      <w:r w:rsidRPr="00C843F4">
        <w:rPr>
          <w:color w:val="000000" w:themeColor="text1"/>
          <w:lang w:eastAsia="ja-JP"/>
        </w:rPr>
        <w:t>(3), 287–299</w:t>
      </w:r>
      <w:r w:rsidRPr="00C843F4">
        <w:rPr>
          <w:rFonts w:eastAsia="Times New Roman"/>
          <w:color w:val="000000" w:themeColor="text1"/>
          <w:shd w:val="clear" w:color="auto" w:fill="FFFFFF"/>
        </w:rPr>
        <w:t>.</w:t>
      </w:r>
      <w:r w:rsidR="00E82C11" w:rsidRPr="00C843F4">
        <w:rPr>
          <w:rFonts w:eastAsia="Times New Roman"/>
          <w:color w:val="000000" w:themeColor="text1"/>
          <w:shd w:val="clear" w:color="auto" w:fill="FFFFFF"/>
        </w:rPr>
        <w:t xml:space="preserve"> doi.org/10.1007/BF01173577</w:t>
      </w:r>
    </w:p>
    <w:p w14:paraId="702FA3AA" w14:textId="0C8DED99" w:rsidR="0054489A" w:rsidRPr="00C843F4" w:rsidRDefault="0054489A" w:rsidP="00C843F4">
      <w:pPr>
        <w:pStyle w:val="NormalWeb"/>
        <w:spacing w:line="480" w:lineRule="auto"/>
        <w:ind w:left="480" w:hanging="480"/>
        <w:contextualSpacing/>
        <w:rPr>
          <w:color w:val="000000" w:themeColor="text1"/>
        </w:rPr>
      </w:pPr>
      <w:r w:rsidRPr="00C843F4">
        <w:rPr>
          <w:color w:val="000000" w:themeColor="text1"/>
        </w:rPr>
        <w:t xml:space="preserve">Platt, B., Kadosh, K. C. &amp; Lau, J. Y. F. (2013). The role of peer rejection in adolescent depression. </w:t>
      </w:r>
      <w:r w:rsidRPr="00C843F4">
        <w:rPr>
          <w:i/>
          <w:color w:val="000000" w:themeColor="text1"/>
        </w:rPr>
        <w:t>Depression and Anxiety</w:t>
      </w:r>
      <w:r w:rsidRPr="00C843F4">
        <w:rPr>
          <w:color w:val="000000" w:themeColor="text1"/>
        </w:rPr>
        <w:t xml:space="preserve">, </w:t>
      </w:r>
      <w:r w:rsidRPr="00C843F4">
        <w:rPr>
          <w:i/>
          <w:color w:val="000000" w:themeColor="text1"/>
        </w:rPr>
        <w:t>30</w:t>
      </w:r>
      <w:r w:rsidR="00373F11" w:rsidRPr="00C843F4">
        <w:rPr>
          <w:color w:val="000000" w:themeColor="text1"/>
        </w:rPr>
        <w:t>(9)</w:t>
      </w:r>
      <w:r w:rsidRPr="00C843F4">
        <w:rPr>
          <w:color w:val="000000" w:themeColor="text1"/>
        </w:rPr>
        <w:t>, 809–821. doi.org/10.1002/da.22120</w:t>
      </w:r>
    </w:p>
    <w:p w14:paraId="6EA6A39F" w14:textId="2C98579B" w:rsidR="0054489A" w:rsidRPr="00C843F4" w:rsidRDefault="0054489A" w:rsidP="00C843F4">
      <w:pPr>
        <w:pStyle w:val="NormalWeb"/>
        <w:spacing w:line="480" w:lineRule="auto"/>
        <w:ind w:left="480" w:hanging="480"/>
        <w:contextualSpacing/>
        <w:rPr>
          <w:color w:val="000000" w:themeColor="text1"/>
        </w:rPr>
      </w:pPr>
      <w:r w:rsidRPr="00C843F4">
        <w:rPr>
          <w:rFonts w:eastAsia="Times New Roman"/>
          <w:color w:val="000000" w:themeColor="text1"/>
          <w:shd w:val="clear" w:color="auto" w:fill="FFFFFF"/>
        </w:rPr>
        <w:t>Platt, B., Waters, A. M., Schulte-Koerne, G., Engelmann, L., &amp; Salemink, E. (2017). A review of cognitive biases in youth depression: attention, interpretation and memory.</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Cogniti</w:t>
      </w:r>
      <w:r w:rsidR="00373F11" w:rsidRPr="00C843F4">
        <w:rPr>
          <w:rFonts w:eastAsia="Times New Roman"/>
          <w:i/>
          <w:iCs/>
          <w:color w:val="000000" w:themeColor="text1"/>
        </w:rPr>
        <w:t>on and E</w:t>
      </w:r>
      <w:r w:rsidRPr="00C843F4">
        <w:rPr>
          <w:rFonts w:eastAsia="Times New Roman"/>
          <w:i/>
          <w:iCs/>
          <w:color w:val="000000" w:themeColor="text1"/>
        </w:rPr>
        <w:t>motion</w:t>
      </w:r>
      <w:r w:rsidRPr="00C843F4">
        <w:rPr>
          <w:rFonts w:eastAsia="Times New Roman"/>
          <w:color w:val="000000" w:themeColor="text1"/>
          <w:shd w:val="clear" w:color="auto" w:fill="FFFFFF"/>
        </w:rPr>
        <w:t>,</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31</w:t>
      </w:r>
      <w:r w:rsidRPr="00C843F4">
        <w:rPr>
          <w:rFonts w:eastAsia="Times New Roman"/>
          <w:color w:val="000000" w:themeColor="text1"/>
          <w:shd w:val="clear" w:color="auto" w:fill="FFFFFF"/>
        </w:rPr>
        <w:t>(3), 462-483.</w:t>
      </w:r>
      <w:r w:rsidRPr="00C843F4">
        <w:rPr>
          <w:color w:val="000000" w:themeColor="text1"/>
        </w:rPr>
        <w:t xml:space="preserve"> </w:t>
      </w:r>
      <w:r w:rsidRPr="00C843F4">
        <w:rPr>
          <w:rFonts w:eastAsia="Times New Roman"/>
          <w:color w:val="000000" w:themeColor="text1"/>
          <w:shd w:val="clear" w:color="auto" w:fill="FFFFFF"/>
        </w:rPr>
        <w:t>doi.org/10.1080/02699931.2015.1127215</w:t>
      </w:r>
    </w:p>
    <w:p w14:paraId="09DFF623" w14:textId="1E8575DB" w:rsidR="0054489A" w:rsidRPr="00C843F4" w:rsidRDefault="0054489A" w:rsidP="00C843F4">
      <w:pPr>
        <w:pStyle w:val="NormalWeb"/>
        <w:spacing w:line="480" w:lineRule="auto"/>
        <w:ind w:left="480" w:hanging="480"/>
        <w:contextualSpacing/>
        <w:rPr>
          <w:color w:val="000000" w:themeColor="text1"/>
        </w:rPr>
      </w:pPr>
      <w:r w:rsidRPr="00C843F4">
        <w:rPr>
          <w:color w:val="000000" w:themeColor="text1"/>
        </w:rPr>
        <w:t xml:space="preserve">Richards, A., Reynolds, A., &amp; French, C. C. (1993). Anxiety and the spelling and use in sentences of threat/neutral homophones. </w:t>
      </w:r>
      <w:r w:rsidR="00373F11" w:rsidRPr="00C843F4">
        <w:rPr>
          <w:i/>
          <w:iCs/>
          <w:color w:val="000000" w:themeColor="text1"/>
        </w:rPr>
        <w:t>Current Psychology</w:t>
      </w:r>
      <w:r w:rsidRPr="00C843F4">
        <w:rPr>
          <w:i/>
          <w:iCs/>
          <w:color w:val="000000" w:themeColor="text1"/>
        </w:rPr>
        <w:t>, 12</w:t>
      </w:r>
      <w:r w:rsidR="00373F11" w:rsidRPr="00C843F4">
        <w:rPr>
          <w:iCs/>
          <w:color w:val="000000" w:themeColor="text1"/>
        </w:rPr>
        <w:t>(1)</w:t>
      </w:r>
      <w:r w:rsidRPr="00C843F4">
        <w:rPr>
          <w:color w:val="000000" w:themeColor="text1"/>
        </w:rPr>
        <w:t xml:space="preserve">, 18–25. </w:t>
      </w:r>
      <w:r w:rsidR="00373F11" w:rsidRPr="00C843F4">
        <w:rPr>
          <w:color w:val="000000" w:themeColor="text1"/>
        </w:rPr>
        <w:t>doi.org/10.1007/BF02737089</w:t>
      </w:r>
    </w:p>
    <w:p w14:paraId="6FF25B6D" w14:textId="43F5A181" w:rsidR="0054489A" w:rsidRPr="00C843F4" w:rsidRDefault="0054489A" w:rsidP="00C843F4">
      <w:pPr>
        <w:pStyle w:val="NormalWeb"/>
        <w:spacing w:line="480" w:lineRule="auto"/>
        <w:ind w:left="480" w:hanging="480"/>
        <w:contextualSpacing/>
        <w:rPr>
          <w:color w:val="000000" w:themeColor="text1"/>
        </w:rPr>
      </w:pPr>
      <w:r w:rsidRPr="00C843F4">
        <w:rPr>
          <w:color w:val="000000" w:themeColor="text1"/>
        </w:rPr>
        <w:t xml:space="preserve">Runyon, M. K., &amp; Kenny, M. C. (2002). Relationship of attributional style, depression, and posttrauma distress among children who suffered physical or sexual abuse. </w:t>
      </w:r>
      <w:r w:rsidRPr="00C843F4">
        <w:rPr>
          <w:i/>
          <w:color w:val="000000" w:themeColor="text1"/>
        </w:rPr>
        <w:t>Child Maltreatment</w:t>
      </w:r>
      <w:r w:rsidRPr="00C843F4">
        <w:rPr>
          <w:color w:val="000000" w:themeColor="text1"/>
        </w:rPr>
        <w:t xml:space="preserve">, </w:t>
      </w:r>
      <w:r w:rsidRPr="00C843F4">
        <w:rPr>
          <w:i/>
          <w:color w:val="000000" w:themeColor="text1"/>
        </w:rPr>
        <w:t>7</w:t>
      </w:r>
      <w:r w:rsidRPr="00C843F4">
        <w:rPr>
          <w:color w:val="000000" w:themeColor="text1"/>
        </w:rPr>
        <w:t>(3), 254–264.</w:t>
      </w:r>
      <w:r w:rsidR="00373F11" w:rsidRPr="00C843F4">
        <w:rPr>
          <w:color w:val="000000" w:themeColor="text1"/>
        </w:rPr>
        <w:t xml:space="preserve"> doi.org/10.1177/1077559502007003007</w:t>
      </w:r>
    </w:p>
    <w:p w14:paraId="1C49AF0E" w14:textId="77777777" w:rsidR="0054489A" w:rsidRPr="00C843F4" w:rsidRDefault="0054489A" w:rsidP="00C843F4">
      <w:pPr>
        <w:pStyle w:val="NormalWeb"/>
        <w:spacing w:line="480" w:lineRule="auto"/>
        <w:ind w:left="480" w:hanging="480"/>
        <w:contextualSpacing/>
        <w:rPr>
          <w:color w:val="000000" w:themeColor="text1"/>
        </w:rPr>
      </w:pPr>
      <w:r w:rsidRPr="00C843F4">
        <w:rPr>
          <w:color w:val="000000" w:themeColor="text1"/>
        </w:rPr>
        <w:t xml:space="preserve">Sebastian, C., Viding, E., Williams, K. D., &amp; Blakemore, S.-J. (2010). Social brain development and the affective consequences of ostracism in adolescence. </w:t>
      </w:r>
      <w:r w:rsidRPr="00C843F4">
        <w:rPr>
          <w:i/>
          <w:iCs/>
          <w:color w:val="000000" w:themeColor="text1"/>
        </w:rPr>
        <w:t>Brain and Cognition</w:t>
      </w:r>
      <w:r w:rsidRPr="00C843F4">
        <w:rPr>
          <w:color w:val="000000" w:themeColor="text1"/>
        </w:rPr>
        <w:t xml:space="preserve">, </w:t>
      </w:r>
      <w:r w:rsidRPr="00C843F4">
        <w:rPr>
          <w:i/>
          <w:iCs/>
          <w:color w:val="000000" w:themeColor="text1"/>
        </w:rPr>
        <w:t>72</w:t>
      </w:r>
      <w:r w:rsidRPr="00C843F4">
        <w:rPr>
          <w:color w:val="000000" w:themeColor="text1"/>
        </w:rPr>
        <w:t>(1), 134–145. doi.org/10.1016/j.bandc.2009.06.008</w:t>
      </w:r>
    </w:p>
    <w:p w14:paraId="496F77BD" w14:textId="661969F9" w:rsidR="00460927" w:rsidRPr="00C843F4" w:rsidRDefault="00460927" w:rsidP="00C843F4">
      <w:pPr>
        <w:pStyle w:val="NormalWeb"/>
        <w:spacing w:line="480" w:lineRule="auto"/>
        <w:ind w:left="480" w:hanging="480"/>
        <w:contextualSpacing/>
        <w:rPr>
          <w:color w:val="000000" w:themeColor="text1"/>
        </w:rPr>
      </w:pPr>
      <w:r w:rsidRPr="00C843F4">
        <w:rPr>
          <w:color w:val="000000" w:themeColor="text1"/>
        </w:rPr>
        <w:t xml:space="preserve">Sisk, C. L., &amp; Zehr, J. L. (2005). Pubertal hormones organize the adolescent brain and behavior. </w:t>
      </w:r>
      <w:r w:rsidRPr="00C843F4">
        <w:rPr>
          <w:i/>
          <w:color w:val="000000" w:themeColor="text1"/>
        </w:rPr>
        <w:t>Frontiers in Neuroendocrinology</w:t>
      </w:r>
      <w:r w:rsidRPr="00C843F4">
        <w:rPr>
          <w:color w:val="000000" w:themeColor="text1"/>
        </w:rPr>
        <w:t xml:space="preserve">, 26(3–4), 163–174. </w:t>
      </w:r>
      <w:r w:rsidR="00373F11" w:rsidRPr="00C843F4">
        <w:rPr>
          <w:color w:val="000000" w:themeColor="text1"/>
        </w:rPr>
        <w:t>doi.org/10.1016/j.yfrne.2005.10.003</w:t>
      </w:r>
    </w:p>
    <w:p w14:paraId="51CD6255" w14:textId="77777777" w:rsidR="0054489A" w:rsidRPr="00C843F4" w:rsidRDefault="0054489A" w:rsidP="00C843F4">
      <w:pPr>
        <w:pStyle w:val="NormalWeb"/>
        <w:spacing w:line="480" w:lineRule="auto"/>
        <w:ind w:left="480" w:hanging="480"/>
        <w:contextualSpacing/>
        <w:rPr>
          <w:color w:val="000000" w:themeColor="text1"/>
          <w:lang w:eastAsia="ja-JP"/>
        </w:rPr>
      </w:pPr>
      <w:r w:rsidRPr="00C843F4">
        <w:rPr>
          <w:color w:val="000000" w:themeColor="text1"/>
          <w:lang w:eastAsia="ja-JP"/>
        </w:rPr>
        <w:lastRenderedPageBreak/>
        <w:t xml:space="preserve">Stallard, P. (2005). </w:t>
      </w:r>
      <w:r w:rsidRPr="00C843F4">
        <w:rPr>
          <w:i/>
          <w:iCs/>
          <w:color w:val="000000" w:themeColor="text1"/>
          <w:lang w:eastAsia="ja-JP"/>
        </w:rPr>
        <w:t>A Clinician’s Guide to Think Good Feel Good: The use of CBT with Children and Young People</w:t>
      </w:r>
      <w:r w:rsidRPr="00C843F4">
        <w:rPr>
          <w:color w:val="000000" w:themeColor="text1"/>
          <w:lang w:eastAsia="ja-JP"/>
        </w:rPr>
        <w:t xml:space="preserve">. Chichester, UK: John Wiley and Sons. </w:t>
      </w:r>
    </w:p>
    <w:p w14:paraId="4F424433" w14:textId="5EFBDB77" w:rsidR="0054489A" w:rsidRPr="00C843F4" w:rsidRDefault="0054489A" w:rsidP="00C843F4">
      <w:pPr>
        <w:pStyle w:val="NormalWeb"/>
        <w:spacing w:line="480" w:lineRule="auto"/>
        <w:ind w:left="480" w:hanging="480"/>
        <w:contextualSpacing/>
        <w:rPr>
          <w:rFonts w:eastAsia="Times New Roman"/>
          <w:color w:val="000000" w:themeColor="text1"/>
          <w:shd w:val="clear" w:color="auto" w:fill="FFFFFF"/>
        </w:rPr>
      </w:pPr>
      <w:r w:rsidRPr="00C843F4">
        <w:rPr>
          <w:rFonts w:eastAsia="Times New Roman"/>
          <w:color w:val="000000" w:themeColor="text1"/>
          <w:shd w:val="clear" w:color="auto" w:fill="FFFFFF"/>
        </w:rPr>
        <w:t>Steinberg, L., &amp; Morris, A. S. (2001). Adolescent development.</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Annual Review of Psychology</w:t>
      </w:r>
      <w:r w:rsidRPr="00C843F4">
        <w:rPr>
          <w:rFonts w:eastAsia="Times New Roman"/>
          <w:color w:val="000000" w:themeColor="text1"/>
          <w:shd w:val="clear" w:color="auto" w:fill="FFFFFF"/>
        </w:rPr>
        <w:t>,</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52</w:t>
      </w:r>
      <w:r w:rsidRPr="00C843F4">
        <w:rPr>
          <w:rFonts w:eastAsia="Times New Roman"/>
          <w:color w:val="000000" w:themeColor="text1"/>
          <w:shd w:val="clear" w:color="auto" w:fill="FFFFFF"/>
        </w:rPr>
        <w:t>(1), 83-110.</w:t>
      </w:r>
      <w:r w:rsidR="00373F11" w:rsidRPr="00C843F4">
        <w:rPr>
          <w:rFonts w:eastAsia="Times New Roman"/>
          <w:color w:val="000000" w:themeColor="text1"/>
          <w:shd w:val="clear" w:color="auto" w:fill="FFFFFF"/>
        </w:rPr>
        <w:t xml:space="preserve"> doi.org/10.1146/annurev.psych.52.1.83</w:t>
      </w:r>
    </w:p>
    <w:p w14:paraId="3C3F32E4" w14:textId="52F67769" w:rsidR="0054489A" w:rsidRPr="00C843F4" w:rsidRDefault="0054489A" w:rsidP="00C843F4">
      <w:pPr>
        <w:pStyle w:val="NormalWeb"/>
        <w:spacing w:line="480" w:lineRule="auto"/>
        <w:ind w:left="480" w:hanging="480"/>
        <w:contextualSpacing/>
        <w:rPr>
          <w:rFonts w:eastAsia="Times New Roman"/>
          <w:color w:val="000000" w:themeColor="text1"/>
          <w:shd w:val="clear" w:color="auto" w:fill="FFFFFF"/>
        </w:rPr>
      </w:pPr>
      <w:r w:rsidRPr="00C843F4">
        <w:rPr>
          <w:rFonts w:eastAsia="Times New Roman"/>
          <w:color w:val="000000" w:themeColor="text1"/>
          <w:shd w:val="clear" w:color="auto" w:fill="FFFFFF"/>
        </w:rPr>
        <w:t>Thompson, M., Kaslow, N. J., Weiss, B., &amp; Nolen-Hoeksema, S. (1998). Children's At</w:t>
      </w:r>
      <w:r w:rsidR="00373F11" w:rsidRPr="00C843F4">
        <w:rPr>
          <w:rFonts w:eastAsia="Times New Roman"/>
          <w:color w:val="000000" w:themeColor="text1"/>
          <w:shd w:val="clear" w:color="auto" w:fill="FFFFFF"/>
        </w:rPr>
        <w:t>tributional Style Questionnaire-</w:t>
      </w:r>
      <w:r w:rsidRPr="00C843F4">
        <w:rPr>
          <w:rFonts w:eastAsia="Times New Roman"/>
          <w:color w:val="000000" w:themeColor="text1"/>
          <w:shd w:val="clear" w:color="auto" w:fill="FFFFFF"/>
        </w:rPr>
        <w:t>Revised: Psychometric examination.</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Psychological Assessment</w:t>
      </w:r>
      <w:r w:rsidRPr="00C843F4">
        <w:rPr>
          <w:rFonts w:eastAsia="Times New Roman"/>
          <w:color w:val="000000" w:themeColor="text1"/>
          <w:shd w:val="clear" w:color="auto" w:fill="FFFFFF"/>
        </w:rPr>
        <w:t>,</w:t>
      </w:r>
      <w:r w:rsidRPr="00C843F4">
        <w:rPr>
          <w:rStyle w:val="apple-converted-space"/>
          <w:rFonts w:eastAsia="Times New Roman"/>
          <w:color w:val="000000" w:themeColor="text1"/>
          <w:shd w:val="clear" w:color="auto" w:fill="FFFFFF"/>
        </w:rPr>
        <w:t> </w:t>
      </w:r>
      <w:r w:rsidRPr="00C843F4">
        <w:rPr>
          <w:rFonts w:eastAsia="Times New Roman"/>
          <w:i/>
          <w:iCs/>
          <w:color w:val="000000" w:themeColor="text1"/>
        </w:rPr>
        <w:t>10</w:t>
      </w:r>
      <w:r w:rsidRPr="00C843F4">
        <w:rPr>
          <w:rFonts w:eastAsia="Times New Roman"/>
          <w:color w:val="000000" w:themeColor="text1"/>
          <w:shd w:val="clear" w:color="auto" w:fill="FFFFFF"/>
        </w:rPr>
        <w:t>(2), 166.</w:t>
      </w:r>
    </w:p>
    <w:p w14:paraId="43DBC380" w14:textId="1A7EB550" w:rsidR="003E7171" w:rsidRPr="00C843F4" w:rsidRDefault="0054489A" w:rsidP="00C843F4">
      <w:pPr>
        <w:pStyle w:val="NormalWeb"/>
        <w:spacing w:line="480" w:lineRule="auto"/>
        <w:ind w:left="480" w:hanging="480"/>
        <w:contextualSpacing/>
        <w:rPr>
          <w:color w:val="000000" w:themeColor="text1"/>
        </w:rPr>
      </w:pPr>
      <w:r w:rsidRPr="00C843F4">
        <w:rPr>
          <w:color w:val="000000" w:themeColor="text1"/>
        </w:rPr>
        <w:t xml:space="preserve">Turner, J. E., &amp; Cole, D. A. (1994). Developmental differences in cognitive diatheses for child depression. </w:t>
      </w:r>
      <w:r w:rsidRPr="00C843F4">
        <w:rPr>
          <w:i/>
          <w:color w:val="000000" w:themeColor="text1"/>
        </w:rPr>
        <w:t>Journal of Abnormal Child Psychology</w:t>
      </w:r>
      <w:r w:rsidRPr="00C843F4">
        <w:rPr>
          <w:color w:val="000000" w:themeColor="text1"/>
        </w:rPr>
        <w:t xml:space="preserve">, </w:t>
      </w:r>
      <w:r w:rsidRPr="00C843F4">
        <w:rPr>
          <w:i/>
          <w:iCs/>
          <w:color w:val="000000" w:themeColor="text1"/>
        </w:rPr>
        <w:t>22</w:t>
      </w:r>
      <w:r w:rsidRPr="00C843F4">
        <w:rPr>
          <w:color w:val="000000" w:themeColor="text1"/>
        </w:rPr>
        <w:t>(1), 15-32.</w:t>
      </w:r>
      <w:r w:rsidR="00373F11" w:rsidRPr="00C843F4">
        <w:rPr>
          <w:color w:val="000000" w:themeColor="text1"/>
        </w:rPr>
        <w:t xml:space="preserve"> doi.org/10.1007/BF02169254</w:t>
      </w:r>
    </w:p>
    <w:p w14:paraId="1A98DDC4" w14:textId="77777777" w:rsidR="00C843F4" w:rsidRPr="00C843F4" w:rsidRDefault="0054489A" w:rsidP="00C843F4">
      <w:pPr>
        <w:pStyle w:val="NormalWeb"/>
        <w:spacing w:line="480" w:lineRule="auto"/>
        <w:ind w:left="480" w:hanging="480"/>
        <w:contextualSpacing/>
        <w:rPr>
          <w:color w:val="000000" w:themeColor="text1"/>
        </w:rPr>
      </w:pPr>
      <w:r w:rsidRPr="00C843F4">
        <w:rPr>
          <w:color w:val="000000" w:themeColor="text1"/>
        </w:rPr>
        <w:t xml:space="preserve">Waite, P., Codd, J., &amp; Creswell, C. (2015). Interpretation of ambiguity: Differences between children and adolescents with and without an anxiety disorder. </w:t>
      </w:r>
      <w:r w:rsidRPr="00C843F4">
        <w:rPr>
          <w:i/>
          <w:iCs/>
          <w:color w:val="000000" w:themeColor="text1"/>
        </w:rPr>
        <w:t>Journal of Affective Disorders</w:t>
      </w:r>
      <w:r w:rsidRPr="00C843F4">
        <w:rPr>
          <w:color w:val="000000" w:themeColor="text1"/>
        </w:rPr>
        <w:t xml:space="preserve">, </w:t>
      </w:r>
      <w:r w:rsidRPr="00C843F4">
        <w:rPr>
          <w:i/>
          <w:iCs/>
          <w:color w:val="000000" w:themeColor="text1"/>
        </w:rPr>
        <w:t>188</w:t>
      </w:r>
      <w:r w:rsidRPr="00C843F4">
        <w:rPr>
          <w:color w:val="000000" w:themeColor="text1"/>
        </w:rPr>
        <w:t>, 194–201. doi.org/10.1016/j.jad.2015.08.022</w:t>
      </w:r>
    </w:p>
    <w:p w14:paraId="21C310B2" w14:textId="7580553B" w:rsidR="005B439B" w:rsidRPr="003E045F" w:rsidRDefault="0054489A" w:rsidP="00C843F4">
      <w:pPr>
        <w:pStyle w:val="NormalWeb"/>
        <w:spacing w:line="480" w:lineRule="auto"/>
        <w:ind w:left="480" w:hanging="480"/>
        <w:rPr>
          <w:color w:val="000000" w:themeColor="text1"/>
        </w:rPr>
      </w:pPr>
      <w:r w:rsidRPr="00C843F4">
        <w:rPr>
          <w:color w:val="000000" w:themeColor="text1"/>
        </w:rPr>
        <w:t xml:space="preserve">Weems, C. F., Berman, S. L., Silverman, W. K. &amp; Saavedra, L. M. (2001). Cognitive errors in youth with anxiety disorders: The linkages between negative cognitive errors and anxious symptoms. </w:t>
      </w:r>
      <w:r w:rsidRPr="00C843F4">
        <w:rPr>
          <w:i/>
          <w:color w:val="000000" w:themeColor="text1"/>
        </w:rPr>
        <w:t>Cognitive Therapy and Research</w:t>
      </w:r>
      <w:r w:rsidRPr="00C843F4">
        <w:rPr>
          <w:color w:val="000000" w:themeColor="text1"/>
        </w:rPr>
        <w:t xml:space="preserve">, </w:t>
      </w:r>
      <w:r w:rsidRPr="00C843F4">
        <w:rPr>
          <w:i/>
          <w:iCs/>
          <w:color w:val="000000" w:themeColor="text1"/>
        </w:rPr>
        <w:t>25</w:t>
      </w:r>
      <w:r w:rsidRPr="00C843F4">
        <w:rPr>
          <w:color w:val="000000" w:themeColor="text1"/>
        </w:rPr>
        <w:t>(5), 559–575.</w:t>
      </w:r>
      <w:r w:rsidR="0079273C" w:rsidRPr="00C843F4">
        <w:rPr>
          <w:color w:val="000000" w:themeColor="text1"/>
        </w:rPr>
        <w:t xml:space="preserve"> doi.org/10.1023/A:1005505531527</w:t>
      </w:r>
    </w:p>
    <w:p w14:paraId="6A080A16" w14:textId="64FEFB33" w:rsidR="00645D93" w:rsidRDefault="00645D93">
      <w:pPr>
        <w:rPr>
          <w:i/>
          <w:color w:val="000000" w:themeColor="text1"/>
          <w:sz w:val="22"/>
          <w:szCs w:val="22"/>
        </w:rPr>
      </w:pPr>
    </w:p>
    <w:sectPr w:rsidR="00645D93" w:rsidSect="0005660E">
      <w:headerReference w:type="even" r:id="rId8"/>
      <w:headerReference w:type="default" r:id="rId9"/>
      <w:footerReference w:type="even" r:id="rId10"/>
      <w:footerReference w:type="default" r:id="rId11"/>
      <w:pgSz w:w="11900" w:h="16840" w:code="9"/>
      <w:pgMar w:top="1440" w:right="1728" w:bottom="1440" w:left="1728"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447FB" w14:textId="77777777" w:rsidR="000A2683" w:rsidRDefault="000A2683" w:rsidP="009960E6">
      <w:r>
        <w:separator/>
      </w:r>
    </w:p>
  </w:endnote>
  <w:endnote w:type="continuationSeparator" w:id="0">
    <w:p w14:paraId="64DFADB6" w14:textId="77777777" w:rsidR="000A2683" w:rsidRDefault="000A2683" w:rsidP="0099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C4F1" w14:textId="77777777" w:rsidR="00801525" w:rsidRDefault="00801525" w:rsidP="00F070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B4534" w14:textId="77777777" w:rsidR="00801525" w:rsidRDefault="00801525" w:rsidP="009960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4381" w14:textId="77777777" w:rsidR="00801525" w:rsidRDefault="00801525" w:rsidP="009960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3E509" w14:textId="77777777" w:rsidR="000A2683" w:rsidRDefault="000A2683" w:rsidP="009960E6">
      <w:r>
        <w:separator/>
      </w:r>
    </w:p>
  </w:footnote>
  <w:footnote w:type="continuationSeparator" w:id="0">
    <w:p w14:paraId="2DCF1BAB" w14:textId="77777777" w:rsidR="000A2683" w:rsidRDefault="000A2683" w:rsidP="0099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F201D" w14:textId="77777777" w:rsidR="00801525" w:rsidRDefault="00801525" w:rsidP="005D14A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1E9B2" w14:textId="77777777" w:rsidR="00801525" w:rsidRDefault="00801525" w:rsidP="00801A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D932" w14:textId="39BC4A81" w:rsidR="00801525" w:rsidRDefault="00801525" w:rsidP="005D14A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76E">
      <w:rPr>
        <w:rStyle w:val="PageNumber"/>
        <w:noProof/>
      </w:rPr>
      <w:t>4</w:t>
    </w:r>
    <w:r>
      <w:rPr>
        <w:rStyle w:val="PageNumber"/>
      </w:rPr>
      <w:fldChar w:fldCharType="end"/>
    </w:r>
  </w:p>
  <w:p w14:paraId="1480784D" w14:textId="3568C17C" w:rsidR="00801525" w:rsidRDefault="00D80BC3" w:rsidP="00801AA7">
    <w:pPr>
      <w:pStyle w:val="Header"/>
      <w:ind w:right="360"/>
    </w:pPr>
    <w:r w:rsidRPr="00C843F4">
      <w:t xml:space="preserve">AGE-RELATED </w:t>
    </w:r>
    <w:r w:rsidR="00801525" w:rsidRPr="00C843F4">
      <w:t>CHANGES IN COGNITIVE BIASES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5EF"/>
    <w:multiLevelType w:val="hybridMultilevel"/>
    <w:tmpl w:val="69AC7AA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709C"/>
    <w:multiLevelType w:val="hybridMultilevel"/>
    <w:tmpl w:val="7E4E1BCA"/>
    <w:lvl w:ilvl="0" w:tplc="6DDC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B056D"/>
    <w:multiLevelType w:val="hybridMultilevel"/>
    <w:tmpl w:val="B692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71F"/>
    <w:multiLevelType w:val="hybridMultilevel"/>
    <w:tmpl w:val="16168CFA"/>
    <w:lvl w:ilvl="0" w:tplc="DA78C298">
      <w:start w:val="1"/>
      <w:numFmt w:val="bullet"/>
      <w:lvlText w:val="•"/>
      <w:lvlJc w:val="left"/>
      <w:pPr>
        <w:tabs>
          <w:tab w:val="num" w:pos="720"/>
        </w:tabs>
        <w:ind w:left="720" w:hanging="360"/>
      </w:pPr>
      <w:rPr>
        <w:rFonts w:ascii="Arial" w:hAnsi="Arial" w:hint="default"/>
      </w:rPr>
    </w:lvl>
    <w:lvl w:ilvl="1" w:tplc="DA323A88" w:tentative="1">
      <w:start w:val="1"/>
      <w:numFmt w:val="bullet"/>
      <w:lvlText w:val="•"/>
      <w:lvlJc w:val="left"/>
      <w:pPr>
        <w:tabs>
          <w:tab w:val="num" w:pos="1440"/>
        </w:tabs>
        <w:ind w:left="1440" w:hanging="360"/>
      </w:pPr>
      <w:rPr>
        <w:rFonts w:ascii="Arial" w:hAnsi="Arial" w:hint="default"/>
      </w:rPr>
    </w:lvl>
    <w:lvl w:ilvl="2" w:tplc="F7CAA144" w:tentative="1">
      <w:start w:val="1"/>
      <w:numFmt w:val="bullet"/>
      <w:lvlText w:val="•"/>
      <w:lvlJc w:val="left"/>
      <w:pPr>
        <w:tabs>
          <w:tab w:val="num" w:pos="2160"/>
        </w:tabs>
        <w:ind w:left="2160" w:hanging="360"/>
      </w:pPr>
      <w:rPr>
        <w:rFonts w:ascii="Arial" w:hAnsi="Arial" w:hint="default"/>
      </w:rPr>
    </w:lvl>
    <w:lvl w:ilvl="3" w:tplc="1C64AFDC" w:tentative="1">
      <w:start w:val="1"/>
      <w:numFmt w:val="bullet"/>
      <w:lvlText w:val="•"/>
      <w:lvlJc w:val="left"/>
      <w:pPr>
        <w:tabs>
          <w:tab w:val="num" w:pos="2880"/>
        </w:tabs>
        <w:ind w:left="2880" w:hanging="360"/>
      </w:pPr>
      <w:rPr>
        <w:rFonts w:ascii="Arial" w:hAnsi="Arial" w:hint="default"/>
      </w:rPr>
    </w:lvl>
    <w:lvl w:ilvl="4" w:tplc="05D623A2" w:tentative="1">
      <w:start w:val="1"/>
      <w:numFmt w:val="bullet"/>
      <w:lvlText w:val="•"/>
      <w:lvlJc w:val="left"/>
      <w:pPr>
        <w:tabs>
          <w:tab w:val="num" w:pos="3600"/>
        </w:tabs>
        <w:ind w:left="3600" w:hanging="360"/>
      </w:pPr>
      <w:rPr>
        <w:rFonts w:ascii="Arial" w:hAnsi="Arial" w:hint="default"/>
      </w:rPr>
    </w:lvl>
    <w:lvl w:ilvl="5" w:tplc="84C28EB4" w:tentative="1">
      <w:start w:val="1"/>
      <w:numFmt w:val="bullet"/>
      <w:lvlText w:val="•"/>
      <w:lvlJc w:val="left"/>
      <w:pPr>
        <w:tabs>
          <w:tab w:val="num" w:pos="4320"/>
        </w:tabs>
        <w:ind w:left="4320" w:hanging="360"/>
      </w:pPr>
      <w:rPr>
        <w:rFonts w:ascii="Arial" w:hAnsi="Arial" w:hint="default"/>
      </w:rPr>
    </w:lvl>
    <w:lvl w:ilvl="6" w:tplc="0970774E" w:tentative="1">
      <w:start w:val="1"/>
      <w:numFmt w:val="bullet"/>
      <w:lvlText w:val="•"/>
      <w:lvlJc w:val="left"/>
      <w:pPr>
        <w:tabs>
          <w:tab w:val="num" w:pos="5040"/>
        </w:tabs>
        <w:ind w:left="5040" w:hanging="360"/>
      </w:pPr>
      <w:rPr>
        <w:rFonts w:ascii="Arial" w:hAnsi="Arial" w:hint="default"/>
      </w:rPr>
    </w:lvl>
    <w:lvl w:ilvl="7" w:tplc="88D268C8" w:tentative="1">
      <w:start w:val="1"/>
      <w:numFmt w:val="bullet"/>
      <w:lvlText w:val="•"/>
      <w:lvlJc w:val="left"/>
      <w:pPr>
        <w:tabs>
          <w:tab w:val="num" w:pos="5760"/>
        </w:tabs>
        <w:ind w:left="5760" w:hanging="360"/>
      </w:pPr>
      <w:rPr>
        <w:rFonts w:ascii="Arial" w:hAnsi="Arial" w:hint="default"/>
      </w:rPr>
    </w:lvl>
    <w:lvl w:ilvl="8" w:tplc="59988F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C41FBF"/>
    <w:multiLevelType w:val="hybridMultilevel"/>
    <w:tmpl w:val="007A92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234A8"/>
    <w:multiLevelType w:val="hybridMultilevel"/>
    <w:tmpl w:val="5BFA14D2"/>
    <w:lvl w:ilvl="0" w:tplc="321A9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B3BA3"/>
    <w:multiLevelType w:val="hybridMultilevel"/>
    <w:tmpl w:val="C3DA3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C2036"/>
    <w:multiLevelType w:val="multilevel"/>
    <w:tmpl w:val="C74AF84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277DD"/>
    <w:multiLevelType w:val="hybridMultilevel"/>
    <w:tmpl w:val="65BEC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F3AD8"/>
    <w:multiLevelType w:val="hybridMultilevel"/>
    <w:tmpl w:val="2D36B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75D6F"/>
    <w:multiLevelType w:val="hybridMultilevel"/>
    <w:tmpl w:val="BA12C8F0"/>
    <w:lvl w:ilvl="0" w:tplc="6E30B67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BE456D"/>
    <w:multiLevelType w:val="hybridMultilevel"/>
    <w:tmpl w:val="6E3ED304"/>
    <w:lvl w:ilvl="0" w:tplc="91306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11CD5"/>
    <w:multiLevelType w:val="hybridMultilevel"/>
    <w:tmpl w:val="584A7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C7A0F"/>
    <w:multiLevelType w:val="hybridMultilevel"/>
    <w:tmpl w:val="CD944DC8"/>
    <w:lvl w:ilvl="0" w:tplc="62E6923A">
      <w:start w:val="1"/>
      <w:numFmt w:val="bullet"/>
      <w:lvlText w:val="•"/>
      <w:lvlJc w:val="left"/>
      <w:pPr>
        <w:tabs>
          <w:tab w:val="num" w:pos="720"/>
        </w:tabs>
        <w:ind w:left="720" w:hanging="360"/>
      </w:pPr>
      <w:rPr>
        <w:rFonts w:ascii="Arial" w:hAnsi="Arial" w:hint="default"/>
      </w:rPr>
    </w:lvl>
    <w:lvl w:ilvl="1" w:tplc="530A2C34" w:tentative="1">
      <w:start w:val="1"/>
      <w:numFmt w:val="bullet"/>
      <w:lvlText w:val="•"/>
      <w:lvlJc w:val="left"/>
      <w:pPr>
        <w:tabs>
          <w:tab w:val="num" w:pos="1440"/>
        </w:tabs>
        <w:ind w:left="1440" w:hanging="360"/>
      </w:pPr>
      <w:rPr>
        <w:rFonts w:ascii="Arial" w:hAnsi="Arial" w:hint="default"/>
      </w:rPr>
    </w:lvl>
    <w:lvl w:ilvl="2" w:tplc="55BC802A" w:tentative="1">
      <w:start w:val="1"/>
      <w:numFmt w:val="bullet"/>
      <w:lvlText w:val="•"/>
      <w:lvlJc w:val="left"/>
      <w:pPr>
        <w:tabs>
          <w:tab w:val="num" w:pos="2160"/>
        </w:tabs>
        <w:ind w:left="2160" w:hanging="360"/>
      </w:pPr>
      <w:rPr>
        <w:rFonts w:ascii="Arial" w:hAnsi="Arial" w:hint="default"/>
      </w:rPr>
    </w:lvl>
    <w:lvl w:ilvl="3" w:tplc="64523B14" w:tentative="1">
      <w:start w:val="1"/>
      <w:numFmt w:val="bullet"/>
      <w:lvlText w:val="•"/>
      <w:lvlJc w:val="left"/>
      <w:pPr>
        <w:tabs>
          <w:tab w:val="num" w:pos="2880"/>
        </w:tabs>
        <w:ind w:left="2880" w:hanging="360"/>
      </w:pPr>
      <w:rPr>
        <w:rFonts w:ascii="Arial" w:hAnsi="Arial" w:hint="default"/>
      </w:rPr>
    </w:lvl>
    <w:lvl w:ilvl="4" w:tplc="C97C3650" w:tentative="1">
      <w:start w:val="1"/>
      <w:numFmt w:val="bullet"/>
      <w:lvlText w:val="•"/>
      <w:lvlJc w:val="left"/>
      <w:pPr>
        <w:tabs>
          <w:tab w:val="num" w:pos="3600"/>
        </w:tabs>
        <w:ind w:left="3600" w:hanging="360"/>
      </w:pPr>
      <w:rPr>
        <w:rFonts w:ascii="Arial" w:hAnsi="Arial" w:hint="default"/>
      </w:rPr>
    </w:lvl>
    <w:lvl w:ilvl="5" w:tplc="E340C042" w:tentative="1">
      <w:start w:val="1"/>
      <w:numFmt w:val="bullet"/>
      <w:lvlText w:val="•"/>
      <w:lvlJc w:val="left"/>
      <w:pPr>
        <w:tabs>
          <w:tab w:val="num" w:pos="4320"/>
        </w:tabs>
        <w:ind w:left="4320" w:hanging="360"/>
      </w:pPr>
      <w:rPr>
        <w:rFonts w:ascii="Arial" w:hAnsi="Arial" w:hint="default"/>
      </w:rPr>
    </w:lvl>
    <w:lvl w:ilvl="6" w:tplc="286E6564" w:tentative="1">
      <w:start w:val="1"/>
      <w:numFmt w:val="bullet"/>
      <w:lvlText w:val="•"/>
      <w:lvlJc w:val="left"/>
      <w:pPr>
        <w:tabs>
          <w:tab w:val="num" w:pos="5040"/>
        </w:tabs>
        <w:ind w:left="5040" w:hanging="360"/>
      </w:pPr>
      <w:rPr>
        <w:rFonts w:ascii="Arial" w:hAnsi="Arial" w:hint="default"/>
      </w:rPr>
    </w:lvl>
    <w:lvl w:ilvl="7" w:tplc="3A3432E4" w:tentative="1">
      <w:start w:val="1"/>
      <w:numFmt w:val="bullet"/>
      <w:lvlText w:val="•"/>
      <w:lvlJc w:val="left"/>
      <w:pPr>
        <w:tabs>
          <w:tab w:val="num" w:pos="5760"/>
        </w:tabs>
        <w:ind w:left="5760" w:hanging="360"/>
      </w:pPr>
      <w:rPr>
        <w:rFonts w:ascii="Arial" w:hAnsi="Arial" w:hint="default"/>
      </w:rPr>
    </w:lvl>
    <w:lvl w:ilvl="8" w:tplc="B274AA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A2561D"/>
    <w:multiLevelType w:val="hybridMultilevel"/>
    <w:tmpl w:val="97EA5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5018C"/>
    <w:multiLevelType w:val="hybridMultilevel"/>
    <w:tmpl w:val="1466E630"/>
    <w:lvl w:ilvl="0" w:tplc="5A783246">
      <w:start w:val="1"/>
      <w:numFmt w:val="bullet"/>
      <w:lvlText w:val="•"/>
      <w:lvlJc w:val="left"/>
      <w:pPr>
        <w:tabs>
          <w:tab w:val="num" w:pos="720"/>
        </w:tabs>
        <w:ind w:left="720" w:hanging="360"/>
      </w:pPr>
      <w:rPr>
        <w:rFonts w:ascii="Arial" w:hAnsi="Arial" w:hint="default"/>
      </w:rPr>
    </w:lvl>
    <w:lvl w:ilvl="1" w:tplc="0F580D58" w:tentative="1">
      <w:start w:val="1"/>
      <w:numFmt w:val="bullet"/>
      <w:lvlText w:val="•"/>
      <w:lvlJc w:val="left"/>
      <w:pPr>
        <w:tabs>
          <w:tab w:val="num" w:pos="1440"/>
        </w:tabs>
        <w:ind w:left="1440" w:hanging="360"/>
      </w:pPr>
      <w:rPr>
        <w:rFonts w:ascii="Arial" w:hAnsi="Arial" w:hint="default"/>
      </w:rPr>
    </w:lvl>
    <w:lvl w:ilvl="2" w:tplc="3B22D810" w:tentative="1">
      <w:start w:val="1"/>
      <w:numFmt w:val="bullet"/>
      <w:lvlText w:val="•"/>
      <w:lvlJc w:val="left"/>
      <w:pPr>
        <w:tabs>
          <w:tab w:val="num" w:pos="2160"/>
        </w:tabs>
        <w:ind w:left="2160" w:hanging="360"/>
      </w:pPr>
      <w:rPr>
        <w:rFonts w:ascii="Arial" w:hAnsi="Arial" w:hint="default"/>
      </w:rPr>
    </w:lvl>
    <w:lvl w:ilvl="3" w:tplc="56324916" w:tentative="1">
      <w:start w:val="1"/>
      <w:numFmt w:val="bullet"/>
      <w:lvlText w:val="•"/>
      <w:lvlJc w:val="left"/>
      <w:pPr>
        <w:tabs>
          <w:tab w:val="num" w:pos="2880"/>
        </w:tabs>
        <w:ind w:left="2880" w:hanging="360"/>
      </w:pPr>
      <w:rPr>
        <w:rFonts w:ascii="Arial" w:hAnsi="Arial" w:hint="default"/>
      </w:rPr>
    </w:lvl>
    <w:lvl w:ilvl="4" w:tplc="3C10AFAA" w:tentative="1">
      <w:start w:val="1"/>
      <w:numFmt w:val="bullet"/>
      <w:lvlText w:val="•"/>
      <w:lvlJc w:val="left"/>
      <w:pPr>
        <w:tabs>
          <w:tab w:val="num" w:pos="3600"/>
        </w:tabs>
        <w:ind w:left="3600" w:hanging="360"/>
      </w:pPr>
      <w:rPr>
        <w:rFonts w:ascii="Arial" w:hAnsi="Arial" w:hint="default"/>
      </w:rPr>
    </w:lvl>
    <w:lvl w:ilvl="5" w:tplc="8606087E" w:tentative="1">
      <w:start w:val="1"/>
      <w:numFmt w:val="bullet"/>
      <w:lvlText w:val="•"/>
      <w:lvlJc w:val="left"/>
      <w:pPr>
        <w:tabs>
          <w:tab w:val="num" w:pos="4320"/>
        </w:tabs>
        <w:ind w:left="4320" w:hanging="360"/>
      </w:pPr>
      <w:rPr>
        <w:rFonts w:ascii="Arial" w:hAnsi="Arial" w:hint="default"/>
      </w:rPr>
    </w:lvl>
    <w:lvl w:ilvl="6" w:tplc="3616368A" w:tentative="1">
      <w:start w:val="1"/>
      <w:numFmt w:val="bullet"/>
      <w:lvlText w:val="•"/>
      <w:lvlJc w:val="left"/>
      <w:pPr>
        <w:tabs>
          <w:tab w:val="num" w:pos="5040"/>
        </w:tabs>
        <w:ind w:left="5040" w:hanging="360"/>
      </w:pPr>
      <w:rPr>
        <w:rFonts w:ascii="Arial" w:hAnsi="Arial" w:hint="default"/>
      </w:rPr>
    </w:lvl>
    <w:lvl w:ilvl="7" w:tplc="D2E2E586" w:tentative="1">
      <w:start w:val="1"/>
      <w:numFmt w:val="bullet"/>
      <w:lvlText w:val="•"/>
      <w:lvlJc w:val="left"/>
      <w:pPr>
        <w:tabs>
          <w:tab w:val="num" w:pos="5760"/>
        </w:tabs>
        <w:ind w:left="5760" w:hanging="360"/>
      </w:pPr>
      <w:rPr>
        <w:rFonts w:ascii="Arial" w:hAnsi="Arial" w:hint="default"/>
      </w:rPr>
    </w:lvl>
    <w:lvl w:ilvl="8" w:tplc="EE6420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B71E65"/>
    <w:multiLevelType w:val="hybridMultilevel"/>
    <w:tmpl w:val="89702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F1B3E"/>
    <w:multiLevelType w:val="hybridMultilevel"/>
    <w:tmpl w:val="CA4E8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119FA"/>
    <w:multiLevelType w:val="hybridMultilevel"/>
    <w:tmpl w:val="DA6E2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E02BD"/>
    <w:multiLevelType w:val="hybridMultilevel"/>
    <w:tmpl w:val="5A5E4608"/>
    <w:lvl w:ilvl="0" w:tplc="FDA40A08">
      <w:start w:val="1"/>
      <w:numFmt w:val="decimal"/>
      <w:lvlText w:val="%1."/>
      <w:lvlJc w:val="left"/>
      <w:pPr>
        <w:tabs>
          <w:tab w:val="num" w:pos="720"/>
        </w:tabs>
        <w:ind w:left="720" w:hanging="360"/>
      </w:pPr>
    </w:lvl>
    <w:lvl w:ilvl="1" w:tplc="391C5E4E" w:tentative="1">
      <w:start w:val="1"/>
      <w:numFmt w:val="decimal"/>
      <w:lvlText w:val="%2."/>
      <w:lvlJc w:val="left"/>
      <w:pPr>
        <w:tabs>
          <w:tab w:val="num" w:pos="1440"/>
        </w:tabs>
        <w:ind w:left="1440" w:hanging="360"/>
      </w:pPr>
    </w:lvl>
    <w:lvl w:ilvl="2" w:tplc="36C0C7F4" w:tentative="1">
      <w:start w:val="1"/>
      <w:numFmt w:val="decimal"/>
      <w:lvlText w:val="%3."/>
      <w:lvlJc w:val="left"/>
      <w:pPr>
        <w:tabs>
          <w:tab w:val="num" w:pos="2160"/>
        </w:tabs>
        <w:ind w:left="2160" w:hanging="360"/>
      </w:pPr>
    </w:lvl>
    <w:lvl w:ilvl="3" w:tplc="51CECAB0" w:tentative="1">
      <w:start w:val="1"/>
      <w:numFmt w:val="decimal"/>
      <w:lvlText w:val="%4."/>
      <w:lvlJc w:val="left"/>
      <w:pPr>
        <w:tabs>
          <w:tab w:val="num" w:pos="2880"/>
        </w:tabs>
        <w:ind w:left="2880" w:hanging="360"/>
      </w:pPr>
    </w:lvl>
    <w:lvl w:ilvl="4" w:tplc="368A9E1E" w:tentative="1">
      <w:start w:val="1"/>
      <w:numFmt w:val="decimal"/>
      <w:lvlText w:val="%5."/>
      <w:lvlJc w:val="left"/>
      <w:pPr>
        <w:tabs>
          <w:tab w:val="num" w:pos="3600"/>
        </w:tabs>
        <w:ind w:left="3600" w:hanging="360"/>
      </w:pPr>
    </w:lvl>
    <w:lvl w:ilvl="5" w:tplc="564E50A8" w:tentative="1">
      <w:start w:val="1"/>
      <w:numFmt w:val="decimal"/>
      <w:lvlText w:val="%6."/>
      <w:lvlJc w:val="left"/>
      <w:pPr>
        <w:tabs>
          <w:tab w:val="num" w:pos="4320"/>
        </w:tabs>
        <w:ind w:left="4320" w:hanging="360"/>
      </w:pPr>
    </w:lvl>
    <w:lvl w:ilvl="6" w:tplc="C6903CF0" w:tentative="1">
      <w:start w:val="1"/>
      <w:numFmt w:val="decimal"/>
      <w:lvlText w:val="%7."/>
      <w:lvlJc w:val="left"/>
      <w:pPr>
        <w:tabs>
          <w:tab w:val="num" w:pos="5040"/>
        </w:tabs>
        <w:ind w:left="5040" w:hanging="360"/>
      </w:pPr>
    </w:lvl>
    <w:lvl w:ilvl="7" w:tplc="444A39EA" w:tentative="1">
      <w:start w:val="1"/>
      <w:numFmt w:val="decimal"/>
      <w:lvlText w:val="%8."/>
      <w:lvlJc w:val="left"/>
      <w:pPr>
        <w:tabs>
          <w:tab w:val="num" w:pos="5760"/>
        </w:tabs>
        <w:ind w:left="5760" w:hanging="360"/>
      </w:pPr>
    </w:lvl>
    <w:lvl w:ilvl="8" w:tplc="37BA3C50" w:tentative="1">
      <w:start w:val="1"/>
      <w:numFmt w:val="decimal"/>
      <w:lvlText w:val="%9."/>
      <w:lvlJc w:val="left"/>
      <w:pPr>
        <w:tabs>
          <w:tab w:val="num" w:pos="6480"/>
        </w:tabs>
        <w:ind w:left="6480" w:hanging="360"/>
      </w:pPr>
    </w:lvl>
  </w:abstractNum>
  <w:abstractNum w:abstractNumId="20" w15:restartNumberingAfterBreak="0">
    <w:nsid w:val="3E323265"/>
    <w:multiLevelType w:val="hybridMultilevel"/>
    <w:tmpl w:val="41ACD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E7066"/>
    <w:multiLevelType w:val="hybridMultilevel"/>
    <w:tmpl w:val="BD423DF8"/>
    <w:lvl w:ilvl="0" w:tplc="A4C6E5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62146"/>
    <w:multiLevelType w:val="hybridMultilevel"/>
    <w:tmpl w:val="C52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C60B8"/>
    <w:multiLevelType w:val="hybridMultilevel"/>
    <w:tmpl w:val="8A34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94933"/>
    <w:multiLevelType w:val="hybridMultilevel"/>
    <w:tmpl w:val="D0002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C73BF"/>
    <w:multiLevelType w:val="hybridMultilevel"/>
    <w:tmpl w:val="4E98833C"/>
    <w:lvl w:ilvl="0" w:tplc="394436B8">
      <w:start w:val="1"/>
      <w:numFmt w:val="bullet"/>
      <w:lvlText w:val="•"/>
      <w:lvlJc w:val="left"/>
      <w:pPr>
        <w:tabs>
          <w:tab w:val="num" w:pos="720"/>
        </w:tabs>
        <w:ind w:left="720" w:hanging="360"/>
      </w:pPr>
      <w:rPr>
        <w:rFonts w:ascii="Arial" w:hAnsi="Arial" w:hint="default"/>
      </w:rPr>
    </w:lvl>
    <w:lvl w:ilvl="1" w:tplc="79DC539E" w:tentative="1">
      <w:start w:val="1"/>
      <w:numFmt w:val="bullet"/>
      <w:lvlText w:val="•"/>
      <w:lvlJc w:val="left"/>
      <w:pPr>
        <w:tabs>
          <w:tab w:val="num" w:pos="1440"/>
        </w:tabs>
        <w:ind w:left="1440" w:hanging="360"/>
      </w:pPr>
      <w:rPr>
        <w:rFonts w:ascii="Arial" w:hAnsi="Arial" w:hint="default"/>
      </w:rPr>
    </w:lvl>
    <w:lvl w:ilvl="2" w:tplc="57FCB58C" w:tentative="1">
      <w:start w:val="1"/>
      <w:numFmt w:val="bullet"/>
      <w:lvlText w:val="•"/>
      <w:lvlJc w:val="left"/>
      <w:pPr>
        <w:tabs>
          <w:tab w:val="num" w:pos="2160"/>
        </w:tabs>
        <w:ind w:left="2160" w:hanging="360"/>
      </w:pPr>
      <w:rPr>
        <w:rFonts w:ascii="Arial" w:hAnsi="Arial" w:hint="default"/>
      </w:rPr>
    </w:lvl>
    <w:lvl w:ilvl="3" w:tplc="57B2D698" w:tentative="1">
      <w:start w:val="1"/>
      <w:numFmt w:val="bullet"/>
      <w:lvlText w:val="•"/>
      <w:lvlJc w:val="left"/>
      <w:pPr>
        <w:tabs>
          <w:tab w:val="num" w:pos="2880"/>
        </w:tabs>
        <w:ind w:left="2880" w:hanging="360"/>
      </w:pPr>
      <w:rPr>
        <w:rFonts w:ascii="Arial" w:hAnsi="Arial" w:hint="default"/>
      </w:rPr>
    </w:lvl>
    <w:lvl w:ilvl="4" w:tplc="213EA43C" w:tentative="1">
      <w:start w:val="1"/>
      <w:numFmt w:val="bullet"/>
      <w:lvlText w:val="•"/>
      <w:lvlJc w:val="left"/>
      <w:pPr>
        <w:tabs>
          <w:tab w:val="num" w:pos="3600"/>
        </w:tabs>
        <w:ind w:left="3600" w:hanging="360"/>
      </w:pPr>
      <w:rPr>
        <w:rFonts w:ascii="Arial" w:hAnsi="Arial" w:hint="default"/>
      </w:rPr>
    </w:lvl>
    <w:lvl w:ilvl="5" w:tplc="0412A0F0" w:tentative="1">
      <w:start w:val="1"/>
      <w:numFmt w:val="bullet"/>
      <w:lvlText w:val="•"/>
      <w:lvlJc w:val="left"/>
      <w:pPr>
        <w:tabs>
          <w:tab w:val="num" w:pos="4320"/>
        </w:tabs>
        <w:ind w:left="4320" w:hanging="360"/>
      </w:pPr>
      <w:rPr>
        <w:rFonts w:ascii="Arial" w:hAnsi="Arial" w:hint="default"/>
      </w:rPr>
    </w:lvl>
    <w:lvl w:ilvl="6" w:tplc="C6EAA652" w:tentative="1">
      <w:start w:val="1"/>
      <w:numFmt w:val="bullet"/>
      <w:lvlText w:val="•"/>
      <w:lvlJc w:val="left"/>
      <w:pPr>
        <w:tabs>
          <w:tab w:val="num" w:pos="5040"/>
        </w:tabs>
        <w:ind w:left="5040" w:hanging="360"/>
      </w:pPr>
      <w:rPr>
        <w:rFonts w:ascii="Arial" w:hAnsi="Arial" w:hint="default"/>
      </w:rPr>
    </w:lvl>
    <w:lvl w:ilvl="7" w:tplc="0658BFC6" w:tentative="1">
      <w:start w:val="1"/>
      <w:numFmt w:val="bullet"/>
      <w:lvlText w:val="•"/>
      <w:lvlJc w:val="left"/>
      <w:pPr>
        <w:tabs>
          <w:tab w:val="num" w:pos="5760"/>
        </w:tabs>
        <w:ind w:left="5760" w:hanging="360"/>
      </w:pPr>
      <w:rPr>
        <w:rFonts w:ascii="Arial" w:hAnsi="Arial" w:hint="default"/>
      </w:rPr>
    </w:lvl>
    <w:lvl w:ilvl="8" w:tplc="ABA20C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614AEE"/>
    <w:multiLevelType w:val="hybridMultilevel"/>
    <w:tmpl w:val="7C7C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86675"/>
    <w:multiLevelType w:val="hybridMultilevel"/>
    <w:tmpl w:val="A190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051AB"/>
    <w:multiLevelType w:val="hybridMultilevel"/>
    <w:tmpl w:val="A1BC46F2"/>
    <w:lvl w:ilvl="0" w:tplc="CDD88F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B2038D0">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CB917B1"/>
    <w:multiLevelType w:val="hybridMultilevel"/>
    <w:tmpl w:val="DA6E2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C36D9"/>
    <w:multiLevelType w:val="hybridMultilevel"/>
    <w:tmpl w:val="8B88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7591D"/>
    <w:multiLevelType w:val="hybridMultilevel"/>
    <w:tmpl w:val="E0DE4C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53CD1FE4"/>
    <w:multiLevelType w:val="hybridMultilevel"/>
    <w:tmpl w:val="6B6A4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E4529"/>
    <w:multiLevelType w:val="hybridMultilevel"/>
    <w:tmpl w:val="F5A2D7EA"/>
    <w:lvl w:ilvl="0" w:tplc="E9EA36AE">
      <w:start w:val="1"/>
      <w:numFmt w:val="bullet"/>
      <w:lvlText w:val="•"/>
      <w:lvlJc w:val="left"/>
      <w:pPr>
        <w:tabs>
          <w:tab w:val="num" w:pos="720"/>
        </w:tabs>
        <w:ind w:left="720" w:hanging="360"/>
      </w:pPr>
      <w:rPr>
        <w:rFonts w:ascii="Arial" w:hAnsi="Arial" w:hint="default"/>
      </w:rPr>
    </w:lvl>
    <w:lvl w:ilvl="1" w:tplc="1DB4064E" w:tentative="1">
      <w:start w:val="1"/>
      <w:numFmt w:val="bullet"/>
      <w:lvlText w:val="•"/>
      <w:lvlJc w:val="left"/>
      <w:pPr>
        <w:tabs>
          <w:tab w:val="num" w:pos="1440"/>
        </w:tabs>
        <w:ind w:left="1440" w:hanging="360"/>
      </w:pPr>
      <w:rPr>
        <w:rFonts w:ascii="Arial" w:hAnsi="Arial" w:hint="default"/>
      </w:rPr>
    </w:lvl>
    <w:lvl w:ilvl="2" w:tplc="265034BE" w:tentative="1">
      <w:start w:val="1"/>
      <w:numFmt w:val="bullet"/>
      <w:lvlText w:val="•"/>
      <w:lvlJc w:val="left"/>
      <w:pPr>
        <w:tabs>
          <w:tab w:val="num" w:pos="2160"/>
        </w:tabs>
        <w:ind w:left="2160" w:hanging="360"/>
      </w:pPr>
      <w:rPr>
        <w:rFonts w:ascii="Arial" w:hAnsi="Arial" w:hint="default"/>
      </w:rPr>
    </w:lvl>
    <w:lvl w:ilvl="3" w:tplc="D644883E" w:tentative="1">
      <w:start w:val="1"/>
      <w:numFmt w:val="bullet"/>
      <w:lvlText w:val="•"/>
      <w:lvlJc w:val="left"/>
      <w:pPr>
        <w:tabs>
          <w:tab w:val="num" w:pos="2880"/>
        </w:tabs>
        <w:ind w:left="2880" w:hanging="360"/>
      </w:pPr>
      <w:rPr>
        <w:rFonts w:ascii="Arial" w:hAnsi="Arial" w:hint="default"/>
      </w:rPr>
    </w:lvl>
    <w:lvl w:ilvl="4" w:tplc="38F6855C" w:tentative="1">
      <w:start w:val="1"/>
      <w:numFmt w:val="bullet"/>
      <w:lvlText w:val="•"/>
      <w:lvlJc w:val="left"/>
      <w:pPr>
        <w:tabs>
          <w:tab w:val="num" w:pos="3600"/>
        </w:tabs>
        <w:ind w:left="3600" w:hanging="360"/>
      </w:pPr>
      <w:rPr>
        <w:rFonts w:ascii="Arial" w:hAnsi="Arial" w:hint="default"/>
      </w:rPr>
    </w:lvl>
    <w:lvl w:ilvl="5" w:tplc="A67C5AC8" w:tentative="1">
      <w:start w:val="1"/>
      <w:numFmt w:val="bullet"/>
      <w:lvlText w:val="•"/>
      <w:lvlJc w:val="left"/>
      <w:pPr>
        <w:tabs>
          <w:tab w:val="num" w:pos="4320"/>
        </w:tabs>
        <w:ind w:left="4320" w:hanging="360"/>
      </w:pPr>
      <w:rPr>
        <w:rFonts w:ascii="Arial" w:hAnsi="Arial" w:hint="default"/>
      </w:rPr>
    </w:lvl>
    <w:lvl w:ilvl="6" w:tplc="4168C702" w:tentative="1">
      <w:start w:val="1"/>
      <w:numFmt w:val="bullet"/>
      <w:lvlText w:val="•"/>
      <w:lvlJc w:val="left"/>
      <w:pPr>
        <w:tabs>
          <w:tab w:val="num" w:pos="5040"/>
        </w:tabs>
        <w:ind w:left="5040" w:hanging="360"/>
      </w:pPr>
      <w:rPr>
        <w:rFonts w:ascii="Arial" w:hAnsi="Arial" w:hint="default"/>
      </w:rPr>
    </w:lvl>
    <w:lvl w:ilvl="7" w:tplc="2A74F60E" w:tentative="1">
      <w:start w:val="1"/>
      <w:numFmt w:val="bullet"/>
      <w:lvlText w:val="•"/>
      <w:lvlJc w:val="left"/>
      <w:pPr>
        <w:tabs>
          <w:tab w:val="num" w:pos="5760"/>
        </w:tabs>
        <w:ind w:left="5760" w:hanging="360"/>
      </w:pPr>
      <w:rPr>
        <w:rFonts w:ascii="Arial" w:hAnsi="Arial" w:hint="default"/>
      </w:rPr>
    </w:lvl>
    <w:lvl w:ilvl="8" w:tplc="13BC53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2B3807"/>
    <w:multiLevelType w:val="hybridMultilevel"/>
    <w:tmpl w:val="8304D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5935D6"/>
    <w:multiLevelType w:val="hybridMultilevel"/>
    <w:tmpl w:val="13087D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7E867704">
      <w:numFmt w:val="bullet"/>
      <w:lvlText w:val="-"/>
      <w:lvlJc w:val="left"/>
      <w:pPr>
        <w:ind w:left="2160" w:hanging="360"/>
      </w:pPr>
      <w:rPr>
        <w:rFonts w:ascii="Times New Roman" w:eastAsiaTheme="minorEastAsia"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F2881"/>
    <w:multiLevelType w:val="hybridMultilevel"/>
    <w:tmpl w:val="0F3CA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40C4"/>
    <w:multiLevelType w:val="hybridMultilevel"/>
    <w:tmpl w:val="D9AEA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93060"/>
    <w:multiLevelType w:val="hybridMultilevel"/>
    <w:tmpl w:val="199A7542"/>
    <w:lvl w:ilvl="0" w:tplc="025A8C3E">
      <w:start w:val="1"/>
      <w:numFmt w:val="bullet"/>
      <w:lvlText w:val="•"/>
      <w:lvlJc w:val="left"/>
      <w:pPr>
        <w:tabs>
          <w:tab w:val="num" w:pos="720"/>
        </w:tabs>
        <w:ind w:left="720" w:hanging="360"/>
      </w:pPr>
      <w:rPr>
        <w:rFonts w:ascii="Arial" w:hAnsi="Arial" w:hint="default"/>
      </w:rPr>
    </w:lvl>
    <w:lvl w:ilvl="1" w:tplc="BA782340" w:tentative="1">
      <w:start w:val="1"/>
      <w:numFmt w:val="bullet"/>
      <w:lvlText w:val="•"/>
      <w:lvlJc w:val="left"/>
      <w:pPr>
        <w:tabs>
          <w:tab w:val="num" w:pos="1440"/>
        </w:tabs>
        <w:ind w:left="1440" w:hanging="360"/>
      </w:pPr>
      <w:rPr>
        <w:rFonts w:ascii="Arial" w:hAnsi="Arial" w:hint="default"/>
      </w:rPr>
    </w:lvl>
    <w:lvl w:ilvl="2" w:tplc="C5BC3F98" w:tentative="1">
      <w:start w:val="1"/>
      <w:numFmt w:val="bullet"/>
      <w:lvlText w:val="•"/>
      <w:lvlJc w:val="left"/>
      <w:pPr>
        <w:tabs>
          <w:tab w:val="num" w:pos="2160"/>
        </w:tabs>
        <w:ind w:left="2160" w:hanging="360"/>
      </w:pPr>
      <w:rPr>
        <w:rFonts w:ascii="Arial" w:hAnsi="Arial" w:hint="default"/>
      </w:rPr>
    </w:lvl>
    <w:lvl w:ilvl="3" w:tplc="39FE5874" w:tentative="1">
      <w:start w:val="1"/>
      <w:numFmt w:val="bullet"/>
      <w:lvlText w:val="•"/>
      <w:lvlJc w:val="left"/>
      <w:pPr>
        <w:tabs>
          <w:tab w:val="num" w:pos="2880"/>
        </w:tabs>
        <w:ind w:left="2880" w:hanging="360"/>
      </w:pPr>
      <w:rPr>
        <w:rFonts w:ascii="Arial" w:hAnsi="Arial" w:hint="default"/>
      </w:rPr>
    </w:lvl>
    <w:lvl w:ilvl="4" w:tplc="B07058AE" w:tentative="1">
      <w:start w:val="1"/>
      <w:numFmt w:val="bullet"/>
      <w:lvlText w:val="•"/>
      <w:lvlJc w:val="left"/>
      <w:pPr>
        <w:tabs>
          <w:tab w:val="num" w:pos="3600"/>
        </w:tabs>
        <w:ind w:left="3600" w:hanging="360"/>
      </w:pPr>
      <w:rPr>
        <w:rFonts w:ascii="Arial" w:hAnsi="Arial" w:hint="default"/>
      </w:rPr>
    </w:lvl>
    <w:lvl w:ilvl="5" w:tplc="90408C52" w:tentative="1">
      <w:start w:val="1"/>
      <w:numFmt w:val="bullet"/>
      <w:lvlText w:val="•"/>
      <w:lvlJc w:val="left"/>
      <w:pPr>
        <w:tabs>
          <w:tab w:val="num" w:pos="4320"/>
        </w:tabs>
        <w:ind w:left="4320" w:hanging="360"/>
      </w:pPr>
      <w:rPr>
        <w:rFonts w:ascii="Arial" w:hAnsi="Arial" w:hint="default"/>
      </w:rPr>
    </w:lvl>
    <w:lvl w:ilvl="6" w:tplc="AB463576" w:tentative="1">
      <w:start w:val="1"/>
      <w:numFmt w:val="bullet"/>
      <w:lvlText w:val="•"/>
      <w:lvlJc w:val="left"/>
      <w:pPr>
        <w:tabs>
          <w:tab w:val="num" w:pos="5040"/>
        </w:tabs>
        <w:ind w:left="5040" w:hanging="360"/>
      </w:pPr>
      <w:rPr>
        <w:rFonts w:ascii="Arial" w:hAnsi="Arial" w:hint="default"/>
      </w:rPr>
    </w:lvl>
    <w:lvl w:ilvl="7" w:tplc="59AC71E2" w:tentative="1">
      <w:start w:val="1"/>
      <w:numFmt w:val="bullet"/>
      <w:lvlText w:val="•"/>
      <w:lvlJc w:val="left"/>
      <w:pPr>
        <w:tabs>
          <w:tab w:val="num" w:pos="5760"/>
        </w:tabs>
        <w:ind w:left="5760" w:hanging="360"/>
      </w:pPr>
      <w:rPr>
        <w:rFonts w:ascii="Arial" w:hAnsi="Arial" w:hint="default"/>
      </w:rPr>
    </w:lvl>
    <w:lvl w:ilvl="8" w:tplc="7772F28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2F7910"/>
    <w:multiLevelType w:val="hybridMultilevel"/>
    <w:tmpl w:val="4E14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A0BF0"/>
    <w:multiLevelType w:val="hybridMultilevel"/>
    <w:tmpl w:val="179C2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FA266B3"/>
    <w:multiLevelType w:val="hybridMultilevel"/>
    <w:tmpl w:val="64C20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11E6F"/>
    <w:multiLevelType w:val="hybridMultilevel"/>
    <w:tmpl w:val="D69CDA4A"/>
    <w:lvl w:ilvl="0" w:tplc="ED6E33D4">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766C8"/>
    <w:multiLevelType w:val="hybridMultilevel"/>
    <w:tmpl w:val="DA6E2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10F81"/>
    <w:multiLevelType w:val="hybridMultilevel"/>
    <w:tmpl w:val="113EB608"/>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514C3E"/>
    <w:multiLevelType w:val="hybridMultilevel"/>
    <w:tmpl w:val="CACC8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0"/>
  </w:num>
  <w:num w:numId="3">
    <w:abstractNumId w:val="41"/>
  </w:num>
  <w:num w:numId="4">
    <w:abstractNumId w:val="24"/>
  </w:num>
  <w:num w:numId="5">
    <w:abstractNumId w:val="32"/>
  </w:num>
  <w:num w:numId="6">
    <w:abstractNumId w:val="14"/>
  </w:num>
  <w:num w:numId="7">
    <w:abstractNumId w:val="37"/>
  </w:num>
  <w:num w:numId="8">
    <w:abstractNumId w:val="40"/>
  </w:num>
  <w:num w:numId="9">
    <w:abstractNumId w:val="42"/>
  </w:num>
  <w:num w:numId="10">
    <w:abstractNumId w:val="44"/>
  </w:num>
  <w:num w:numId="11">
    <w:abstractNumId w:val="11"/>
  </w:num>
  <w:num w:numId="12">
    <w:abstractNumId w:val="1"/>
  </w:num>
  <w:num w:numId="13">
    <w:abstractNumId w:val="34"/>
  </w:num>
  <w:num w:numId="14">
    <w:abstractNumId w:val="16"/>
  </w:num>
  <w:num w:numId="15">
    <w:abstractNumId w:val="28"/>
  </w:num>
  <w:num w:numId="16">
    <w:abstractNumId w:val="26"/>
  </w:num>
  <w:num w:numId="17">
    <w:abstractNumId w:val="23"/>
  </w:num>
  <w:num w:numId="18">
    <w:abstractNumId w:val="27"/>
  </w:num>
  <w:num w:numId="19">
    <w:abstractNumId w:val="31"/>
  </w:num>
  <w:num w:numId="20">
    <w:abstractNumId w:val="18"/>
  </w:num>
  <w:num w:numId="21">
    <w:abstractNumId w:val="43"/>
  </w:num>
  <w:num w:numId="22">
    <w:abstractNumId w:val="29"/>
  </w:num>
  <w:num w:numId="23">
    <w:abstractNumId w:val="22"/>
  </w:num>
  <w:num w:numId="24">
    <w:abstractNumId w:val="10"/>
  </w:num>
  <w:num w:numId="25">
    <w:abstractNumId w:val="30"/>
  </w:num>
  <w:num w:numId="26">
    <w:abstractNumId w:val="39"/>
  </w:num>
  <w:num w:numId="27">
    <w:abstractNumId w:val="2"/>
  </w:num>
  <w:num w:numId="28">
    <w:abstractNumId w:val="25"/>
  </w:num>
  <w:num w:numId="29">
    <w:abstractNumId w:val="15"/>
  </w:num>
  <w:num w:numId="30">
    <w:abstractNumId w:val="5"/>
  </w:num>
  <w:num w:numId="31">
    <w:abstractNumId w:val="19"/>
  </w:num>
  <w:num w:numId="32">
    <w:abstractNumId w:val="38"/>
  </w:num>
  <w:num w:numId="33">
    <w:abstractNumId w:val="13"/>
  </w:num>
  <w:num w:numId="34">
    <w:abstractNumId w:val="3"/>
  </w:num>
  <w:num w:numId="35">
    <w:abstractNumId w:val="33"/>
  </w:num>
  <w:num w:numId="36">
    <w:abstractNumId w:val="36"/>
  </w:num>
  <w:num w:numId="37">
    <w:abstractNumId w:val="17"/>
  </w:num>
  <w:num w:numId="38">
    <w:abstractNumId w:val="8"/>
  </w:num>
  <w:num w:numId="39">
    <w:abstractNumId w:val="7"/>
  </w:num>
  <w:num w:numId="40">
    <w:abstractNumId w:val="4"/>
  </w:num>
  <w:num w:numId="41">
    <w:abstractNumId w:val="12"/>
  </w:num>
  <w:num w:numId="42">
    <w:abstractNumId w:val="45"/>
  </w:num>
  <w:num w:numId="43">
    <w:abstractNumId w:val="6"/>
  </w:num>
  <w:num w:numId="44">
    <w:abstractNumId w:val="20"/>
  </w:num>
  <w:num w:numId="45">
    <w:abstractNumId w:val="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E0"/>
    <w:rsid w:val="0000481B"/>
    <w:rsid w:val="00004A06"/>
    <w:rsid w:val="00005C49"/>
    <w:rsid w:val="00005EC7"/>
    <w:rsid w:val="00006A1F"/>
    <w:rsid w:val="00012A32"/>
    <w:rsid w:val="00013D7E"/>
    <w:rsid w:val="00017146"/>
    <w:rsid w:val="00023159"/>
    <w:rsid w:val="00024D56"/>
    <w:rsid w:val="00025464"/>
    <w:rsid w:val="000306CF"/>
    <w:rsid w:val="00030E90"/>
    <w:rsid w:val="000312C4"/>
    <w:rsid w:val="000373C5"/>
    <w:rsid w:val="00041D80"/>
    <w:rsid w:val="00042850"/>
    <w:rsid w:val="00044673"/>
    <w:rsid w:val="00044C54"/>
    <w:rsid w:val="000464BA"/>
    <w:rsid w:val="0004687B"/>
    <w:rsid w:val="00046B43"/>
    <w:rsid w:val="00051838"/>
    <w:rsid w:val="00052E6B"/>
    <w:rsid w:val="00053CA8"/>
    <w:rsid w:val="0005660E"/>
    <w:rsid w:val="00056FB7"/>
    <w:rsid w:val="000570AB"/>
    <w:rsid w:val="000570C0"/>
    <w:rsid w:val="0006054C"/>
    <w:rsid w:val="00061C14"/>
    <w:rsid w:val="00063457"/>
    <w:rsid w:val="00064B4E"/>
    <w:rsid w:val="000654B6"/>
    <w:rsid w:val="00066AF9"/>
    <w:rsid w:val="000677A2"/>
    <w:rsid w:val="00072383"/>
    <w:rsid w:val="00072C5B"/>
    <w:rsid w:val="00073C5E"/>
    <w:rsid w:val="00074FFC"/>
    <w:rsid w:val="000758FE"/>
    <w:rsid w:val="00077CE5"/>
    <w:rsid w:val="0008002E"/>
    <w:rsid w:val="0008037C"/>
    <w:rsid w:val="00080B45"/>
    <w:rsid w:val="00080B55"/>
    <w:rsid w:val="000845C1"/>
    <w:rsid w:val="00084AF1"/>
    <w:rsid w:val="00085CF7"/>
    <w:rsid w:val="000862A5"/>
    <w:rsid w:val="00087D26"/>
    <w:rsid w:val="0009132B"/>
    <w:rsid w:val="000916C6"/>
    <w:rsid w:val="00093981"/>
    <w:rsid w:val="000946B2"/>
    <w:rsid w:val="000A025C"/>
    <w:rsid w:val="000A0B54"/>
    <w:rsid w:val="000A169B"/>
    <w:rsid w:val="000A2683"/>
    <w:rsid w:val="000A4112"/>
    <w:rsid w:val="000A4EFC"/>
    <w:rsid w:val="000B2AD8"/>
    <w:rsid w:val="000B6C0F"/>
    <w:rsid w:val="000B7AAE"/>
    <w:rsid w:val="000C09E2"/>
    <w:rsid w:val="000C0B9D"/>
    <w:rsid w:val="000C1D3F"/>
    <w:rsid w:val="000C2353"/>
    <w:rsid w:val="000C490D"/>
    <w:rsid w:val="000C6D98"/>
    <w:rsid w:val="000C79C1"/>
    <w:rsid w:val="000D5F40"/>
    <w:rsid w:val="000D7753"/>
    <w:rsid w:val="000D77E4"/>
    <w:rsid w:val="000E1541"/>
    <w:rsid w:val="000E228A"/>
    <w:rsid w:val="000E242D"/>
    <w:rsid w:val="000E280E"/>
    <w:rsid w:val="000E2C02"/>
    <w:rsid w:val="000E2C29"/>
    <w:rsid w:val="000E635D"/>
    <w:rsid w:val="000E7BED"/>
    <w:rsid w:val="000F0437"/>
    <w:rsid w:val="000F1201"/>
    <w:rsid w:val="000F2775"/>
    <w:rsid w:val="000F2C53"/>
    <w:rsid w:val="000F33B3"/>
    <w:rsid w:val="000F46F4"/>
    <w:rsid w:val="000F5D2C"/>
    <w:rsid w:val="000F5F30"/>
    <w:rsid w:val="000F6CC7"/>
    <w:rsid w:val="000F757C"/>
    <w:rsid w:val="001006B5"/>
    <w:rsid w:val="00100DA6"/>
    <w:rsid w:val="0010139D"/>
    <w:rsid w:val="001022C3"/>
    <w:rsid w:val="00102860"/>
    <w:rsid w:val="00105EE1"/>
    <w:rsid w:val="001061F2"/>
    <w:rsid w:val="00106C75"/>
    <w:rsid w:val="00106CD9"/>
    <w:rsid w:val="00106EDF"/>
    <w:rsid w:val="0010780F"/>
    <w:rsid w:val="00107B76"/>
    <w:rsid w:val="00110134"/>
    <w:rsid w:val="00111EAA"/>
    <w:rsid w:val="00113A81"/>
    <w:rsid w:val="00113DA9"/>
    <w:rsid w:val="00114F1A"/>
    <w:rsid w:val="0011518A"/>
    <w:rsid w:val="00121126"/>
    <w:rsid w:val="001214FB"/>
    <w:rsid w:val="00122B41"/>
    <w:rsid w:val="00123E24"/>
    <w:rsid w:val="00125A61"/>
    <w:rsid w:val="00126698"/>
    <w:rsid w:val="00127B1F"/>
    <w:rsid w:val="00130230"/>
    <w:rsid w:val="0013128F"/>
    <w:rsid w:val="00132563"/>
    <w:rsid w:val="001333F1"/>
    <w:rsid w:val="00133673"/>
    <w:rsid w:val="00135C27"/>
    <w:rsid w:val="00135E15"/>
    <w:rsid w:val="00136457"/>
    <w:rsid w:val="00136FA1"/>
    <w:rsid w:val="00141E83"/>
    <w:rsid w:val="00143420"/>
    <w:rsid w:val="001455DA"/>
    <w:rsid w:val="00145D35"/>
    <w:rsid w:val="0014733C"/>
    <w:rsid w:val="001474B1"/>
    <w:rsid w:val="00147574"/>
    <w:rsid w:val="001476C2"/>
    <w:rsid w:val="001500A1"/>
    <w:rsid w:val="00150608"/>
    <w:rsid w:val="001509FF"/>
    <w:rsid w:val="00150CBC"/>
    <w:rsid w:val="0015326D"/>
    <w:rsid w:val="00154902"/>
    <w:rsid w:val="00156907"/>
    <w:rsid w:val="0015717A"/>
    <w:rsid w:val="0016028C"/>
    <w:rsid w:val="001608C9"/>
    <w:rsid w:val="0016261C"/>
    <w:rsid w:val="00163F89"/>
    <w:rsid w:val="001656DD"/>
    <w:rsid w:val="00172DCF"/>
    <w:rsid w:val="001740BC"/>
    <w:rsid w:val="00175EA2"/>
    <w:rsid w:val="00175EBD"/>
    <w:rsid w:val="001769C2"/>
    <w:rsid w:val="00177613"/>
    <w:rsid w:val="00180784"/>
    <w:rsid w:val="00180FFB"/>
    <w:rsid w:val="001819EC"/>
    <w:rsid w:val="00181B63"/>
    <w:rsid w:val="00182733"/>
    <w:rsid w:val="00182BD0"/>
    <w:rsid w:val="00182E7B"/>
    <w:rsid w:val="00184C26"/>
    <w:rsid w:val="00184E39"/>
    <w:rsid w:val="00190726"/>
    <w:rsid w:val="001909B8"/>
    <w:rsid w:val="0019310F"/>
    <w:rsid w:val="00196CB3"/>
    <w:rsid w:val="00197005"/>
    <w:rsid w:val="00197D9B"/>
    <w:rsid w:val="001A3526"/>
    <w:rsid w:val="001A4F09"/>
    <w:rsid w:val="001A703A"/>
    <w:rsid w:val="001B02FC"/>
    <w:rsid w:val="001B0D6D"/>
    <w:rsid w:val="001B13E2"/>
    <w:rsid w:val="001B2F1C"/>
    <w:rsid w:val="001B4DAE"/>
    <w:rsid w:val="001B6606"/>
    <w:rsid w:val="001C310D"/>
    <w:rsid w:val="001C71F1"/>
    <w:rsid w:val="001D01BE"/>
    <w:rsid w:val="001D191A"/>
    <w:rsid w:val="001D264A"/>
    <w:rsid w:val="001D2852"/>
    <w:rsid w:val="001D4664"/>
    <w:rsid w:val="001D57CB"/>
    <w:rsid w:val="001D78CD"/>
    <w:rsid w:val="001E4632"/>
    <w:rsid w:val="001E546A"/>
    <w:rsid w:val="001F0F45"/>
    <w:rsid w:val="001F2684"/>
    <w:rsid w:val="001F3F3F"/>
    <w:rsid w:val="001F454D"/>
    <w:rsid w:val="001F5E56"/>
    <w:rsid w:val="001F6842"/>
    <w:rsid w:val="001F7802"/>
    <w:rsid w:val="002026DE"/>
    <w:rsid w:val="00206640"/>
    <w:rsid w:val="0021098F"/>
    <w:rsid w:val="002126E2"/>
    <w:rsid w:val="00214F93"/>
    <w:rsid w:val="002169B1"/>
    <w:rsid w:val="002172DD"/>
    <w:rsid w:val="00220B1D"/>
    <w:rsid w:val="00220FB9"/>
    <w:rsid w:val="00221B03"/>
    <w:rsid w:val="002232E0"/>
    <w:rsid w:val="00224260"/>
    <w:rsid w:val="00224E5A"/>
    <w:rsid w:val="00227248"/>
    <w:rsid w:val="002304A0"/>
    <w:rsid w:val="00230ABD"/>
    <w:rsid w:val="00231FE0"/>
    <w:rsid w:val="00232CE6"/>
    <w:rsid w:val="0023367B"/>
    <w:rsid w:val="00233E71"/>
    <w:rsid w:val="00234A31"/>
    <w:rsid w:val="00235B7D"/>
    <w:rsid w:val="0023681F"/>
    <w:rsid w:val="0023700A"/>
    <w:rsid w:val="002377F9"/>
    <w:rsid w:val="00240678"/>
    <w:rsid w:val="002409F5"/>
    <w:rsid w:val="0024256E"/>
    <w:rsid w:val="00242F0E"/>
    <w:rsid w:val="00243237"/>
    <w:rsid w:val="00243AAC"/>
    <w:rsid w:val="00250394"/>
    <w:rsid w:val="00250C51"/>
    <w:rsid w:val="00250E22"/>
    <w:rsid w:val="002526AB"/>
    <w:rsid w:val="0025487F"/>
    <w:rsid w:val="00261195"/>
    <w:rsid w:val="00262538"/>
    <w:rsid w:val="002631C4"/>
    <w:rsid w:val="00263418"/>
    <w:rsid w:val="0026540B"/>
    <w:rsid w:val="00266118"/>
    <w:rsid w:val="00270E42"/>
    <w:rsid w:val="00271047"/>
    <w:rsid w:val="00275027"/>
    <w:rsid w:val="00275C4F"/>
    <w:rsid w:val="00276D2C"/>
    <w:rsid w:val="00277C41"/>
    <w:rsid w:val="0028121D"/>
    <w:rsid w:val="002814CC"/>
    <w:rsid w:val="00284291"/>
    <w:rsid w:val="002865AE"/>
    <w:rsid w:val="0028759F"/>
    <w:rsid w:val="002879D7"/>
    <w:rsid w:val="00287C24"/>
    <w:rsid w:val="00287C4C"/>
    <w:rsid w:val="00290406"/>
    <w:rsid w:val="00290FDC"/>
    <w:rsid w:val="00291BC6"/>
    <w:rsid w:val="002937F3"/>
    <w:rsid w:val="002A0441"/>
    <w:rsid w:val="002A0F46"/>
    <w:rsid w:val="002A2440"/>
    <w:rsid w:val="002A319A"/>
    <w:rsid w:val="002A3A78"/>
    <w:rsid w:val="002A3DB8"/>
    <w:rsid w:val="002A3FB2"/>
    <w:rsid w:val="002A4AEC"/>
    <w:rsid w:val="002A4B9A"/>
    <w:rsid w:val="002A550E"/>
    <w:rsid w:val="002A5B39"/>
    <w:rsid w:val="002A70B5"/>
    <w:rsid w:val="002A7839"/>
    <w:rsid w:val="002B049D"/>
    <w:rsid w:val="002B0B7C"/>
    <w:rsid w:val="002B30E9"/>
    <w:rsid w:val="002B3C79"/>
    <w:rsid w:val="002B5601"/>
    <w:rsid w:val="002B5D59"/>
    <w:rsid w:val="002B6F0D"/>
    <w:rsid w:val="002C517B"/>
    <w:rsid w:val="002C5DDA"/>
    <w:rsid w:val="002C6A38"/>
    <w:rsid w:val="002C772C"/>
    <w:rsid w:val="002D081C"/>
    <w:rsid w:val="002D18DE"/>
    <w:rsid w:val="002D24A8"/>
    <w:rsid w:val="002D2B14"/>
    <w:rsid w:val="002D3413"/>
    <w:rsid w:val="002E2612"/>
    <w:rsid w:val="002E3496"/>
    <w:rsid w:val="002F01B2"/>
    <w:rsid w:val="002F38DB"/>
    <w:rsid w:val="002F3C34"/>
    <w:rsid w:val="002F3E10"/>
    <w:rsid w:val="002F4DD7"/>
    <w:rsid w:val="00302001"/>
    <w:rsid w:val="003029F8"/>
    <w:rsid w:val="00305E52"/>
    <w:rsid w:val="003061B0"/>
    <w:rsid w:val="00307EAF"/>
    <w:rsid w:val="00315EFD"/>
    <w:rsid w:val="00321113"/>
    <w:rsid w:val="00321CC3"/>
    <w:rsid w:val="003230D4"/>
    <w:rsid w:val="00324D7D"/>
    <w:rsid w:val="00326134"/>
    <w:rsid w:val="0033107C"/>
    <w:rsid w:val="003332F6"/>
    <w:rsid w:val="00333531"/>
    <w:rsid w:val="00334124"/>
    <w:rsid w:val="00335125"/>
    <w:rsid w:val="00335DD4"/>
    <w:rsid w:val="00336200"/>
    <w:rsid w:val="00341D14"/>
    <w:rsid w:val="00341EE4"/>
    <w:rsid w:val="00343157"/>
    <w:rsid w:val="003437EC"/>
    <w:rsid w:val="003445E1"/>
    <w:rsid w:val="00345344"/>
    <w:rsid w:val="0034636A"/>
    <w:rsid w:val="003467F1"/>
    <w:rsid w:val="0034761A"/>
    <w:rsid w:val="00347E1D"/>
    <w:rsid w:val="00352AC0"/>
    <w:rsid w:val="003563A5"/>
    <w:rsid w:val="00356CDE"/>
    <w:rsid w:val="00357B29"/>
    <w:rsid w:val="00360FE2"/>
    <w:rsid w:val="00362B68"/>
    <w:rsid w:val="00363823"/>
    <w:rsid w:val="00364BAD"/>
    <w:rsid w:val="00364D75"/>
    <w:rsid w:val="00366545"/>
    <w:rsid w:val="0036725F"/>
    <w:rsid w:val="003709BE"/>
    <w:rsid w:val="00370A99"/>
    <w:rsid w:val="00370E4A"/>
    <w:rsid w:val="003719E5"/>
    <w:rsid w:val="00373F11"/>
    <w:rsid w:val="003804A2"/>
    <w:rsid w:val="0038136F"/>
    <w:rsid w:val="00387743"/>
    <w:rsid w:val="00390C89"/>
    <w:rsid w:val="00392672"/>
    <w:rsid w:val="00392B8A"/>
    <w:rsid w:val="003936BC"/>
    <w:rsid w:val="00393E03"/>
    <w:rsid w:val="00395159"/>
    <w:rsid w:val="00395A76"/>
    <w:rsid w:val="003A0C6F"/>
    <w:rsid w:val="003A5162"/>
    <w:rsid w:val="003B0118"/>
    <w:rsid w:val="003B1642"/>
    <w:rsid w:val="003B2D06"/>
    <w:rsid w:val="003B2E69"/>
    <w:rsid w:val="003B3A04"/>
    <w:rsid w:val="003B4648"/>
    <w:rsid w:val="003B4A60"/>
    <w:rsid w:val="003B5354"/>
    <w:rsid w:val="003B53A1"/>
    <w:rsid w:val="003B599C"/>
    <w:rsid w:val="003B5B67"/>
    <w:rsid w:val="003B67EB"/>
    <w:rsid w:val="003B6C9E"/>
    <w:rsid w:val="003B7DA9"/>
    <w:rsid w:val="003C2605"/>
    <w:rsid w:val="003C56AC"/>
    <w:rsid w:val="003C740A"/>
    <w:rsid w:val="003C7874"/>
    <w:rsid w:val="003D1F7E"/>
    <w:rsid w:val="003D1FA6"/>
    <w:rsid w:val="003D27C8"/>
    <w:rsid w:val="003D3A8C"/>
    <w:rsid w:val="003D512C"/>
    <w:rsid w:val="003D6D6A"/>
    <w:rsid w:val="003D750B"/>
    <w:rsid w:val="003D79E6"/>
    <w:rsid w:val="003E045F"/>
    <w:rsid w:val="003E1D34"/>
    <w:rsid w:val="003E37EC"/>
    <w:rsid w:val="003E39EF"/>
    <w:rsid w:val="003E7171"/>
    <w:rsid w:val="003E7EEA"/>
    <w:rsid w:val="003F0255"/>
    <w:rsid w:val="003F1367"/>
    <w:rsid w:val="003F1E77"/>
    <w:rsid w:val="003F29F6"/>
    <w:rsid w:val="003F4F69"/>
    <w:rsid w:val="003F636C"/>
    <w:rsid w:val="004005F0"/>
    <w:rsid w:val="0040164E"/>
    <w:rsid w:val="004016CB"/>
    <w:rsid w:val="00402690"/>
    <w:rsid w:val="0040272D"/>
    <w:rsid w:val="0040376D"/>
    <w:rsid w:val="0040454E"/>
    <w:rsid w:val="00406856"/>
    <w:rsid w:val="00406E41"/>
    <w:rsid w:val="00407B36"/>
    <w:rsid w:val="004117BC"/>
    <w:rsid w:val="00411DCD"/>
    <w:rsid w:val="004125B5"/>
    <w:rsid w:val="00412771"/>
    <w:rsid w:val="0041712D"/>
    <w:rsid w:val="004171D1"/>
    <w:rsid w:val="00423500"/>
    <w:rsid w:val="00423A31"/>
    <w:rsid w:val="00431B8B"/>
    <w:rsid w:val="00431D90"/>
    <w:rsid w:val="0043308B"/>
    <w:rsid w:val="00435186"/>
    <w:rsid w:val="00435F4A"/>
    <w:rsid w:val="00441ED5"/>
    <w:rsid w:val="00442AD4"/>
    <w:rsid w:val="00446AA5"/>
    <w:rsid w:val="00446E24"/>
    <w:rsid w:val="00450FC6"/>
    <w:rsid w:val="00451098"/>
    <w:rsid w:val="00451570"/>
    <w:rsid w:val="004521CE"/>
    <w:rsid w:val="00453003"/>
    <w:rsid w:val="00453D19"/>
    <w:rsid w:val="00453E46"/>
    <w:rsid w:val="00454C6B"/>
    <w:rsid w:val="004553CB"/>
    <w:rsid w:val="00455BBA"/>
    <w:rsid w:val="004560DA"/>
    <w:rsid w:val="004563C0"/>
    <w:rsid w:val="00460927"/>
    <w:rsid w:val="004622AC"/>
    <w:rsid w:val="00462A70"/>
    <w:rsid w:val="00463114"/>
    <w:rsid w:val="00463A79"/>
    <w:rsid w:val="00463BDD"/>
    <w:rsid w:val="004655DE"/>
    <w:rsid w:val="00465E28"/>
    <w:rsid w:val="004672FE"/>
    <w:rsid w:val="00467560"/>
    <w:rsid w:val="004709A9"/>
    <w:rsid w:val="0047136D"/>
    <w:rsid w:val="004732D9"/>
    <w:rsid w:val="0047399A"/>
    <w:rsid w:val="00474CE9"/>
    <w:rsid w:val="00475DAD"/>
    <w:rsid w:val="00475E2F"/>
    <w:rsid w:val="00475EEC"/>
    <w:rsid w:val="00477482"/>
    <w:rsid w:val="004774FA"/>
    <w:rsid w:val="004810EA"/>
    <w:rsid w:val="00483481"/>
    <w:rsid w:val="004855A3"/>
    <w:rsid w:val="004857DD"/>
    <w:rsid w:val="0048661D"/>
    <w:rsid w:val="00487E7D"/>
    <w:rsid w:val="00490DFD"/>
    <w:rsid w:val="00492C79"/>
    <w:rsid w:val="00492D47"/>
    <w:rsid w:val="00493329"/>
    <w:rsid w:val="00496BAD"/>
    <w:rsid w:val="00496C3C"/>
    <w:rsid w:val="004A5494"/>
    <w:rsid w:val="004A5CBE"/>
    <w:rsid w:val="004A5FF3"/>
    <w:rsid w:val="004A60F7"/>
    <w:rsid w:val="004A62DC"/>
    <w:rsid w:val="004A742D"/>
    <w:rsid w:val="004B0448"/>
    <w:rsid w:val="004B2E5F"/>
    <w:rsid w:val="004B69BB"/>
    <w:rsid w:val="004B7463"/>
    <w:rsid w:val="004B7BEB"/>
    <w:rsid w:val="004C0387"/>
    <w:rsid w:val="004C2D49"/>
    <w:rsid w:val="004C3DF3"/>
    <w:rsid w:val="004C4E31"/>
    <w:rsid w:val="004C576E"/>
    <w:rsid w:val="004C629F"/>
    <w:rsid w:val="004D04DA"/>
    <w:rsid w:val="004D0B14"/>
    <w:rsid w:val="004D1D75"/>
    <w:rsid w:val="004D3A6C"/>
    <w:rsid w:val="004D61B3"/>
    <w:rsid w:val="004E381A"/>
    <w:rsid w:val="004E38C1"/>
    <w:rsid w:val="004E51CF"/>
    <w:rsid w:val="004F07C1"/>
    <w:rsid w:val="004F2AEA"/>
    <w:rsid w:val="004F2E08"/>
    <w:rsid w:val="004F4F28"/>
    <w:rsid w:val="004F7302"/>
    <w:rsid w:val="004F75D9"/>
    <w:rsid w:val="004F7E7F"/>
    <w:rsid w:val="00500542"/>
    <w:rsid w:val="00500805"/>
    <w:rsid w:val="00502231"/>
    <w:rsid w:val="00502D3E"/>
    <w:rsid w:val="00505568"/>
    <w:rsid w:val="00505AC0"/>
    <w:rsid w:val="005072CD"/>
    <w:rsid w:val="0050767E"/>
    <w:rsid w:val="00514591"/>
    <w:rsid w:val="00514879"/>
    <w:rsid w:val="005148E4"/>
    <w:rsid w:val="00514C0D"/>
    <w:rsid w:val="0051717E"/>
    <w:rsid w:val="00517CA6"/>
    <w:rsid w:val="005207F7"/>
    <w:rsid w:val="0052218E"/>
    <w:rsid w:val="00524C16"/>
    <w:rsid w:val="00527C74"/>
    <w:rsid w:val="00530FC4"/>
    <w:rsid w:val="00531163"/>
    <w:rsid w:val="005312ED"/>
    <w:rsid w:val="0053141D"/>
    <w:rsid w:val="005315A2"/>
    <w:rsid w:val="00532527"/>
    <w:rsid w:val="0053313C"/>
    <w:rsid w:val="005342DA"/>
    <w:rsid w:val="00536ECC"/>
    <w:rsid w:val="0053715E"/>
    <w:rsid w:val="0054489A"/>
    <w:rsid w:val="0054724E"/>
    <w:rsid w:val="00552975"/>
    <w:rsid w:val="00552A8F"/>
    <w:rsid w:val="005556FC"/>
    <w:rsid w:val="00555ABE"/>
    <w:rsid w:val="005578B1"/>
    <w:rsid w:val="0056114A"/>
    <w:rsid w:val="00563AB7"/>
    <w:rsid w:val="00563B27"/>
    <w:rsid w:val="00566643"/>
    <w:rsid w:val="00567678"/>
    <w:rsid w:val="0057082F"/>
    <w:rsid w:val="005739FD"/>
    <w:rsid w:val="00576274"/>
    <w:rsid w:val="005802C2"/>
    <w:rsid w:val="0058377C"/>
    <w:rsid w:val="00590520"/>
    <w:rsid w:val="00590DFE"/>
    <w:rsid w:val="0059112E"/>
    <w:rsid w:val="005964D8"/>
    <w:rsid w:val="00597122"/>
    <w:rsid w:val="00597BC0"/>
    <w:rsid w:val="005A220C"/>
    <w:rsid w:val="005A4519"/>
    <w:rsid w:val="005A562F"/>
    <w:rsid w:val="005A738B"/>
    <w:rsid w:val="005A7E2C"/>
    <w:rsid w:val="005B01BB"/>
    <w:rsid w:val="005B134A"/>
    <w:rsid w:val="005B1E63"/>
    <w:rsid w:val="005B2745"/>
    <w:rsid w:val="005B3B83"/>
    <w:rsid w:val="005B42A4"/>
    <w:rsid w:val="005B439B"/>
    <w:rsid w:val="005B5109"/>
    <w:rsid w:val="005C00EA"/>
    <w:rsid w:val="005C071C"/>
    <w:rsid w:val="005C3345"/>
    <w:rsid w:val="005C3702"/>
    <w:rsid w:val="005C5850"/>
    <w:rsid w:val="005C5ED0"/>
    <w:rsid w:val="005C6A8B"/>
    <w:rsid w:val="005C6F12"/>
    <w:rsid w:val="005D0C13"/>
    <w:rsid w:val="005D0F4B"/>
    <w:rsid w:val="005D14AF"/>
    <w:rsid w:val="005D5F07"/>
    <w:rsid w:val="005D74E2"/>
    <w:rsid w:val="005D7855"/>
    <w:rsid w:val="005E1406"/>
    <w:rsid w:val="005E1474"/>
    <w:rsid w:val="005E166D"/>
    <w:rsid w:val="005E3A30"/>
    <w:rsid w:val="005F00C8"/>
    <w:rsid w:val="005F0FA1"/>
    <w:rsid w:val="005F1DBC"/>
    <w:rsid w:val="005F44F8"/>
    <w:rsid w:val="005F5F5C"/>
    <w:rsid w:val="005F62B7"/>
    <w:rsid w:val="005F7747"/>
    <w:rsid w:val="00600A73"/>
    <w:rsid w:val="00603FA1"/>
    <w:rsid w:val="00604104"/>
    <w:rsid w:val="00605410"/>
    <w:rsid w:val="00606B65"/>
    <w:rsid w:val="0060762C"/>
    <w:rsid w:val="00612E79"/>
    <w:rsid w:val="00614D68"/>
    <w:rsid w:val="0062126D"/>
    <w:rsid w:val="00622A5F"/>
    <w:rsid w:val="00622D29"/>
    <w:rsid w:val="00623F3F"/>
    <w:rsid w:val="00624957"/>
    <w:rsid w:val="0062530C"/>
    <w:rsid w:val="0062562C"/>
    <w:rsid w:val="00625650"/>
    <w:rsid w:val="00626280"/>
    <w:rsid w:val="006303D3"/>
    <w:rsid w:val="00634446"/>
    <w:rsid w:val="00635736"/>
    <w:rsid w:val="00636069"/>
    <w:rsid w:val="0063799D"/>
    <w:rsid w:val="00640334"/>
    <w:rsid w:val="00640D41"/>
    <w:rsid w:val="00640E5F"/>
    <w:rsid w:val="00641D06"/>
    <w:rsid w:val="0064266D"/>
    <w:rsid w:val="00642801"/>
    <w:rsid w:val="0064486F"/>
    <w:rsid w:val="00645A1F"/>
    <w:rsid w:val="00645D93"/>
    <w:rsid w:val="006472B8"/>
    <w:rsid w:val="00647B50"/>
    <w:rsid w:val="00651B4F"/>
    <w:rsid w:val="00651CB7"/>
    <w:rsid w:val="00652CB4"/>
    <w:rsid w:val="00652EE4"/>
    <w:rsid w:val="00652FF4"/>
    <w:rsid w:val="00653AE5"/>
    <w:rsid w:val="00654545"/>
    <w:rsid w:val="00655A7F"/>
    <w:rsid w:val="00655B32"/>
    <w:rsid w:val="0066005D"/>
    <w:rsid w:val="00660782"/>
    <w:rsid w:val="00660869"/>
    <w:rsid w:val="006610AD"/>
    <w:rsid w:val="00661405"/>
    <w:rsid w:val="00661B29"/>
    <w:rsid w:val="0066228D"/>
    <w:rsid w:val="00662919"/>
    <w:rsid w:val="006634C0"/>
    <w:rsid w:val="006639B5"/>
    <w:rsid w:val="006668EC"/>
    <w:rsid w:val="00666DB2"/>
    <w:rsid w:val="0067016C"/>
    <w:rsid w:val="0067063A"/>
    <w:rsid w:val="0067201B"/>
    <w:rsid w:val="00675345"/>
    <w:rsid w:val="006762B6"/>
    <w:rsid w:val="00680515"/>
    <w:rsid w:val="00680B5A"/>
    <w:rsid w:val="006815CF"/>
    <w:rsid w:val="00681CF2"/>
    <w:rsid w:val="00681E00"/>
    <w:rsid w:val="00685358"/>
    <w:rsid w:val="006867E2"/>
    <w:rsid w:val="0068683E"/>
    <w:rsid w:val="00687D54"/>
    <w:rsid w:val="0069015F"/>
    <w:rsid w:val="006920AC"/>
    <w:rsid w:val="00694407"/>
    <w:rsid w:val="0069632D"/>
    <w:rsid w:val="006A20BA"/>
    <w:rsid w:val="006A22ED"/>
    <w:rsid w:val="006A2B3C"/>
    <w:rsid w:val="006A2DA9"/>
    <w:rsid w:val="006A5B86"/>
    <w:rsid w:val="006A6626"/>
    <w:rsid w:val="006B0101"/>
    <w:rsid w:val="006B045A"/>
    <w:rsid w:val="006B1E39"/>
    <w:rsid w:val="006B251A"/>
    <w:rsid w:val="006B2EBA"/>
    <w:rsid w:val="006B6B3E"/>
    <w:rsid w:val="006C1906"/>
    <w:rsid w:val="006C38F8"/>
    <w:rsid w:val="006D0F7A"/>
    <w:rsid w:val="006D12AD"/>
    <w:rsid w:val="006D2209"/>
    <w:rsid w:val="006D27DF"/>
    <w:rsid w:val="006D2B9D"/>
    <w:rsid w:val="006D2E6B"/>
    <w:rsid w:val="006D3AD0"/>
    <w:rsid w:val="006D53F8"/>
    <w:rsid w:val="006D5E34"/>
    <w:rsid w:val="006D6F87"/>
    <w:rsid w:val="006E0743"/>
    <w:rsid w:val="006E0DD2"/>
    <w:rsid w:val="006E0F7C"/>
    <w:rsid w:val="006E1224"/>
    <w:rsid w:val="006E1FF2"/>
    <w:rsid w:val="006E2BF1"/>
    <w:rsid w:val="006E3D3C"/>
    <w:rsid w:val="006E5473"/>
    <w:rsid w:val="006E5506"/>
    <w:rsid w:val="006E6198"/>
    <w:rsid w:val="006E648B"/>
    <w:rsid w:val="006E6DC2"/>
    <w:rsid w:val="006E7911"/>
    <w:rsid w:val="006F1234"/>
    <w:rsid w:val="006F1B23"/>
    <w:rsid w:val="006F28FE"/>
    <w:rsid w:val="006F2C8C"/>
    <w:rsid w:val="006F3157"/>
    <w:rsid w:val="006F3261"/>
    <w:rsid w:val="006F58CB"/>
    <w:rsid w:val="006F5B57"/>
    <w:rsid w:val="006F7E07"/>
    <w:rsid w:val="00702A5D"/>
    <w:rsid w:val="0070353A"/>
    <w:rsid w:val="00703811"/>
    <w:rsid w:val="0070570B"/>
    <w:rsid w:val="007069B8"/>
    <w:rsid w:val="0070726A"/>
    <w:rsid w:val="007079A4"/>
    <w:rsid w:val="00707F2D"/>
    <w:rsid w:val="0071008E"/>
    <w:rsid w:val="007122AE"/>
    <w:rsid w:val="00712EB1"/>
    <w:rsid w:val="00713674"/>
    <w:rsid w:val="007137FD"/>
    <w:rsid w:val="00713CC4"/>
    <w:rsid w:val="007142A7"/>
    <w:rsid w:val="00715D30"/>
    <w:rsid w:val="00720906"/>
    <w:rsid w:val="00721283"/>
    <w:rsid w:val="00722A16"/>
    <w:rsid w:val="00723A35"/>
    <w:rsid w:val="00723B72"/>
    <w:rsid w:val="00723EDE"/>
    <w:rsid w:val="007260B0"/>
    <w:rsid w:val="00726694"/>
    <w:rsid w:val="0072712E"/>
    <w:rsid w:val="00727FF0"/>
    <w:rsid w:val="0073147A"/>
    <w:rsid w:val="00731A89"/>
    <w:rsid w:val="00735993"/>
    <w:rsid w:val="00736582"/>
    <w:rsid w:val="007400C8"/>
    <w:rsid w:val="007400D3"/>
    <w:rsid w:val="0074095F"/>
    <w:rsid w:val="00741179"/>
    <w:rsid w:val="00742C36"/>
    <w:rsid w:val="00742D50"/>
    <w:rsid w:val="007459A4"/>
    <w:rsid w:val="00747757"/>
    <w:rsid w:val="007477C1"/>
    <w:rsid w:val="0075143B"/>
    <w:rsid w:val="00751917"/>
    <w:rsid w:val="00751B30"/>
    <w:rsid w:val="00751C8C"/>
    <w:rsid w:val="007522B4"/>
    <w:rsid w:val="0075260D"/>
    <w:rsid w:val="00753482"/>
    <w:rsid w:val="00753572"/>
    <w:rsid w:val="00753BDC"/>
    <w:rsid w:val="00754F21"/>
    <w:rsid w:val="00757086"/>
    <w:rsid w:val="00757940"/>
    <w:rsid w:val="0076062D"/>
    <w:rsid w:val="00761EDE"/>
    <w:rsid w:val="00766626"/>
    <w:rsid w:val="00766DCD"/>
    <w:rsid w:val="00770303"/>
    <w:rsid w:val="00770A48"/>
    <w:rsid w:val="007731F1"/>
    <w:rsid w:val="00773DA5"/>
    <w:rsid w:val="00775CD5"/>
    <w:rsid w:val="0077693D"/>
    <w:rsid w:val="00776DC8"/>
    <w:rsid w:val="00776F02"/>
    <w:rsid w:val="00777ECE"/>
    <w:rsid w:val="007800A6"/>
    <w:rsid w:val="00780D52"/>
    <w:rsid w:val="00782302"/>
    <w:rsid w:val="0078365F"/>
    <w:rsid w:val="00783ADF"/>
    <w:rsid w:val="00787539"/>
    <w:rsid w:val="007904D8"/>
    <w:rsid w:val="00792333"/>
    <w:rsid w:val="0079273C"/>
    <w:rsid w:val="00796ECF"/>
    <w:rsid w:val="00797371"/>
    <w:rsid w:val="007A1090"/>
    <w:rsid w:val="007A2570"/>
    <w:rsid w:val="007A25F8"/>
    <w:rsid w:val="007A4EA1"/>
    <w:rsid w:val="007A5040"/>
    <w:rsid w:val="007A5C58"/>
    <w:rsid w:val="007A629C"/>
    <w:rsid w:val="007A68F8"/>
    <w:rsid w:val="007A7332"/>
    <w:rsid w:val="007B0503"/>
    <w:rsid w:val="007B1A3C"/>
    <w:rsid w:val="007B5BDD"/>
    <w:rsid w:val="007C1599"/>
    <w:rsid w:val="007C1B61"/>
    <w:rsid w:val="007C308B"/>
    <w:rsid w:val="007C5171"/>
    <w:rsid w:val="007C530A"/>
    <w:rsid w:val="007C5837"/>
    <w:rsid w:val="007C5EC1"/>
    <w:rsid w:val="007D012E"/>
    <w:rsid w:val="007D0841"/>
    <w:rsid w:val="007D2A1C"/>
    <w:rsid w:val="007D2D20"/>
    <w:rsid w:val="007D3245"/>
    <w:rsid w:val="007D356C"/>
    <w:rsid w:val="007D3E03"/>
    <w:rsid w:val="007D4E50"/>
    <w:rsid w:val="007D6B02"/>
    <w:rsid w:val="007D6FDC"/>
    <w:rsid w:val="007E22D7"/>
    <w:rsid w:val="007E3537"/>
    <w:rsid w:val="007E44BC"/>
    <w:rsid w:val="007E477E"/>
    <w:rsid w:val="007E6DFF"/>
    <w:rsid w:val="007F01C1"/>
    <w:rsid w:val="007F026D"/>
    <w:rsid w:val="007F1491"/>
    <w:rsid w:val="007F3CF5"/>
    <w:rsid w:val="007F5075"/>
    <w:rsid w:val="007F5E9D"/>
    <w:rsid w:val="007F64EB"/>
    <w:rsid w:val="007F6946"/>
    <w:rsid w:val="007F716C"/>
    <w:rsid w:val="00800E60"/>
    <w:rsid w:val="00801525"/>
    <w:rsid w:val="00801AA7"/>
    <w:rsid w:val="00801B7C"/>
    <w:rsid w:val="00804F6F"/>
    <w:rsid w:val="008058BD"/>
    <w:rsid w:val="008125B6"/>
    <w:rsid w:val="00814150"/>
    <w:rsid w:val="00815FB9"/>
    <w:rsid w:val="00823078"/>
    <w:rsid w:val="008231C3"/>
    <w:rsid w:val="008240DD"/>
    <w:rsid w:val="00824A5B"/>
    <w:rsid w:val="008265EF"/>
    <w:rsid w:val="00826849"/>
    <w:rsid w:val="00826DF6"/>
    <w:rsid w:val="008271C5"/>
    <w:rsid w:val="00831125"/>
    <w:rsid w:val="00833D74"/>
    <w:rsid w:val="00835259"/>
    <w:rsid w:val="0083692B"/>
    <w:rsid w:val="008377A0"/>
    <w:rsid w:val="00837B3E"/>
    <w:rsid w:val="00841C8C"/>
    <w:rsid w:val="008429E9"/>
    <w:rsid w:val="008435ED"/>
    <w:rsid w:val="00845B00"/>
    <w:rsid w:val="00845C31"/>
    <w:rsid w:val="00845D88"/>
    <w:rsid w:val="00845FA4"/>
    <w:rsid w:val="00846279"/>
    <w:rsid w:val="00846B42"/>
    <w:rsid w:val="00847CF6"/>
    <w:rsid w:val="00851205"/>
    <w:rsid w:val="00851265"/>
    <w:rsid w:val="00852432"/>
    <w:rsid w:val="008529FF"/>
    <w:rsid w:val="00852C4F"/>
    <w:rsid w:val="008538A0"/>
    <w:rsid w:val="0085578F"/>
    <w:rsid w:val="00856FFE"/>
    <w:rsid w:val="0086117E"/>
    <w:rsid w:val="008614D3"/>
    <w:rsid w:val="0086434D"/>
    <w:rsid w:val="00865E49"/>
    <w:rsid w:val="00866C48"/>
    <w:rsid w:val="00870B5B"/>
    <w:rsid w:val="008711FF"/>
    <w:rsid w:val="00872675"/>
    <w:rsid w:val="008729E0"/>
    <w:rsid w:val="00872ACA"/>
    <w:rsid w:val="00874B57"/>
    <w:rsid w:val="00874BC7"/>
    <w:rsid w:val="00876520"/>
    <w:rsid w:val="008778FB"/>
    <w:rsid w:val="00881ACF"/>
    <w:rsid w:val="00882A1F"/>
    <w:rsid w:val="0088399A"/>
    <w:rsid w:val="008928CD"/>
    <w:rsid w:val="00892C67"/>
    <w:rsid w:val="008933B5"/>
    <w:rsid w:val="00894A2B"/>
    <w:rsid w:val="00894D42"/>
    <w:rsid w:val="008957D4"/>
    <w:rsid w:val="00895906"/>
    <w:rsid w:val="00895CD5"/>
    <w:rsid w:val="008A293E"/>
    <w:rsid w:val="008A3E28"/>
    <w:rsid w:val="008A4ED4"/>
    <w:rsid w:val="008A513A"/>
    <w:rsid w:val="008A7353"/>
    <w:rsid w:val="008A76EE"/>
    <w:rsid w:val="008A7A01"/>
    <w:rsid w:val="008B04AB"/>
    <w:rsid w:val="008B30E4"/>
    <w:rsid w:val="008B45DA"/>
    <w:rsid w:val="008B50BA"/>
    <w:rsid w:val="008B7185"/>
    <w:rsid w:val="008C08D1"/>
    <w:rsid w:val="008C1DEE"/>
    <w:rsid w:val="008C2A78"/>
    <w:rsid w:val="008C2E30"/>
    <w:rsid w:val="008C4BAC"/>
    <w:rsid w:val="008C53F6"/>
    <w:rsid w:val="008C5631"/>
    <w:rsid w:val="008C57C4"/>
    <w:rsid w:val="008C6600"/>
    <w:rsid w:val="008C6608"/>
    <w:rsid w:val="008D01D3"/>
    <w:rsid w:val="008D157A"/>
    <w:rsid w:val="008D162C"/>
    <w:rsid w:val="008D19C0"/>
    <w:rsid w:val="008D520C"/>
    <w:rsid w:val="008D5624"/>
    <w:rsid w:val="008D7961"/>
    <w:rsid w:val="008E38BA"/>
    <w:rsid w:val="008E4B3E"/>
    <w:rsid w:val="008E7175"/>
    <w:rsid w:val="008E74C2"/>
    <w:rsid w:val="008F0D86"/>
    <w:rsid w:val="008F233E"/>
    <w:rsid w:val="008F2650"/>
    <w:rsid w:val="008F2BE7"/>
    <w:rsid w:val="008F434A"/>
    <w:rsid w:val="008F6A9E"/>
    <w:rsid w:val="008F77F1"/>
    <w:rsid w:val="00900DAC"/>
    <w:rsid w:val="009022CB"/>
    <w:rsid w:val="009023BA"/>
    <w:rsid w:val="00903420"/>
    <w:rsid w:val="00903789"/>
    <w:rsid w:val="0090501A"/>
    <w:rsid w:val="0090570D"/>
    <w:rsid w:val="00905811"/>
    <w:rsid w:val="009058BE"/>
    <w:rsid w:val="00906144"/>
    <w:rsid w:val="00906501"/>
    <w:rsid w:val="00907894"/>
    <w:rsid w:val="00911E24"/>
    <w:rsid w:val="00914778"/>
    <w:rsid w:val="00915E08"/>
    <w:rsid w:val="00915E4E"/>
    <w:rsid w:val="00916D56"/>
    <w:rsid w:val="00916EB3"/>
    <w:rsid w:val="00920269"/>
    <w:rsid w:val="00920C43"/>
    <w:rsid w:val="009211B3"/>
    <w:rsid w:val="00922099"/>
    <w:rsid w:val="00923192"/>
    <w:rsid w:val="00924988"/>
    <w:rsid w:val="00924F66"/>
    <w:rsid w:val="00925533"/>
    <w:rsid w:val="00926399"/>
    <w:rsid w:val="00927615"/>
    <w:rsid w:val="00930189"/>
    <w:rsid w:val="00931448"/>
    <w:rsid w:val="009333C3"/>
    <w:rsid w:val="0093390F"/>
    <w:rsid w:val="00937B31"/>
    <w:rsid w:val="00940837"/>
    <w:rsid w:val="00941A47"/>
    <w:rsid w:val="00942359"/>
    <w:rsid w:val="0094273B"/>
    <w:rsid w:val="0094308A"/>
    <w:rsid w:val="00944A9D"/>
    <w:rsid w:val="00944B2D"/>
    <w:rsid w:val="00944D6B"/>
    <w:rsid w:val="00950F06"/>
    <w:rsid w:val="009516F6"/>
    <w:rsid w:val="009526F4"/>
    <w:rsid w:val="00953ED7"/>
    <w:rsid w:val="00955CC6"/>
    <w:rsid w:val="00956B68"/>
    <w:rsid w:val="009572AA"/>
    <w:rsid w:val="00957A7B"/>
    <w:rsid w:val="00966BB2"/>
    <w:rsid w:val="00974B21"/>
    <w:rsid w:val="009750EA"/>
    <w:rsid w:val="00976095"/>
    <w:rsid w:val="0098171B"/>
    <w:rsid w:val="00981BD9"/>
    <w:rsid w:val="00982304"/>
    <w:rsid w:val="009851D7"/>
    <w:rsid w:val="009857EE"/>
    <w:rsid w:val="00986819"/>
    <w:rsid w:val="00987E2C"/>
    <w:rsid w:val="009902C0"/>
    <w:rsid w:val="00990BE0"/>
    <w:rsid w:val="00990F12"/>
    <w:rsid w:val="009944EA"/>
    <w:rsid w:val="00995FB5"/>
    <w:rsid w:val="009960E6"/>
    <w:rsid w:val="009965F7"/>
    <w:rsid w:val="00997497"/>
    <w:rsid w:val="009A1246"/>
    <w:rsid w:val="009A16A8"/>
    <w:rsid w:val="009A3466"/>
    <w:rsid w:val="009A4800"/>
    <w:rsid w:val="009A4E29"/>
    <w:rsid w:val="009B0B12"/>
    <w:rsid w:val="009B1D92"/>
    <w:rsid w:val="009B52F9"/>
    <w:rsid w:val="009B643C"/>
    <w:rsid w:val="009B72B2"/>
    <w:rsid w:val="009B78AE"/>
    <w:rsid w:val="009C0505"/>
    <w:rsid w:val="009C295C"/>
    <w:rsid w:val="009C2A3C"/>
    <w:rsid w:val="009C3C29"/>
    <w:rsid w:val="009C5871"/>
    <w:rsid w:val="009C631F"/>
    <w:rsid w:val="009D0806"/>
    <w:rsid w:val="009D1179"/>
    <w:rsid w:val="009D4514"/>
    <w:rsid w:val="009D4530"/>
    <w:rsid w:val="009D4E8A"/>
    <w:rsid w:val="009E37FF"/>
    <w:rsid w:val="009F0CDD"/>
    <w:rsid w:val="009F16FF"/>
    <w:rsid w:val="009F20FF"/>
    <w:rsid w:val="009F2FC9"/>
    <w:rsid w:val="009F340E"/>
    <w:rsid w:val="009F374D"/>
    <w:rsid w:val="009F4775"/>
    <w:rsid w:val="009F48E6"/>
    <w:rsid w:val="00A0451A"/>
    <w:rsid w:val="00A06080"/>
    <w:rsid w:val="00A06231"/>
    <w:rsid w:val="00A06486"/>
    <w:rsid w:val="00A108AB"/>
    <w:rsid w:val="00A1110E"/>
    <w:rsid w:val="00A1204F"/>
    <w:rsid w:val="00A133BA"/>
    <w:rsid w:val="00A133CC"/>
    <w:rsid w:val="00A13642"/>
    <w:rsid w:val="00A14872"/>
    <w:rsid w:val="00A14D32"/>
    <w:rsid w:val="00A14D54"/>
    <w:rsid w:val="00A164E9"/>
    <w:rsid w:val="00A17C03"/>
    <w:rsid w:val="00A20931"/>
    <w:rsid w:val="00A21C29"/>
    <w:rsid w:val="00A24AAD"/>
    <w:rsid w:val="00A2520D"/>
    <w:rsid w:val="00A26A4B"/>
    <w:rsid w:val="00A31C1B"/>
    <w:rsid w:val="00A33DBB"/>
    <w:rsid w:val="00A3470F"/>
    <w:rsid w:val="00A34CF3"/>
    <w:rsid w:val="00A35F43"/>
    <w:rsid w:val="00A41A6F"/>
    <w:rsid w:val="00A4231C"/>
    <w:rsid w:val="00A433B7"/>
    <w:rsid w:val="00A4458D"/>
    <w:rsid w:val="00A47659"/>
    <w:rsid w:val="00A558A3"/>
    <w:rsid w:val="00A564D8"/>
    <w:rsid w:val="00A615F2"/>
    <w:rsid w:val="00A616D7"/>
    <w:rsid w:val="00A62A3D"/>
    <w:rsid w:val="00A6426D"/>
    <w:rsid w:val="00A64ECE"/>
    <w:rsid w:val="00A650B0"/>
    <w:rsid w:val="00A65BDB"/>
    <w:rsid w:val="00A673A7"/>
    <w:rsid w:val="00A678E7"/>
    <w:rsid w:val="00A728A6"/>
    <w:rsid w:val="00A73D2F"/>
    <w:rsid w:val="00A73E47"/>
    <w:rsid w:val="00A7671A"/>
    <w:rsid w:val="00A76E48"/>
    <w:rsid w:val="00A801A1"/>
    <w:rsid w:val="00A81EE8"/>
    <w:rsid w:val="00A82705"/>
    <w:rsid w:val="00A8317F"/>
    <w:rsid w:val="00A87311"/>
    <w:rsid w:val="00A878DA"/>
    <w:rsid w:val="00A90448"/>
    <w:rsid w:val="00A923F0"/>
    <w:rsid w:val="00A9240A"/>
    <w:rsid w:val="00A931D2"/>
    <w:rsid w:val="00A9519D"/>
    <w:rsid w:val="00A962B8"/>
    <w:rsid w:val="00A964EF"/>
    <w:rsid w:val="00A96B25"/>
    <w:rsid w:val="00A97E44"/>
    <w:rsid w:val="00AA1AE0"/>
    <w:rsid w:val="00AA2136"/>
    <w:rsid w:val="00AA3878"/>
    <w:rsid w:val="00AA427F"/>
    <w:rsid w:val="00AA7652"/>
    <w:rsid w:val="00AB0A72"/>
    <w:rsid w:val="00AB1B9F"/>
    <w:rsid w:val="00AB2B2E"/>
    <w:rsid w:val="00AB2E7E"/>
    <w:rsid w:val="00AB3BA7"/>
    <w:rsid w:val="00AB3DD7"/>
    <w:rsid w:val="00AB66A7"/>
    <w:rsid w:val="00AB66CA"/>
    <w:rsid w:val="00AC1042"/>
    <w:rsid w:val="00AC2C7D"/>
    <w:rsid w:val="00AC4CD6"/>
    <w:rsid w:val="00AC5930"/>
    <w:rsid w:val="00AC68F0"/>
    <w:rsid w:val="00AC6D8E"/>
    <w:rsid w:val="00AC6F2F"/>
    <w:rsid w:val="00AC7038"/>
    <w:rsid w:val="00AD0B01"/>
    <w:rsid w:val="00AD318F"/>
    <w:rsid w:val="00AD5024"/>
    <w:rsid w:val="00AD5479"/>
    <w:rsid w:val="00AD54EE"/>
    <w:rsid w:val="00AD659D"/>
    <w:rsid w:val="00AE0409"/>
    <w:rsid w:val="00AE25F2"/>
    <w:rsid w:val="00AE3B9A"/>
    <w:rsid w:val="00AE5F60"/>
    <w:rsid w:val="00AE6380"/>
    <w:rsid w:val="00AF09EB"/>
    <w:rsid w:val="00AF1006"/>
    <w:rsid w:val="00B00A03"/>
    <w:rsid w:val="00B01AF2"/>
    <w:rsid w:val="00B048C2"/>
    <w:rsid w:val="00B0679E"/>
    <w:rsid w:val="00B07A30"/>
    <w:rsid w:val="00B14488"/>
    <w:rsid w:val="00B14E19"/>
    <w:rsid w:val="00B14F44"/>
    <w:rsid w:val="00B16092"/>
    <w:rsid w:val="00B24D36"/>
    <w:rsid w:val="00B24F89"/>
    <w:rsid w:val="00B27608"/>
    <w:rsid w:val="00B3204B"/>
    <w:rsid w:val="00B36363"/>
    <w:rsid w:val="00B363C0"/>
    <w:rsid w:val="00B36EAC"/>
    <w:rsid w:val="00B41147"/>
    <w:rsid w:val="00B42D0E"/>
    <w:rsid w:val="00B43ACF"/>
    <w:rsid w:val="00B45D53"/>
    <w:rsid w:val="00B469DE"/>
    <w:rsid w:val="00B47517"/>
    <w:rsid w:val="00B47ACF"/>
    <w:rsid w:val="00B5331A"/>
    <w:rsid w:val="00B5422F"/>
    <w:rsid w:val="00B54DCA"/>
    <w:rsid w:val="00B569B9"/>
    <w:rsid w:val="00B600B0"/>
    <w:rsid w:val="00B60DFB"/>
    <w:rsid w:val="00B61CCE"/>
    <w:rsid w:val="00B63A64"/>
    <w:rsid w:val="00B644DD"/>
    <w:rsid w:val="00B645F2"/>
    <w:rsid w:val="00B65291"/>
    <w:rsid w:val="00B72771"/>
    <w:rsid w:val="00B72D7E"/>
    <w:rsid w:val="00B73C64"/>
    <w:rsid w:val="00B750AF"/>
    <w:rsid w:val="00B761F5"/>
    <w:rsid w:val="00B7628A"/>
    <w:rsid w:val="00B77B87"/>
    <w:rsid w:val="00B80D39"/>
    <w:rsid w:val="00B80D8E"/>
    <w:rsid w:val="00B834E6"/>
    <w:rsid w:val="00B8441B"/>
    <w:rsid w:val="00B86254"/>
    <w:rsid w:val="00B865E3"/>
    <w:rsid w:val="00B91CB0"/>
    <w:rsid w:val="00B93A70"/>
    <w:rsid w:val="00B94B5F"/>
    <w:rsid w:val="00B9686E"/>
    <w:rsid w:val="00BA0A5E"/>
    <w:rsid w:val="00BA0E08"/>
    <w:rsid w:val="00BA168F"/>
    <w:rsid w:val="00BA2B47"/>
    <w:rsid w:val="00BA342C"/>
    <w:rsid w:val="00BA4157"/>
    <w:rsid w:val="00BA6D0E"/>
    <w:rsid w:val="00BA6FE8"/>
    <w:rsid w:val="00BB1B21"/>
    <w:rsid w:val="00BB1C9C"/>
    <w:rsid w:val="00BB27A1"/>
    <w:rsid w:val="00BB3616"/>
    <w:rsid w:val="00BB3660"/>
    <w:rsid w:val="00BB4543"/>
    <w:rsid w:val="00BB4AB6"/>
    <w:rsid w:val="00BB4D60"/>
    <w:rsid w:val="00BB5264"/>
    <w:rsid w:val="00BB6C73"/>
    <w:rsid w:val="00BB70D6"/>
    <w:rsid w:val="00BC2F50"/>
    <w:rsid w:val="00BC56CF"/>
    <w:rsid w:val="00BC7418"/>
    <w:rsid w:val="00BD2692"/>
    <w:rsid w:val="00BD2AF9"/>
    <w:rsid w:val="00BD2BA5"/>
    <w:rsid w:val="00BD3DE0"/>
    <w:rsid w:val="00BD41D2"/>
    <w:rsid w:val="00BD52FA"/>
    <w:rsid w:val="00BD5369"/>
    <w:rsid w:val="00BD7943"/>
    <w:rsid w:val="00BD7EBB"/>
    <w:rsid w:val="00BD7EE3"/>
    <w:rsid w:val="00BE348D"/>
    <w:rsid w:val="00BE5D38"/>
    <w:rsid w:val="00BE6233"/>
    <w:rsid w:val="00BF0119"/>
    <w:rsid w:val="00BF1595"/>
    <w:rsid w:val="00BF3E50"/>
    <w:rsid w:val="00BF7C4A"/>
    <w:rsid w:val="00C001B0"/>
    <w:rsid w:val="00C0081E"/>
    <w:rsid w:val="00C017D6"/>
    <w:rsid w:val="00C10429"/>
    <w:rsid w:val="00C15BBC"/>
    <w:rsid w:val="00C15E60"/>
    <w:rsid w:val="00C168D2"/>
    <w:rsid w:val="00C1717A"/>
    <w:rsid w:val="00C17F69"/>
    <w:rsid w:val="00C201B1"/>
    <w:rsid w:val="00C2343F"/>
    <w:rsid w:val="00C236A6"/>
    <w:rsid w:val="00C24B49"/>
    <w:rsid w:val="00C30D80"/>
    <w:rsid w:val="00C326FC"/>
    <w:rsid w:val="00C328B9"/>
    <w:rsid w:val="00C34699"/>
    <w:rsid w:val="00C34B40"/>
    <w:rsid w:val="00C353D2"/>
    <w:rsid w:val="00C35FE2"/>
    <w:rsid w:val="00C3602D"/>
    <w:rsid w:val="00C40E5B"/>
    <w:rsid w:val="00C43292"/>
    <w:rsid w:val="00C445F6"/>
    <w:rsid w:val="00C45752"/>
    <w:rsid w:val="00C45DA3"/>
    <w:rsid w:val="00C47289"/>
    <w:rsid w:val="00C507B7"/>
    <w:rsid w:val="00C51A6D"/>
    <w:rsid w:val="00C53DEE"/>
    <w:rsid w:val="00C5539B"/>
    <w:rsid w:val="00C55775"/>
    <w:rsid w:val="00C57A62"/>
    <w:rsid w:val="00C602F5"/>
    <w:rsid w:val="00C63446"/>
    <w:rsid w:val="00C65C8B"/>
    <w:rsid w:val="00C66B17"/>
    <w:rsid w:val="00C738DC"/>
    <w:rsid w:val="00C73C76"/>
    <w:rsid w:val="00C8108B"/>
    <w:rsid w:val="00C81B7B"/>
    <w:rsid w:val="00C835C3"/>
    <w:rsid w:val="00C843F4"/>
    <w:rsid w:val="00C9054B"/>
    <w:rsid w:val="00C917B2"/>
    <w:rsid w:val="00C9262B"/>
    <w:rsid w:val="00C94A93"/>
    <w:rsid w:val="00C95116"/>
    <w:rsid w:val="00C968CA"/>
    <w:rsid w:val="00C96C00"/>
    <w:rsid w:val="00C970CA"/>
    <w:rsid w:val="00CA0A81"/>
    <w:rsid w:val="00CA0E4A"/>
    <w:rsid w:val="00CA1666"/>
    <w:rsid w:val="00CA2FAE"/>
    <w:rsid w:val="00CA3BEE"/>
    <w:rsid w:val="00CA4129"/>
    <w:rsid w:val="00CA6067"/>
    <w:rsid w:val="00CA6854"/>
    <w:rsid w:val="00CA6EC6"/>
    <w:rsid w:val="00CB013F"/>
    <w:rsid w:val="00CB0452"/>
    <w:rsid w:val="00CB0B61"/>
    <w:rsid w:val="00CB2713"/>
    <w:rsid w:val="00CB2F56"/>
    <w:rsid w:val="00CB4582"/>
    <w:rsid w:val="00CB6036"/>
    <w:rsid w:val="00CB6221"/>
    <w:rsid w:val="00CB7867"/>
    <w:rsid w:val="00CC1060"/>
    <w:rsid w:val="00CC1877"/>
    <w:rsid w:val="00CC1AF7"/>
    <w:rsid w:val="00CC1CBF"/>
    <w:rsid w:val="00CC40C3"/>
    <w:rsid w:val="00CC5114"/>
    <w:rsid w:val="00CC57B0"/>
    <w:rsid w:val="00CC61DD"/>
    <w:rsid w:val="00CC79E9"/>
    <w:rsid w:val="00CD1EC2"/>
    <w:rsid w:val="00CD3268"/>
    <w:rsid w:val="00CD56A7"/>
    <w:rsid w:val="00CD662C"/>
    <w:rsid w:val="00CD67A3"/>
    <w:rsid w:val="00CE054C"/>
    <w:rsid w:val="00CE0FF3"/>
    <w:rsid w:val="00CE11F2"/>
    <w:rsid w:val="00CE1339"/>
    <w:rsid w:val="00CE55EC"/>
    <w:rsid w:val="00CE57F5"/>
    <w:rsid w:val="00CE67F2"/>
    <w:rsid w:val="00CE7AF5"/>
    <w:rsid w:val="00CE7C87"/>
    <w:rsid w:val="00CF11A2"/>
    <w:rsid w:val="00CF5551"/>
    <w:rsid w:val="00CF5F29"/>
    <w:rsid w:val="00CF69F3"/>
    <w:rsid w:val="00CF7919"/>
    <w:rsid w:val="00D021D9"/>
    <w:rsid w:val="00D03985"/>
    <w:rsid w:val="00D041B8"/>
    <w:rsid w:val="00D06800"/>
    <w:rsid w:val="00D077A0"/>
    <w:rsid w:val="00D07885"/>
    <w:rsid w:val="00D10FAE"/>
    <w:rsid w:val="00D1118D"/>
    <w:rsid w:val="00D11F5D"/>
    <w:rsid w:val="00D1555F"/>
    <w:rsid w:val="00D20727"/>
    <w:rsid w:val="00D21196"/>
    <w:rsid w:val="00D21B22"/>
    <w:rsid w:val="00D21B75"/>
    <w:rsid w:val="00D2517D"/>
    <w:rsid w:val="00D27311"/>
    <w:rsid w:val="00D30368"/>
    <w:rsid w:val="00D32712"/>
    <w:rsid w:val="00D3320C"/>
    <w:rsid w:val="00D34EC8"/>
    <w:rsid w:val="00D404BF"/>
    <w:rsid w:val="00D4248A"/>
    <w:rsid w:val="00D43000"/>
    <w:rsid w:val="00D43B00"/>
    <w:rsid w:val="00D472D5"/>
    <w:rsid w:val="00D503B5"/>
    <w:rsid w:val="00D50B9F"/>
    <w:rsid w:val="00D5121B"/>
    <w:rsid w:val="00D515D5"/>
    <w:rsid w:val="00D5191D"/>
    <w:rsid w:val="00D56783"/>
    <w:rsid w:val="00D56DDF"/>
    <w:rsid w:val="00D57341"/>
    <w:rsid w:val="00D57842"/>
    <w:rsid w:val="00D62EB5"/>
    <w:rsid w:val="00D6321E"/>
    <w:rsid w:val="00D64011"/>
    <w:rsid w:val="00D660F9"/>
    <w:rsid w:val="00D703ED"/>
    <w:rsid w:val="00D72686"/>
    <w:rsid w:val="00D72DA2"/>
    <w:rsid w:val="00D73A0D"/>
    <w:rsid w:val="00D7533A"/>
    <w:rsid w:val="00D8007E"/>
    <w:rsid w:val="00D80BC3"/>
    <w:rsid w:val="00D810B1"/>
    <w:rsid w:val="00D81259"/>
    <w:rsid w:val="00D82574"/>
    <w:rsid w:val="00D85782"/>
    <w:rsid w:val="00D90C6A"/>
    <w:rsid w:val="00D93607"/>
    <w:rsid w:val="00D94B31"/>
    <w:rsid w:val="00D94E2F"/>
    <w:rsid w:val="00D95F4E"/>
    <w:rsid w:val="00D96E44"/>
    <w:rsid w:val="00D96F32"/>
    <w:rsid w:val="00DA1C5E"/>
    <w:rsid w:val="00DA4050"/>
    <w:rsid w:val="00DA592A"/>
    <w:rsid w:val="00DA7D1F"/>
    <w:rsid w:val="00DB242B"/>
    <w:rsid w:val="00DB2A15"/>
    <w:rsid w:val="00DB4A1D"/>
    <w:rsid w:val="00DB4CC1"/>
    <w:rsid w:val="00DB4D40"/>
    <w:rsid w:val="00DB62C6"/>
    <w:rsid w:val="00DB65A9"/>
    <w:rsid w:val="00DC0BE7"/>
    <w:rsid w:val="00DC606D"/>
    <w:rsid w:val="00DC71A6"/>
    <w:rsid w:val="00DD1337"/>
    <w:rsid w:val="00DD3506"/>
    <w:rsid w:val="00DD3856"/>
    <w:rsid w:val="00DD48B5"/>
    <w:rsid w:val="00DD714E"/>
    <w:rsid w:val="00DD72E7"/>
    <w:rsid w:val="00DE40AF"/>
    <w:rsid w:val="00DE4C96"/>
    <w:rsid w:val="00DE59B5"/>
    <w:rsid w:val="00DF01F9"/>
    <w:rsid w:val="00DF1D64"/>
    <w:rsid w:val="00DF2763"/>
    <w:rsid w:val="00DF39C5"/>
    <w:rsid w:val="00DF5349"/>
    <w:rsid w:val="00E00742"/>
    <w:rsid w:val="00E019C2"/>
    <w:rsid w:val="00E06273"/>
    <w:rsid w:val="00E0646C"/>
    <w:rsid w:val="00E07984"/>
    <w:rsid w:val="00E10174"/>
    <w:rsid w:val="00E12026"/>
    <w:rsid w:val="00E13385"/>
    <w:rsid w:val="00E142F8"/>
    <w:rsid w:val="00E14581"/>
    <w:rsid w:val="00E15126"/>
    <w:rsid w:val="00E20734"/>
    <w:rsid w:val="00E22367"/>
    <w:rsid w:val="00E255CE"/>
    <w:rsid w:val="00E2581C"/>
    <w:rsid w:val="00E26185"/>
    <w:rsid w:val="00E26814"/>
    <w:rsid w:val="00E26A30"/>
    <w:rsid w:val="00E3008B"/>
    <w:rsid w:val="00E3023B"/>
    <w:rsid w:val="00E30CE1"/>
    <w:rsid w:val="00E32989"/>
    <w:rsid w:val="00E330BF"/>
    <w:rsid w:val="00E343A6"/>
    <w:rsid w:val="00E34513"/>
    <w:rsid w:val="00E3788D"/>
    <w:rsid w:val="00E405AF"/>
    <w:rsid w:val="00E40E31"/>
    <w:rsid w:val="00E41949"/>
    <w:rsid w:val="00E424B8"/>
    <w:rsid w:val="00E45688"/>
    <w:rsid w:val="00E502C8"/>
    <w:rsid w:val="00E513EA"/>
    <w:rsid w:val="00E51E17"/>
    <w:rsid w:val="00E523BB"/>
    <w:rsid w:val="00E52B25"/>
    <w:rsid w:val="00E53114"/>
    <w:rsid w:val="00E55179"/>
    <w:rsid w:val="00E55B15"/>
    <w:rsid w:val="00E57451"/>
    <w:rsid w:val="00E61276"/>
    <w:rsid w:val="00E61FFB"/>
    <w:rsid w:val="00E62DD2"/>
    <w:rsid w:val="00E62E15"/>
    <w:rsid w:val="00E630B1"/>
    <w:rsid w:val="00E64463"/>
    <w:rsid w:val="00E646F4"/>
    <w:rsid w:val="00E67CBA"/>
    <w:rsid w:val="00E7063B"/>
    <w:rsid w:val="00E712E3"/>
    <w:rsid w:val="00E71D89"/>
    <w:rsid w:val="00E71DC2"/>
    <w:rsid w:val="00E75074"/>
    <w:rsid w:val="00E75BBC"/>
    <w:rsid w:val="00E7692F"/>
    <w:rsid w:val="00E8021E"/>
    <w:rsid w:val="00E82922"/>
    <w:rsid w:val="00E82C11"/>
    <w:rsid w:val="00E837AD"/>
    <w:rsid w:val="00E843FC"/>
    <w:rsid w:val="00E85B71"/>
    <w:rsid w:val="00E86CC2"/>
    <w:rsid w:val="00E87157"/>
    <w:rsid w:val="00E87994"/>
    <w:rsid w:val="00E9063B"/>
    <w:rsid w:val="00E90B5E"/>
    <w:rsid w:val="00E92E28"/>
    <w:rsid w:val="00E9348E"/>
    <w:rsid w:val="00E93EC8"/>
    <w:rsid w:val="00E95AC9"/>
    <w:rsid w:val="00E96C50"/>
    <w:rsid w:val="00EA0E71"/>
    <w:rsid w:val="00EA156C"/>
    <w:rsid w:val="00EA1C76"/>
    <w:rsid w:val="00EB0153"/>
    <w:rsid w:val="00EB02D3"/>
    <w:rsid w:val="00EB35D0"/>
    <w:rsid w:val="00EB3D7E"/>
    <w:rsid w:val="00EB5153"/>
    <w:rsid w:val="00EB6C29"/>
    <w:rsid w:val="00EB6D34"/>
    <w:rsid w:val="00EC0D69"/>
    <w:rsid w:val="00EC1E60"/>
    <w:rsid w:val="00EC1EAA"/>
    <w:rsid w:val="00EC3F55"/>
    <w:rsid w:val="00EC5033"/>
    <w:rsid w:val="00EC54B5"/>
    <w:rsid w:val="00EC712C"/>
    <w:rsid w:val="00ED66D9"/>
    <w:rsid w:val="00ED7EC4"/>
    <w:rsid w:val="00EE418E"/>
    <w:rsid w:val="00EE55DC"/>
    <w:rsid w:val="00EE5DBC"/>
    <w:rsid w:val="00EE76B6"/>
    <w:rsid w:val="00EE7FC8"/>
    <w:rsid w:val="00EF0117"/>
    <w:rsid w:val="00EF059D"/>
    <w:rsid w:val="00EF1295"/>
    <w:rsid w:val="00EF1757"/>
    <w:rsid w:val="00EF47D9"/>
    <w:rsid w:val="00EF4CF6"/>
    <w:rsid w:val="00EF5BC1"/>
    <w:rsid w:val="00EF6F2A"/>
    <w:rsid w:val="00F00E0D"/>
    <w:rsid w:val="00F04E33"/>
    <w:rsid w:val="00F05701"/>
    <w:rsid w:val="00F070F6"/>
    <w:rsid w:val="00F07CC9"/>
    <w:rsid w:val="00F1165D"/>
    <w:rsid w:val="00F123F2"/>
    <w:rsid w:val="00F15365"/>
    <w:rsid w:val="00F15C0B"/>
    <w:rsid w:val="00F1780A"/>
    <w:rsid w:val="00F24B93"/>
    <w:rsid w:val="00F2519D"/>
    <w:rsid w:val="00F269C0"/>
    <w:rsid w:val="00F27963"/>
    <w:rsid w:val="00F311AA"/>
    <w:rsid w:val="00F34DD7"/>
    <w:rsid w:val="00F3554D"/>
    <w:rsid w:val="00F359BF"/>
    <w:rsid w:val="00F35C70"/>
    <w:rsid w:val="00F36DA1"/>
    <w:rsid w:val="00F36FFC"/>
    <w:rsid w:val="00F374AC"/>
    <w:rsid w:val="00F43C4D"/>
    <w:rsid w:val="00F45732"/>
    <w:rsid w:val="00F51553"/>
    <w:rsid w:val="00F52877"/>
    <w:rsid w:val="00F52909"/>
    <w:rsid w:val="00F532FE"/>
    <w:rsid w:val="00F5385C"/>
    <w:rsid w:val="00F54CF8"/>
    <w:rsid w:val="00F5569A"/>
    <w:rsid w:val="00F556A4"/>
    <w:rsid w:val="00F559BD"/>
    <w:rsid w:val="00F55FFE"/>
    <w:rsid w:val="00F56FF7"/>
    <w:rsid w:val="00F60DA9"/>
    <w:rsid w:val="00F611EE"/>
    <w:rsid w:val="00F61CF2"/>
    <w:rsid w:val="00F639DC"/>
    <w:rsid w:val="00F650B5"/>
    <w:rsid w:val="00F65A24"/>
    <w:rsid w:val="00F66872"/>
    <w:rsid w:val="00F73CC8"/>
    <w:rsid w:val="00F77F1F"/>
    <w:rsid w:val="00F8020A"/>
    <w:rsid w:val="00F80AAA"/>
    <w:rsid w:val="00F82298"/>
    <w:rsid w:val="00F83197"/>
    <w:rsid w:val="00F845A9"/>
    <w:rsid w:val="00F85559"/>
    <w:rsid w:val="00F87B11"/>
    <w:rsid w:val="00F917BF"/>
    <w:rsid w:val="00F91AED"/>
    <w:rsid w:val="00F9392A"/>
    <w:rsid w:val="00F94526"/>
    <w:rsid w:val="00F94C58"/>
    <w:rsid w:val="00F94D9F"/>
    <w:rsid w:val="00F95AB5"/>
    <w:rsid w:val="00F96A97"/>
    <w:rsid w:val="00FA0356"/>
    <w:rsid w:val="00FA04DD"/>
    <w:rsid w:val="00FA23BE"/>
    <w:rsid w:val="00FA4602"/>
    <w:rsid w:val="00FA464A"/>
    <w:rsid w:val="00FA4F6D"/>
    <w:rsid w:val="00FB0AFD"/>
    <w:rsid w:val="00FB0DF3"/>
    <w:rsid w:val="00FB2F3D"/>
    <w:rsid w:val="00FB2F55"/>
    <w:rsid w:val="00FB31E9"/>
    <w:rsid w:val="00FB4698"/>
    <w:rsid w:val="00FC057B"/>
    <w:rsid w:val="00FC1B0C"/>
    <w:rsid w:val="00FC3F8F"/>
    <w:rsid w:val="00FC48E6"/>
    <w:rsid w:val="00FC559A"/>
    <w:rsid w:val="00FC55BD"/>
    <w:rsid w:val="00FC65D2"/>
    <w:rsid w:val="00FC7531"/>
    <w:rsid w:val="00FC7720"/>
    <w:rsid w:val="00FC7837"/>
    <w:rsid w:val="00FC79F7"/>
    <w:rsid w:val="00FD1001"/>
    <w:rsid w:val="00FD17DB"/>
    <w:rsid w:val="00FD3848"/>
    <w:rsid w:val="00FD3E17"/>
    <w:rsid w:val="00FD43F7"/>
    <w:rsid w:val="00FD511F"/>
    <w:rsid w:val="00FD5766"/>
    <w:rsid w:val="00FD5B9E"/>
    <w:rsid w:val="00FD65A8"/>
    <w:rsid w:val="00FD731D"/>
    <w:rsid w:val="00FD7C4E"/>
    <w:rsid w:val="00FE147B"/>
    <w:rsid w:val="00FE4DDB"/>
    <w:rsid w:val="00FE6769"/>
    <w:rsid w:val="00FE6ACD"/>
    <w:rsid w:val="00FF227E"/>
    <w:rsid w:val="00FF3E48"/>
    <w:rsid w:val="00FF47CC"/>
    <w:rsid w:val="00FF6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5DC6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17E"/>
    <w:rPr>
      <w:sz w:val="24"/>
      <w:szCs w:val="24"/>
      <w:lang w:eastAsia="en-US"/>
    </w:rPr>
  </w:style>
  <w:style w:type="paragraph" w:styleId="Heading1">
    <w:name w:val="heading 1"/>
    <w:basedOn w:val="Normal"/>
    <w:next w:val="Normal"/>
    <w:link w:val="Heading1Char"/>
    <w:uiPriority w:val="9"/>
    <w:qFormat/>
    <w:rsid w:val="00BD3DE0"/>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BD3DE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BD3DE0"/>
    <w:pPr>
      <w:keepNext/>
      <w:keepLines/>
      <w:spacing w:before="200"/>
      <w:outlineLvl w:val="2"/>
    </w:pPr>
    <w:rPr>
      <w:rFonts w:asciiTheme="majorHAnsi" w:eastAsiaTheme="majorEastAsia" w:hAnsiTheme="majorHAnsi" w:cstheme="majorBidi"/>
      <w:b/>
      <w:bCs/>
      <w:color w:val="4F81BD" w:themeColor="accent1"/>
      <w:lang w:val="en-GB"/>
    </w:rPr>
  </w:style>
  <w:style w:type="paragraph" w:styleId="Heading4">
    <w:name w:val="heading 4"/>
    <w:basedOn w:val="Normal"/>
    <w:next w:val="Normal"/>
    <w:link w:val="Heading4Char"/>
    <w:uiPriority w:val="9"/>
    <w:unhideWhenUsed/>
    <w:qFormat/>
    <w:rsid w:val="00BD3DE0"/>
    <w:pPr>
      <w:keepNext/>
      <w:keepLines/>
      <w:spacing w:before="200"/>
      <w:jc w:val="center"/>
      <w:outlineLvl w:val="3"/>
    </w:pPr>
    <w:rPr>
      <w:rFonts w:asciiTheme="majorHAnsi" w:eastAsiaTheme="majorEastAsia" w:hAnsiTheme="majorHAnsi" w:cstheme="majorBidi"/>
      <w:b/>
      <w:bCs/>
      <w:iCs/>
      <w:lang w:val="en-GB"/>
    </w:rPr>
  </w:style>
  <w:style w:type="paragraph" w:styleId="Heading5">
    <w:name w:val="heading 5"/>
    <w:basedOn w:val="Normal"/>
    <w:next w:val="Normal"/>
    <w:link w:val="Heading5Char"/>
    <w:uiPriority w:val="9"/>
    <w:unhideWhenUsed/>
    <w:qFormat/>
    <w:rsid w:val="00BD3DE0"/>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BD3DE0"/>
    <w:pPr>
      <w:keepNext/>
      <w:keepLines/>
      <w:spacing w:before="200"/>
      <w:outlineLvl w:val="5"/>
    </w:pPr>
    <w:rPr>
      <w:rFonts w:asciiTheme="majorHAnsi" w:eastAsiaTheme="majorEastAsia" w:hAnsiTheme="majorHAnsi" w:cstheme="majorBidi"/>
      <w:i/>
      <w:iCs/>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E0"/>
    <w:rPr>
      <w:rFonts w:asciiTheme="majorHAnsi" w:eastAsiaTheme="majorEastAsia" w:hAnsiTheme="majorHAnsi" w:cstheme="majorBidi"/>
      <w:b/>
      <w:bCs/>
      <w:color w:val="345A8A" w:themeColor="accent1" w:themeShade="B5"/>
      <w:sz w:val="32"/>
      <w:szCs w:val="32"/>
      <w:lang w:val="en-GB" w:eastAsia="en-US"/>
    </w:rPr>
  </w:style>
  <w:style w:type="character" w:customStyle="1" w:styleId="Heading2Char">
    <w:name w:val="Heading 2 Char"/>
    <w:basedOn w:val="DefaultParagraphFont"/>
    <w:link w:val="Heading2"/>
    <w:uiPriority w:val="9"/>
    <w:rsid w:val="00BD3DE0"/>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BD3DE0"/>
    <w:rPr>
      <w:rFonts w:asciiTheme="majorHAnsi" w:eastAsiaTheme="majorEastAsia" w:hAnsiTheme="majorHAnsi" w:cstheme="majorBidi"/>
      <w:b/>
      <w:bCs/>
      <w:color w:val="4F81BD" w:themeColor="accent1"/>
      <w:sz w:val="24"/>
      <w:szCs w:val="24"/>
      <w:lang w:val="en-GB" w:eastAsia="en-US"/>
    </w:rPr>
  </w:style>
  <w:style w:type="character" w:customStyle="1" w:styleId="Heading4Char">
    <w:name w:val="Heading 4 Char"/>
    <w:basedOn w:val="DefaultParagraphFont"/>
    <w:link w:val="Heading4"/>
    <w:uiPriority w:val="9"/>
    <w:rsid w:val="00BD3DE0"/>
    <w:rPr>
      <w:rFonts w:asciiTheme="majorHAnsi" w:eastAsiaTheme="majorEastAsia" w:hAnsiTheme="majorHAnsi" w:cstheme="majorBidi"/>
      <w:b/>
      <w:bCs/>
      <w:iCs/>
      <w:sz w:val="24"/>
      <w:szCs w:val="24"/>
      <w:lang w:val="en-GB" w:eastAsia="en-US"/>
    </w:rPr>
  </w:style>
  <w:style w:type="character" w:customStyle="1" w:styleId="Heading5Char">
    <w:name w:val="Heading 5 Char"/>
    <w:basedOn w:val="DefaultParagraphFont"/>
    <w:link w:val="Heading5"/>
    <w:uiPriority w:val="9"/>
    <w:rsid w:val="00BD3DE0"/>
    <w:rPr>
      <w:rFonts w:asciiTheme="majorHAnsi" w:eastAsiaTheme="majorEastAsia" w:hAnsiTheme="majorHAnsi" w:cstheme="majorBidi"/>
      <w:sz w:val="24"/>
      <w:szCs w:val="24"/>
      <w:lang w:eastAsia="en-US"/>
    </w:rPr>
  </w:style>
  <w:style w:type="character" w:customStyle="1" w:styleId="Heading6Char">
    <w:name w:val="Heading 6 Char"/>
    <w:basedOn w:val="DefaultParagraphFont"/>
    <w:link w:val="Heading6"/>
    <w:uiPriority w:val="9"/>
    <w:rsid w:val="00BD3DE0"/>
    <w:rPr>
      <w:rFonts w:asciiTheme="majorHAnsi" w:eastAsiaTheme="majorEastAsia" w:hAnsiTheme="majorHAnsi" w:cstheme="majorBidi"/>
      <w:i/>
      <w:iCs/>
      <w:color w:val="243F60" w:themeColor="accent1" w:themeShade="7F"/>
      <w:sz w:val="24"/>
      <w:szCs w:val="24"/>
      <w:lang w:val="en-GB" w:eastAsia="en-US"/>
    </w:rPr>
  </w:style>
  <w:style w:type="paragraph" w:styleId="ListParagraph">
    <w:name w:val="List Paragraph"/>
    <w:basedOn w:val="Normal"/>
    <w:uiPriority w:val="34"/>
    <w:qFormat/>
    <w:rsid w:val="00BD3DE0"/>
    <w:pPr>
      <w:ind w:left="720"/>
      <w:contextualSpacing/>
    </w:pPr>
    <w:rPr>
      <w:lang w:val="en-GB"/>
    </w:rPr>
  </w:style>
  <w:style w:type="paragraph" w:styleId="Header">
    <w:name w:val="header"/>
    <w:basedOn w:val="Normal"/>
    <w:link w:val="HeaderChar"/>
    <w:uiPriority w:val="99"/>
    <w:unhideWhenUsed/>
    <w:rsid w:val="00BD3DE0"/>
    <w:pPr>
      <w:tabs>
        <w:tab w:val="center" w:pos="4320"/>
        <w:tab w:val="right" w:pos="8640"/>
      </w:tabs>
    </w:pPr>
    <w:rPr>
      <w:lang w:val="en-GB"/>
    </w:rPr>
  </w:style>
  <w:style w:type="character" w:customStyle="1" w:styleId="HeaderChar">
    <w:name w:val="Header Char"/>
    <w:basedOn w:val="DefaultParagraphFont"/>
    <w:link w:val="Header"/>
    <w:uiPriority w:val="99"/>
    <w:rsid w:val="00BD3DE0"/>
    <w:rPr>
      <w:sz w:val="24"/>
      <w:szCs w:val="24"/>
      <w:lang w:val="en-GB" w:eastAsia="en-US"/>
    </w:rPr>
  </w:style>
  <w:style w:type="paragraph" w:styleId="Footer">
    <w:name w:val="footer"/>
    <w:basedOn w:val="Normal"/>
    <w:link w:val="FooterChar"/>
    <w:uiPriority w:val="99"/>
    <w:unhideWhenUsed/>
    <w:rsid w:val="00BD3DE0"/>
    <w:pPr>
      <w:tabs>
        <w:tab w:val="center" w:pos="4320"/>
        <w:tab w:val="right" w:pos="8640"/>
      </w:tabs>
    </w:pPr>
    <w:rPr>
      <w:lang w:val="en-GB"/>
    </w:rPr>
  </w:style>
  <w:style w:type="character" w:customStyle="1" w:styleId="FooterChar">
    <w:name w:val="Footer Char"/>
    <w:basedOn w:val="DefaultParagraphFont"/>
    <w:link w:val="Footer"/>
    <w:uiPriority w:val="99"/>
    <w:rsid w:val="00BD3DE0"/>
    <w:rPr>
      <w:sz w:val="24"/>
      <w:szCs w:val="24"/>
      <w:lang w:val="en-GB" w:eastAsia="en-US"/>
    </w:rPr>
  </w:style>
  <w:style w:type="character" w:styleId="CommentReference">
    <w:name w:val="annotation reference"/>
    <w:basedOn w:val="DefaultParagraphFont"/>
    <w:uiPriority w:val="99"/>
    <w:semiHidden/>
    <w:unhideWhenUsed/>
    <w:rsid w:val="00BD3DE0"/>
    <w:rPr>
      <w:sz w:val="18"/>
      <w:szCs w:val="18"/>
    </w:rPr>
  </w:style>
  <w:style w:type="paragraph" w:styleId="CommentText">
    <w:name w:val="annotation text"/>
    <w:basedOn w:val="Normal"/>
    <w:link w:val="CommentTextChar"/>
    <w:uiPriority w:val="99"/>
    <w:semiHidden/>
    <w:unhideWhenUsed/>
    <w:rsid w:val="00BD3DE0"/>
    <w:rPr>
      <w:lang w:val="en-GB"/>
    </w:rPr>
  </w:style>
  <w:style w:type="character" w:customStyle="1" w:styleId="CommentTextChar">
    <w:name w:val="Comment Text Char"/>
    <w:basedOn w:val="DefaultParagraphFont"/>
    <w:link w:val="CommentText"/>
    <w:uiPriority w:val="99"/>
    <w:semiHidden/>
    <w:rsid w:val="00BD3DE0"/>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BD3DE0"/>
    <w:rPr>
      <w:b/>
      <w:bCs/>
      <w:sz w:val="20"/>
      <w:szCs w:val="20"/>
    </w:rPr>
  </w:style>
  <w:style w:type="character" w:customStyle="1" w:styleId="CommentSubjectChar">
    <w:name w:val="Comment Subject Char"/>
    <w:basedOn w:val="CommentTextChar"/>
    <w:link w:val="CommentSubject"/>
    <w:uiPriority w:val="99"/>
    <w:semiHidden/>
    <w:rsid w:val="00BD3DE0"/>
    <w:rPr>
      <w:b/>
      <w:bCs/>
      <w:sz w:val="24"/>
      <w:szCs w:val="24"/>
      <w:lang w:val="en-GB" w:eastAsia="en-US"/>
    </w:rPr>
  </w:style>
  <w:style w:type="paragraph" w:styleId="BalloonText">
    <w:name w:val="Balloon Text"/>
    <w:basedOn w:val="Normal"/>
    <w:link w:val="BalloonTextChar"/>
    <w:uiPriority w:val="99"/>
    <w:semiHidden/>
    <w:unhideWhenUsed/>
    <w:rsid w:val="00BD3DE0"/>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BD3DE0"/>
    <w:rPr>
      <w:rFonts w:ascii="Lucida Grande" w:hAnsi="Lucida Grande" w:cs="Lucida Grande"/>
      <w:sz w:val="18"/>
      <w:szCs w:val="18"/>
      <w:lang w:val="en-GB" w:eastAsia="en-US"/>
    </w:rPr>
  </w:style>
  <w:style w:type="character" w:styleId="PageNumber">
    <w:name w:val="page number"/>
    <w:basedOn w:val="DefaultParagraphFont"/>
    <w:uiPriority w:val="99"/>
    <w:semiHidden/>
    <w:unhideWhenUsed/>
    <w:rsid w:val="00BD3DE0"/>
  </w:style>
  <w:style w:type="paragraph" w:styleId="Revision">
    <w:name w:val="Revision"/>
    <w:hidden/>
    <w:uiPriority w:val="99"/>
    <w:semiHidden/>
    <w:rsid w:val="00BD3DE0"/>
    <w:rPr>
      <w:sz w:val="24"/>
      <w:szCs w:val="24"/>
      <w:lang w:val="en-GB" w:eastAsia="en-US"/>
    </w:rPr>
  </w:style>
  <w:style w:type="paragraph" w:styleId="TOCHeading">
    <w:name w:val="TOC Heading"/>
    <w:basedOn w:val="Heading1"/>
    <w:next w:val="Normal"/>
    <w:uiPriority w:val="39"/>
    <w:unhideWhenUsed/>
    <w:qFormat/>
    <w:rsid w:val="00BD3DE0"/>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BD3DE0"/>
    <w:pPr>
      <w:tabs>
        <w:tab w:val="right" w:leader="dot" w:pos="8920"/>
      </w:tabs>
      <w:spacing w:before="120"/>
    </w:pPr>
    <w:rPr>
      <w:rFonts w:asciiTheme="minorHAnsi" w:hAnsiTheme="minorHAnsi"/>
      <w:b/>
      <w:lang w:val="en-GB"/>
    </w:rPr>
  </w:style>
  <w:style w:type="paragraph" w:styleId="TOC2">
    <w:name w:val="toc 2"/>
    <w:basedOn w:val="Normal"/>
    <w:next w:val="Normal"/>
    <w:autoRedefine/>
    <w:uiPriority w:val="39"/>
    <w:unhideWhenUsed/>
    <w:rsid w:val="00BD3DE0"/>
    <w:pPr>
      <w:ind w:left="240"/>
    </w:pPr>
    <w:rPr>
      <w:rFonts w:asciiTheme="minorHAnsi" w:hAnsiTheme="minorHAnsi"/>
      <w:b/>
      <w:sz w:val="22"/>
      <w:szCs w:val="22"/>
      <w:lang w:val="en-GB"/>
    </w:rPr>
  </w:style>
  <w:style w:type="paragraph" w:styleId="TOC3">
    <w:name w:val="toc 3"/>
    <w:basedOn w:val="Normal"/>
    <w:next w:val="Normal"/>
    <w:autoRedefine/>
    <w:uiPriority w:val="39"/>
    <w:unhideWhenUsed/>
    <w:rsid w:val="00BD3DE0"/>
    <w:pPr>
      <w:ind w:left="480"/>
    </w:pPr>
    <w:rPr>
      <w:rFonts w:asciiTheme="minorHAnsi" w:hAnsiTheme="minorHAnsi"/>
      <w:sz w:val="22"/>
      <w:szCs w:val="22"/>
      <w:lang w:val="en-GB"/>
    </w:rPr>
  </w:style>
  <w:style w:type="paragraph" w:styleId="TOC4">
    <w:name w:val="toc 4"/>
    <w:basedOn w:val="Normal"/>
    <w:next w:val="Normal"/>
    <w:autoRedefine/>
    <w:uiPriority w:val="39"/>
    <w:semiHidden/>
    <w:unhideWhenUsed/>
    <w:rsid w:val="00BD3DE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D3DE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D3DE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D3DE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D3DE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D3DE0"/>
    <w:pPr>
      <w:ind w:left="1920"/>
    </w:pPr>
    <w:rPr>
      <w:rFonts w:asciiTheme="minorHAnsi" w:hAnsiTheme="minorHAnsi"/>
      <w:sz w:val="20"/>
      <w:szCs w:val="20"/>
    </w:rPr>
  </w:style>
  <w:style w:type="table" w:styleId="TableGrid">
    <w:name w:val="Table Grid"/>
    <w:basedOn w:val="TableNormal"/>
    <w:uiPriority w:val="39"/>
    <w:rsid w:val="00BD3DE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3DE0"/>
    <w:rPr>
      <w:lang w:val="en-GB"/>
    </w:rPr>
  </w:style>
  <w:style w:type="character" w:customStyle="1" w:styleId="FootnoteTextChar">
    <w:name w:val="Footnote Text Char"/>
    <w:basedOn w:val="DefaultParagraphFont"/>
    <w:link w:val="FootnoteText"/>
    <w:uiPriority w:val="99"/>
    <w:rsid w:val="00BD3DE0"/>
    <w:rPr>
      <w:sz w:val="24"/>
      <w:szCs w:val="24"/>
      <w:lang w:val="en-GB" w:eastAsia="en-US"/>
    </w:rPr>
  </w:style>
  <w:style w:type="character" w:styleId="FootnoteReference">
    <w:name w:val="footnote reference"/>
    <w:basedOn w:val="DefaultParagraphFont"/>
    <w:uiPriority w:val="99"/>
    <w:unhideWhenUsed/>
    <w:rsid w:val="00BD3DE0"/>
    <w:rPr>
      <w:vertAlign w:val="superscript"/>
    </w:rPr>
  </w:style>
  <w:style w:type="paragraph" w:styleId="BodyTextIndent">
    <w:name w:val="Body Text Indent"/>
    <w:basedOn w:val="Normal"/>
    <w:link w:val="BodyTextIndentChar"/>
    <w:rsid w:val="00BD3DE0"/>
    <w:pPr>
      <w:ind w:left="5040" w:hanging="4200"/>
    </w:pPr>
    <w:rPr>
      <w:rFonts w:eastAsia="Times New Roman"/>
    </w:rPr>
  </w:style>
  <w:style w:type="character" w:customStyle="1" w:styleId="BodyTextIndentChar">
    <w:name w:val="Body Text Indent Char"/>
    <w:basedOn w:val="DefaultParagraphFont"/>
    <w:link w:val="BodyTextIndent"/>
    <w:rsid w:val="00BD3DE0"/>
    <w:rPr>
      <w:rFonts w:eastAsia="Times New Roman"/>
      <w:sz w:val="24"/>
      <w:szCs w:val="24"/>
      <w:lang w:eastAsia="en-US"/>
    </w:rPr>
  </w:style>
  <w:style w:type="paragraph" w:styleId="Title">
    <w:name w:val="Title"/>
    <w:basedOn w:val="Normal"/>
    <w:next w:val="Normal"/>
    <w:link w:val="TitleChar"/>
    <w:uiPriority w:val="10"/>
    <w:qFormat/>
    <w:rsid w:val="00BD3D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BD3DE0"/>
    <w:rPr>
      <w:rFonts w:asciiTheme="majorHAnsi" w:eastAsiaTheme="majorEastAsia" w:hAnsiTheme="majorHAnsi" w:cstheme="majorBidi"/>
      <w:color w:val="17365D" w:themeColor="text2" w:themeShade="BF"/>
      <w:spacing w:val="5"/>
      <w:kern w:val="28"/>
      <w:sz w:val="52"/>
      <w:szCs w:val="52"/>
      <w:lang w:val="en-GB" w:eastAsia="en-US"/>
    </w:rPr>
  </w:style>
  <w:style w:type="paragraph" w:styleId="NoSpacing">
    <w:name w:val="No Spacing"/>
    <w:uiPriority w:val="1"/>
    <w:qFormat/>
    <w:rsid w:val="00BD3DE0"/>
    <w:rPr>
      <w:sz w:val="24"/>
      <w:szCs w:val="24"/>
      <w:lang w:val="en-GB" w:eastAsia="en-US"/>
    </w:rPr>
  </w:style>
  <w:style w:type="table" w:styleId="LightShading-Accent1">
    <w:name w:val="Light Shading Accent 1"/>
    <w:basedOn w:val="TableNormal"/>
    <w:uiPriority w:val="60"/>
    <w:rsid w:val="00BD3DE0"/>
    <w:rPr>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D3DE0"/>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D3DE0"/>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BD3DE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BD3DE0"/>
    <w:rPr>
      <w:color w:val="000000" w:themeColor="text1"/>
      <w:sz w:val="24"/>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BD3DE0"/>
    <w:rPr>
      <w:color w:val="31849B" w:themeColor="accent5" w:themeShade="BF"/>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BD3DE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ext2">
    <w:name w:val="text2"/>
    <w:basedOn w:val="DefaultParagraphFont"/>
    <w:rsid w:val="00BD3DE0"/>
    <w:rPr>
      <w:rFonts w:ascii="Arial" w:hAnsi="Arial" w:cs="Arial" w:hint="default"/>
      <w:b w:val="0"/>
      <w:bCs w:val="0"/>
      <w:color w:val="000000"/>
      <w:sz w:val="20"/>
      <w:szCs w:val="20"/>
    </w:rPr>
  </w:style>
  <w:style w:type="character" w:styleId="Emphasis">
    <w:name w:val="Emphasis"/>
    <w:basedOn w:val="DefaultParagraphFont"/>
    <w:uiPriority w:val="20"/>
    <w:qFormat/>
    <w:rsid w:val="00BD3DE0"/>
    <w:rPr>
      <w:i/>
      <w:iCs/>
    </w:rPr>
  </w:style>
  <w:style w:type="character" w:customStyle="1" w:styleId="text1">
    <w:name w:val="text1"/>
    <w:basedOn w:val="DefaultParagraphFont"/>
    <w:rsid w:val="00BD3DE0"/>
    <w:rPr>
      <w:rFonts w:ascii="Arial" w:hAnsi="Arial" w:cs="Arial" w:hint="default"/>
      <w:color w:val="0C6062"/>
      <w:spacing w:val="2"/>
      <w:sz w:val="28"/>
      <w:szCs w:val="28"/>
    </w:rPr>
  </w:style>
  <w:style w:type="table" w:styleId="MediumGrid3-Accent1">
    <w:name w:val="Medium Grid 3 Accent 1"/>
    <w:basedOn w:val="TableNormal"/>
    <w:uiPriority w:val="69"/>
    <w:rsid w:val="00BD3DE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Accent5">
    <w:name w:val="Medium List 2 Accent 5"/>
    <w:basedOn w:val="TableNormal"/>
    <w:uiPriority w:val="66"/>
    <w:rsid w:val="00BD3DE0"/>
    <w:rPr>
      <w:rFonts w:asciiTheme="majorHAnsi" w:eastAsiaTheme="majorEastAsia" w:hAnsiTheme="majorHAnsi"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BD3DE0"/>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uiPriority w:val="72"/>
    <w:rsid w:val="00BD3DE0"/>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evel1">
    <w:name w:val="Level 1"/>
    <w:rsid w:val="00BD3DE0"/>
    <w:pPr>
      <w:autoSpaceDE w:val="0"/>
      <w:autoSpaceDN w:val="0"/>
      <w:adjustRightInd w:val="0"/>
      <w:ind w:left="720"/>
    </w:pPr>
    <w:rPr>
      <w:rFonts w:eastAsia="Times New Roman"/>
      <w:sz w:val="24"/>
      <w:szCs w:val="24"/>
      <w:lang w:eastAsia="en-US"/>
    </w:rPr>
  </w:style>
  <w:style w:type="paragraph" w:customStyle="1" w:styleId="Level2">
    <w:name w:val="Level 2"/>
    <w:rsid w:val="00BD3DE0"/>
    <w:pPr>
      <w:autoSpaceDE w:val="0"/>
      <w:autoSpaceDN w:val="0"/>
      <w:adjustRightInd w:val="0"/>
      <w:ind w:left="1440"/>
    </w:pPr>
    <w:rPr>
      <w:rFonts w:eastAsia="Times New Roman"/>
      <w:sz w:val="24"/>
      <w:szCs w:val="24"/>
      <w:lang w:eastAsia="en-US"/>
    </w:rPr>
  </w:style>
  <w:style w:type="character" w:styleId="Hyperlink">
    <w:name w:val="Hyperlink"/>
    <w:basedOn w:val="DefaultParagraphFont"/>
    <w:uiPriority w:val="99"/>
    <w:unhideWhenUsed/>
    <w:rsid w:val="00BD3DE0"/>
    <w:rPr>
      <w:color w:val="0000FF" w:themeColor="hyperlink"/>
      <w:u w:val="single"/>
    </w:rPr>
  </w:style>
  <w:style w:type="paragraph" w:styleId="NormalWeb">
    <w:name w:val="Normal (Web)"/>
    <w:basedOn w:val="Normal"/>
    <w:uiPriority w:val="99"/>
    <w:unhideWhenUsed/>
    <w:rsid w:val="00072C5B"/>
    <w:pPr>
      <w:spacing w:before="100" w:beforeAutospacing="1" w:after="100" w:afterAutospacing="1"/>
    </w:pPr>
  </w:style>
  <w:style w:type="character" w:styleId="PlaceholderText">
    <w:name w:val="Placeholder Text"/>
    <w:basedOn w:val="DefaultParagraphFont"/>
    <w:uiPriority w:val="99"/>
    <w:semiHidden/>
    <w:rsid w:val="007D0841"/>
    <w:rPr>
      <w:color w:val="808080"/>
    </w:rPr>
  </w:style>
  <w:style w:type="character" w:styleId="FollowedHyperlink">
    <w:name w:val="FollowedHyperlink"/>
    <w:basedOn w:val="DefaultParagraphFont"/>
    <w:uiPriority w:val="99"/>
    <w:semiHidden/>
    <w:unhideWhenUsed/>
    <w:rsid w:val="00AD318F"/>
    <w:rPr>
      <w:color w:val="800080" w:themeColor="followedHyperlink"/>
      <w:u w:val="single"/>
    </w:rPr>
  </w:style>
  <w:style w:type="character" w:customStyle="1" w:styleId="apple-converted-space">
    <w:name w:val="apple-converted-space"/>
    <w:basedOn w:val="DefaultParagraphFont"/>
    <w:rsid w:val="00F611EE"/>
  </w:style>
  <w:style w:type="character" w:styleId="Strong">
    <w:name w:val="Strong"/>
    <w:basedOn w:val="DefaultParagraphFont"/>
    <w:uiPriority w:val="22"/>
    <w:qFormat/>
    <w:rsid w:val="00861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6290">
      <w:bodyDiv w:val="1"/>
      <w:marLeft w:val="0"/>
      <w:marRight w:val="0"/>
      <w:marTop w:val="0"/>
      <w:marBottom w:val="0"/>
      <w:divBdr>
        <w:top w:val="none" w:sz="0" w:space="0" w:color="auto"/>
        <w:left w:val="none" w:sz="0" w:space="0" w:color="auto"/>
        <w:bottom w:val="none" w:sz="0" w:space="0" w:color="auto"/>
        <w:right w:val="none" w:sz="0" w:space="0" w:color="auto"/>
      </w:divBdr>
    </w:div>
    <w:div w:id="50542650">
      <w:bodyDiv w:val="1"/>
      <w:marLeft w:val="0"/>
      <w:marRight w:val="0"/>
      <w:marTop w:val="0"/>
      <w:marBottom w:val="0"/>
      <w:divBdr>
        <w:top w:val="none" w:sz="0" w:space="0" w:color="auto"/>
        <w:left w:val="none" w:sz="0" w:space="0" w:color="auto"/>
        <w:bottom w:val="none" w:sz="0" w:space="0" w:color="auto"/>
        <w:right w:val="none" w:sz="0" w:space="0" w:color="auto"/>
      </w:divBdr>
      <w:divsChild>
        <w:div w:id="1778676336">
          <w:marLeft w:val="0"/>
          <w:marRight w:val="0"/>
          <w:marTop w:val="0"/>
          <w:marBottom w:val="0"/>
          <w:divBdr>
            <w:top w:val="none" w:sz="0" w:space="0" w:color="auto"/>
            <w:left w:val="none" w:sz="0" w:space="0" w:color="auto"/>
            <w:bottom w:val="none" w:sz="0" w:space="0" w:color="auto"/>
            <w:right w:val="none" w:sz="0" w:space="0" w:color="auto"/>
          </w:divBdr>
        </w:div>
        <w:div w:id="1368683498">
          <w:marLeft w:val="0"/>
          <w:marRight w:val="0"/>
          <w:marTop w:val="0"/>
          <w:marBottom w:val="0"/>
          <w:divBdr>
            <w:top w:val="none" w:sz="0" w:space="0" w:color="auto"/>
            <w:left w:val="none" w:sz="0" w:space="0" w:color="auto"/>
            <w:bottom w:val="none" w:sz="0" w:space="0" w:color="auto"/>
            <w:right w:val="none" w:sz="0" w:space="0" w:color="auto"/>
          </w:divBdr>
        </w:div>
      </w:divsChild>
    </w:div>
    <w:div w:id="177235610">
      <w:bodyDiv w:val="1"/>
      <w:marLeft w:val="0"/>
      <w:marRight w:val="0"/>
      <w:marTop w:val="0"/>
      <w:marBottom w:val="0"/>
      <w:divBdr>
        <w:top w:val="none" w:sz="0" w:space="0" w:color="auto"/>
        <w:left w:val="none" w:sz="0" w:space="0" w:color="auto"/>
        <w:bottom w:val="none" w:sz="0" w:space="0" w:color="auto"/>
        <w:right w:val="none" w:sz="0" w:space="0" w:color="auto"/>
      </w:divBdr>
    </w:div>
    <w:div w:id="232279633">
      <w:bodyDiv w:val="1"/>
      <w:marLeft w:val="0"/>
      <w:marRight w:val="0"/>
      <w:marTop w:val="0"/>
      <w:marBottom w:val="0"/>
      <w:divBdr>
        <w:top w:val="none" w:sz="0" w:space="0" w:color="auto"/>
        <w:left w:val="none" w:sz="0" w:space="0" w:color="auto"/>
        <w:bottom w:val="none" w:sz="0" w:space="0" w:color="auto"/>
        <w:right w:val="none" w:sz="0" w:space="0" w:color="auto"/>
      </w:divBdr>
    </w:div>
    <w:div w:id="370957952">
      <w:bodyDiv w:val="1"/>
      <w:marLeft w:val="0"/>
      <w:marRight w:val="0"/>
      <w:marTop w:val="0"/>
      <w:marBottom w:val="0"/>
      <w:divBdr>
        <w:top w:val="none" w:sz="0" w:space="0" w:color="auto"/>
        <w:left w:val="none" w:sz="0" w:space="0" w:color="auto"/>
        <w:bottom w:val="none" w:sz="0" w:space="0" w:color="auto"/>
        <w:right w:val="none" w:sz="0" w:space="0" w:color="auto"/>
      </w:divBdr>
      <w:divsChild>
        <w:div w:id="1440368245">
          <w:marLeft w:val="0"/>
          <w:marRight w:val="0"/>
          <w:marTop w:val="0"/>
          <w:marBottom w:val="0"/>
          <w:divBdr>
            <w:top w:val="none" w:sz="0" w:space="0" w:color="auto"/>
            <w:left w:val="none" w:sz="0" w:space="0" w:color="auto"/>
            <w:bottom w:val="none" w:sz="0" w:space="0" w:color="auto"/>
            <w:right w:val="none" w:sz="0" w:space="0" w:color="auto"/>
          </w:divBdr>
        </w:div>
        <w:div w:id="514658853">
          <w:marLeft w:val="0"/>
          <w:marRight w:val="0"/>
          <w:marTop w:val="0"/>
          <w:marBottom w:val="0"/>
          <w:divBdr>
            <w:top w:val="none" w:sz="0" w:space="0" w:color="auto"/>
            <w:left w:val="none" w:sz="0" w:space="0" w:color="auto"/>
            <w:bottom w:val="none" w:sz="0" w:space="0" w:color="auto"/>
            <w:right w:val="none" w:sz="0" w:space="0" w:color="auto"/>
          </w:divBdr>
        </w:div>
        <w:div w:id="886768063">
          <w:marLeft w:val="0"/>
          <w:marRight w:val="0"/>
          <w:marTop w:val="0"/>
          <w:marBottom w:val="0"/>
          <w:divBdr>
            <w:top w:val="none" w:sz="0" w:space="0" w:color="auto"/>
            <w:left w:val="none" w:sz="0" w:space="0" w:color="auto"/>
            <w:bottom w:val="none" w:sz="0" w:space="0" w:color="auto"/>
            <w:right w:val="none" w:sz="0" w:space="0" w:color="auto"/>
          </w:divBdr>
        </w:div>
      </w:divsChild>
    </w:div>
    <w:div w:id="385488685">
      <w:bodyDiv w:val="1"/>
      <w:marLeft w:val="0"/>
      <w:marRight w:val="0"/>
      <w:marTop w:val="0"/>
      <w:marBottom w:val="0"/>
      <w:divBdr>
        <w:top w:val="none" w:sz="0" w:space="0" w:color="auto"/>
        <w:left w:val="none" w:sz="0" w:space="0" w:color="auto"/>
        <w:bottom w:val="none" w:sz="0" w:space="0" w:color="auto"/>
        <w:right w:val="none" w:sz="0" w:space="0" w:color="auto"/>
      </w:divBdr>
    </w:div>
    <w:div w:id="551229612">
      <w:bodyDiv w:val="1"/>
      <w:marLeft w:val="0"/>
      <w:marRight w:val="0"/>
      <w:marTop w:val="0"/>
      <w:marBottom w:val="0"/>
      <w:divBdr>
        <w:top w:val="none" w:sz="0" w:space="0" w:color="auto"/>
        <w:left w:val="none" w:sz="0" w:space="0" w:color="auto"/>
        <w:bottom w:val="none" w:sz="0" w:space="0" w:color="auto"/>
        <w:right w:val="none" w:sz="0" w:space="0" w:color="auto"/>
      </w:divBdr>
    </w:div>
    <w:div w:id="749237414">
      <w:bodyDiv w:val="1"/>
      <w:marLeft w:val="0"/>
      <w:marRight w:val="0"/>
      <w:marTop w:val="0"/>
      <w:marBottom w:val="0"/>
      <w:divBdr>
        <w:top w:val="none" w:sz="0" w:space="0" w:color="auto"/>
        <w:left w:val="none" w:sz="0" w:space="0" w:color="auto"/>
        <w:bottom w:val="none" w:sz="0" w:space="0" w:color="auto"/>
        <w:right w:val="none" w:sz="0" w:space="0" w:color="auto"/>
      </w:divBdr>
      <w:divsChild>
        <w:div w:id="2037539333">
          <w:marLeft w:val="0"/>
          <w:marRight w:val="0"/>
          <w:marTop w:val="0"/>
          <w:marBottom w:val="0"/>
          <w:divBdr>
            <w:top w:val="none" w:sz="0" w:space="0" w:color="auto"/>
            <w:left w:val="none" w:sz="0" w:space="0" w:color="auto"/>
            <w:bottom w:val="none" w:sz="0" w:space="0" w:color="auto"/>
            <w:right w:val="none" w:sz="0" w:space="0" w:color="auto"/>
          </w:divBdr>
        </w:div>
        <w:div w:id="19160906">
          <w:marLeft w:val="0"/>
          <w:marRight w:val="0"/>
          <w:marTop w:val="0"/>
          <w:marBottom w:val="0"/>
          <w:divBdr>
            <w:top w:val="none" w:sz="0" w:space="0" w:color="auto"/>
            <w:left w:val="none" w:sz="0" w:space="0" w:color="auto"/>
            <w:bottom w:val="none" w:sz="0" w:space="0" w:color="auto"/>
            <w:right w:val="none" w:sz="0" w:space="0" w:color="auto"/>
          </w:divBdr>
        </w:div>
        <w:div w:id="848376893">
          <w:marLeft w:val="0"/>
          <w:marRight w:val="0"/>
          <w:marTop w:val="0"/>
          <w:marBottom w:val="0"/>
          <w:divBdr>
            <w:top w:val="none" w:sz="0" w:space="0" w:color="auto"/>
            <w:left w:val="none" w:sz="0" w:space="0" w:color="auto"/>
            <w:bottom w:val="none" w:sz="0" w:space="0" w:color="auto"/>
            <w:right w:val="none" w:sz="0" w:space="0" w:color="auto"/>
          </w:divBdr>
        </w:div>
        <w:div w:id="267856800">
          <w:marLeft w:val="0"/>
          <w:marRight w:val="0"/>
          <w:marTop w:val="0"/>
          <w:marBottom w:val="0"/>
          <w:divBdr>
            <w:top w:val="none" w:sz="0" w:space="0" w:color="auto"/>
            <w:left w:val="none" w:sz="0" w:space="0" w:color="auto"/>
            <w:bottom w:val="none" w:sz="0" w:space="0" w:color="auto"/>
            <w:right w:val="none" w:sz="0" w:space="0" w:color="auto"/>
          </w:divBdr>
        </w:div>
      </w:divsChild>
    </w:div>
    <w:div w:id="878082823">
      <w:bodyDiv w:val="1"/>
      <w:marLeft w:val="0"/>
      <w:marRight w:val="0"/>
      <w:marTop w:val="0"/>
      <w:marBottom w:val="0"/>
      <w:divBdr>
        <w:top w:val="none" w:sz="0" w:space="0" w:color="auto"/>
        <w:left w:val="none" w:sz="0" w:space="0" w:color="auto"/>
        <w:bottom w:val="none" w:sz="0" w:space="0" w:color="auto"/>
        <w:right w:val="none" w:sz="0" w:space="0" w:color="auto"/>
      </w:divBdr>
    </w:div>
    <w:div w:id="918564020">
      <w:bodyDiv w:val="1"/>
      <w:marLeft w:val="0"/>
      <w:marRight w:val="0"/>
      <w:marTop w:val="0"/>
      <w:marBottom w:val="0"/>
      <w:divBdr>
        <w:top w:val="none" w:sz="0" w:space="0" w:color="auto"/>
        <w:left w:val="none" w:sz="0" w:space="0" w:color="auto"/>
        <w:bottom w:val="none" w:sz="0" w:space="0" w:color="auto"/>
        <w:right w:val="none" w:sz="0" w:space="0" w:color="auto"/>
      </w:divBdr>
    </w:div>
    <w:div w:id="919873523">
      <w:bodyDiv w:val="1"/>
      <w:marLeft w:val="0"/>
      <w:marRight w:val="0"/>
      <w:marTop w:val="0"/>
      <w:marBottom w:val="0"/>
      <w:divBdr>
        <w:top w:val="none" w:sz="0" w:space="0" w:color="auto"/>
        <w:left w:val="none" w:sz="0" w:space="0" w:color="auto"/>
        <w:bottom w:val="none" w:sz="0" w:space="0" w:color="auto"/>
        <w:right w:val="none" w:sz="0" w:space="0" w:color="auto"/>
      </w:divBdr>
    </w:div>
    <w:div w:id="920142818">
      <w:bodyDiv w:val="1"/>
      <w:marLeft w:val="0"/>
      <w:marRight w:val="0"/>
      <w:marTop w:val="0"/>
      <w:marBottom w:val="0"/>
      <w:divBdr>
        <w:top w:val="none" w:sz="0" w:space="0" w:color="auto"/>
        <w:left w:val="none" w:sz="0" w:space="0" w:color="auto"/>
        <w:bottom w:val="none" w:sz="0" w:space="0" w:color="auto"/>
        <w:right w:val="none" w:sz="0" w:space="0" w:color="auto"/>
      </w:divBdr>
    </w:div>
    <w:div w:id="1046610798">
      <w:bodyDiv w:val="1"/>
      <w:marLeft w:val="0"/>
      <w:marRight w:val="0"/>
      <w:marTop w:val="0"/>
      <w:marBottom w:val="0"/>
      <w:divBdr>
        <w:top w:val="none" w:sz="0" w:space="0" w:color="auto"/>
        <w:left w:val="none" w:sz="0" w:space="0" w:color="auto"/>
        <w:bottom w:val="none" w:sz="0" w:space="0" w:color="auto"/>
        <w:right w:val="none" w:sz="0" w:space="0" w:color="auto"/>
      </w:divBdr>
      <w:divsChild>
        <w:div w:id="1075587747">
          <w:marLeft w:val="0"/>
          <w:marRight w:val="0"/>
          <w:marTop w:val="0"/>
          <w:marBottom w:val="0"/>
          <w:divBdr>
            <w:top w:val="none" w:sz="0" w:space="0" w:color="auto"/>
            <w:left w:val="none" w:sz="0" w:space="0" w:color="auto"/>
            <w:bottom w:val="none" w:sz="0" w:space="0" w:color="auto"/>
            <w:right w:val="none" w:sz="0" w:space="0" w:color="auto"/>
          </w:divBdr>
        </w:div>
        <w:div w:id="1229727394">
          <w:marLeft w:val="0"/>
          <w:marRight w:val="0"/>
          <w:marTop w:val="0"/>
          <w:marBottom w:val="0"/>
          <w:divBdr>
            <w:top w:val="none" w:sz="0" w:space="0" w:color="auto"/>
            <w:left w:val="none" w:sz="0" w:space="0" w:color="auto"/>
            <w:bottom w:val="none" w:sz="0" w:space="0" w:color="auto"/>
            <w:right w:val="none" w:sz="0" w:space="0" w:color="auto"/>
          </w:divBdr>
        </w:div>
        <w:div w:id="617837831">
          <w:marLeft w:val="0"/>
          <w:marRight w:val="0"/>
          <w:marTop w:val="0"/>
          <w:marBottom w:val="0"/>
          <w:divBdr>
            <w:top w:val="none" w:sz="0" w:space="0" w:color="auto"/>
            <w:left w:val="none" w:sz="0" w:space="0" w:color="auto"/>
            <w:bottom w:val="none" w:sz="0" w:space="0" w:color="auto"/>
            <w:right w:val="none" w:sz="0" w:space="0" w:color="auto"/>
          </w:divBdr>
        </w:div>
        <w:div w:id="771978500">
          <w:marLeft w:val="0"/>
          <w:marRight w:val="0"/>
          <w:marTop w:val="0"/>
          <w:marBottom w:val="0"/>
          <w:divBdr>
            <w:top w:val="none" w:sz="0" w:space="0" w:color="auto"/>
            <w:left w:val="none" w:sz="0" w:space="0" w:color="auto"/>
            <w:bottom w:val="none" w:sz="0" w:space="0" w:color="auto"/>
            <w:right w:val="none" w:sz="0" w:space="0" w:color="auto"/>
          </w:divBdr>
        </w:div>
        <w:div w:id="1273437306">
          <w:marLeft w:val="0"/>
          <w:marRight w:val="0"/>
          <w:marTop w:val="0"/>
          <w:marBottom w:val="0"/>
          <w:divBdr>
            <w:top w:val="none" w:sz="0" w:space="0" w:color="auto"/>
            <w:left w:val="none" w:sz="0" w:space="0" w:color="auto"/>
            <w:bottom w:val="none" w:sz="0" w:space="0" w:color="auto"/>
            <w:right w:val="none" w:sz="0" w:space="0" w:color="auto"/>
          </w:divBdr>
        </w:div>
        <w:div w:id="89815175">
          <w:marLeft w:val="0"/>
          <w:marRight w:val="0"/>
          <w:marTop w:val="0"/>
          <w:marBottom w:val="0"/>
          <w:divBdr>
            <w:top w:val="none" w:sz="0" w:space="0" w:color="auto"/>
            <w:left w:val="none" w:sz="0" w:space="0" w:color="auto"/>
            <w:bottom w:val="none" w:sz="0" w:space="0" w:color="auto"/>
            <w:right w:val="none" w:sz="0" w:space="0" w:color="auto"/>
          </w:divBdr>
        </w:div>
        <w:div w:id="1979455649">
          <w:marLeft w:val="0"/>
          <w:marRight w:val="0"/>
          <w:marTop w:val="0"/>
          <w:marBottom w:val="0"/>
          <w:divBdr>
            <w:top w:val="none" w:sz="0" w:space="0" w:color="auto"/>
            <w:left w:val="none" w:sz="0" w:space="0" w:color="auto"/>
            <w:bottom w:val="none" w:sz="0" w:space="0" w:color="auto"/>
            <w:right w:val="none" w:sz="0" w:space="0" w:color="auto"/>
          </w:divBdr>
        </w:div>
        <w:div w:id="1559629443">
          <w:marLeft w:val="0"/>
          <w:marRight w:val="0"/>
          <w:marTop w:val="0"/>
          <w:marBottom w:val="0"/>
          <w:divBdr>
            <w:top w:val="none" w:sz="0" w:space="0" w:color="auto"/>
            <w:left w:val="none" w:sz="0" w:space="0" w:color="auto"/>
            <w:bottom w:val="none" w:sz="0" w:space="0" w:color="auto"/>
            <w:right w:val="none" w:sz="0" w:space="0" w:color="auto"/>
          </w:divBdr>
        </w:div>
      </w:divsChild>
    </w:div>
    <w:div w:id="1074358093">
      <w:bodyDiv w:val="1"/>
      <w:marLeft w:val="0"/>
      <w:marRight w:val="0"/>
      <w:marTop w:val="0"/>
      <w:marBottom w:val="0"/>
      <w:divBdr>
        <w:top w:val="none" w:sz="0" w:space="0" w:color="auto"/>
        <w:left w:val="none" w:sz="0" w:space="0" w:color="auto"/>
        <w:bottom w:val="none" w:sz="0" w:space="0" w:color="auto"/>
        <w:right w:val="none" w:sz="0" w:space="0" w:color="auto"/>
      </w:divBdr>
    </w:div>
    <w:div w:id="1312902316">
      <w:bodyDiv w:val="1"/>
      <w:marLeft w:val="0"/>
      <w:marRight w:val="0"/>
      <w:marTop w:val="0"/>
      <w:marBottom w:val="0"/>
      <w:divBdr>
        <w:top w:val="none" w:sz="0" w:space="0" w:color="auto"/>
        <w:left w:val="none" w:sz="0" w:space="0" w:color="auto"/>
        <w:bottom w:val="none" w:sz="0" w:space="0" w:color="auto"/>
        <w:right w:val="none" w:sz="0" w:space="0" w:color="auto"/>
      </w:divBdr>
    </w:div>
    <w:div w:id="1349211128">
      <w:bodyDiv w:val="1"/>
      <w:marLeft w:val="0"/>
      <w:marRight w:val="0"/>
      <w:marTop w:val="0"/>
      <w:marBottom w:val="0"/>
      <w:divBdr>
        <w:top w:val="none" w:sz="0" w:space="0" w:color="auto"/>
        <w:left w:val="none" w:sz="0" w:space="0" w:color="auto"/>
        <w:bottom w:val="none" w:sz="0" w:space="0" w:color="auto"/>
        <w:right w:val="none" w:sz="0" w:space="0" w:color="auto"/>
      </w:divBdr>
    </w:div>
    <w:div w:id="1369644641">
      <w:bodyDiv w:val="1"/>
      <w:marLeft w:val="0"/>
      <w:marRight w:val="0"/>
      <w:marTop w:val="0"/>
      <w:marBottom w:val="0"/>
      <w:divBdr>
        <w:top w:val="none" w:sz="0" w:space="0" w:color="auto"/>
        <w:left w:val="none" w:sz="0" w:space="0" w:color="auto"/>
        <w:bottom w:val="none" w:sz="0" w:space="0" w:color="auto"/>
        <w:right w:val="none" w:sz="0" w:space="0" w:color="auto"/>
      </w:divBdr>
    </w:div>
    <w:div w:id="1378511707">
      <w:bodyDiv w:val="1"/>
      <w:marLeft w:val="0"/>
      <w:marRight w:val="0"/>
      <w:marTop w:val="0"/>
      <w:marBottom w:val="0"/>
      <w:divBdr>
        <w:top w:val="none" w:sz="0" w:space="0" w:color="auto"/>
        <w:left w:val="none" w:sz="0" w:space="0" w:color="auto"/>
        <w:bottom w:val="none" w:sz="0" w:space="0" w:color="auto"/>
        <w:right w:val="none" w:sz="0" w:space="0" w:color="auto"/>
      </w:divBdr>
      <w:divsChild>
        <w:div w:id="595329640">
          <w:marLeft w:val="0"/>
          <w:marRight w:val="0"/>
          <w:marTop w:val="0"/>
          <w:marBottom w:val="0"/>
          <w:divBdr>
            <w:top w:val="none" w:sz="0" w:space="0" w:color="auto"/>
            <w:left w:val="none" w:sz="0" w:space="0" w:color="auto"/>
            <w:bottom w:val="none" w:sz="0" w:space="0" w:color="auto"/>
            <w:right w:val="none" w:sz="0" w:space="0" w:color="auto"/>
          </w:divBdr>
          <w:divsChild>
            <w:div w:id="636182983">
              <w:marLeft w:val="0"/>
              <w:marRight w:val="0"/>
              <w:marTop w:val="0"/>
              <w:marBottom w:val="0"/>
              <w:divBdr>
                <w:top w:val="none" w:sz="0" w:space="0" w:color="auto"/>
                <w:left w:val="none" w:sz="0" w:space="0" w:color="auto"/>
                <w:bottom w:val="none" w:sz="0" w:space="0" w:color="auto"/>
                <w:right w:val="none" w:sz="0" w:space="0" w:color="auto"/>
              </w:divBdr>
              <w:divsChild>
                <w:div w:id="3824834">
                  <w:marLeft w:val="0"/>
                  <w:marRight w:val="0"/>
                  <w:marTop w:val="0"/>
                  <w:marBottom w:val="0"/>
                  <w:divBdr>
                    <w:top w:val="none" w:sz="0" w:space="0" w:color="auto"/>
                    <w:left w:val="none" w:sz="0" w:space="0" w:color="auto"/>
                    <w:bottom w:val="none" w:sz="0" w:space="0" w:color="auto"/>
                    <w:right w:val="none" w:sz="0" w:space="0" w:color="auto"/>
                  </w:divBdr>
                  <w:divsChild>
                    <w:div w:id="9280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6705">
      <w:bodyDiv w:val="1"/>
      <w:marLeft w:val="0"/>
      <w:marRight w:val="0"/>
      <w:marTop w:val="0"/>
      <w:marBottom w:val="0"/>
      <w:divBdr>
        <w:top w:val="none" w:sz="0" w:space="0" w:color="auto"/>
        <w:left w:val="none" w:sz="0" w:space="0" w:color="auto"/>
        <w:bottom w:val="none" w:sz="0" w:space="0" w:color="auto"/>
        <w:right w:val="none" w:sz="0" w:space="0" w:color="auto"/>
      </w:divBdr>
    </w:div>
    <w:div w:id="1543135654">
      <w:bodyDiv w:val="1"/>
      <w:marLeft w:val="0"/>
      <w:marRight w:val="0"/>
      <w:marTop w:val="0"/>
      <w:marBottom w:val="0"/>
      <w:divBdr>
        <w:top w:val="none" w:sz="0" w:space="0" w:color="auto"/>
        <w:left w:val="none" w:sz="0" w:space="0" w:color="auto"/>
        <w:bottom w:val="none" w:sz="0" w:space="0" w:color="auto"/>
        <w:right w:val="none" w:sz="0" w:space="0" w:color="auto"/>
      </w:divBdr>
    </w:div>
    <w:div w:id="1560439492">
      <w:bodyDiv w:val="1"/>
      <w:marLeft w:val="0"/>
      <w:marRight w:val="0"/>
      <w:marTop w:val="0"/>
      <w:marBottom w:val="0"/>
      <w:divBdr>
        <w:top w:val="none" w:sz="0" w:space="0" w:color="auto"/>
        <w:left w:val="none" w:sz="0" w:space="0" w:color="auto"/>
        <w:bottom w:val="none" w:sz="0" w:space="0" w:color="auto"/>
        <w:right w:val="none" w:sz="0" w:space="0" w:color="auto"/>
      </w:divBdr>
    </w:div>
    <w:div w:id="1578705130">
      <w:bodyDiv w:val="1"/>
      <w:marLeft w:val="0"/>
      <w:marRight w:val="0"/>
      <w:marTop w:val="0"/>
      <w:marBottom w:val="0"/>
      <w:divBdr>
        <w:top w:val="none" w:sz="0" w:space="0" w:color="auto"/>
        <w:left w:val="none" w:sz="0" w:space="0" w:color="auto"/>
        <w:bottom w:val="none" w:sz="0" w:space="0" w:color="auto"/>
        <w:right w:val="none" w:sz="0" w:space="0" w:color="auto"/>
      </w:divBdr>
    </w:div>
    <w:div w:id="1583029240">
      <w:bodyDiv w:val="1"/>
      <w:marLeft w:val="0"/>
      <w:marRight w:val="0"/>
      <w:marTop w:val="0"/>
      <w:marBottom w:val="0"/>
      <w:divBdr>
        <w:top w:val="none" w:sz="0" w:space="0" w:color="auto"/>
        <w:left w:val="none" w:sz="0" w:space="0" w:color="auto"/>
        <w:bottom w:val="none" w:sz="0" w:space="0" w:color="auto"/>
        <w:right w:val="none" w:sz="0" w:space="0" w:color="auto"/>
      </w:divBdr>
    </w:div>
    <w:div w:id="1663238938">
      <w:bodyDiv w:val="1"/>
      <w:marLeft w:val="0"/>
      <w:marRight w:val="0"/>
      <w:marTop w:val="0"/>
      <w:marBottom w:val="0"/>
      <w:divBdr>
        <w:top w:val="none" w:sz="0" w:space="0" w:color="auto"/>
        <w:left w:val="none" w:sz="0" w:space="0" w:color="auto"/>
        <w:bottom w:val="none" w:sz="0" w:space="0" w:color="auto"/>
        <w:right w:val="none" w:sz="0" w:space="0" w:color="auto"/>
      </w:divBdr>
    </w:div>
    <w:div w:id="1722514751">
      <w:bodyDiv w:val="1"/>
      <w:marLeft w:val="0"/>
      <w:marRight w:val="0"/>
      <w:marTop w:val="0"/>
      <w:marBottom w:val="0"/>
      <w:divBdr>
        <w:top w:val="none" w:sz="0" w:space="0" w:color="auto"/>
        <w:left w:val="none" w:sz="0" w:space="0" w:color="auto"/>
        <w:bottom w:val="none" w:sz="0" w:space="0" w:color="auto"/>
        <w:right w:val="none" w:sz="0" w:space="0" w:color="auto"/>
      </w:divBdr>
    </w:div>
    <w:div w:id="1731418529">
      <w:bodyDiv w:val="1"/>
      <w:marLeft w:val="0"/>
      <w:marRight w:val="0"/>
      <w:marTop w:val="0"/>
      <w:marBottom w:val="0"/>
      <w:divBdr>
        <w:top w:val="none" w:sz="0" w:space="0" w:color="auto"/>
        <w:left w:val="none" w:sz="0" w:space="0" w:color="auto"/>
        <w:bottom w:val="none" w:sz="0" w:space="0" w:color="auto"/>
        <w:right w:val="none" w:sz="0" w:space="0" w:color="auto"/>
      </w:divBdr>
      <w:divsChild>
        <w:div w:id="1525630647">
          <w:marLeft w:val="0"/>
          <w:marRight w:val="0"/>
          <w:marTop w:val="0"/>
          <w:marBottom w:val="0"/>
          <w:divBdr>
            <w:top w:val="none" w:sz="0" w:space="0" w:color="auto"/>
            <w:left w:val="none" w:sz="0" w:space="0" w:color="auto"/>
            <w:bottom w:val="none" w:sz="0" w:space="0" w:color="auto"/>
            <w:right w:val="none" w:sz="0" w:space="0" w:color="auto"/>
          </w:divBdr>
          <w:divsChild>
            <w:div w:id="673994870">
              <w:marLeft w:val="0"/>
              <w:marRight w:val="0"/>
              <w:marTop w:val="0"/>
              <w:marBottom w:val="0"/>
              <w:divBdr>
                <w:top w:val="none" w:sz="0" w:space="0" w:color="auto"/>
                <w:left w:val="none" w:sz="0" w:space="0" w:color="auto"/>
                <w:bottom w:val="none" w:sz="0" w:space="0" w:color="auto"/>
                <w:right w:val="none" w:sz="0" w:space="0" w:color="auto"/>
              </w:divBdr>
              <w:divsChild>
                <w:div w:id="531502566">
                  <w:marLeft w:val="0"/>
                  <w:marRight w:val="0"/>
                  <w:marTop w:val="0"/>
                  <w:marBottom w:val="0"/>
                  <w:divBdr>
                    <w:top w:val="none" w:sz="0" w:space="0" w:color="auto"/>
                    <w:left w:val="none" w:sz="0" w:space="0" w:color="auto"/>
                    <w:bottom w:val="none" w:sz="0" w:space="0" w:color="auto"/>
                    <w:right w:val="none" w:sz="0" w:space="0" w:color="auto"/>
                  </w:divBdr>
                  <w:divsChild>
                    <w:div w:id="13420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6111">
      <w:bodyDiv w:val="1"/>
      <w:marLeft w:val="0"/>
      <w:marRight w:val="0"/>
      <w:marTop w:val="0"/>
      <w:marBottom w:val="0"/>
      <w:divBdr>
        <w:top w:val="none" w:sz="0" w:space="0" w:color="auto"/>
        <w:left w:val="none" w:sz="0" w:space="0" w:color="auto"/>
        <w:bottom w:val="none" w:sz="0" w:space="0" w:color="auto"/>
        <w:right w:val="none" w:sz="0" w:space="0" w:color="auto"/>
      </w:divBdr>
    </w:div>
    <w:div w:id="1797678178">
      <w:bodyDiv w:val="1"/>
      <w:marLeft w:val="0"/>
      <w:marRight w:val="0"/>
      <w:marTop w:val="0"/>
      <w:marBottom w:val="0"/>
      <w:divBdr>
        <w:top w:val="none" w:sz="0" w:space="0" w:color="auto"/>
        <w:left w:val="none" w:sz="0" w:space="0" w:color="auto"/>
        <w:bottom w:val="none" w:sz="0" w:space="0" w:color="auto"/>
        <w:right w:val="none" w:sz="0" w:space="0" w:color="auto"/>
      </w:divBdr>
    </w:div>
    <w:div w:id="1797718770">
      <w:bodyDiv w:val="1"/>
      <w:marLeft w:val="0"/>
      <w:marRight w:val="0"/>
      <w:marTop w:val="0"/>
      <w:marBottom w:val="0"/>
      <w:divBdr>
        <w:top w:val="none" w:sz="0" w:space="0" w:color="auto"/>
        <w:left w:val="none" w:sz="0" w:space="0" w:color="auto"/>
        <w:bottom w:val="none" w:sz="0" w:space="0" w:color="auto"/>
        <w:right w:val="none" w:sz="0" w:space="0" w:color="auto"/>
      </w:divBdr>
    </w:div>
    <w:div w:id="1819497704">
      <w:bodyDiv w:val="1"/>
      <w:marLeft w:val="0"/>
      <w:marRight w:val="0"/>
      <w:marTop w:val="0"/>
      <w:marBottom w:val="0"/>
      <w:divBdr>
        <w:top w:val="none" w:sz="0" w:space="0" w:color="auto"/>
        <w:left w:val="none" w:sz="0" w:space="0" w:color="auto"/>
        <w:bottom w:val="none" w:sz="0" w:space="0" w:color="auto"/>
        <w:right w:val="none" w:sz="0" w:space="0" w:color="auto"/>
      </w:divBdr>
    </w:div>
    <w:div w:id="1833178506">
      <w:bodyDiv w:val="1"/>
      <w:marLeft w:val="0"/>
      <w:marRight w:val="0"/>
      <w:marTop w:val="0"/>
      <w:marBottom w:val="0"/>
      <w:divBdr>
        <w:top w:val="none" w:sz="0" w:space="0" w:color="auto"/>
        <w:left w:val="none" w:sz="0" w:space="0" w:color="auto"/>
        <w:bottom w:val="none" w:sz="0" w:space="0" w:color="auto"/>
        <w:right w:val="none" w:sz="0" w:space="0" w:color="auto"/>
      </w:divBdr>
    </w:div>
    <w:div w:id="1855681368">
      <w:bodyDiv w:val="1"/>
      <w:marLeft w:val="0"/>
      <w:marRight w:val="0"/>
      <w:marTop w:val="0"/>
      <w:marBottom w:val="0"/>
      <w:divBdr>
        <w:top w:val="none" w:sz="0" w:space="0" w:color="auto"/>
        <w:left w:val="none" w:sz="0" w:space="0" w:color="auto"/>
        <w:bottom w:val="none" w:sz="0" w:space="0" w:color="auto"/>
        <w:right w:val="none" w:sz="0" w:space="0" w:color="auto"/>
      </w:divBdr>
    </w:div>
    <w:div w:id="1940143693">
      <w:bodyDiv w:val="1"/>
      <w:marLeft w:val="0"/>
      <w:marRight w:val="0"/>
      <w:marTop w:val="0"/>
      <w:marBottom w:val="0"/>
      <w:divBdr>
        <w:top w:val="none" w:sz="0" w:space="0" w:color="auto"/>
        <w:left w:val="none" w:sz="0" w:space="0" w:color="auto"/>
        <w:bottom w:val="none" w:sz="0" w:space="0" w:color="auto"/>
        <w:right w:val="none" w:sz="0" w:space="0" w:color="auto"/>
      </w:divBdr>
    </w:div>
    <w:div w:id="1984265996">
      <w:bodyDiv w:val="1"/>
      <w:marLeft w:val="0"/>
      <w:marRight w:val="0"/>
      <w:marTop w:val="0"/>
      <w:marBottom w:val="0"/>
      <w:divBdr>
        <w:top w:val="none" w:sz="0" w:space="0" w:color="auto"/>
        <w:left w:val="none" w:sz="0" w:space="0" w:color="auto"/>
        <w:bottom w:val="none" w:sz="0" w:space="0" w:color="auto"/>
        <w:right w:val="none" w:sz="0" w:space="0" w:color="auto"/>
      </w:divBdr>
    </w:div>
    <w:div w:id="2015186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DEDD-8A6B-47E7-8440-36A4302D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5188</Words>
  <Characters>29574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Bob</dc:creator>
  <cp:lastModifiedBy>Revan, Jade</cp:lastModifiedBy>
  <cp:revision>2</cp:revision>
  <dcterms:created xsi:type="dcterms:W3CDTF">2019-06-18T12:32:00Z</dcterms:created>
  <dcterms:modified xsi:type="dcterms:W3CDTF">2019-06-18T12:32:00Z</dcterms:modified>
</cp:coreProperties>
</file>