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63" w:rsidRPr="00190265" w:rsidRDefault="00366423" w:rsidP="00190265">
      <w:pPr>
        <w:spacing w:line="360" w:lineRule="auto"/>
        <w:rPr>
          <w:rFonts w:ascii="Times New Roman" w:hAnsi="Times New Roman" w:cs="Times New Roman"/>
          <w:b/>
          <w:sz w:val="24"/>
          <w:szCs w:val="24"/>
        </w:rPr>
      </w:pPr>
      <w:bookmarkStart w:id="0" w:name="_GoBack"/>
      <w:bookmarkEnd w:id="0"/>
      <w:r w:rsidRPr="00190265">
        <w:rPr>
          <w:rFonts w:ascii="Times New Roman" w:hAnsi="Times New Roman" w:cs="Times New Roman"/>
          <w:b/>
          <w:sz w:val="24"/>
          <w:szCs w:val="24"/>
        </w:rPr>
        <w:t>Respecting Multiculturalism?  Respecting Religion?</w:t>
      </w:r>
    </w:p>
    <w:p w:rsidR="00366423" w:rsidRDefault="00366423" w:rsidP="00190265">
      <w:pPr>
        <w:spacing w:line="360" w:lineRule="auto"/>
        <w:rPr>
          <w:rFonts w:ascii="Times New Roman" w:hAnsi="Times New Roman" w:cs="Times New Roman"/>
          <w:b/>
          <w:sz w:val="24"/>
          <w:szCs w:val="24"/>
        </w:rPr>
      </w:pPr>
      <w:r w:rsidRPr="00C34DB6">
        <w:rPr>
          <w:rFonts w:ascii="Times New Roman" w:hAnsi="Times New Roman" w:cs="Times New Roman"/>
          <w:b/>
          <w:sz w:val="24"/>
          <w:szCs w:val="24"/>
        </w:rPr>
        <w:t>Jonathan Seglow</w:t>
      </w:r>
      <w:r w:rsidR="009964C7">
        <w:rPr>
          <w:rFonts w:ascii="Times New Roman" w:hAnsi="Times New Roman" w:cs="Times New Roman"/>
          <w:b/>
          <w:sz w:val="24"/>
          <w:szCs w:val="24"/>
        </w:rPr>
        <w:t>*</w:t>
      </w:r>
    </w:p>
    <w:p w:rsidR="00DB2AC0" w:rsidRPr="00DB2AC0" w:rsidRDefault="001246DE" w:rsidP="00190265">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School of Politics, </w:t>
      </w:r>
      <w:r w:rsidR="00DB2AC0" w:rsidRPr="00DB2AC0">
        <w:rPr>
          <w:rFonts w:ascii="Times New Roman" w:hAnsi="Times New Roman" w:cs="Times New Roman"/>
          <w:i/>
          <w:sz w:val="24"/>
          <w:szCs w:val="24"/>
        </w:rPr>
        <w:t>International Relations</w:t>
      </w:r>
      <w:r>
        <w:rPr>
          <w:rFonts w:ascii="Times New Roman" w:hAnsi="Times New Roman" w:cs="Times New Roman"/>
          <w:i/>
          <w:sz w:val="24"/>
          <w:szCs w:val="24"/>
        </w:rPr>
        <w:t xml:space="preserve"> and Philosophy</w:t>
      </w:r>
      <w:r w:rsidR="00DB2AC0" w:rsidRPr="00DB2AC0">
        <w:rPr>
          <w:rFonts w:ascii="Times New Roman" w:hAnsi="Times New Roman" w:cs="Times New Roman"/>
          <w:i/>
          <w:sz w:val="24"/>
          <w:szCs w:val="24"/>
        </w:rPr>
        <w:t>, Royal Holloway, University of London. UK</w:t>
      </w:r>
    </w:p>
    <w:p w:rsidR="004130D0" w:rsidRPr="00EF3AA6" w:rsidRDefault="004130D0" w:rsidP="00397167">
      <w:pPr>
        <w:spacing w:line="240" w:lineRule="auto"/>
        <w:rPr>
          <w:rFonts w:ascii="Times New Roman" w:hAnsi="Times New Roman" w:cs="Times New Roman"/>
          <w:sz w:val="20"/>
          <w:szCs w:val="20"/>
        </w:rPr>
      </w:pPr>
      <w:r w:rsidRPr="00EF3AA6">
        <w:rPr>
          <w:rFonts w:ascii="Times New Roman" w:hAnsi="Times New Roman" w:cs="Times New Roman"/>
          <w:sz w:val="20"/>
          <w:szCs w:val="20"/>
        </w:rPr>
        <w:t xml:space="preserve">This response to Balint focuses on his views on stance towards minority cultural and religious practices where he is in general sceptical of special accommodation. I argue that there are grounds to grant special rights and other accommodative measures towards such minorities on the basis of freedom and citizenship (both values Balint endorses), and appraisal respect, a value he rejects. </w:t>
      </w:r>
      <w:r w:rsidR="00EF3AA6" w:rsidRPr="00EF3AA6">
        <w:rPr>
          <w:rFonts w:ascii="Times New Roman" w:hAnsi="Times New Roman" w:cs="Times New Roman"/>
          <w:sz w:val="20"/>
          <w:szCs w:val="20"/>
        </w:rPr>
        <w:t>The upshot is more support for a hands on, active state than the hands off state that Balint favours.</w:t>
      </w:r>
    </w:p>
    <w:p w:rsidR="00EF3AA6" w:rsidRPr="00EF3AA6" w:rsidRDefault="00EF3AA6" w:rsidP="00397167">
      <w:pPr>
        <w:spacing w:line="240" w:lineRule="auto"/>
        <w:rPr>
          <w:rFonts w:ascii="Times New Roman" w:hAnsi="Times New Roman" w:cs="Times New Roman"/>
          <w:sz w:val="20"/>
          <w:szCs w:val="20"/>
        </w:rPr>
      </w:pPr>
      <w:r w:rsidRPr="00EF3AA6">
        <w:rPr>
          <w:rFonts w:ascii="Times New Roman" w:hAnsi="Times New Roman" w:cs="Times New Roman"/>
          <w:sz w:val="20"/>
          <w:szCs w:val="20"/>
        </w:rPr>
        <w:t>Keywords: multiculturalism, religion, freedom, citizenship, appraial respect, accommodation</w:t>
      </w:r>
    </w:p>
    <w:p w:rsidR="00366423" w:rsidRPr="00190265" w:rsidRDefault="00366423" w:rsidP="00397167">
      <w:pPr>
        <w:spacing w:line="240" w:lineRule="auto"/>
        <w:jc w:val="center"/>
        <w:rPr>
          <w:rFonts w:ascii="Times New Roman" w:hAnsi="Times New Roman" w:cs="Times New Roman"/>
          <w:b/>
          <w:sz w:val="24"/>
          <w:szCs w:val="24"/>
        </w:rPr>
      </w:pPr>
    </w:p>
    <w:p w:rsidR="00B03731" w:rsidRPr="00190265" w:rsidRDefault="005311FD"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Peter Balint’s </w:t>
      </w:r>
      <w:r w:rsidRPr="00190265">
        <w:rPr>
          <w:rFonts w:ascii="Times New Roman" w:hAnsi="Times New Roman" w:cs="Times New Roman"/>
          <w:i/>
          <w:sz w:val="24"/>
          <w:szCs w:val="24"/>
        </w:rPr>
        <w:t>Respecting Toleration</w:t>
      </w:r>
      <w:r w:rsidRPr="00190265">
        <w:rPr>
          <w:rFonts w:ascii="Times New Roman" w:hAnsi="Times New Roman" w:cs="Times New Roman"/>
          <w:sz w:val="24"/>
          <w:szCs w:val="24"/>
        </w:rPr>
        <w:t xml:space="preserve"> makes an important contribution to debates around toleration, neutrality, freedom, the role of the liberal state, </w:t>
      </w:r>
      <w:r w:rsidR="003C28A5" w:rsidRPr="00190265">
        <w:rPr>
          <w:rFonts w:ascii="Times New Roman" w:hAnsi="Times New Roman" w:cs="Times New Roman"/>
          <w:sz w:val="24"/>
          <w:szCs w:val="24"/>
        </w:rPr>
        <w:t>and the appropriate response to</w:t>
      </w:r>
      <w:r w:rsidRPr="00190265">
        <w:rPr>
          <w:rFonts w:ascii="Times New Roman" w:hAnsi="Times New Roman" w:cs="Times New Roman"/>
          <w:sz w:val="24"/>
          <w:szCs w:val="24"/>
        </w:rPr>
        <w:t xml:space="preserve"> cultural and religious diversity in contemporary liberal societies. </w:t>
      </w:r>
      <w:r w:rsidR="001E200B" w:rsidRPr="00190265">
        <w:rPr>
          <w:rFonts w:ascii="Times New Roman" w:hAnsi="Times New Roman" w:cs="Times New Roman"/>
          <w:sz w:val="24"/>
          <w:szCs w:val="24"/>
        </w:rPr>
        <w:t xml:space="preserve"> </w:t>
      </w:r>
      <w:r w:rsidR="003C28A5" w:rsidRPr="00190265">
        <w:rPr>
          <w:rFonts w:ascii="Times New Roman" w:hAnsi="Times New Roman" w:cs="Times New Roman"/>
          <w:sz w:val="24"/>
          <w:szCs w:val="24"/>
        </w:rPr>
        <w:t>Other contribution to</w:t>
      </w:r>
      <w:r w:rsidRPr="00190265">
        <w:rPr>
          <w:rFonts w:ascii="Times New Roman" w:hAnsi="Times New Roman" w:cs="Times New Roman"/>
          <w:sz w:val="24"/>
          <w:szCs w:val="24"/>
        </w:rPr>
        <w:t xml:space="preserve"> this symposium have commented extensively on t</w:t>
      </w:r>
      <w:r w:rsidR="001E200B" w:rsidRPr="00190265">
        <w:rPr>
          <w:rFonts w:ascii="Times New Roman" w:hAnsi="Times New Roman" w:cs="Times New Roman"/>
          <w:sz w:val="24"/>
          <w:szCs w:val="24"/>
        </w:rPr>
        <w:t xml:space="preserve">oleration and neutrality; here </w:t>
      </w:r>
      <w:r w:rsidRPr="00190265">
        <w:rPr>
          <w:rFonts w:ascii="Times New Roman" w:hAnsi="Times New Roman" w:cs="Times New Roman"/>
          <w:sz w:val="24"/>
          <w:szCs w:val="24"/>
        </w:rPr>
        <w:t>I focus on the book’s arguments around cultur</w:t>
      </w:r>
      <w:r w:rsidR="005E5D11" w:rsidRPr="00190265">
        <w:rPr>
          <w:rFonts w:ascii="Times New Roman" w:hAnsi="Times New Roman" w:cs="Times New Roman"/>
          <w:sz w:val="24"/>
          <w:szCs w:val="24"/>
        </w:rPr>
        <w:t xml:space="preserve">al and religious accommodation. </w:t>
      </w:r>
      <w:r w:rsidRPr="00190265">
        <w:rPr>
          <w:rFonts w:ascii="Times New Roman" w:hAnsi="Times New Roman" w:cs="Times New Roman"/>
          <w:sz w:val="24"/>
          <w:szCs w:val="24"/>
        </w:rPr>
        <w:t xml:space="preserve">More specifically, </w:t>
      </w:r>
      <w:r w:rsidR="001E200B" w:rsidRPr="00190265">
        <w:rPr>
          <w:rFonts w:ascii="Times New Roman" w:hAnsi="Times New Roman" w:cs="Times New Roman"/>
          <w:sz w:val="24"/>
          <w:szCs w:val="24"/>
        </w:rPr>
        <w:t xml:space="preserve">(1) </w:t>
      </w:r>
      <w:r w:rsidRPr="00190265">
        <w:rPr>
          <w:rFonts w:ascii="Times New Roman" w:hAnsi="Times New Roman" w:cs="Times New Roman"/>
          <w:sz w:val="24"/>
          <w:szCs w:val="24"/>
        </w:rPr>
        <w:t xml:space="preserve">I </w:t>
      </w:r>
      <w:r w:rsidR="003C28A5" w:rsidRPr="00190265">
        <w:rPr>
          <w:rFonts w:ascii="Times New Roman" w:hAnsi="Times New Roman" w:cs="Times New Roman"/>
          <w:sz w:val="24"/>
          <w:szCs w:val="24"/>
        </w:rPr>
        <w:t xml:space="preserve">suggest there’s </w:t>
      </w:r>
      <w:r w:rsidRPr="00190265">
        <w:rPr>
          <w:rFonts w:ascii="Times New Roman" w:hAnsi="Times New Roman" w:cs="Times New Roman"/>
          <w:sz w:val="24"/>
          <w:szCs w:val="24"/>
        </w:rPr>
        <w:t xml:space="preserve">a limited role for the appraisal respect rejected by Balint; (2) claim that his view of individual </w:t>
      </w:r>
      <w:r w:rsidR="005B4534" w:rsidRPr="00190265">
        <w:rPr>
          <w:rFonts w:ascii="Times New Roman" w:hAnsi="Times New Roman" w:cs="Times New Roman"/>
          <w:sz w:val="24"/>
          <w:szCs w:val="24"/>
        </w:rPr>
        <w:t>freedom</w:t>
      </w:r>
      <w:r w:rsidRPr="00190265">
        <w:rPr>
          <w:rFonts w:ascii="Times New Roman" w:hAnsi="Times New Roman" w:cs="Times New Roman"/>
          <w:sz w:val="24"/>
          <w:szCs w:val="24"/>
        </w:rPr>
        <w:t xml:space="preserve"> can be used to defend minority cultural right</w:t>
      </w:r>
      <w:r w:rsidR="001E200B" w:rsidRPr="00190265">
        <w:rPr>
          <w:rFonts w:ascii="Times New Roman" w:hAnsi="Times New Roman" w:cs="Times New Roman"/>
          <w:sz w:val="24"/>
          <w:szCs w:val="24"/>
        </w:rPr>
        <w:t>s</w:t>
      </w:r>
      <w:r w:rsidRPr="00190265">
        <w:rPr>
          <w:rFonts w:ascii="Times New Roman" w:hAnsi="Times New Roman" w:cs="Times New Roman"/>
          <w:sz w:val="24"/>
          <w:szCs w:val="24"/>
        </w:rPr>
        <w:t xml:space="preserve">, contrary to </w:t>
      </w:r>
      <w:r w:rsidR="001E200B" w:rsidRPr="00190265">
        <w:rPr>
          <w:rFonts w:ascii="Times New Roman" w:hAnsi="Times New Roman" w:cs="Times New Roman"/>
          <w:sz w:val="24"/>
          <w:szCs w:val="24"/>
        </w:rPr>
        <w:t>his</w:t>
      </w:r>
      <w:r w:rsidR="00301B69" w:rsidRPr="00190265">
        <w:rPr>
          <w:rFonts w:ascii="Times New Roman" w:hAnsi="Times New Roman" w:cs="Times New Roman"/>
          <w:sz w:val="24"/>
          <w:szCs w:val="24"/>
        </w:rPr>
        <w:t xml:space="preserve"> scepticism towards that idea</w:t>
      </w:r>
      <w:r w:rsidRPr="00190265">
        <w:rPr>
          <w:rFonts w:ascii="Times New Roman" w:hAnsi="Times New Roman" w:cs="Times New Roman"/>
          <w:sz w:val="24"/>
          <w:szCs w:val="24"/>
        </w:rPr>
        <w:t>, and (3) contrast that with a status-based argument for cultural rights; and (4) on analogous lines argue</w:t>
      </w:r>
      <w:r w:rsidR="005B4534" w:rsidRPr="00190265">
        <w:rPr>
          <w:rFonts w:ascii="Times New Roman" w:hAnsi="Times New Roman" w:cs="Times New Roman"/>
          <w:sz w:val="24"/>
          <w:szCs w:val="24"/>
        </w:rPr>
        <w:t xml:space="preserve"> that, again contra Balint, there is a freedom-based case for religious accommodation.</w:t>
      </w:r>
    </w:p>
    <w:p w:rsidR="003A775C" w:rsidRPr="00190265" w:rsidRDefault="00110FBC" w:rsidP="00190265">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3A775C" w:rsidRPr="00190265">
        <w:rPr>
          <w:rFonts w:ascii="Times New Roman" w:hAnsi="Times New Roman" w:cs="Times New Roman"/>
          <w:sz w:val="24"/>
          <w:szCs w:val="24"/>
        </w:rPr>
        <w:t>W</w:t>
      </w:r>
      <w:r w:rsidR="005E5D11" w:rsidRPr="00190265">
        <w:rPr>
          <w:rFonts w:ascii="Times New Roman" w:hAnsi="Times New Roman" w:cs="Times New Roman"/>
          <w:sz w:val="24"/>
          <w:szCs w:val="24"/>
        </w:rPr>
        <w:t>hat Balint calls the multicultural challenge</w:t>
      </w:r>
      <w:r w:rsidR="003A775C" w:rsidRPr="00190265">
        <w:rPr>
          <w:rFonts w:ascii="Times New Roman" w:hAnsi="Times New Roman" w:cs="Times New Roman"/>
          <w:sz w:val="24"/>
          <w:szCs w:val="24"/>
        </w:rPr>
        <w:t xml:space="preserve"> to political toleration</w:t>
      </w:r>
      <w:r w:rsidR="005E5D11" w:rsidRPr="00190265">
        <w:rPr>
          <w:rFonts w:ascii="Times New Roman" w:hAnsi="Times New Roman" w:cs="Times New Roman"/>
          <w:sz w:val="24"/>
          <w:szCs w:val="24"/>
        </w:rPr>
        <w:t xml:space="preserve"> maintains that the traditional liberal approach to </w:t>
      </w:r>
      <w:r w:rsidR="003A775C" w:rsidRPr="00190265">
        <w:rPr>
          <w:rFonts w:ascii="Times New Roman" w:hAnsi="Times New Roman" w:cs="Times New Roman"/>
          <w:sz w:val="24"/>
          <w:szCs w:val="24"/>
        </w:rPr>
        <w:t>it</w:t>
      </w:r>
      <w:r w:rsidR="005E5D11" w:rsidRPr="00190265">
        <w:rPr>
          <w:rFonts w:ascii="Times New Roman" w:hAnsi="Times New Roman" w:cs="Times New Roman"/>
          <w:sz w:val="24"/>
          <w:szCs w:val="24"/>
        </w:rPr>
        <w:t xml:space="preserve"> has failed to treat minorities’ cultures, practices, ways of life and identities fairly and reveals a majoritarian bias against them (</w:t>
      </w:r>
      <w:r>
        <w:rPr>
          <w:rFonts w:ascii="Times New Roman" w:hAnsi="Times New Roman" w:cs="Times New Roman"/>
          <w:sz w:val="24"/>
          <w:szCs w:val="24"/>
        </w:rPr>
        <w:t>p.</w:t>
      </w:r>
      <w:r w:rsidR="005E5D11" w:rsidRPr="00190265">
        <w:rPr>
          <w:rFonts w:ascii="Times New Roman" w:hAnsi="Times New Roman" w:cs="Times New Roman"/>
          <w:sz w:val="24"/>
          <w:szCs w:val="24"/>
        </w:rPr>
        <w:t xml:space="preserve">3, </w:t>
      </w:r>
      <w:r>
        <w:rPr>
          <w:rFonts w:ascii="Times New Roman" w:hAnsi="Times New Roman" w:cs="Times New Roman"/>
          <w:sz w:val="24"/>
          <w:szCs w:val="24"/>
        </w:rPr>
        <w:t>pp.</w:t>
      </w:r>
      <w:r w:rsidR="005E5D11" w:rsidRPr="00190265">
        <w:rPr>
          <w:rFonts w:ascii="Times New Roman" w:hAnsi="Times New Roman" w:cs="Times New Roman"/>
          <w:sz w:val="24"/>
          <w:szCs w:val="24"/>
        </w:rPr>
        <w:t xml:space="preserve">8-9).  What is needed, by those who makes this case, is positive recognition for minority identities where the state affirms and supports them.  Balint identifies Bhikhu Parekh, Tariq Modood and James Tully as three principal writers who make this argument.  Modood for example urges ‘active support for cultural difference (cited at </w:t>
      </w:r>
      <w:r w:rsidR="004130D0">
        <w:rPr>
          <w:rFonts w:ascii="Times New Roman" w:hAnsi="Times New Roman" w:cs="Times New Roman"/>
          <w:sz w:val="24"/>
          <w:szCs w:val="24"/>
        </w:rPr>
        <w:t>p.</w:t>
      </w:r>
      <w:r w:rsidR="005E5D11" w:rsidRPr="00190265">
        <w:rPr>
          <w:rFonts w:ascii="Times New Roman" w:hAnsi="Times New Roman" w:cs="Times New Roman"/>
          <w:sz w:val="24"/>
          <w:szCs w:val="24"/>
        </w:rPr>
        <w:t>3), while Tully argues that the condition of citizens’ self-respect can only be met ‘in which the cultures of all others are recognised and affirmed’ (</w:t>
      </w:r>
      <w:r w:rsidR="004130D0">
        <w:rPr>
          <w:rFonts w:ascii="Times New Roman" w:hAnsi="Times New Roman" w:cs="Times New Roman"/>
          <w:sz w:val="24"/>
          <w:szCs w:val="24"/>
        </w:rPr>
        <w:t xml:space="preserve">cited at </w:t>
      </w:r>
      <w:r>
        <w:rPr>
          <w:rFonts w:ascii="Times New Roman" w:hAnsi="Times New Roman" w:cs="Times New Roman"/>
          <w:sz w:val="24"/>
          <w:szCs w:val="24"/>
        </w:rPr>
        <w:t>p.</w:t>
      </w:r>
      <w:r w:rsidR="005E5D11" w:rsidRPr="00190265">
        <w:rPr>
          <w:rFonts w:ascii="Times New Roman" w:hAnsi="Times New Roman" w:cs="Times New Roman"/>
          <w:sz w:val="24"/>
          <w:szCs w:val="24"/>
        </w:rPr>
        <w:t>100).</w:t>
      </w:r>
      <w:r w:rsidR="007B7A6A" w:rsidRPr="00190265">
        <w:rPr>
          <w:rFonts w:ascii="Times New Roman" w:hAnsi="Times New Roman" w:cs="Times New Roman"/>
          <w:sz w:val="24"/>
          <w:szCs w:val="24"/>
        </w:rPr>
        <w:t xml:space="preserve"> Such affirmation can be interpreted in more than one way.  Perhaps it just means that minority cultures should be acknowledged not ignored, symbolically incorporated into society and recognised as having something to say on questions of human flourishing and social </w:t>
      </w:r>
      <w:r w:rsidR="003A775C" w:rsidRPr="00190265">
        <w:rPr>
          <w:rFonts w:ascii="Times New Roman" w:hAnsi="Times New Roman" w:cs="Times New Roman"/>
          <w:sz w:val="24"/>
          <w:szCs w:val="24"/>
        </w:rPr>
        <w:t>organisation. T</w:t>
      </w:r>
      <w:r w:rsidR="007B7A6A" w:rsidRPr="00190265">
        <w:rPr>
          <w:rFonts w:ascii="Times New Roman" w:hAnsi="Times New Roman" w:cs="Times New Roman"/>
          <w:sz w:val="24"/>
          <w:szCs w:val="24"/>
        </w:rPr>
        <w:t>his</w:t>
      </w:r>
      <w:r w:rsidR="003A775C" w:rsidRPr="00190265">
        <w:rPr>
          <w:rFonts w:ascii="Times New Roman" w:hAnsi="Times New Roman" w:cs="Times New Roman"/>
          <w:sz w:val="24"/>
          <w:szCs w:val="24"/>
        </w:rPr>
        <w:t xml:space="preserve"> might</w:t>
      </w:r>
      <w:r w:rsidR="003C28A5" w:rsidRPr="00190265">
        <w:rPr>
          <w:rFonts w:ascii="Times New Roman" w:hAnsi="Times New Roman" w:cs="Times New Roman"/>
          <w:sz w:val="24"/>
          <w:szCs w:val="24"/>
        </w:rPr>
        <w:t xml:space="preserve"> amount</w:t>
      </w:r>
      <w:r w:rsidR="007B7A6A" w:rsidRPr="00190265">
        <w:rPr>
          <w:rFonts w:ascii="Times New Roman" w:hAnsi="Times New Roman" w:cs="Times New Roman"/>
          <w:sz w:val="24"/>
          <w:szCs w:val="24"/>
        </w:rPr>
        <w:t xml:space="preserve"> simply to recognition respect, although it could be interpreted as a taking culture seriously, something over and above </w:t>
      </w:r>
      <w:r w:rsidR="007B7A6A" w:rsidRPr="00190265">
        <w:rPr>
          <w:rFonts w:ascii="Times New Roman" w:hAnsi="Times New Roman" w:cs="Times New Roman"/>
          <w:sz w:val="24"/>
          <w:szCs w:val="24"/>
        </w:rPr>
        <w:lastRenderedPageBreak/>
        <w:t>respecting the political status of its ci</w:t>
      </w:r>
      <w:r w:rsidR="00CC4721" w:rsidRPr="00190265">
        <w:rPr>
          <w:rFonts w:ascii="Times New Roman" w:hAnsi="Times New Roman" w:cs="Times New Roman"/>
          <w:sz w:val="24"/>
          <w:szCs w:val="24"/>
        </w:rPr>
        <w:t>tizen members</w:t>
      </w:r>
      <w:r w:rsidR="00A34257" w:rsidRPr="00190265">
        <w:rPr>
          <w:rFonts w:ascii="Times New Roman" w:hAnsi="Times New Roman" w:cs="Times New Roman"/>
          <w:sz w:val="24"/>
          <w:szCs w:val="24"/>
        </w:rPr>
        <w:t xml:space="preserve">. </w:t>
      </w:r>
      <w:r w:rsidR="00CC4721" w:rsidRPr="00190265">
        <w:rPr>
          <w:rFonts w:ascii="Times New Roman" w:hAnsi="Times New Roman" w:cs="Times New Roman"/>
          <w:sz w:val="24"/>
          <w:szCs w:val="24"/>
        </w:rPr>
        <w:t>Balint, however, interprets the cultural recognition argument as a form of appraisal respect</w:t>
      </w:r>
      <w:r w:rsidR="003A775C" w:rsidRPr="00190265">
        <w:rPr>
          <w:rFonts w:ascii="Times New Roman" w:hAnsi="Times New Roman" w:cs="Times New Roman"/>
          <w:sz w:val="24"/>
          <w:szCs w:val="24"/>
        </w:rPr>
        <w:t xml:space="preserve"> for cultures’ achievements, history and practices</w:t>
      </w:r>
      <w:r w:rsidR="00CC4721" w:rsidRPr="00190265">
        <w:rPr>
          <w:rFonts w:ascii="Times New Roman" w:hAnsi="Times New Roman" w:cs="Times New Roman"/>
          <w:sz w:val="24"/>
          <w:szCs w:val="24"/>
        </w:rPr>
        <w:t xml:space="preserve">, which he is </w:t>
      </w:r>
      <w:r w:rsidR="003C28A5" w:rsidRPr="00190265">
        <w:rPr>
          <w:rFonts w:ascii="Times New Roman" w:hAnsi="Times New Roman" w:cs="Times New Roman"/>
          <w:sz w:val="24"/>
          <w:szCs w:val="24"/>
        </w:rPr>
        <w:t>sceptical towards</w:t>
      </w:r>
      <w:r w:rsidR="00CC4721" w:rsidRPr="00190265">
        <w:rPr>
          <w:rFonts w:ascii="Times New Roman" w:hAnsi="Times New Roman" w:cs="Times New Roman"/>
          <w:sz w:val="24"/>
          <w:szCs w:val="24"/>
        </w:rPr>
        <w:t xml:space="preserve"> for a number of reasons. Appraisal respect </w:t>
      </w:r>
      <w:r w:rsidR="003A775C" w:rsidRPr="00190265">
        <w:rPr>
          <w:rFonts w:ascii="Times New Roman" w:hAnsi="Times New Roman" w:cs="Times New Roman"/>
          <w:sz w:val="24"/>
          <w:szCs w:val="24"/>
        </w:rPr>
        <w:t>is</w:t>
      </w:r>
      <w:r w:rsidR="00CC4721" w:rsidRPr="00190265">
        <w:rPr>
          <w:rFonts w:ascii="Times New Roman" w:hAnsi="Times New Roman" w:cs="Times New Roman"/>
          <w:sz w:val="24"/>
          <w:szCs w:val="24"/>
        </w:rPr>
        <w:t xml:space="preserve"> (i) </w:t>
      </w:r>
      <w:r w:rsidR="005E5D11" w:rsidRPr="00190265">
        <w:rPr>
          <w:rFonts w:ascii="Times New Roman" w:hAnsi="Times New Roman" w:cs="Times New Roman"/>
          <w:sz w:val="24"/>
          <w:szCs w:val="24"/>
        </w:rPr>
        <w:t>too contingent and easily lost when cultures</w:t>
      </w:r>
      <w:r w:rsidR="00CC4721" w:rsidRPr="00190265">
        <w:rPr>
          <w:rFonts w:ascii="Times New Roman" w:hAnsi="Times New Roman" w:cs="Times New Roman"/>
          <w:sz w:val="24"/>
          <w:szCs w:val="24"/>
        </w:rPr>
        <w:t xml:space="preserve"> change; (ii</w:t>
      </w:r>
      <w:r w:rsidR="005E5D11" w:rsidRPr="00190265">
        <w:rPr>
          <w:rFonts w:ascii="Times New Roman" w:hAnsi="Times New Roman" w:cs="Times New Roman"/>
          <w:sz w:val="24"/>
          <w:szCs w:val="24"/>
        </w:rPr>
        <w:t>) confuses</w:t>
      </w:r>
      <w:r w:rsidR="00CC4721" w:rsidRPr="00190265">
        <w:rPr>
          <w:rFonts w:ascii="Times New Roman" w:hAnsi="Times New Roman" w:cs="Times New Roman"/>
          <w:sz w:val="24"/>
          <w:szCs w:val="24"/>
        </w:rPr>
        <w:t xml:space="preserve"> respecting with liking; (iii</w:t>
      </w:r>
      <w:r w:rsidR="005E5D11" w:rsidRPr="00190265">
        <w:rPr>
          <w:rFonts w:ascii="Times New Roman" w:hAnsi="Times New Roman" w:cs="Times New Roman"/>
          <w:sz w:val="24"/>
          <w:szCs w:val="24"/>
        </w:rPr>
        <w:t>) has only a weak connection with policies of accommodation towards cultural and religious minorities (</w:t>
      </w:r>
      <w:r>
        <w:rPr>
          <w:rFonts w:ascii="Times New Roman" w:hAnsi="Times New Roman" w:cs="Times New Roman"/>
          <w:sz w:val="24"/>
          <w:szCs w:val="24"/>
        </w:rPr>
        <w:t>pp.</w:t>
      </w:r>
      <w:r w:rsidR="005E5D11" w:rsidRPr="00190265">
        <w:rPr>
          <w:rFonts w:ascii="Times New Roman" w:hAnsi="Times New Roman" w:cs="Times New Roman"/>
          <w:sz w:val="24"/>
          <w:szCs w:val="24"/>
        </w:rPr>
        <w:t>104-6); and (</w:t>
      </w:r>
      <w:r w:rsidR="00CC4721" w:rsidRPr="00190265">
        <w:rPr>
          <w:rFonts w:ascii="Times New Roman" w:hAnsi="Times New Roman" w:cs="Times New Roman"/>
          <w:sz w:val="24"/>
          <w:szCs w:val="24"/>
        </w:rPr>
        <w:t>i</w:t>
      </w:r>
      <w:r w:rsidR="005E5D11" w:rsidRPr="00190265">
        <w:rPr>
          <w:rFonts w:ascii="Times New Roman" w:hAnsi="Times New Roman" w:cs="Times New Roman"/>
          <w:sz w:val="24"/>
          <w:szCs w:val="24"/>
        </w:rPr>
        <w:t>v) p</w:t>
      </w:r>
      <w:r w:rsidR="00301B69" w:rsidRPr="00190265">
        <w:rPr>
          <w:rFonts w:ascii="Times New Roman" w:hAnsi="Times New Roman" w:cs="Times New Roman"/>
          <w:sz w:val="24"/>
          <w:szCs w:val="24"/>
        </w:rPr>
        <w:t>uts unnecessary social pressure</w:t>
      </w:r>
      <w:r w:rsidR="005E5D11" w:rsidRPr="00190265">
        <w:rPr>
          <w:rFonts w:ascii="Times New Roman" w:hAnsi="Times New Roman" w:cs="Times New Roman"/>
          <w:sz w:val="24"/>
          <w:szCs w:val="24"/>
        </w:rPr>
        <w:t xml:space="preserve"> on citizens who are – somewhat intolerantly – all urged positively to evaluate each other’s cultural differences.  </w:t>
      </w:r>
      <w:r w:rsidR="00CC4721" w:rsidRPr="00190265">
        <w:rPr>
          <w:rFonts w:ascii="Times New Roman" w:hAnsi="Times New Roman" w:cs="Times New Roman"/>
          <w:sz w:val="24"/>
          <w:szCs w:val="24"/>
        </w:rPr>
        <w:t xml:space="preserve">I agree with (iii) and shall shortly consider some alternative grounds of cultural accommodation, but I disagree with (ii). </w:t>
      </w:r>
      <w:r w:rsidR="005E5D11" w:rsidRPr="00190265">
        <w:rPr>
          <w:rFonts w:ascii="Times New Roman" w:hAnsi="Times New Roman" w:cs="Times New Roman"/>
          <w:sz w:val="24"/>
          <w:szCs w:val="24"/>
        </w:rPr>
        <w:t>Balint has a very subjective view of appraisal respect where ‘whether or not something is deemed respectable is entirely subjective -  it is up to the respecter whether they find, for example, a musician’s playing good enough to be respected (</w:t>
      </w:r>
      <w:r>
        <w:rPr>
          <w:rFonts w:ascii="Times New Roman" w:hAnsi="Times New Roman" w:cs="Times New Roman"/>
          <w:sz w:val="24"/>
          <w:szCs w:val="24"/>
        </w:rPr>
        <w:t>p.</w:t>
      </w:r>
      <w:r w:rsidR="005E5D11" w:rsidRPr="00190265">
        <w:rPr>
          <w:rFonts w:ascii="Times New Roman" w:hAnsi="Times New Roman" w:cs="Times New Roman"/>
          <w:sz w:val="24"/>
          <w:szCs w:val="24"/>
        </w:rPr>
        <w:t xml:space="preserve">114). However, </w:t>
      </w:r>
      <w:r w:rsidR="00A22B6D">
        <w:rPr>
          <w:rFonts w:ascii="Times New Roman" w:hAnsi="Times New Roman" w:cs="Times New Roman"/>
          <w:sz w:val="24"/>
          <w:szCs w:val="24"/>
        </w:rPr>
        <w:t xml:space="preserve">this seems somewhat in tension with the view of </w:t>
      </w:r>
      <w:r w:rsidR="005E5D11" w:rsidRPr="00190265">
        <w:rPr>
          <w:rFonts w:ascii="Times New Roman" w:hAnsi="Times New Roman" w:cs="Times New Roman"/>
          <w:sz w:val="24"/>
          <w:szCs w:val="24"/>
        </w:rPr>
        <w:t>Stephen Darwall who introduced the term</w:t>
      </w:r>
      <w:r w:rsidR="00A22B6D">
        <w:rPr>
          <w:rFonts w:ascii="Times New Roman" w:hAnsi="Times New Roman" w:cs="Times New Roman"/>
          <w:sz w:val="24"/>
          <w:szCs w:val="24"/>
        </w:rPr>
        <w:t xml:space="preserve">.  According to Darwall, appraisal respect consists in ‘approbation [for a person] as a moral agent’, something that is ‘merited or earned by conduct or character’ </w:t>
      </w:r>
      <w:r w:rsidR="003C28A5" w:rsidRPr="00190265">
        <w:rPr>
          <w:rFonts w:ascii="Times New Roman" w:hAnsi="Times New Roman" w:cs="Times New Roman"/>
          <w:sz w:val="24"/>
          <w:szCs w:val="24"/>
        </w:rPr>
        <w:t xml:space="preserve">(Darwall </w:t>
      </w:r>
      <w:r w:rsidR="003C28A5" w:rsidRPr="00A27C60">
        <w:rPr>
          <w:rFonts w:ascii="Times New Roman" w:hAnsi="Times New Roman" w:cs="Times New Roman"/>
          <w:sz w:val="24"/>
          <w:szCs w:val="24"/>
        </w:rPr>
        <w:t xml:space="preserve">2006, </w:t>
      </w:r>
      <w:r w:rsidR="00A22B6D">
        <w:rPr>
          <w:rFonts w:ascii="Times New Roman" w:hAnsi="Times New Roman" w:cs="Times New Roman"/>
          <w:sz w:val="24"/>
          <w:szCs w:val="24"/>
        </w:rPr>
        <w:t>p.122 emp</w:t>
      </w:r>
      <w:r w:rsidR="00DF697A">
        <w:rPr>
          <w:rFonts w:ascii="Times New Roman" w:hAnsi="Times New Roman" w:cs="Times New Roman"/>
          <w:sz w:val="24"/>
          <w:szCs w:val="24"/>
        </w:rPr>
        <w:t>h</w:t>
      </w:r>
      <w:r w:rsidR="00A22B6D">
        <w:rPr>
          <w:rFonts w:ascii="Times New Roman" w:hAnsi="Times New Roman" w:cs="Times New Roman"/>
          <w:sz w:val="24"/>
          <w:szCs w:val="24"/>
        </w:rPr>
        <w:t>asis removed</w:t>
      </w:r>
      <w:r w:rsidR="003C28A5" w:rsidRPr="00A27C60">
        <w:rPr>
          <w:rFonts w:ascii="Times New Roman" w:hAnsi="Times New Roman" w:cs="Times New Roman"/>
          <w:sz w:val="24"/>
          <w:szCs w:val="24"/>
        </w:rPr>
        <w:t>)</w:t>
      </w:r>
      <w:r w:rsidR="00FE1EE5" w:rsidRPr="00A27C60">
        <w:rPr>
          <w:rFonts w:ascii="Times New Roman" w:hAnsi="Times New Roman" w:cs="Times New Roman"/>
          <w:sz w:val="24"/>
          <w:szCs w:val="24"/>
        </w:rPr>
        <w:t>.</w:t>
      </w:r>
      <w:r w:rsidR="00FE1EE5" w:rsidRPr="00190265">
        <w:rPr>
          <w:rFonts w:ascii="Times New Roman" w:hAnsi="Times New Roman" w:cs="Times New Roman"/>
          <w:sz w:val="24"/>
          <w:szCs w:val="24"/>
        </w:rPr>
        <w:t xml:space="preserve"> </w:t>
      </w:r>
      <w:r w:rsidR="005E5D11" w:rsidRPr="00190265">
        <w:rPr>
          <w:rFonts w:ascii="Times New Roman" w:hAnsi="Times New Roman" w:cs="Times New Roman"/>
          <w:sz w:val="24"/>
          <w:szCs w:val="24"/>
        </w:rPr>
        <w:t>This</w:t>
      </w:r>
      <w:r w:rsidR="00A22B6D">
        <w:rPr>
          <w:rFonts w:ascii="Times New Roman" w:hAnsi="Times New Roman" w:cs="Times New Roman"/>
          <w:sz w:val="24"/>
          <w:szCs w:val="24"/>
        </w:rPr>
        <w:t xml:space="preserve"> view</w:t>
      </w:r>
      <w:r w:rsidR="005E5D11" w:rsidRPr="00190265">
        <w:rPr>
          <w:rFonts w:ascii="Times New Roman" w:hAnsi="Times New Roman" w:cs="Times New Roman"/>
          <w:sz w:val="24"/>
          <w:szCs w:val="24"/>
        </w:rPr>
        <w:t xml:space="preserve"> </w:t>
      </w:r>
      <w:r w:rsidR="00A22B6D">
        <w:rPr>
          <w:rFonts w:ascii="Times New Roman" w:hAnsi="Times New Roman" w:cs="Times New Roman"/>
          <w:sz w:val="24"/>
          <w:szCs w:val="24"/>
        </w:rPr>
        <w:t xml:space="preserve">suggests appraisal respect is not in its </w:t>
      </w:r>
      <w:r w:rsidR="005E5D11" w:rsidRPr="00190265">
        <w:rPr>
          <w:rFonts w:ascii="Times New Roman" w:hAnsi="Times New Roman" w:cs="Times New Roman"/>
          <w:sz w:val="24"/>
          <w:szCs w:val="24"/>
        </w:rPr>
        <w:t>bestower’s gift</w:t>
      </w:r>
      <w:r w:rsidR="00A22B6D">
        <w:rPr>
          <w:rFonts w:ascii="Times New Roman" w:hAnsi="Times New Roman" w:cs="Times New Roman"/>
          <w:sz w:val="24"/>
          <w:szCs w:val="24"/>
        </w:rPr>
        <w:t xml:space="preserve"> as much as</w:t>
      </w:r>
      <w:r w:rsidR="00DF697A">
        <w:rPr>
          <w:rFonts w:ascii="Times New Roman" w:hAnsi="Times New Roman" w:cs="Times New Roman"/>
          <w:sz w:val="24"/>
          <w:szCs w:val="24"/>
        </w:rPr>
        <w:t xml:space="preserve"> Balint claims, and hence offers</w:t>
      </w:r>
      <w:r w:rsidR="00A22B6D">
        <w:rPr>
          <w:rFonts w:ascii="Times New Roman" w:hAnsi="Times New Roman" w:cs="Times New Roman"/>
          <w:sz w:val="24"/>
          <w:szCs w:val="24"/>
        </w:rPr>
        <w:t xml:space="preserve"> a reply to (i)</w:t>
      </w:r>
      <w:r w:rsidR="00DF697A">
        <w:rPr>
          <w:rFonts w:ascii="Times New Roman" w:hAnsi="Times New Roman" w:cs="Times New Roman"/>
          <w:sz w:val="24"/>
          <w:szCs w:val="24"/>
        </w:rPr>
        <w:t>, especially if we believe</w:t>
      </w:r>
      <w:r w:rsidR="005E5D11" w:rsidRPr="00190265">
        <w:rPr>
          <w:rFonts w:ascii="Times New Roman" w:hAnsi="Times New Roman" w:cs="Times New Roman"/>
          <w:sz w:val="24"/>
          <w:szCs w:val="24"/>
        </w:rPr>
        <w:t xml:space="preserve"> cultures have enduri</w:t>
      </w:r>
      <w:r w:rsidR="00CC4721" w:rsidRPr="00190265">
        <w:rPr>
          <w:rFonts w:ascii="Times New Roman" w:hAnsi="Times New Roman" w:cs="Times New Roman"/>
          <w:sz w:val="24"/>
          <w:szCs w:val="24"/>
        </w:rPr>
        <w:t>ng features which</w:t>
      </w:r>
      <w:r w:rsidR="005E5D11" w:rsidRPr="00190265">
        <w:rPr>
          <w:rFonts w:ascii="Times New Roman" w:hAnsi="Times New Roman" w:cs="Times New Roman"/>
          <w:sz w:val="24"/>
          <w:szCs w:val="24"/>
        </w:rPr>
        <w:t xml:space="preserve"> evolve</w:t>
      </w:r>
      <w:r w:rsidR="00CC4721" w:rsidRPr="00190265">
        <w:rPr>
          <w:rFonts w:ascii="Times New Roman" w:hAnsi="Times New Roman" w:cs="Times New Roman"/>
          <w:sz w:val="24"/>
          <w:szCs w:val="24"/>
        </w:rPr>
        <w:t xml:space="preserve"> only slowly</w:t>
      </w:r>
      <w:r w:rsidR="005E5D11" w:rsidRPr="00190265">
        <w:rPr>
          <w:rFonts w:ascii="Times New Roman" w:hAnsi="Times New Roman" w:cs="Times New Roman"/>
          <w:sz w:val="24"/>
          <w:szCs w:val="24"/>
        </w:rPr>
        <w:t>.</w:t>
      </w:r>
      <w:r w:rsidR="00CC4721" w:rsidRPr="00190265">
        <w:rPr>
          <w:rFonts w:ascii="Times New Roman" w:hAnsi="Times New Roman" w:cs="Times New Roman"/>
          <w:sz w:val="24"/>
          <w:szCs w:val="24"/>
        </w:rPr>
        <w:t xml:space="preserve"> </w:t>
      </w:r>
      <w:r w:rsidR="005E5D11" w:rsidRPr="00190265">
        <w:rPr>
          <w:rFonts w:ascii="Times New Roman" w:hAnsi="Times New Roman" w:cs="Times New Roman"/>
          <w:sz w:val="24"/>
          <w:szCs w:val="24"/>
        </w:rPr>
        <w:t xml:space="preserve"> </w:t>
      </w:r>
      <w:r w:rsidR="00CC4721" w:rsidRPr="00190265">
        <w:rPr>
          <w:rFonts w:ascii="Times New Roman" w:hAnsi="Times New Roman" w:cs="Times New Roman"/>
          <w:sz w:val="24"/>
          <w:szCs w:val="24"/>
        </w:rPr>
        <w:t xml:space="preserve">The truth in Balint’s critique of </w:t>
      </w:r>
      <w:r w:rsidR="005E5D11" w:rsidRPr="00190265">
        <w:rPr>
          <w:rFonts w:ascii="Times New Roman" w:hAnsi="Times New Roman" w:cs="Times New Roman"/>
          <w:sz w:val="24"/>
          <w:szCs w:val="24"/>
        </w:rPr>
        <w:t xml:space="preserve">appraisal respect </w:t>
      </w:r>
      <w:r w:rsidR="00CC4721" w:rsidRPr="00190265">
        <w:rPr>
          <w:rFonts w:ascii="Times New Roman" w:hAnsi="Times New Roman" w:cs="Times New Roman"/>
          <w:sz w:val="24"/>
          <w:szCs w:val="24"/>
        </w:rPr>
        <w:t>is that citizens</w:t>
      </w:r>
      <w:r w:rsidR="005E5D11" w:rsidRPr="00190265">
        <w:rPr>
          <w:rFonts w:ascii="Times New Roman" w:hAnsi="Times New Roman" w:cs="Times New Roman"/>
          <w:sz w:val="24"/>
          <w:szCs w:val="24"/>
        </w:rPr>
        <w:t xml:space="preserve"> can’t be expected positively to evaluate every last cultura</w:t>
      </w:r>
      <w:r w:rsidR="00CC4721" w:rsidRPr="00190265">
        <w:rPr>
          <w:rFonts w:ascii="Times New Roman" w:hAnsi="Times New Roman" w:cs="Times New Roman"/>
          <w:sz w:val="24"/>
          <w:szCs w:val="24"/>
        </w:rPr>
        <w:t>l identity in plural societies given only modest assumptions about moral disagr</w:t>
      </w:r>
      <w:r w:rsidR="00A34257" w:rsidRPr="00190265">
        <w:rPr>
          <w:rFonts w:ascii="Times New Roman" w:hAnsi="Times New Roman" w:cs="Times New Roman"/>
          <w:sz w:val="24"/>
          <w:szCs w:val="24"/>
        </w:rPr>
        <w:t xml:space="preserve">eement and cultural pluralism. But we should note, first, that we can and do use the notion of appraisal respect in our private judgements, it makes sense as a practice, and second that the claim about pluralism is an </w:t>
      </w:r>
      <w:r w:rsidR="00A34257" w:rsidRPr="00190265">
        <w:rPr>
          <w:rFonts w:ascii="Times New Roman" w:hAnsi="Times New Roman" w:cs="Times New Roman"/>
          <w:i/>
          <w:sz w:val="24"/>
          <w:szCs w:val="24"/>
        </w:rPr>
        <w:t>aggregate</w:t>
      </w:r>
      <w:r w:rsidR="00A34257" w:rsidRPr="00190265">
        <w:rPr>
          <w:rFonts w:ascii="Times New Roman" w:hAnsi="Times New Roman" w:cs="Times New Roman"/>
          <w:sz w:val="24"/>
          <w:szCs w:val="24"/>
        </w:rPr>
        <w:t xml:space="preserve"> level claim about the tendency of citizens in liberal societies to employ different criteria in their judgements of cultures’ achievements etc. But at the </w:t>
      </w:r>
      <w:r w:rsidR="00A34257" w:rsidRPr="00190265">
        <w:rPr>
          <w:rFonts w:ascii="Times New Roman" w:hAnsi="Times New Roman" w:cs="Times New Roman"/>
          <w:i/>
          <w:sz w:val="24"/>
          <w:szCs w:val="24"/>
        </w:rPr>
        <w:t>individual</w:t>
      </w:r>
      <w:r w:rsidR="00A34257" w:rsidRPr="00190265">
        <w:rPr>
          <w:rFonts w:ascii="Times New Roman" w:hAnsi="Times New Roman" w:cs="Times New Roman"/>
          <w:sz w:val="24"/>
          <w:szCs w:val="24"/>
        </w:rPr>
        <w:t xml:space="preserve"> level it seems tendentious to rule out from the start particular instances of consensus, </w:t>
      </w:r>
      <w:r w:rsidR="00301B69" w:rsidRPr="00190265">
        <w:rPr>
          <w:rFonts w:ascii="Times New Roman" w:hAnsi="Times New Roman" w:cs="Times New Roman"/>
          <w:sz w:val="24"/>
          <w:szCs w:val="24"/>
        </w:rPr>
        <w:t xml:space="preserve">if they emerge through unforced dialogue (i.e. are not the result of social pressure) </w:t>
      </w:r>
      <w:r w:rsidR="00A34257" w:rsidRPr="00190265">
        <w:rPr>
          <w:rFonts w:ascii="Times New Roman" w:hAnsi="Times New Roman" w:cs="Times New Roman"/>
          <w:sz w:val="24"/>
          <w:szCs w:val="24"/>
        </w:rPr>
        <w:t xml:space="preserve">especially in societies characterised by some degree of inter-cultural engagement. </w:t>
      </w:r>
      <w:r w:rsidR="003A775C" w:rsidRPr="00190265">
        <w:rPr>
          <w:rFonts w:ascii="Times New Roman" w:hAnsi="Times New Roman" w:cs="Times New Roman"/>
          <w:sz w:val="24"/>
          <w:szCs w:val="24"/>
        </w:rPr>
        <w:t xml:space="preserve"> Thus we admire African art, Islamic architecture, Chines</w:t>
      </w:r>
      <w:r w:rsidR="003C28A5" w:rsidRPr="00190265">
        <w:rPr>
          <w:rFonts w:ascii="Times New Roman" w:hAnsi="Times New Roman" w:cs="Times New Roman"/>
          <w:sz w:val="24"/>
          <w:szCs w:val="24"/>
        </w:rPr>
        <w:t>e cuisine and so on, and these forms of positive appraisal</w:t>
      </w:r>
      <w:r w:rsidR="003A775C" w:rsidRPr="00190265">
        <w:rPr>
          <w:rFonts w:ascii="Times New Roman" w:hAnsi="Times New Roman" w:cs="Times New Roman"/>
          <w:sz w:val="24"/>
          <w:szCs w:val="24"/>
        </w:rPr>
        <w:t xml:space="preserve"> can garner symbolic recognition through state sponsored cultural festivals and the like.  Such judgements cannot be demanded, but it seems dogmatic to rule out their possibility, given </w:t>
      </w:r>
      <w:r w:rsidR="00301B69" w:rsidRPr="00190265">
        <w:rPr>
          <w:rFonts w:ascii="Times New Roman" w:hAnsi="Times New Roman" w:cs="Times New Roman"/>
          <w:sz w:val="24"/>
          <w:szCs w:val="24"/>
        </w:rPr>
        <w:t xml:space="preserve">at least </w:t>
      </w:r>
      <w:r w:rsidR="003A775C" w:rsidRPr="00190265">
        <w:rPr>
          <w:rFonts w:ascii="Times New Roman" w:hAnsi="Times New Roman" w:cs="Times New Roman"/>
          <w:sz w:val="24"/>
          <w:szCs w:val="24"/>
        </w:rPr>
        <w:t>some motivation among citizens to engage with and understand each other’s differences.</w:t>
      </w:r>
    </w:p>
    <w:p w:rsidR="00707C9C" w:rsidRPr="00190265" w:rsidRDefault="00FE1EE5"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(2). Freedom is a</w:t>
      </w:r>
      <w:r w:rsidR="004D4E74" w:rsidRPr="00190265">
        <w:rPr>
          <w:rFonts w:ascii="Times New Roman" w:hAnsi="Times New Roman" w:cs="Times New Roman"/>
          <w:sz w:val="24"/>
          <w:szCs w:val="24"/>
        </w:rPr>
        <w:t xml:space="preserve"> central value</w:t>
      </w:r>
      <w:r w:rsidR="001E200B" w:rsidRPr="00190265">
        <w:rPr>
          <w:rFonts w:ascii="Times New Roman" w:hAnsi="Times New Roman" w:cs="Times New Roman"/>
          <w:sz w:val="24"/>
          <w:szCs w:val="24"/>
        </w:rPr>
        <w:t xml:space="preserve"> for Balint;</w:t>
      </w:r>
      <w:r w:rsidR="004D4E74" w:rsidRPr="00190265">
        <w:rPr>
          <w:rFonts w:ascii="Times New Roman" w:hAnsi="Times New Roman" w:cs="Times New Roman"/>
          <w:sz w:val="24"/>
          <w:szCs w:val="24"/>
        </w:rPr>
        <w:t xml:space="preserve"> the foundation for his account of t</w:t>
      </w:r>
      <w:r w:rsidR="00092468" w:rsidRPr="00190265">
        <w:rPr>
          <w:rFonts w:ascii="Times New Roman" w:hAnsi="Times New Roman" w:cs="Times New Roman"/>
          <w:sz w:val="24"/>
          <w:szCs w:val="24"/>
        </w:rPr>
        <w:t>oleration as indifference, grounding a strong presumption against interference</w:t>
      </w:r>
      <w:r w:rsidR="00A44A82" w:rsidRPr="00190265">
        <w:rPr>
          <w:rFonts w:ascii="Times New Roman" w:hAnsi="Times New Roman" w:cs="Times New Roman"/>
          <w:sz w:val="24"/>
          <w:szCs w:val="24"/>
        </w:rPr>
        <w:t xml:space="preserve"> which applies equally to </w:t>
      </w:r>
      <w:r w:rsidR="00A44A82" w:rsidRPr="00190265">
        <w:rPr>
          <w:rFonts w:ascii="Times New Roman" w:hAnsi="Times New Roman" w:cs="Times New Roman"/>
          <w:sz w:val="24"/>
          <w:szCs w:val="24"/>
        </w:rPr>
        <w:lastRenderedPageBreak/>
        <w:t xml:space="preserve">the state and </w:t>
      </w:r>
      <w:r w:rsidR="001E200B" w:rsidRPr="00190265">
        <w:rPr>
          <w:rFonts w:ascii="Times New Roman" w:hAnsi="Times New Roman" w:cs="Times New Roman"/>
          <w:sz w:val="24"/>
          <w:szCs w:val="24"/>
        </w:rPr>
        <w:t>to</w:t>
      </w:r>
      <w:r w:rsidR="00A44A82" w:rsidRPr="00190265">
        <w:rPr>
          <w:rFonts w:ascii="Times New Roman" w:hAnsi="Times New Roman" w:cs="Times New Roman"/>
          <w:sz w:val="24"/>
          <w:szCs w:val="24"/>
        </w:rPr>
        <w:t xml:space="preserve"> citizens. </w:t>
      </w:r>
      <w:r w:rsidRPr="00190265">
        <w:rPr>
          <w:rFonts w:ascii="Times New Roman" w:hAnsi="Times New Roman" w:cs="Times New Roman"/>
          <w:sz w:val="24"/>
          <w:szCs w:val="24"/>
        </w:rPr>
        <w:t>It</w:t>
      </w:r>
      <w:r w:rsidR="004130D0">
        <w:rPr>
          <w:rFonts w:ascii="Times New Roman" w:hAnsi="Times New Roman" w:cs="Times New Roman"/>
          <w:sz w:val="24"/>
          <w:szCs w:val="24"/>
        </w:rPr>
        <w:t>’</w:t>
      </w:r>
      <w:r w:rsidR="00DB302F" w:rsidRPr="00190265">
        <w:rPr>
          <w:rFonts w:ascii="Times New Roman" w:hAnsi="Times New Roman" w:cs="Times New Roman"/>
          <w:sz w:val="24"/>
          <w:szCs w:val="24"/>
        </w:rPr>
        <w:t>s connected to his prefer</w:t>
      </w:r>
      <w:r w:rsidR="00301B69" w:rsidRPr="00190265">
        <w:rPr>
          <w:rFonts w:ascii="Times New Roman" w:hAnsi="Times New Roman" w:cs="Times New Roman"/>
          <w:sz w:val="24"/>
          <w:szCs w:val="24"/>
        </w:rPr>
        <w:t xml:space="preserve">ence for a principled ‘hands off’ approach </w:t>
      </w:r>
      <w:r w:rsidR="00DB302F" w:rsidRPr="00190265">
        <w:rPr>
          <w:rFonts w:ascii="Times New Roman" w:hAnsi="Times New Roman" w:cs="Times New Roman"/>
          <w:sz w:val="24"/>
          <w:szCs w:val="24"/>
        </w:rPr>
        <w:t xml:space="preserve">withdrawing support for privileged ways of life over ‘hands on’, extending benefits previously only available to a privileged group to those </w:t>
      </w:r>
      <w:r w:rsidR="003C28A5" w:rsidRPr="00190265">
        <w:rPr>
          <w:rFonts w:ascii="Times New Roman" w:hAnsi="Times New Roman" w:cs="Times New Roman"/>
          <w:sz w:val="24"/>
          <w:szCs w:val="24"/>
        </w:rPr>
        <w:t>who did not enjoy that privelege</w:t>
      </w:r>
      <w:r w:rsidR="00DB302F" w:rsidRPr="00190265">
        <w:rPr>
          <w:rFonts w:ascii="Times New Roman" w:hAnsi="Times New Roman" w:cs="Times New Roman"/>
          <w:sz w:val="24"/>
          <w:szCs w:val="24"/>
        </w:rPr>
        <w:t>.  Hands on, he writes,</w:t>
      </w:r>
      <w:r w:rsidR="007E116E" w:rsidRPr="00190265">
        <w:rPr>
          <w:rFonts w:ascii="Times New Roman" w:hAnsi="Times New Roman" w:cs="Times New Roman"/>
          <w:sz w:val="24"/>
          <w:szCs w:val="24"/>
        </w:rPr>
        <w:t xml:space="preserve"> is ‘generally inferior’ as removing favour ‘is more likely to increase the space for individuals to realise […] freedom’</w:t>
      </w:r>
      <w:r w:rsidR="00DB302F" w:rsidRPr="00190265">
        <w:rPr>
          <w:rFonts w:ascii="Times New Roman" w:hAnsi="Times New Roman" w:cs="Times New Roman"/>
          <w:sz w:val="24"/>
          <w:szCs w:val="24"/>
        </w:rPr>
        <w:t xml:space="preserve">, conceptualised as </w:t>
      </w:r>
      <w:r w:rsidR="007E116E" w:rsidRPr="00190265">
        <w:rPr>
          <w:rFonts w:ascii="Times New Roman" w:hAnsi="Times New Roman" w:cs="Times New Roman"/>
          <w:sz w:val="24"/>
          <w:szCs w:val="24"/>
        </w:rPr>
        <w:t xml:space="preserve">living </w:t>
      </w:r>
      <w:r w:rsidR="00DB302F" w:rsidRPr="00190265">
        <w:rPr>
          <w:rFonts w:ascii="Times New Roman" w:hAnsi="Times New Roman" w:cs="Times New Roman"/>
          <w:sz w:val="24"/>
          <w:szCs w:val="24"/>
        </w:rPr>
        <w:t>one’s</w:t>
      </w:r>
      <w:r w:rsidR="00BD13F5" w:rsidRPr="00190265">
        <w:rPr>
          <w:rFonts w:ascii="Times New Roman" w:hAnsi="Times New Roman" w:cs="Times New Roman"/>
          <w:sz w:val="24"/>
          <w:szCs w:val="24"/>
        </w:rPr>
        <w:t xml:space="preserve"> life as one sees fit (</w:t>
      </w:r>
      <w:r w:rsidR="00110FBC">
        <w:rPr>
          <w:rFonts w:ascii="Times New Roman" w:hAnsi="Times New Roman" w:cs="Times New Roman"/>
          <w:sz w:val="24"/>
          <w:szCs w:val="24"/>
        </w:rPr>
        <w:t>p</w:t>
      </w:r>
      <w:r w:rsidR="00BD13F5" w:rsidRPr="00190265">
        <w:rPr>
          <w:rFonts w:ascii="Times New Roman" w:hAnsi="Times New Roman" w:cs="Times New Roman"/>
          <w:sz w:val="24"/>
          <w:szCs w:val="24"/>
        </w:rPr>
        <w:t xml:space="preserve">p.65-7).  For example, a hands on approach would favour legal recognition for same sex couples to marry, but a hands off alternative would see the state ‘withdrawing from the more symbolic and normative aspects of marriage’ (p.66), and enforcing in a neutral way only those regulations needed to address issues of taxation, welfare, inheritance, separation, and the care of children (pp.66-7). In a hands off neutral liberal state, persons non-romantically involved such as close friends or siblings might </w:t>
      </w:r>
      <w:r w:rsidR="00301B69" w:rsidRPr="00190265">
        <w:rPr>
          <w:rFonts w:ascii="Times New Roman" w:hAnsi="Times New Roman" w:cs="Times New Roman"/>
          <w:sz w:val="24"/>
          <w:szCs w:val="24"/>
        </w:rPr>
        <w:t>also</w:t>
      </w:r>
      <w:r w:rsidR="00BD13F5" w:rsidRPr="00190265">
        <w:rPr>
          <w:rFonts w:ascii="Times New Roman" w:hAnsi="Times New Roman" w:cs="Times New Roman"/>
          <w:sz w:val="24"/>
          <w:szCs w:val="24"/>
        </w:rPr>
        <w:t xml:space="preserve"> enjoy some of these regulated rights.  As far as minority cultures are concerned, Balint is somewhat sceptical of special rights such</w:t>
      </w:r>
      <w:r w:rsidR="00301B69" w:rsidRPr="00190265">
        <w:rPr>
          <w:rFonts w:ascii="Times New Roman" w:hAnsi="Times New Roman" w:cs="Times New Roman"/>
          <w:sz w:val="24"/>
          <w:szCs w:val="24"/>
        </w:rPr>
        <w:t xml:space="preserve"> as</w:t>
      </w:r>
      <w:r w:rsidR="00BD13F5" w:rsidRPr="00190265">
        <w:rPr>
          <w:rFonts w:ascii="Times New Roman" w:hAnsi="Times New Roman" w:cs="Times New Roman"/>
          <w:sz w:val="24"/>
          <w:szCs w:val="24"/>
        </w:rPr>
        <w:t xml:space="preserve"> devolved powers and self-government (pp.137-40); hunting and fishing rights for indigenous peoples on their territories (p.139), and state support for minority languages.  </w:t>
      </w:r>
      <w:r w:rsidR="006E721D" w:rsidRPr="00190265">
        <w:rPr>
          <w:rFonts w:ascii="Times New Roman" w:hAnsi="Times New Roman" w:cs="Times New Roman"/>
          <w:sz w:val="24"/>
          <w:szCs w:val="24"/>
        </w:rPr>
        <w:t>This scepticism is motivated partly by the freedom argument and also by other considerations such as the complexity and dynamic nature</w:t>
      </w:r>
      <w:r w:rsidRPr="00190265">
        <w:rPr>
          <w:rFonts w:ascii="Times New Roman" w:hAnsi="Times New Roman" w:cs="Times New Roman"/>
          <w:sz w:val="24"/>
          <w:szCs w:val="24"/>
        </w:rPr>
        <w:t xml:space="preserve"> of group identities</w:t>
      </w:r>
      <w:r w:rsidR="006E721D" w:rsidRPr="00190265">
        <w:rPr>
          <w:rFonts w:ascii="Times New Roman" w:hAnsi="Times New Roman" w:cs="Times New Roman"/>
          <w:sz w:val="24"/>
          <w:szCs w:val="24"/>
        </w:rPr>
        <w:t>, worries about the vulnerable position of groups (often women) within minorities; and</w:t>
      </w:r>
      <w:r w:rsidR="00053400" w:rsidRPr="00190265">
        <w:rPr>
          <w:rFonts w:ascii="Times New Roman" w:hAnsi="Times New Roman" w:cs="Times New Roman"/>
          <w:sz w:val="24"/>
          <w:szCs w:val="24"/>
        </w:rPr>
        <w:t xml:space="preserve"> a Millian concern about</w:t>
      </w:r>
      <w:r w:rsidR="006E721D" w:rsidRPr="00190265">
        <w:rPr>
          <w:rFonts w:ascii="Times New Roman" w:hAnsi="Times New Roman" w:cs="Times New Roman"/>
          <w:sz w:val="24"/>
          <w:szCs w:val="24"/>
        </w:rPr>
        <w:t xml:space="preserve"> epistemic lim</w:t>
      </w:r>
      <w:r w:rsidR="00053400" w:rsidRPr="00190265">
        <w:rPr>
          <w:rFonts w:ascii="Times New Roman" w:hAnsi="Times New Roman" w:cs="Times New Roman"/>
          <w:sz w:val="24"/>
          <w:szCs w:val="24"/>
        </w:rPr>
        <w:t xml:space="preserve">its to state action. These are all </w:t>
      </w:r>
      <w:r w:rsidR="004130D0">
        <w:rPr>
          <w:rFonts w:ascii="Times New Roman" w:hAnsi="Times New Roman" w:cs="Times New Roman"/>
          <w:sz w:val="24"/>
          <w:szCs w:val="24"/>
        </w:rPr>
        <w:t>legitimate concerns</w:t>
      </w:r>
      <w:r w:rsidR="004B4460" w:rsidRPr="00190265">
        <w:rPr>
          <w:rFonts w:ascii="Times New Roman" w:hAnsi="Times New Roman" w:cs="Times New Roman"/>
          <w:sz w:val="24"/>
          <w:szCs w:val="24"/>
        </w:rPr>
        <w:t xml:space="preserve">, but </w:t>
      </w:r>
      <w:r w:rsidR="00053400" w:rsidRPr="00190265">
        <w:rPr>
          <w:rFonts w:ascii="Times New Roman" w:hAnsi="Times New Roman" w:cs="Times New Roman"/>
          <w:sz w:val="24"/>
          <w:szCs w:val="24"/>
        </w:rPr>
        <w:t>don’t seem to me to</w:t>
      </w:r>
      <w:r w:rsidR="004B4460" w:rsidRPr="00190265">
        <w:rPr>
          <w:rFonts w:ascii="Times New Roman" w:hAnsi="Times New Roman" w:cs="Times New Roman"/>
          <w:sz w:val="24"/>
          <w:szCs w:val="24"/>
        </w:rPr>
        <w:t xml:space="preserve"> </w:t>
      </w:r>
      <w:r w:rsidR="00053400" w:rsidRPr="00190265">
        <w:rPr>
          <w:rFonts w:ascii="Times New Roman" w:hAnsi="Times New Roman" w:cs="Times New Roman"/>
          <w:sz w:val="24"/>
          <w:szCs w:val="24"/>
        </w:rPr>
        <w:t>rule out</w:t>
      </w:r>
      <w:r w:rsidR="004B4460" w:rsidRPr="00190265">
        <w:rPr>
          <w:rFonts w:ascii="Times New Roman" w:hAnsi="Times New Roman" w:cs="Times New Roman"/>
          <w:sz w:val="24"/>
          <w:szCs w:val="24"/>
        </w:rPr>
        <w:t xml:space="preserve"> in principle reasons for </w:t>
      </w:r>
      <w:r w:rsidR="003C28A5" w:rsidRPr="00190265">
        <w:rPr>
          <w:rFonts w:ascii="Times New Roman" w:hAnsi="Times New Roman" w:cs="Times New Roman"/>
          <w:sz w:val="24"/>
          <w:szCs w:val="24"/>
        </w:rPr>
        <w:t>granting</w:t>
      </w:r>
      <w:r w:rsidR="00053400" w:rsidRPr="00190265">
        <w:rPr>
          <w:rFonts w:ascii="Times New Roman" w:hAnsi="Times New Roman" w:cs="Times New Roman"/>
          <w:sz w:val="24"/>
          <w:szCs w:val="24"/>
        </w:rPr>
        <w:t xml:space="preserve"> (‘hands on’)</w:t>
      </w:r>
      <w:r w:rsidR="004B4460" w:rsidRPr="00190265">
        <w:rPr>
          <w:rFonts w:ascii="Times New Roman" w:hAnsi="Times New Roman" w:cs="Times New Roman"/>
          <w:sz w:val="24"/>
          <w:szCs w:val="24"/>
        </w:rPr>
        <w:t xml:space="preserve"> minority rights on at least some occasions. In fact, Balint himself recognises this. ‘[I]f respect for culture has a neutral and necessary justification (such as its importance for realizing individual welfare better than any alternatives) then it is an appropriate response’ (p.139).</w:t>
      </w:r>
      <w:r w:rsidR="00305DE5" w:rsidRPr="00190265">
        <w:rPr>
          <w:rFonts w:ascii="Times New Roman" w:hAnsi="Times New Roman" w:cs="Times New Roman"/>
          <w:sz w:val="24"/>
          <w:szCs w:val="24"/>
        </w:rPr>
        <w:t xml:space="preserve"> This respect might ground special rights for indigenous peoples, but a more neutral alternative would be to mainstream such rights so that, for example,</w:t>
      </w:r>
      <w:r w:rsidR="00A35A3F" w:rsidRPr="00190265">
        <w:rPr>
          <w:rFonts w:ascii="Times New Roman" w:hAnsi="Times New Roman" w:cs="Times New Roman"/>
          <w:sz w:val="24"/>
          <w:szCs w:val="24"/>
        </w:rPr>
        <w:t xml:space="preserve"> ‘[h]unting and fishing rights… </w:t>
      </w:r>
      <w:r w:rsidR="00305DE5" w:rsidRPr="00190265">
        <w:rPr>
          <w:rFonts w:ascii="Times New Roman" w:hAnsi="Times New Roman" w:cs="Times New Roman"/>
          <w:sz w:val="24"/>
          <w:szCs w:val="24"/>
        </w:rPr>
        <w:t>could possibly be extended to non-indigenous Australians in some areas (p.139).  My question is, if welfare is an appropriately neutral justification</w:t>
      </w:r>
      <w:r w:rsidR="00301B69" w:rsidRPr="00190265">
        <w:rPr>
          <w:rFonts w:ascii="Times New Roman" w:hAnsi="Times New Roman" w:cs="Times New Roman"/>
          <w:sz w:val="24"/>
          <w:szCs w:val="24"/>
        </w:rPr>
        <w:t xml:space="preserve"> for minority cultural rights, presumably on the grounds that it can command broad support,</w:t>
      </w:r>
      <w:r w:rsidR="00305DE5" w:rsidRPr="00190265">
        <w:rPr>
          <w:rFonts w:ascii="Times New Roman" w:hAnsi="Times New Roman" w:cs="Times New Roman"/>
          <w:sz w:val="24"/>
          <w:szCs w:val="24"/>
        </w:rPr>
        <w:t xml:space="preserve"> then why isn’t individual freedom too?  There is an argument for minority cultural rights which begins precisely from individuals’ pro tanto right to pursue the conception of the good</w:t>
      </w:r>
      <w:r w:rsidR="00707C9C" w:rsidRPr="00190265">
        <w:rPr>
          <w:rFonts w:ascii="Times New Roman" w:hAnsi="Times New Roman" w:cs="Times New Roman"/>
          <w:sz w:val="24"/>
          <w:szCs w:val="24"/>
        </w:rPr>
        <w:t xml:space="preserve"> which</w:t>
      </w:r>
      <w:r w:rsidR="00053400" w:rsidRPr="00190265">
        <w:rPr>
          <w:rFonts w:ascii="Times New Roman" w:hAnsi="Times New Roman" w:cs="Times New Roman"/>
          <w:sz w:val="24"/>
          <w:szCs w:val="24"/>
        </w:rPr>
        <w:t xml:space="preserve"> they have freely endorsed</w:t>
      </w:r>
      <w:r w:rsidR="00707C9C" w:rsidRPr="00190265">
        <w:rPr>
          <w:rFonts w:ascii="Times New Roman" w:hAnsi="Times New Roman" w:cs="Times New Roman"/>
          <w:sz w:val="24"/>
          <w:szCs w:val="24"/>
        </w:rPr>
        <w:t xml:space="preserve">.  Alan Patten makes this case powerfully in his recent book, </w:t>
      </w:r>
      <w:r w:rsidR="00707C9C" w:rsidRPr="00190265">
        <w:rPr>
          <w:rFonts w:ascii="Times New Roman" w:hAnsi="Times New Roman" w:cs="Times New Roman"/>
          <w:i/>
          <w:sz w:val="24"/>
          <w:szCs w:val="24"/>
        </w:rPr>
        <w:t>Equal Recognition</w:t>
      </w:r>
      <w:r w:rsidR="00053400" w:rsidRPr="00190265">
        <w:rPr>
          <w:rFonts w:ascii="Times New Roman" w:hAnsi="Times New Roman" w:cs="Times New Roman"/>
          <w:sz w:val="24"/>
          <w:szCs w:val="24"/>
        </w:rPr>
        <w:t>.  According to Patten w</w:t>
      </w:r>
      <w:r w:rsidR="00707C9C" w:rsidRPr="00190265">
        <w:rPr>
          <w:rFonts w:ascii="Times New Roman" w:hAnsi="Times New Roman" w:cs="Times New Roman"/>
          <w:sz w:val="24"/>
          <w:szCs w:val="24"/>
        </w:rPr>
        <w:t>here a conception of the good reflects a person’s deeper commitments and sense of identity, targeted state assistance is justified</w:t>
      </w:r>
      <w:r w:rsidR="00053400" w:rsidRPr="00190265">
        <w:rPr>
          <w:rFonts w:ascii="Times New Roman" w:hAnsi="Times New Roman" w:cs="Times New Roman"/>
          <w:sz w:val="24"/>
          <w:szCs w:val="24"/>
        </w:rPr>
        <w:t xml:space="preserve"> on the grounds that</w:t>
      </w:r>
      <w:r w:rsidR="00707C9C" w:rsidRPr="00190265">
        <w:rPr>
          <w:rFonts w:ascii="Times New Roman" w:hAnsi="Times New Roman" w:cs="Times New Roman"/>
          <w:sz w:val="24"/>
          <w:szCs w:val="24"/>
        </w:rPr>
        <w:t xml:space="preserve"> </w:t>
      </w:r>
      <w:r w:rsidR="00B36D1C" w:rsidRPr="00190265">
        <w:rPr>
          <w:rFonts w:ascii="Times New Roman" w:hAnsi="Times New Roman" w:cs="Times New Roman"/>
          <w:sz w:val="24"/>
          <w:szCs w:val="24"/>
        </w:rPr>
        <w:t xml:space="preserve">it </w:t>
      </w:r>
      <w:r w:rsidR="00707C9C" w:rsidRPr="00190265">
        <w:rPr>
          <w:rFonts w:ascii="Times New Roman" w:hAnsi="Times New Roman" w:cs="Times New Roman"/>
          <w:sz w:val="24"/>
          <w:szCs w:val="24"/>
        </w:rPr>
        <w:t>gives individuals a fair go at realising their aims</w:t>
      </w:r>
      <w:r w:rsidR="00053400" w:rsidRPr="00190265">
        <w:rPr>
          <w:rFonts w:ascii="Times New Roman" w:hAnsi="Times New Roman" w:cs="Times New Roman"/>
          <w:sz w:val="24"/>
          <w:szCs w:val="24"/>
        </w:rPr>
        <w:t xml:space="preserve"> (while not guaranteeing them)</w:t>
      </w:r>
      <w:r w:rsidR="003C28A5" w:rsidRPr="00190265">
        <w:rPr>
          <w:rFonts w:ascii="Times New Roman" w:hAnsi="Times New Roman" w:cs="Times New Roman"/>
          <w:sz w:val="24"/>
          <w:szCs w:val="24"/>
        </w:rPr>
        <w:t xml:space="preserve"> (Patten 2014, pp.131-48)</w:t>
      </w:r>
      <w:r w:rsidR="00707C9C" w:rsidRPr="00190265">
        <w:rPr>
          <w:rFonts w:ascii="Times New Roman" w:hAnsi="Times New Roman" w:cs="Times New Roman"/>
          <w:sz w:val="24"/>
          <w:szCs w:val="24"/>
        </w:rPr>
        <w:t xml:space="preserve">.  </w:t>
      </w:r>
      <w:r w:rsidR="00DB024F" w:rsidRPr="00190265">
        <w:rPr>
          <w:rFonts w:ascii="Times New Roman" w:hAnsi="Times New Roman" w:cs="Times New Roman"/>
          <w:sz w:val="24"/>
          <w:szCs w:val="24"/>
        </w:rPr>
        <w:t xml:space="preserve">Thus for example increasing the </w:t>
      </w:r>
      <w:r w:rsidR="00DB024F" w:rsidRPr="00190265">
        <w:rPr>
          <w:rFonts w:ascii="Times New Roman" w:hAnsi="Times New Roman" w:cs="Times New Roman"/>
          <w:sz w:val="24"/>
          <w:szCs w:val="24"/>
        </w:rPr>
        <w:lastRenderedPageBreak/>
        <w:t>number of languages recognised by public institutions</w:t>
      </w:r>
      <w:r w:rsidR="00301B69" w:rsidRPr="00190265">
        <w:rPr>
          <w:rFonts w:ascii="Times New Roman" w:hAnsi="Times New Roman" w:cs="Times New Roman"/>
          <w:sz w:val="24"/>
          <w:szCs w:val="24"/>
        </w:rPr>
        <w:t xml:space="preserve"> or</w:t>
      </w:r>
      <w:r w:rsidR="00B36D1C" w:rsidRPr="00190265">
        <w:rPr>
          <w:rFonts w:ascii="Times New Roman" w:hAnsi="Times New Roman" w:cs="Times New Roman"/>
          <w:sz w:val="24"/>
          <w:szCs w:val="24"/>
        </w:rPr>
        <w:t xml:space="preserve"> funding</w:t>
      </w:r>
      <w:r w:rsidR="00301B69" w:rsidRPr="00190265">
        <w:rPr>
          <w:rFonts w:ascii="Times New Roman" w:hAnsi="Times New Roman" w:cs="Times New Roman"/>
          <w:sz w:val="24"/>
          <w:szCs w:val="24"/>
        </w:rPr>
        <w:t xml:space="preserve"> a minority language TV station promote</w:t>
      </w:r>
      <w:r w:rsidR="00DB024F" w:rsidRPr="00190265">
        <w:rPr>
          <w:rFonts w:ascii="Times New Roman" w:hAnsi="Times New Roman" w:cs="Times New Roman"/>
          <w:sz w:val="24"/>
          <w:szCs w:val="24"/>
        </w:rPr>
        <w:t xml:space="preserve"> the </w:t>
      </w:r>
      <w:r w:rsidR="00053400" w:rsidRPr="00190265">
        <w:rPr>
          <w:rFonts w:ascii="Times New Roman" w:hAnsi="Times New Roman" w:cs="Times New Roman"/>
          <w:sz w:val="24"/>
          <w:szCs w:val="24"/>
        </w:rPr>
        <w:t>aims</w:t>
      </w:r>
      <w:r w:rsidR="00DB024F" w:rsidRPr="00190265">
        <w:rPr>
          <w:rFonts w:ascii="Times New Roman" w:hAnsi="Times New Roman" w:cs="Times New Roman"/>
          <w:sz w:val="24"/>
          <w:szCs w:val="24"/>
        </w:rPr>
        <w:t xml:space="preserve"> of those la</w:t>
      </w:r>
      <w:r w:rsidR="00053400" w:rsidRPr="00190265">
        <w:rPr>
          <w:rFonts w:ascii="Times New Roman" w:hAnsi="Times New Roman" w:cs="Times New Roman"/>
          <w:sz w:val="24"/>
          <w:szCs w:val="24"/>
        </w:rPr>
        <w:t>nguages’ speakers</w:t>
      </w:r>
      <w:r w:rsidR="00DB024F" w:rsidRPr="00190265">
        <w:rPr>
          <w:rFonts w:ascii="Times New Roman" w:hAnsi="Times New Roman" w:cs="Times New Roman"/>
          <w:sz w:val="24"/>
          <w:szCs w:val="24"/>
        </w:rPr>
        <w:t>.</w:t>
      </w:r>
      <w:r w:rsidR="00B36D1C" w:rsidRPr="00190265">
        <w:rPr>
          <w:rFonts w:ascii="Times New Roman" w:hAnsi="Times New Roman" w:cs="Times New Roman"/>
          <w:sz w:val="24"/>
          <w:szCs w:val="24"/>
        </w:rPr>
        <w:t xml:space="preserve"> The same argument can be made for hunting and fishing </w:t>
      </w:r>
      <w:r w:rsidRPr="00190265">
        <w:rPr>
          <w:rFonts w:ascii="Times New Roman" w:hAnsi="Times New Roman" w:cs="Times New Roman"/>
          <w:sz w:val="24"/>
          <w:szCs w:val="24"/>
        </w:rPr>
        <w:t>rights for indigenous peoples where non-indigenous citizens don’t</w:t>
      </w:r>
      <w:r w:rsidR="00B36D1C" w:rsidRPr="00190265">
        <w:rPr>
          <w:rFonts w:ascii="Times New Roman" w:hAnsi="Times New Roman" w:cs="Times New Roman"/>
          <w:sz w:val="24"/>
          <w:szCs w:val="24"/>
        </w:rPr>
        <w:t xml:space="preserve"> have analogous commitments </w:t>
      </w:r>
    </w:p>
    <w:p w:rsidR="007E116E" w:rsidRPr="00190265" w:rsidRDefault="00B36D1C"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These two examples are instances of hands on levelling up, not hands off levelling down. By levelling up we </w:t>
      </w:r>
      <w:r w:rsidR="006A5E1A" w:rsidRPr="00190265">
        <w:rPr>
          <w:rFonts w:ascii="Times New Roman" w:hAnsi="Times New Roman" w:cs="Times New Roman"/>
          <w:sz w:val="24"/>
          <w:szCs w:val="24"/>
        </w:rPr>
        <w:t>increase the freedom of members of cultural minorities to live their life as they see fit, according t</w:t>
      </w:r>
      <w:r w:rsidRPr="00190265">
        <w:rPr>
          <w:rFonts w:ascii="Times New Roman" w:hAnsi="Times New Roman" w:cs="Times New Roman"/>
          <w:sz w:val="24"/>
          <w:szCs w:val="24"/>
        </w:rPr>
        <w:t>o their cultural</w:t>
      </w:r>
      <w:r w:rsidR="006A5E1A" w:rsidRPr="00190265">
        <w:rPr>
          <w:rFonts w:ascii="Times New Roman" w:hAnsi="Times New Roman" w:cs="Times New Roman"/>
          <w:sz w:val="24"/>
          <w:szCs w:val="24"/>
        </w:rPr>
        <w:t xml:space="preserve"> convictions.</w:t>
      </w:r>
      <w:r w:rsidRPr="00190265">
        <w:rPr>
          <w:rFonts w:ascii="Times New Roman" w:hAnsi="Times New Roman" w:cs="Times New Roman"/>
          <w:sz w:val="24"/>
          <w:szCs w:val="24"/>
        </w:rPr>
        <w:t xml:space="preserve"> The baseline for determining whether we should level up is not the pattern of legal privileges and disabilities which citizens currently enjoy, but rather a deeper principle of egalitarian liberty.</w:t>
      </w:r>
    </w:p>
    <w:p w:rsidR="00F677E5" w:rsidRPr="00190265" w:rsidRDefault="00B36D1C"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(3)</w:t>
      </w:r>
      <w:r w:rsidR="00FE26B9" w:rsidRPr="00190265">
        <w:rPr>
          <w:rFonts w:ascii="Times New Roman" w:hAnsi="Times New Roman" w:cs="Times New Roman"/>
          <w:sz w:val="24"/>
          <w:szCs w:val="24"/>
        </w:rPr>
        <w:t>.</w:t>
      </w:r>
      <w:r w:rsidRPr="00190265">
        <w:rPr>
          <w:rFonts w:ascii="Times New Roman" w:hAnsi="Times New Roman" w:cs="Times New Roman"/>
          <w:sz w:val="24"/>
          <w:szCs w:val="24"/>
        </w:rPr>
        <w:t xml:space="preserve"> Although it doesn’t figure much in the book, </w:t>
      </w:r>
      <w:r w:rsidR="00762C42" w:rsidRPr="00190265">
        <w:rPr>
          <w:rFonts w:ascii="Times New Roman" w:hAnsi="Times New Roman" w:cs="Times New Roman"/>
          <w:sz w:val="24"/>
          <w:szCs w:val="24"/>
        </w:rPr>
        <w:t xml:space="preserve">Balint is sympathetic to the idea </w:t>
      </w:r>
      <w:r w:rsidR="00F677E5" w:rsidRPr="00190265">
        <w:rPr>
          <w:rFonts w:ascii="Times New Roman" w:hAnsi="Times New Roman" w:cs="Times New Roman"/>
          <w:sz w:val="24"/>
          <w:szCs w:val="24"/>
        </w:rPr>
        <w:t xml:space="preserve">of citizenship as a common identity which binds together the </w:t>
      </w:r>
      <w:r w:rsidR="00053400" w:rsidRPr="00190265">
        <w:rPr>
          <w:rFonts w:ascii="Times New Roman" w:hAnsi="Times New Roman" w:cs="Times New Roman"/>
          <w:sz w:val="24"/>
          <w:szCs w:val="24"/>
        </w:rPr>
        <w:t>members of a</w:t>
      </w:r>
      <w:r w:rsidR="00F677E5" w:rsidRPr="00190265">
        <w:rPr>
          <w:rFonts w:ascii="Times New Roman" w:hAnsi="Times New Roman" w:cs="Times New Roman"/>
          <w:sz w:val="24"/>
          <w:szCs w:val="24"/>
        </w:rPr>
        <w:t xml:space="preserve"> polity. </w:t>
      </w:r>
      <w:r w:rsidR="008F6873" w:rsidRPr="00190265">
        <w:rPr>
          <w:rFonts w:ascii="Times New Roman" w:hAnsi="Times New Roman" w:cs="Times New Roman"/>
          <w:sz w:val="24"/>
          <w:szCs w:val="24"/>
        </w:rPr>
        <w:t>A</w:t>
      </w:r>
      <w:r w:rsidR="00F677E5" w:rsidRPr="00190265">
        <w:rPr>
          <w:rFonts w:ascii="Times New Roman" w:hAnsi="Times New Roman" w:cs="Times New Roman"/>
          <w:sz w:val="24"/>
          <w:szCs w:val="24"/>
        </w:rPr>
        <w:t>n alternative to appraisal r</w:t>
      </w:r>
      <w:r w:rsidR="008F6873" w:rsidRPr="00190265">
        <w:rPr>
          <w:rFonts w:ascii="Times New Roman" w:hAnsi="Times New Roman" w:cs="Times New Roman"/>
          <w:sz w:val="24"/>
          <w:szCs w:val="24"/>
        </w:rPr>
        <w:t>espect for difference, he writes, is</w:t>
      </w:r>
      <w:r w:rsidR="00F677E5" w:rsidRPr="00190265">
        <w:rPr>
          <w:rFonts w:ascii="Times New Roman" w:hAnsi="Times New Roman" w:cs="Times New Roman"/>
          <w:sz w:val="24"/>
          <w:szCs w:val="24"/>
        </w:rPr>
        <w:t xml:space="preserve"> recognition</w:t>
      </w:r>
      <w:r w:rsidR="008F6873" w:rsidRPr="00190265">
        <w:rPr>
          <w:rFonts w:ascii="Times New Roman" w:hAnsi="Times New Roman" w:cs="Times New Roman"/>
          <w:sz w:val="24"/>
          <w:szCs w:val="24"/>
        </w:rPr>
        <w:t xml:space="preserve"> respe</w:t>
      </w:r>
      <w:r w:rsidR="00F677E5" w:rsidRPr="00190265">
        <w:rPr>
          <w:rFonts w:ascii="Times New Roman" w:hAnsi="Times New Roman" w:cs="Times New Roman"/>
          <w:sz w:val="24"/>
          <w:szCs w:val="24"/>
        </w:rPr>
        <w:t>ct for</w:t>
      </w:r>
      <w:r w:rsidR="008F6873" w:rsidRPr="00190265">
        <w:rPr>
          <w:rFonts w:ascii="Times New Roman" w:hAnsi="Times New Roman" w:cs="Times New Roman"/>
          <w:sz w:val="24"/>
          <w:szCs w:val="24"/>
        </w:rPr>
        <w:t xml:space="preserve"> citizenship</w:t>
      </w:r>
      <w:r w:rsidR="00F677E5" w:rsidRPr="00190265">
        <w:rPr>
          <w:rFonts w:ascii="Times New Roman" w:hAnsi="Times New Roman" w:cs="Times New Roman"/>
          <w:sz w:val="24"/>
          <w:szCs w:val="24"/>
        </w:rPr>
        <w:t>’s</w:t>
      </w:r>
      <w:r w:rsidR="008F6873" w:rsidRPr="00190265">
        <w:rPr>
          <w:rFonts w:ascii="Times New Roman" w:hAnsi="Times New Roman" w:cs="Times New Roman"/>
          <w:sz w:val="24"/>
          <w:szCs w:val="24"/>
        </w:rPr>
        <w:t xml:space="preserve"> status and its associated rights (p.114).</w:t>
      </w:r>
      <w:r w:rsidR="00F677E5" w:rsidRPr="00190265">
        <w:rPr>
          <w:rFonts w:ascii="Times New Roman" w:hAnsi="Times New Roman" w:cs="Times New Roman"/>
          <w:sz w:val="24"/>
          <w:szCs w:val="24"/>
        </w:rPr>
        <w:t xml:space="preserve"> </w:t>
      </w:r>
      <w:r w:rsidR="008E085B" w:rsidRPr="00190265">
        <w:rPr>
          <w:rFonts w:ascii="Times New Roman" w:hAnsi="Times New Roman" w:cs="Times New Roman"/>
          <w:sz w:val="24"/>
          <w:szCs w:val="24"/>
        </w:rPr>
        <w:t>For instance, he notes that ethnic minority citizens subjected to persistent racial profiling ‘often feel second class’ (p.136); racial profiling communicates a message that they have a lesser status than their fellow citizens.</w:t>
      </w:r>
      <w:r w:rsidR="00F677E5" w:rsidRPr="00190265">
        <w:rPr>
          <w:rFonts w:ascii="Times New Roman" w:hAnsi="Times New Roman" w:cs="Times New Roman"/>
          <w:sz w:val="24"/>
          <w:szCs w:val="24"/>
        </w:rPr>
        <w:t xml:space="preserve">  </w:t>
      </w:r>
      <w:r w:rsidR="005A5703" w:rsidRPr="00190265">
        <w:rPr>
          <w:rFonts w:ascii="Times New Roman" w:hAnsi="Times New Roman" w:cs="Times New Roman"/>
          <w:sz w:val="24"/>
          <w:szCs w:val="24"/>
        </w:rPr>
        <w:t xml:space="preserve">Building on this notion </w:t>
      </w:r>
      <w:r w:rsidR="006671B9" w:rsidRPr="00190265">
        <w:rPr>
          <w:rFonts w:ascii="Times New Roman" w:hAnsi="Times New Roman" w:cs="Times New Roman"/>
          <w:sz w:val="24"/>
          <w:szCs w:val="24"/>
        </w:rPr>
        <w:t xml:space="preserve">of equal civic </w:t>
      </w:r>
      <w:r w:rsidR="005A5703" w:rsidRPr="00190265">
        <w:rPr>
          <w:rFonts w:ascii="Times New Roman" w:hAnsi="Times New Roman" w:cs="Times New Roman"/>
          <w:sz w:val="24"/>
          <w:szCs w:val="24"/>
        </w:rPr>
        <w:t>status, we might claim</w:t>
      </w:r>
      <w:r w:rsidR="00B50006" w:rsidRPr="00190265">
        <w:rPr>
          <w:rFonts w:ascii="Times New Roman" w:hAnsi="Times New Roman" w:cs="Times New Roman"/>
          <w:sz w:val="24"/>
          <w:szCs w:val="24"/>
        </w:rPr>
        <w:t xml:space="preserve"> that every citizen has a right</w:t>
      </w:r>
      <w:r w:rsidR="006671B9" w:rsidRPr="00190265">
        <w:rPr>
          <w:rFonts w:ascii="Times New Roman" w:hAnsi="Times New Roman" w:cs="Times New Roman"/>
          <w:sz w:val="24"/>
          <w:szCs w:val="24"/>
        </w:rPr>
        <w:t xml:space="preserve"> that their</w:t>
      </w:r>
      <w:r w:rsidR="00B50006" w:rsidRPr="00190265">
        <w:rPr>
          <w:rFonts w:ascii="Times New Roman" w:hAnsi="Times New Roman" w:cs="Times New Roman"/>
          <w:sz w:val="24"/>
          <w:szCs w:val="24"/>
        </w:rPr>
        <w:t xml:space="preserve"> citizenship has the same public political value a</w:t>
      </w:r>
      <w:r w:rsidR="005E2E44" w:rsidRPr="00190265">
        <w:rPr>
          <w:rFonts w:ascii="Times New Roman" w:hAnsi="Times New Roman" w:cs="Times New Roman"/>
          <w:sz w:val="24"/>
          <w:szCs w:val="24"/>
        </w:rPr>
        <w:t xml:space="preserve">s that of other citizens. </w:t>
      </w:r>
      <w:r w:rsidR="005A5703" w:rsidRPr="00190265">
        <w:rPr>
          <w:rFonts w:ascii="Times New Roman" w:hAnsi="Times New Roman" w:cs="Times New Roman"/>
          <w:sz w:val="24"/>
          <w:szCs w:val="24"/>
        </w:rPr>
        <w:t>On this view, r</w:t>
      </w:r>
      <w:r w:rsidR="00F84333" w:rsidRPr="00190265">
        <w:rPr>
          <w:rFonts w:ascii="Times New Roman" w:hAnsi="Times New Roman" w:cs="Times New Roman"/>
          <w:sz w:val="24"/>
          <w:szCs w:val="24"/>
        </w:rPr>
        <w:t>acial profiling policies targeted at</w:t>
      </w:r>
      <w:r w:rsidR="005A5703" w:rsidRPr="00190265">
        <w:rPr>
          <w:rFonts w:ascii="Times New Roman" w:hAnsi="Times New Roman" w:cs="Times New Roman"/>
          <w:sz w:val="24"/>
          <w:szCs w:val="24"/>
        </w:rPr>
        <w:t>, for example, black citizens</w:t>
      </w:r>
      <w:r w:rsidR="00F84333" w:rsidRPr="00190265">
        <w:rPr>
          <w:rFonts w:ascii="Times New Roman" w:hAnsi="Times New Roman" w:cs="Times New Roman"/>
          <w:sz w:val="24"/>
          <w:szCs w:val="24"/>
        </w:rPr>
        <w:t xml:space="preserve"> erode the publicly recognised value of </w:t>
      </w:r>
      <w:r w:rsidR="005A5703" w:rsidRPr="00190265">
        <w:rPr>
          <w:rFonts w:ascii="Times New Roman" w:hAnsi="Times New Roman" w:cs="Times New Roman"/>
          <w:sz w:val="24"/>
          <w:szCs w:val="24"/>
        </w:rPr>
        <w:t xml:space="preserve">their </w:t>
      </w:r>
      <w:r w:rsidR="00F84333" w:rsidRPr="00190265">
        <w:rPr>
          <w:rFonts w:ascii="Times New Roman" w:hAnsi="Times New Roman" w:cs="Times New Roman"/>
          <w:sz w:val="24"/>
          <w:szCs w:val="24"/>
        </w:rPr>
        <w:t>citizenship</w:t>
      </w:r>
      <w:r w:rsidR="005A5703" w:rsidRPr="00190265">
        <w:rPr>
          <w:rFonts w:ascii="Times New Roman" w:hAnsi="Times New Roman" w:cs="Times New Roman"/>
          <w:sz w:val="24"/>
          <w:szCs w:val="24"/>
        </w:rPr>
        <w:t xml:space="preserve">; there is a tension between black </w:t>
      </w:r>
      <w:r w:rsidR="00301B69" w:rsidRPr="00190265">
        <w:rPr>
          <w:rFonts w:ascii="Times New Roman" w:hAnsi="Times New Roman" w:cs="Times New Roman"/>
          <w:sz w:val="24"/>
          <w:szCs w:val="24"/>
        </w:rPr>
        <w:t>persons’</w:t>
      </w:r>
      <w:r w:rsidR="005A5703" w:rsidRPr="00190265">
        <w:rPr>
          <w:rFonts w:ascii="Times New Roman" w:hAnsi="Times New Roman" w:cs="Times New Roman"/>
          <w:sz w:val="24"/>
          <w:szCs w:val="24"/>
        </w:rPr>
        <w:t xml:space="preserve"> equal civic status and the invidious treatment to which they’re subject. I think this argument might </w:t>
      </w:r>
      <w:r w:rsidR="00FE1EE5" w:rsidRPr="00190265">
        <w:rPr>
          <w:rFonts w:ascii="Times New Roman" w:hAnsi="Times New Roman" w:cs="Times New Roman"/>
          <w:sz w:val="24"/>
          <w:szCs w:val="24"/>
        </w:rPr>
        <w:t xml:space="preserve">be </w:t>
      </w:r>
      <w:r w:rsidR="005A5703" w:rsidRPr="00190265">
        <w:rPr>
          <w:rFonts w:ascii="Times New Roman" w:hAnsi="Times New Roman" w:cs="Times New Roman"/>
          <w:sz w:val="24"/>
          <w:szCs w:val="24"/>
        </w:rPr>
        <w:t>extended to ground an argument for minority cultural rights, distinct from, though complementary to, the freedom argument sketched</w:t>
      </w:r>
      <w:r w:rsidR="00053400" w:rsidRPr="00190265">
        <w:rPr>
          <w:rFonts w:ascii="Times New Roman" w:hAnsi="Times New Roman" w:cs="Times New Roman"/>
          <w:sz w:val="24"/>
          <w:szCs w:val="24"/>
        </w:rPr>
        <w:t xml:space="preserve"> above</w:t>
      </w:r>
      <w:r w:rsidR="005A5703" w:rsidRPr="00190265">
        <w:rPr>
          <w:rFonts w:ascii="Times New Roman" w:hAnsi="Times New Roman" w:cs="Times New Roman"/>
          <w:sz w:val="24"/>
          <w:szCs w:val="24"/>
        </w:rPr>
        <w:t xml:space="preserve">. </w:t>
      </w:r>
      <w:r w:rsidR="00053400" w:rsidRPr="00190265">
        <w:rPr>
          <w:rFonts w:ascii="Times New Roman" w:hAnsi="Times New Roman" w:cs="Times New Roman"/>
          <w:sz w:val="24"/>
          <w:szCs w:val="24"/>
        </w:rPr>
        <w:t>On this view g</w:t>
      </w:r>
      <w:r w:rsidR="00B50006" w:rsidRPr="00190265">
        <w:rPr>
          <w:rFonts w:ascii="Times New Roman" w:hAnsi="Times New Roman" w:cs="Times New Roman"/>
          <w:sz w:val="24"/>
          <w:szCs w:val="24"/>
        </w:rPr>
        <w:t>roup-differentiated rights are a way of symbolically upgrading the public political value of citizenship for disadvan</w:t>
      </w:r>
      <w:r w:rsidR="005A5703" w:rsidRPr="00190265">
        <w:rPr>
          <w:rFonts w:ascii="Times New Roman" w:hAnsi="Times New Roman" w:cs="Times New Roman"/>
          <w:sz w:val="24"/>
          <w:szCs w:val="24"/>
        </w:rPr>
        <w:t xml:space="preserve">taged cultural </w:t>
      </w:r>
      <w:r w:rsidR="00B50006" w:rsidRPr="00190265">
        <w:rPr>
          <w:rFonts w:ascii="Times New Roman" w:hAnsi="Times New Roman" w:cs="Times New Roman"/>
          <w:sz w:val="24"/>
          <w:szCs w:val="24"/>
        </w:rPr>
        <w:t>and ethnic minorities.</w:t>
      </w:r>
      <w:r w:rsidR="005A5703" w:rsidRPr="00190265">
        <w:rPr>
          <w:rFonts w:ascii="Times New Roman" w:hAnsi="Times New Roman" w:cs="Times New Roman"/>
          <w:sz w:val="24"/>
          <w:szCs w:val="24"/>
        </w:rPr>
        <w:t xml:space="preserve"> Consider for example affirmative action policies, another </w:t>
      </w:r>
      <w:r w:rsidR="00982DED" w:rsidRPr="00190265">
        <w:rPr>
          <w:rFonts w:ascii="Times New Roman" w:hAnsi="Times New Roman" w:cs="Times New Roman"/>
          <w:sz w:val="24"/>
          <w:szCs w:val="24"/>
        </w:rPr>
        <w:t>issue Balint briefly mentions (p.140).</w:t>
      </w:r>
      <w:r w:rsidR="005A5703" w:rsidRPr="00190265">
        <w:rPr>
          <w:rFonts w:ascii="Times New Roman" w:hAnsi="Times New Roman" w:cs="Times New Roman"/>
          <w:sz w:val="24"/>
          <w:szCs w:val="24"/>
        </w:rPr>
        <w:t xml:space="preserve"> The most familiar argument for affirmative action appeals to the value of equality of opportuni</w:t>
      </w:r>
      <w:r w:rsidR="00FE1EE5" w:rsidRPr="00190265">
        <w:rPr>
          <w:rFonts w:ascii="Times New Roman" w:hAnsi="Times New Roman" w:cs="Times New Roman"/>
          <w:sz w:val="24"/>
          <w:szCs w:val="24"/>
        </w:rPr>
        <w:t>ty and removing</w:t>
      </w:r>
      <w:r w:rsidR="005A5703" w:rsidRPr="00190265">
        <w:rPr>
          <w:rFonts w:ascii="Times New Roman" w:hAnsi="Times New Roman" w:cs="Times New Roman"/>
          <w:sz w:val="24"/>
          <w:szCs w:val="24"/>
        </w:rPr>
        <w:t xml:space="preserve"> the social, economic and cultural obstacle</w:t>
      </w:r>
      <w:r w:rsidR="00982DED" w:rsidRPr="00190265">
        <w:rPr>
          <w:rFonts w:ascii="Times New Roman" w:hAnsi="Times New Roman" w:cs="Times New Roman"/>
          <w:sz w:val="24"/>
          <w:szCs w:val="24"/>
        </w:rPr>
        <w:t>s which stand</w:t>
      </w:r>
      <w:r w:rsidR="005A5703" w:rsidRPr="00190265">
        <w:rPr>
          <w:rFonts w:ascii="Times New Roman" w:hAnsi="Times New Roman" w:cs="Times New Roman"/>
          <w:sz w:val="24"/>
          <w:szCs w:val="24"/>
        </w:rPr>
        <w:t xml:space="preserve"> in </w:t>
      </w:r>
      <w:r w:rsidR="00FE1EE5" w:rsidRPr="00190265">
        <w:rPr>
          <w:rFonts w:ascii="Times New Roman" w:hAnsi="Times New Roman" w:cs="Times New Roman"/>
          <w:sz w:val="24"/>
          <w:szCs w:val="24"/>
        </w:rPr>
        <w:t>its</w:t>
      </w:r>
      <w:r w:rsidR="005A5703" w:rsidRPr="00190265">
        <w:rPr>
          <w:rFonts w:ascii="Times New Roman" w:hAnsi="Times New Roman" w:cs="Times New Roman"/>
          <w:sz w:val="24"/>
          <w:szCs w:val="24"/>
        </w:rPr>
        <w:t xml:space="preserve"> way </w:t>
      </w:r>
      <w:r w:rsidR="00FE1EE5" w:rsidRPr="00190265">
        <w:rPr>
          <w:rFonts w:ascii="Times New Roman" w:hAnsi="Times New Roman" w:cs="Times New Roman"/>
          <w:sz w:val="24"/>
          <w:szCs w:val="24"/>
        </w:rPr>
        <w:t>for citizens from disadvantaged backgrounds</w:t>
      </w:r>
      <w:r w:rsidR="00982DED" w:rsidRPr="00190265">
        <w:rPr>
          <w:rFonts w:ascii="Times New Roman" w:hAnsi="Times New Roman" w:cs="Times New Roman"/>
          <w:sz w:val="24"/>
          <w:szCs w:val="24"/>
        </w:rPr>
        <w:t>.  The citizenship argument has a slightly different logic.  It says that if minority citizens are represented in public (</w:t>
      </w:r>
      <w:r w:rsidR="004130D0">
        <w:rPr>
          <w:rFonts w:ascii="Times New Roman" w:hAnsi="Times New Roman" w:cs="Times New Roman"/>
          <w:sz w:val="24"/>
          <w:szCs w:val="24"/>
        </w:rPr>
        <w:t xml:space="preserve">and </w:t>
      </w:r>
      <w:r w:rsidR="00982DED" w:rsidRPr="00190265">
        <w:rPr>
          <w:rFonts w:ascii="Times New Roman" w:hAnsi="Times New Roman" w:cs="Times New Roman"/>
          <w:sz w:val="24"/>
          <w:szCs w:val="24"/>
        </w:rPr>
        <w:t xml:space="preserve">perhaps also private) institutions such as universities in much smaller proportion than their numbers in the population </w:t>
      </w:r>
      <w:r w:rsidR="00FE1EE5" w:rsidRPr="00190265">
        <w:rPr>
          <w:rFonts w:ascii="Times New Roman" w:hAnsi="Times New Roman" w:cs="Times New Roman"/>
          <w:sz w:val="24"/>
          <w:szCs w:val="24"/>
        </w:rPr>
        <w:t>warrant, then their citizenship</w:t>
      </w:r>
      <w:r w:rsidR="00982DED" w:rsidRPr="00190265">
        <w:rPr>
          <w:rFonts w:ascii="Times New Roman" w:hAnsi="Times New Roman" w:cs="Times New Roman"/>
          <w:sz w:val="24"/>
          <w:szCs w:val="24"/>
        </w:rPr>
        <w:t xml:space="preserve"> has a lesser public political value.  Affirmative action policies, by practically enabling larger numbers to attend university, </w:t>
      </w:r>
      <w:r w:rsidR="001E2A2D" w:rsidRPr="00190265">
        <w:rPr>
          <w:rFonts w:ascii="Times New Roman" w:hAnsi="Times New Roman" w:cs="Times New Roman"/>
          <w:sz w:val="24"/>
          <w:szCs w:val="24"/>
        </w:rPr>
        <w:t xml:space="preserve">would symbolically upgrade the value of their citizenship; they would </w:t>
      </w:r>
      <w:r w:rsidR="00AA3B01" w:rsidRPr="00190265">
        <w:rPr>
          <w:rFonts w:ascii="Times New Roman" w:hAnsi="Times New Roman" w:cs="Times New Roman"/>
          <w:sz w:val="24"/>
          <w:szCs w:val="24"/>
        </w:rPr>
        <w:t>affirm</w:t>
      </w:r>
      <w:r w:rsidR="001E2A2D" w:rsidRPr="00190265">
        <w:rPr>
          <w:rFonts w:ascii="Times New Roman" w:hAnsi="Times New Roman" w:cs="Times New Roman"/>
          <w:sz w:val="24"/>
          <w:szCs w:val="24"/>
        </w:rPr>
        <w:t xml:space="preserve"> its equal status </w:t>
      </w:r>
      <w:r w:rsidR="00053400" w:rsidRPr="00190265">
        <w:rPr>
          <w:rFonts w:ascii="Times New Roman" w:hAnsi="Times New Roman" w:cs="Times New Roman"/>
          <w:sz w:val="24"/>
          <w:szCs w:val="24"/>
        </w:rPr>
        <w:t>with</w:t>
      </w:r>
      <w:r w:rsidR="001E2A2D" w:rsidRPr="00190265">
        <w:rPr>
          <w:rFonts w:ascii="Times New Roman" w:hAnsi="Times New Roman" w:cs="Times New Roman"/>
          <w:sz w:val="24"/>
          <w:szCs w:val="24"/>
        </w:rPr>
        <w:t xml:space="preserve"> the majority’s. </w:t>
      </w:r>
      <w:r w:rsidR="00417D52" w:rsidRPr="00190265">
        <w:rPr>
          <w:rFonts w:ascii="Times New Roman" w:hAnsi="Times New Roman" w:cs="Times New Roman"/>
          <w:sz w:val="24"/>
          <w:szCs w:val="24"/>
        </w:rPr>
        <w:t xml:space="preserve">Increasing the numbers of minority citizens </w:t>
      </w:r>
      <w:r w:rsidR="00417D52" w:rsidRPr="00190265">
        <w:rPr>
          <w:rFonts w:ascii="Times New Roman" w:hAnsi="Times New Roman" w:cs="Times New Roman"/>
          <w:sz w:val="24"/>
          <w:szCs w:val="24"/>
        </w:rPr>
        <w:lastRenderedPageBreak/>
        <w:t>who attended university to what their representation</w:t>
      </w:r>
      <w:r w:rsidR="00AA3B01" w:rsidRPr="00190265">
        <w:rPr>
          <w:rFonts w:ascii="Times New Roman" w:hAnsi="Times New Roman" w:cs="Times New Roman"/>
          <w:sz w:val="24"/>
          <w:szCs w:val="24"/>
        </w:rPr>
        <w:t xml:space="preserve"> in the population </w:t>
      </w:r>
      <w:r w:rsidR="00FE1EE5" w:rsidRPr="00190265">
        <w:rPr>
          <w:rFonts w:ascii="Times New Roman" w:hAnsi="Times New Roman" w:cs="Times New Roman"/>
          <w:sz w:val="24"/>
          <w:szCs w:val="24"/>
        </w:rPr>
        <w:t xml:space="preserve">suggests </w:t>
      </w:r>
      <w:r w:rsidR="00AA3B01" w:rsidRPr="00190265">
        <w:rPr>
          <w:rFonts w:ascii="Times New Roman" w:hAnsi="Times New Roman" w:cs="Times New Roman"/>
          <w:sz w:val="24"/>
          <w:szCs w:val="24"/>
        </w:rPr>
        <w:t>would give them parity of p</w:t>
      </w:r>
      <w:r w:rsidR="00053400" w:rsidRPr="00190265">
        <w:rPr>
          <w:rFonts w:ascii="Times New Roman" w:hAnsi="Times New Roman" w:cs="Times New Roman"/>
          <w:sz w:val="24"/>
          <w:szCs w:val="24"/>
        </w:rPr>
        <w:t>ublic recognition.  A</w:t>
      </w:r>
      <w:r w:rsidR="00AA3B01" w:rsidRPr="00190265">
        <w:rPr>
          <w:rFonts w:ascii="Times New Roman" w:hAnsi="Times New Roman" w:cs="Times New Roman"/>
          <w:sz w:val="24"/>
          <w:szCs w:val="24"/>
        </w:rPr>
        <w:t xml:space="preserve">gain, </w:t>
      </w:r>
      <w:r w:rsidR="00053400" w:rsidRPr="00190265">
        <w:rPr>
          <w:rFonts w:ascii="Times New Roman" w:hAnsi="Times New Roman" w:cs="Times New Roman"/>
          <w:sz w:val="24"/>
          <w:szCs w:val="24"/>
        </w:rPr>
        <w:t xml:space="preserve">this </w:t>
      </w:r>
      <w:r w:rsidR="00AA3B01" w:rsidRPr="00190265">
        <w:rPr>
          <w:rFonts w:ascii="Times New Roman" w:hAnsi="Times New Roman" w:cs="Times New Roman"/>
          <w:sz w:val="24"/>
          <w:szCs w:val="24"/>
        </w:rPr>
        <w:t xml:space="preserve">is </w:t>
      </w:r>
      <w:r w:rsidR="004B2D1B" w:rsidRPr="00190265">
        <w:rPr>
          <w:rFonts w:ascii="Times New Roman" w:hAnsi="Times New Roman" w:cs="Times New Roman"/>
          <w:sz w:val="24"/>
          <w:szCs w:val="24"/>
        </w:rPr>
        <w:t xml:space="preserve">an instance of </w:t>
      </w:r>
      <w:r w:rsidR="00AA3B01" w:rsidRPr="00190265">
        <w:rPr>
          <w:rFonts w:ascii="Times New Roman" w:hAnsi="Times New Roman" w:cs="Times New Roman"/>
          <w:sz w:val="24"/>
          <w:szCs w:val="24"/>
        </w:rPr>
        <w:t>levelling up.</w:t>
      </w:r>
    </w:p>
    <w:p w:rsidR="006F7A6F" w:rsidRPr="00190265" w:rsidRDefault="00AA3B01"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w:t>
      </w:r>
      <w:r w:rsidR="00C40B53" w:rsidRPr="00190265">
        <w:rPr>
          <w:rFonts w:ascii="Times New Roman" w:hAnsi="Times New Roman" w:cs="Times New Roman"/>
          <w:sz w:val="24"/>
          <w:szCs w:val="24"/>
        </w:rPr>
        <w:t xml:space="preserve">4). </w:t>
      </w:r>
      <w:r w:rsidRPr="00190265">
        <w:rPr>
          <w:rFonts w:ascii="Times New Roman" w:hAnsi="Times New Roman" w:cs="Times New Roman"/>
          <w:sz w:val="24"/>
          <w:szCs w:val="24"/>
        </w:rPr>
        <w:t xml:space="preserve">Finally, we come to religion and encounter once again Balint’s general scepticism </w:t>
      </w:r>
      <w:r w:rsidR="00053400" w:rsidRPr="00190265">
        <w:rPr>
          <w:rFonts w:ascii="Times New Roman" w:hAnsi="Times New Roman" w:cs="Times New Roman"/>
          <w:sz w:val="24"/>
          <w:szCs w:val="24"/>
        </w:rPr>
        <w:t>towards</w:t>
      </w:r>
      <w:r w:rsidRPr="00190265">
        <w:rPr>
          <w:rFonts w:ascii="Times New Roman" w:hAnsi="Times New Roman" w:cs="Times New Roman"/>
          <w:sz w:val="24"/>
          <w:szCs w:val="24"/>
        </w:rPr>
        <w:t xml:space="preserve"> measure</w:t>
      </w:r>
      <w:r w:rsidR="00053400" w:rsidRPr="00190265">
        <w:rPr>
          <w:rFonts w:ascii="Times New Roman" w:hAnsi="Times New Roman" w:cs="Times New Roman"/>
          <w:sz w:val="24"/>
          <w:szCs w:val="24"/>
        </w:rPr>
        <w:t>s</w:t>
      </w:r>
      <w:r w:rsidRPr="00190265">
        <w:rPr>
          <w:rFonts w:ascii="Times New Roman" w:hAnsi="Times New Roman" w:cs="Times New Roman"/>
          <w:sz w:val="24"/>
          <w:szCs w:val="24"/>
        </w:rPr>
        <w:t xml:space="preserve"> which would accommodate the specific beliefs of religious groups whose conscientious convictions bring them into conflict with </w:t>
      </w:r>
      <w:r w:rsidR="00053400" w:rsidRPr="00190265">
        <w:rPr>
          <w:rFonts w:ascii="Times New Roman" w:hAnsi="Times New Roman" w:cs="Times New Roman"/>
          <w:sz w:val="24"/>
          <w:szCs w:val="24"/>
        </w:rPr>
        <w:t>exceptionless</w:t>
      </w:r>
      <w:r w:rsidRPr="00190265">
        <w:rPr>
          <w:rFonts w:ascii="Times New Roman" w:hAnsi="Times New Roman" w:cs="Times New Roman"/>
          <w:sz w:val="24"/>
          <w:szCs w:val="24"/>
        </w:rPr>
        <w:t xml:space="preserve"> laws, rules and regulations.  A number of examples are discussed in the book: the Sikh boy unable to wear his turban at school (p.119); a female Muslim lifeguard who want</w:t>
      </w:r>
      <w:r w:rsidR="004130D0">
        <w:rPr>
          <w:rFonts w:ascii="Times New Roman" w:hAnsi="Times New Roman" w:cs="Times New Roman"/>
          <w:sz w:val="24"/>
          <w:szCs w:val="24"/>
        </w:rPr>
        <w:t>s</w:t>
      </w:r>
      <w:r w:rsidRPr="00190265">
        <w:rPr>
          <w:rFonts w:ascii="Times New Roman" w:hAnsi="Times New Roman" w:cs="Times New Roman"/>
          <w:sz w:val="24"/>
          <w:szCs w:val="24"/>
        </w:rPr>
        <w:t xml:space="preserve"> to wear a burkini (p.67) the Muslim cricketer reluctant to wear an armband sponsorship for a brewery (p.69); the Christian registrar who could not in good conscience officiate at a same-sex civil partnership ceremony (pp.110-1); </w:t>
      </w:r>
      <w:r w:rsidR="00414713" w:rsidRPr="00190265">
        <w:rPr>
          <w:rFonts w:ascii="Times New Roman" w:hAnsi="Times New Roman" w:cs="Times New Roman"/>
          <w:sz w:val="24"/>
          <w:szCs w:val="24"/>
        </w:rPr>
        <w:t>members of various religions who for different reasons don’t wish to show their face on the photograph for their</w:t>
      </w:r>
      <w:r w:rsidRPr="00190265">
        <w:rPr>
          <w:rFonts w:ascii="Times New Roman" w:hAnsi="Times New Roman" w:cs="Times New Roman"/>
          <w:sz w:val="24"/>
          <w:szCs w:val="24"/>
        </w:rPr>
        <w:t xml:space="preserve"> dri</w:t>
      </w:r>
      <w:r w:rsidR="00414713" w:rsidRPr="00190265">
        <w:rPr>
          <w:rFonts w:ascii="Times New Roman" w:hAnsi="Times New Roman" w:cs="Times New Roman"/>
          <w:sz w:val="24"/>
          <w:szCs w:val="24"/>
        </w:rPr>
        <w:t xml:space="preserve">ver’s licence </w:t>
      </w:r>
      <w:r w:rsidRPr="00190265">
        <w:rPr>
          <w:rFonts w:ascii="Times New Roman" w:hAnsi="Times New Roman" w:cs="Times New Roman"/>
          <w:sz w:val="24"/>
          <w:szCs w:val="24"/>
        </w:rPr>
        <w:t>(pp.135-5)</w:t>
      </w:r>
      <w:r w:rsidR="00414713" w:rsidRPr="00190265">
        <w:rPr>
          <w:rFonts w:ascii="Times New Roman" w:hAnsi="Times New Roman" w:cs="Times New Roman"/>
          <w:sz w:val="24"/>
          <w:szCs w:val="24"/>
        </w:rPr>
        <w:t>. Balint’s position here is similar to Brian Barry’s on the issue: either there are compelling reasons for the law or rule, in which case it</w:t>
      </w:r>
      <w:r w:rsidR="00C40B53" w:rsidRPr="00190265">
        <w:rPr>
          <w:rFonts w:ascii="Times New Roman" w:hAnsi="Times New Roman" w:cs="Times New Roman"/>
          <w:sz w:val="24"/>
          <w:szCs w:val="24"/>
        </w:rPr>
        <w:t xml:space="preserve"> should apply</w:t>
      </w:r>
      <w:r w:rsidR="00414713" w:rsidRPr="00190265">
        <w:rPr>
          <w:rFonts w:ascii="Times New Roman" w:hAnsi="Times New Roman" w:cs="Times New Roman"/>
          <w:sz w:val="24"/>
          <w:szCs w:val="24"/>
        </w:rPr>
        <w:t xml:space="preserve"> to all </w:t>
      </w:r>
      <w:r w:rsidR="00C40B53" w:rsidRPr="00190265">
        <w:rPr>
          <w:rFonts w:ascii="Times New Roman" w:hAnsi="Times New Roman" w:cs="Times New Roman"/>
          <w:sz w:val="24"/>
          <w:szCs w:val="24"/>
        </w:rPr>
        <w:t>without exception (for instance Sik</w:t>
      </w:r>
      <w:r w:rsidR="00414713" w:rsidRPr="00190265">
        <w:rPr>
          <w:rFonts w:ascii="Times New Roman" w:hAnsi="Times New Roman" w:cs="Times New Roman"/>
          <w:sz w:val="24"/>
          <w:szCs w:val="24"/>
        </w:rPr>
        <w:t xml:space="preserve">h men have </w:t>
      </w:r>
      <w:r w:rsidR="00C40B53" w:rsidRPr="00190265">
        <w:rPr>
          <w:rFonts w:ascii="Times New Roman" w:hAnsi="Times New Roman" w:cs="Times New Roman"/>
          <w:sz w:val="24"/>
          <w:szCs w:val="24"/>
        </w:rPr>
        <w:t>the same</w:t>
      </w:r>
      <w:r w:rsidR="00414713" w:rsidRPr="00190265">
        <w:rPr>
          <w:rFonts w:ascii="Times New Roman" w:hAnsi="Times New Roman" w:cs="Times New Roman"/>
          <w:sz w:val="24"/>
          <w:szCs w:val="24"/>
        </w:rPr>
        <w:t xml:space="preserve"> interest </w:t>
      </w:r>
      <w:r w:rsidR="00C40B53" w:rsidRPr="00190265">
        <w:rPr>
          <w:rFonts w:ascii="Times New Roman" w:hAnsi="Times New Roman" w:cs="Times New Roman"/>
          <w:sz w:val="24"/>
          <w:szCs w:val="24"/>
        </w:rPr>
        <w:t xml:space="preserve">as others </w:t>
      </w:r>
      <w:r w:rsidR="00414713" w:rsidRPr="00190265">
        <w:rPr>
          <w:rFonts w:ascii="Times New Roman" w:hAnsi="Times New Roman" w:cs="Times New Roman"/>
          <w:sz w:val="24"/>
          <w:szCs w:val="24"/>
        </w:rPr>
        <w:t xml:space="preserve">in avoiding </w:t>
      </w:r>
      <w:r w:rsidR="00C40B53" w:rsidRPr="00190265">
        <w:rPr>
          <w:rFonts w:ascii="Times New Roman" w:hAnsi="Times New Roman" w:cs="Times New Roman"/>
          <w:sz w:val="24"/>
          <w:szCs w:val="24"/>
        </w:rPr>
        <w:t xml:space="preserve">head injuries, however reluctant they are to wear a motorcycle helmets) or the reasons aren’t so strong after all in which case we should dispense with having a rule in </w:t>
      </w:r>
      <w:r w:rsidR="003C28A5" w:rsidRPr="00190265">
        <w:rPr>
          <w:rFonts w:ascii="Times New Roman" w:hAnsi="Times New Roman" w:cs="Times New Roman"/>
          <w:sz w:val="24"/>
          <w:szCs w:val="24"/>
        </w:rPr>
        <w:t>the first place (Barry 2001, pp</w:t>
      </w:r>
      <w:r w:rsidR="00C34DB6">
        <w:rPr>
          <w:rFonts w:ascii="Times New Roman" w:hAnsi="Times New Roman" w:cs="Times New Roman"/>
          <w:sz w:val="24"/>
          <w:szCs w:val="24"/>
        </w:rPr>
        <w:t>.</w:t>
      </w:r>
      <w:r w:rsidR="003C28A5" w:rsidRPr="00190265">
        <w:rPr>
          <w:rFonts w:ascii="Times New Roman" w:hAnsi="Times New Roman" w:cs="Times New Roman"/>
          <w:sz w:val="24"/>
          <w:szCs w:val="24"/>
        </w:rPr>
        <w:t>44-50</w:t>
      </w:r>
      <w:r w:rsidR="00C40B53" w:rsidRPr="00190265">
        <w:rPr>
          <w:rFonts w:ascii="Times New Roman" w:hAnsi="Times New Roman" w:cs="Times New Roman"/>
          <w:sz w:val="24"/>
          <w:szCs w:val="24"/>
        </w:rPr>
        <w:t xml:space="preserve">). </w:t>
      </w:r>
      <w:r w:rsidR="00DF7981" w:rsidRPr="00190265">
        <w:rPr>
          <w:rFonts w:ascii="Times New Roman" w:hAnsi="Times New Roman" w:cs="Times New Roman"/>
          <w:sz w:val="24"/>
          <w:szCs w:val="24"/>
        </w:rPr>
        <w:t>For example, Balint wonders whether all women, not just Muslims, might b</w:t>
      </w:r>
      <w:r w:rsidR="00343A25" w:rsidRPr="00190265">
        <w:rPr>
          <w:rFonts w:ascii="Times New Roman" w:hAnsi="Times New Roman" w:cs="Times New Roman"/>
          <w:sz w:val="24"/>
          <w:szCs w:val="24"/>
        </w:rPr>
        <w:t>e permitted to wear</w:t>
      </w:r>
      <w:r w:rsidR="00301B69" w:rsidRPr="00190265">
        <w:rPr>
          <w:rFonts w:ascii="Times New Roman" w:hAnsi="Times New Roman" w:cs="Times New Roman"/>
          <w:sz w:val="24"/>
          <w:szCs w:val="24"/>
        </w:rPr>
        <w:t xml:space="preserve"> a burkini </w:t>
      </w:r>
      <w:r w:rsidR="003C28A5" w:rsidRPr="00190265">
        <w:rPr>
          <w:rFonts w:ascii="Times New Roman" w:hAnsi="Times New Roman" w:cs="Times New Roman"/>
          <w:sz w:val="24"/>
          <w:szCs w:val="24"/>
        </w:rPr>
        <w:t>(and one might add: if all women, why not men too?)</w:t>
      </w:r>
      <w:r w:rsidR="00343A25" w:rsidRPr="00190265">
        <w:rPr>
          <w:rFonts w:ascii="Times New Roman" w:hAnsi="Times New Roman" w:cs="Times New Roman"/>
          <w:sz w:val="24"/>
          <w:szCs w:val="24"/>
        </w:rPr>
        <w:t xml:space="preserve">. This seems reasonable, </w:t>
      </w:r>
      <w:r w:rsidR="006F7A6F" w:rsidRPr="00190265">
        <w:rPr>
          <w:rFonts w:ascii="Times New Roman" w:hAnsi="Times New Roman" w:cs="Times New Roman"/>
          <w:sz w:val="24"/>
          <w:szCs w:val="24"/>
        </w:rPr>
        <w:t>but I think there are instances where there are good reasons for a general rule (for example, no hats at school), but also reasons for exceptions (Sikh turbans, Muslim headscarves and Jewish kippah permitted). Balint writes that ‘there is no reason in themselves [sic] to favour making space for conscientious beliefs over preferences when a law, institution or policy unjustifiably does not permit certain actions’ (p.73).</w:t>
      </w:r>
      <w:r w:rsidR="005E5D11" w:rsidRPr="00190265">
        <w:rPr>
          <w:rFonts w:ascii="Times New Roman" w:hAnsi="Times New Roman" w:cs="Times New Roman"/>
          <w:sz w:val="24"/>
          <w:szCs w:val="24"/>
        </w:rPr>
        <w:t xml:space="preserve"> A</w:t>
      </w:r>
      <w:r w:rsidR="006F7A6F" w:rsidRPr="00190265">
        <w:rPr>
          <w:rFonts w:ascii="Times New Roman" w:hAnsi="Times New Roman" w:cs="Times New Roman"/>
          <w:sz w:val="24"/>
          <w:szCs w:val="24"/>
        </w:rPr>
        <w:t xml:space="preserve"> reluctance to distinguish between mere preferences a</w:t>
      </w:r>
      <w:r w:rsidR="00FE1EE5" w:rsidRPr="00190265">
        <w:rPr>
          <w:rFonts w:ascii="Times New Roman" w:hAnsi="Times New Roman" w:cs="Times New Roman"/>
          <w:sz w:val="24"/>
          <w:szCs w:val="24"/>
        </w:rPr>
        <w:t>nd deeper</w:t>
      </w:r>
      <w:r w:rsidR="006F7A6F" w:rsidRPr="00190265">
        <w:rPr>
          <w:rFonts w:ascii="Times New Roman" w:hAnsi="Times New Roman" w:cs="Times New Roman"/>
          <w:sz w:val="24"/>
          <w:szCs w:val="24"/>
        </w:rPr>
        <w:t xml:space="preserve"> commitments is a theme throughout the book (</w:t>
      </w:r>
      <w:r w:rsidR="00301B69" w:rsidRPr="00190265">
        <w:rPr>
          <w:rFonts w:ascii="Times New Roman" w:hAnsi="Times New Roman" w:cs="Times New Roman"/>
          <w:sz w:val="24"/>
          <w:szCs w:val="24"/>
        </w:rPr>
        <w:t xml:space="preserve">see </w:t>
      </w:r>
      <w:r w:rsidR="006F7A6F" w:rsidRPr="00190265">
        <w:rPr>
          <w:rFonts w:ascii="Times New Roman" w:hAnsi="Times New Roman" w:cs="Times New Roman"/>
          <w:sz w:val="24"/>
          <w:szCs w:val="24"/>
        </w:rPr>
        <w:t>especially, pp.72-5).</w:t>
      </w:r>
      <w:r w:rsidR="00A35A3F" w:rsidRPr="00190265">
        <w:rPr>
          <w:rFonts w:ascii="Times New Roman" w:hAnsi="Times New Roman" w:cs="Times New Roman"/>
          <w:sz w:val="24"/>
          <w:szCs w:val="24"/>
        </w:rPr>
        <w:t xml:space="preserve"> However, i</w:t>
      </w:r>
      <w:r w:rsidR="008B2C61" w:rsidRPr="00190265">
        <w:rPr>
          <w:rFonts w:ascii="Times New Roman" w:hAnsi="Times New Roman" w:cs="Times New Roman"/>
          <w:sz w:val="24"/>
          <w:szCs w:val="24"/>
        </w:rPr>
        <w:t xml:space="preserve">f we are to defend the rule-plus-exemption approach </w:t>
      </w:r>
      <w:r w:rsidR="00A35A3F" w:rsidRPr="00190265">
        <w:rPr>
          <w:rFonts w:ascii="Times New Roman" w:hAnsi="Times New Roman" w:cs="Times New Roman"/>
          <w:sz w:val="24"/>
          <w:szCs w:val="24"/>
        </w:rPr>
        <w:t xml:space="preserve">then, </w:t>
      </w:r>
      <w:r w:rsidR="008B2C61" w:rsidRPr="00190265">
        <w:rPr>
          <w:rFonts w:ascii="Times New Roman" w:hAnsi="Times New Roman" w:cs="Times New Roman"/>
          <w:sz w:val="24"/>
          <w:szCs w:val="24"/>
        </w:rPr>
        <w:t>that is a distinction we need to make</w:t>
      </w:r>
      <w:r w:rsidR="00A35A3F" w:rsidRPr="00190265">
        <w:rPr>
          <w:rFonts w:ascii="Times New Roman" w:hAnsi="Times New Roman" w:cs="Times New Roman"/>
          <w:sz w:val="24"/>
          <w:szCs w:val="24"/>
        </w:rPr>
        <w:t>.</w:t>
      </w:r>
      <w:r w:rsidR="00DF697A">
        <w:rPr>
          <w:rFonts w:ascii="Times New Roman" w:hAnsi="Times New Roman" w:cs="Times New Roman"/>
          <w:sz w:val="24"/>
          <w:szCs w:val="24"/>
        </w:rPr>
        <w:t xml:space="preserve"> (Of course, Balint could simply say here that we shouldn’t defend the rule and exemption approach). </w:t>
      </w:r>
      <w:r w:rsidR="00995944" w:rsidRPr="00190265">
        <w:rPr>
          <w:rFonts w:ascii="Times New Roman" w:hAnsi="Times New Roman" w:cs="Times New Roman"/>
          <w:sz w:val="24"/>
          <w:szCs w:val="24"/>
        </w:rPr>
        <w:t xml:space="preserve"> </w:t>
      </w:r>
      <w:r w:rsidR="00343A25" w:rsidRPr="00190265">
        <w:rPr>
          <w:rFonts w:ascii="Times New Roman" w:hAnsi="Times New Roman" w:cs="Times New Roman"/>
          <w:sz w:val="24"/>
          <w:szCs w:val="24"/>
        </w:rPr>
        <w:t>In the case of legal accommodation</w:t>
      </w:r>
      <w:r w:rsidR="00366423" w:rsidRPr="00190265">
        <w:rPr>
          <w:rFonts w:ascii="Times New Roman" w:hAnsi="Times New Roman" w:cs="Times New Roman"/>
          <w:sz w:val="24"/>
          <w:szCs w:val="24"/>
        </w:rPr>
        <w:t>,</w:t>
      </w:r>
      <w:r w:rsidR="00343A25" w:rsidRPr="00190265">
        <w:rPr>
          <w:rFonts w:ascii="Times New Roman" w:hAnsi="Times New Roman" w:cs="Times New Roman"/>
          <w:sz w:val="24"/>
          <w:szCs w:val="24"/>
        </w:rPr>
        <w:t xml:space="preserve"> a number of authors have</w:t>
      </w:r>
      <w:r w:rsidR="00A35A3F" w:rsidRPr="00190265">
        <w:rPr>
          <w:rFonts w:ascii="Times New Roman" w:hAnsi="Times New Roman" w:cs="Times New Roman"/>
          <w:sz w:val="24"/>
          <w:szCs w:val="24"/>
        </w:rPr>
        <w:t xml:space="preserve"> seen religious commitments as reflecting an interest in moral integrity, a non-partisan value (equally available to the non-religious) which speaks to our interests in</w:t>
      </w:r>
      <w:r w:rsidR="00343A25" w:rsidRPr="00190265">
        <w:rPr>
          <w:rFonts w:ascii="Times New Roman" w:hAnsi="Times New Roman" w:cs="Times New Roman"/>
          <w:sz w:val="24"/>
          <w:szCs w:val="24"/>
        </w:rPr>
        <w:t xml:space="preserve"> manifest</w:t>
      </w:r>
      <w:r w:rsidR="00A35A3F" w:rsidRPr="00190265">
        <w:rPr>
          <w:rFonts w:ascii="Times New Roman" w:hAnsi="Times New Roman" w:cs="Times New Roman"/>
          <w:sz w:val="24"/>
          <w:szCs w:val="24"/>
        </w:rPr>
        <w:t>ing our convictions</w:t>
      </w:r>
      <w:r w:rsidR="00343A25" w:rsidRPr="00190265">
        <w:rPr>
          <w:rFonts w:ascii="Times New Roman" w:hAnsi="Times New Roman" w:cs="Times New Roman"/>
          <w:sz w:val="24"/>
          <w:szCs w:val="24"/>
        </w:rPr>
        <w:t>, so that there is not a fracture between though</w:t>
      </w:r>
      <w:r w:rsidR="00A35A3F" w:rsidRPr="00190265">
        <w:rPr>
          <w:rFonts w:ascii="Times New Roman" w:hAnsi="Times New Roman" w:cs="Times New Roman"/>
          <w:sz w:val="24"/>
          <w:szCs w:val="24"/>
        </w:rPr>
        <w:t>t</w:t>
      </w:r>
      <w:r w:rsidR="00343A25" w:rsidRPr="00190265">
        <w:rPr>
          <w:rFonts w:ascii="Times New Roman" w:hAnsi="Times New Roman" w:cs="Times New Roman"/>
          <w:sz w:val="24"/>
          <w:szCs w:val="24"/>
        </w:rPr>
        <w:t xml:space="preserve"> and a</w:t>
      </w:r>
      <w:r w:rsidR="00A35A3F" w:rsidRPr="00190265">
        <w:rPr>
          <w:rFonts w:ascii="Times New Roman" w:hAnsi="Times New Roman" w:cs="Times New Roman"/>
          <w:sz w:val="24"/>
          <w:szCs w:val="24"/>
        </w:rPr>
        <w:t>ction (Seglow, 2017; Laborde, 2</w:t>
      </w:r>
      <w:r w:rsidR="003C28A5" w:rsidRPr="00190265">
        <w:rPr>
          <w:rFonts w:ascii="Times New Roman" w:hAnsi="Times New Roman" w:cs="Times New Roman"/>
          <w:sz w:val="24"/>
          <w:szCs w:val="24"/>
        </w:rPr>
        <w:t>017</w:t>
      </w:r>
      <w:r w:rsidR="00343A25" w:rsidRPr="00190265">
        <w:rPr>
          <w:rFonts w:ascii="Times New Roman" w:hAnsi="Times New Roman" w:cs="Times New Roman"/>
          <w:sz w:val="24"/>
          <w:szCs w:val="24"/>
        </w:rPr>
        <w:t xml:space="preserve">).  There are two different ways this integrity-based argument can go.  One of them appeals to the individual right to freedom of conscience, and says that, for example, the Sikh boy unable to wear his turban at school </w:t>
      </w:r>
      <w:r w:rsidR="002A0D6D" w:rsidRPr="00190265">
        <w:rPr>
          <w:rFonts w:ascii="Times New Roman" w:hAnsi="Times New Roman" w:cs="Times New Roman"/>
          <w:sz w:val="24"/>
          <w:szCs w:val="24"/>
        </w:rPr>
        <w:t>has his integrity set back</w:t>
      </w:r>
      <w:r w:rsidR="00DF697A">
        <w:rPr>
          <w:rFonts w:ascii="Times New Roman" w:hAnsi="Times New Roman" w:cs="Times New Roman"/>
          <w:sz w:val="24"/>
          <w:szCs w:val="24"/>
        </w:rPr>
        <w:t xml:space="preserve">: he is no longer able to </w:t>
      </w:r>
      <w:r w:rsidR="00DF697A">
        <w:rPr>
          <w:rFonts w:ascii="Times New Roman" w:hAnsi="Times New Roman" w:cs="Times New Roman"/>
          <w:sz w:val="24"/>
          <w:szCs w:val="24"/>
        </w:rPr>
        <w:lastRenderedPageBreak/>
        <w:t>live by his religious convictions if he remains at the school where the turban is banned</w:t>
      </w:r>
      <w:r w:rsidR="002A0D6D" w:rsidRPr="00190265">
        <w:rPr>
          <w:rFonts w:ascii="Times New Roman" w:hAnsi="Times New Roman" w:cs="Times New Roman"/>
          <w:sz w:val="24"/>
          <w:szCs w:val="24"/>
        </w:rPr>
        <w:t xml:space="preserve">. </w:t>
      </w:r>
      <w:r w:rsidR="00301B69" w:rsidRPr="00190265">
        <w:rPr>
          <w:rFonts w:ascii="Times New Roman" w:hAnsi="Times New Roman" w:cs="Times New Roman"/>
          <w:sz w:val="24"/>
          <w:szCs w:val="24"/>
        </w:rPr>
        <w:t xml:space="preserve">This argument </w:t>
      </w:r>
      <w:r w:rsidR="00366423" w:rsidRPr="00190265">
        <w:rPr>
          <w:rFonts w:ascii="Times New Roman" w:hAnsi="Times New Roman" w:cs="Times New Roman"/>
          <w:sz w:val="24"/>
          <w:szCs w:val="24"/>
        </w:rPr>
        <w:t xml:space="preserve">has a structural similarity with Patten’s freedom-based argument for minority cultural rights in the case of identity-conferring commitments. </w:t>
      </w:r>
      <w:r w:rsidR="002A0D6D" w:rsidRPr="00190265">
        <w:rPr>
          <w:rFonts w:ascii="Times New Roman" w:hAnsi="Times New Roman" w:cs="Times New Roman"/>
          <w:sz w:val="24"/>
          <w:szCs w:val="24"/>
        </w:rPr>
        <w:t xml:space="preserve"> The other </w:t>
      </w:r>
      <w:r w:rsidR="00366423" w:rsidRPr="00190265">
        <w:rPr>
          <w:rFonts w:ascii="Times New Roman" w:hAnsi="Times New Roman" w:cs="Times New Roman"/>
          <w:sz w:val="24"/>
          <w:szCs w:val="24"/>
        </w:rPr>
        <w:t xml:space="preserve">way </w:t>
      </w:r>
      <w:r w:rsidR="002A0D6D" w:rsidRPr="00190265">
        <w:rPr>
          <w:rFonts w:ascii="Times New Roman" w:hAnsi="Times New Roman" w:cs="Times New Roman"/>
          <w:sz w:val="24"/>
          <w:szCs w:val="24"/>
        </w:rPr>
        <w:t>appeals to the comparative justice of non-discrimination and it claims that the Sikh boy is treated unjustifia</w:t>
      </w:r>
      <w:r w:rsidR="008A5A2B" w:rsidRPr="00190265">
        <w:rPr>
          <w:rFonts w:ascii="Times New Roman" w:hAnsi="Times New Roman" w:cs="Times New Roman"/>
          <w:sz w:val="24"/>
          <w:szCs w:val="24"/>
        </w:rPr>
        <w:t>bly worse than other children if</w:t>
      </w:r>
      <w:r w:rsidR="002A0D6D" w:rsidRPr="00190265">
        <w:rPr>
          <w:rFonts w:ascii="Times New Roman" w:hAnsi="Times New Roman" w:cs="Times New Roman"/>
          <w:sz w:val="24"/>
          <w:szCs w:val="24"/>
        </w:rPr>
        <w:t xml:space="preserve"> he</w:t>
      </w:r>
      <w:r w:rsidR="008A5A2B" w:rsidRPr="00190265">
        <w:rPr>
          <w:rFonts w:ascii="Times New Roman" w:hAnsi="Times New Roman" w:cs="Times New Roman"/>
          <w:sz w:val="24"/>
          <w:szCs w:val="24"/>
        </w:rPr>
        <w:t xml:space="preserve"> is</w:t>
      </w:r>
      <w:r w:rsidR="002A0D6D" w:rsidRPr="00190265">
        <w:rPr>
          <w:rFonts w:ascii="Times New Roman" w:hAnsi="Times New Roman" w:cs="Times New Roman"/>
          <w:sz w:val="24"/>
          <w:szCs w:val="24"/>
        </w:rPr>
        <w:t xml:space="preserve"> unable to manifest his religious commitments at school than non-religious children or for instance Christian children whose preference for Sunday worship will likely be accommodated at boarding school.</w:t>
      </w:r>
      <w:r w:rsidR="008A5A2B" w:rsidRPr="00190265">
        <w:rPr>
          <w:rFonts w:ascii="Times New Roman" w:hAnsi="Times New Roman" w:cs="Times New Roman"/>
          <w:sz w:val="24"/>
          <w:szCs w:val="24"/>
        </w:rPr>
        <w:t xml:space="preserve"> But i</w:t>
      </w:r>
      <w:r w:rsidR="008A2821" w:rsidRPr="00190265">
        <w:rPr>
          <w:rFonts w:ascii="Times New Roman" w:hAnsi="Times New Roman" w:cs="Times New Roman"/>
          <w:sz w:val="24"/>
          <w:szCs w:val="24"/>
        </w:rPr>
        <w:t xml:space="preserve">n </w:t>
      </w:r>
      <w:r w:rsidR="008A5A2B" w:rsidRPr="00190265">
        <w:rPr>
          <w:rFonts w:ascii="Times New Roman" w:hAnsi="Times New Roman" w:cs="Times New Roman"/>
          <w:sz w:val="24"/>
          <w:szCs w:val="24"/>
        </w:rPr>
        <w:t>neither</w:t>
      </w:r>
      <w:r w:rsidR="008A2821" w:rsidRPr="00190265">
        <w:rPr>
          <w:rFonts w:ascii="Times New Roman" w:hAnsi="Times New Roman" w:cs="Times New Roman"/>
          <w:sz w:val="24"/>
          <w:szCs w:val="24"/>
        </w:rPr>
        <w:t xml:space="preserve"> case</w:t>
      </w:r>
      <w:r w:rsidR="008A5A2B" w:rsidRPr="00190265">
        <w:rPr>
          <w:rFonts w:ascii="Times New Roman" w:hAnsi="Times New Roman" w:cs="Times New Roman"/>
          <w:sz w:val="24"/>
          <w:szCs w:val="24"/>
        </w:rPr>
        <w:t xml:space="preserve"> does </w:t>
      </w:r>
      <w:r w:rsidR="008A2821" w:rsidRPr="00190265">
        <w:rPr>
          <w:rFonts w:ascii="Times New Roman" w:hAnsi="Times New Roman" w:cs="Times New Roman"/>
          <w:sz w:val="24"/>
          <w:szCs w:val="24"/>
        </w:rPr>
        <w:t>the integrity argument</w:t>
      </w:r>
      <w:r w:rsidR="008A5A2B" w:rsidRPr="00190265">
        <w:rPr>
          <w:rFonts w:ascii="Times New Roman" w:hAnsi="Times New Roman" w:cs="Times New Roman"/>
          <w:sz w:val="24"/>
          <w:szCs w:val="24"/>
        </w:rPr>
        <w:t xml:space="preserve"> necessarily</w:t>
      </w:r>
      <w:r w:rsidR="008A2821" w:rsidRPr="00190265">
        <w:rPr>
          <w:rFonts w:ascii="Times New Roman" w:hAnsi="Times New Roman" w:cs="Times New Roman"/>
          <w:sz w:val="24"/>
          <w:szCs w:val="24"/>
        </w:rPr>
        <w:t xml:space="preserve"> </w:t>
      </w:r>
      <w:r w:rsidR="008A5A2B" w:rsidRPr="00190265">
        <w:rPr>
          <w:rFonts w:ascii="Times New Roman" w:hAnsi="Times New Roman" w:cs="Times New Roman"/>
          <w:sz w:val="24"/>
          <w:szCs w:val="24"/>
        </w:rPr>
        <w:t>over-ride other considerations</w:t>
      </w:r>
      <w:r w:rsidR="008A2821" w:rsidRPr="00190265">
        <w:rPr>
          <w:rFonts w:ascii="Times New Roman" w:hAnsi="Times New Roman" w:cs="Times New Roman"/>
          <w:sz w:val="24"/>
          <w:szCs w:val="24"/>
        </w:rPr>
        <w:t>.</w:t>
      </w:r>
      <w:r w:rsidR="00080CC1" w:rsidRPr="00190265">
        <w:rPr>
          <w:rFonts w:ascii="Times New Roman" w:hAnsi="Times New Roman" w:cs="Times New Roman"/>
          <w:sz w:val="24"/>
          <w:szCs w:val="24"/>
        </w:rPr>
        <w:t xml:space="preserve"> The Christian registrar who won’t conduct civil partnership ceremonies is herself </w:t>
      </w:r>
      <w:r w:rsidR="00065231" w:rsidRPr="00190265">
        <w:rPr>
          <w:rFonts w:ascii="Times New Roman" w:hAnsi="Times New Roman" w:cs="Times New Roman"/>
          <w:sz w:val="24"/>
          <w:szCs w:val="24"/>
        </w:rPr>
        <w:t>behaving in a discriminatory way, and arguably communicating a message that gay and lesbian peopl</w:t>
      </w:r>
      <w:r w:rsidR="008A5A2B" w:rsidRPr="00190265">
        <w:rPr>
          <w:rFonts w:ascii="Times New Roman" w:hAnsi="Times New Roman" w:cs="Times New Roman"/>
          <w:sz w:val="24"/>
          <w:szCs w:val="24"/>
        </w:rPr>
        <w:t>e have a lesser civic status. Th</w:t>
      </w:r>
      <w:r w:rsidR="00065231" w:rsidRPr="00190265">
        <w:rPr>
          <w:rFonts w:ascii="Times New Roman" w:hAnsi="Times New Roman" w:cs="Times New Roman"/>
          <w:sz w:val="24"/>
          <w:szCs w:val="24"/>
        </w:rPr>
        <w:t>at kind of reasoning impressed the European Court of Human Rights which held against her in a recent high profile case.</w:t>
      </w:r>
      <w:r w:rsidR="00C34DB6" w:rsidRPr="00190265">
        <w:rPr>
          <w:rStyle w:val="EndnoteReference"/>
          <w:rFonts w:ascii="Times New Roman" w:hAnsi="Times New Roman" w:cs="Times New Roman"/>
          <w:sz w:val="24"/>
          <w:szCs w:val="24"/>
        </w:rPr>
        <w:endnoteReference w:id="1"/>
      </w:r>
      <w:r w:rsidR="00C34DB6" w:rsidRPr="00190265">
        <w:rPr>
          <w:rFonts w:ascii="Times New Roman" w:hAnsi="Times New Roman" w:cs="Times New Roman"/>
          <w:sz w:val="24"/>
          <w:szCs w:val="24"/>
        </w:rPr>
        <w:t xml:space="preserve"> </w:t>
      </w:r>
      <w:r w:rsidR="00065231" w:rsidRPr="00190265">
        <w:rPr>
          <w:rFonts w:ascii="Times New Roman" w:hAnsi="Times New Roman" w:cs="Times New Roman"/>
          <w:sz w:val="24"/>
          <w:szCs w:val="24"/>
        </w:rPr>
        <w:t>But to concede that integrity need not over-ride other values is nonetheless consistent with according it high value as part of a principled case for accommodation</w:t>
      </w:r>
      <w:r w:rsidR="008A5A2B" w:rsidRPr="00190265">
        <w:rPr>
          <w:rFonts w:ascii="Times New Roman" w:hAnsi="Times New Roman" w:cs="Times New Roman"/>
          <w:sz w:val="24"/>
          <w:szCs w:val="24"/>
        </w:rPr>
        <w:t xml:space="preserve">; it is </w:t>
      </w:r>
      <w:r w:rsidR="00065231" w:rsidRPr="00190265">
        <w:rPr>
          <w:rFonts w:ascii="Times New Roman" w:hAnsi="Times New Roman" w:cs="Times New Roman"/>
          <w:sz w:val="24"/>
          <w:szCs w:val="24"/>
        </w:rPr>
        <w:t xml:space="preserve">not simply of religious individuals’ preferences.  </w:t>
      </w:r>
      <w:r w:rsidR="00366423" w:rsidRPr="00190265">
        <w:rPr>
          <w:rFonts w:ascii="Times New Roman" w:hAnsi="Times New Roman" w:cs="Times New Roman"/>
          <w:sz w:val="24"/>
          <w:szCs w:val="24"/>
        </w:rPr>
        <w:t>As in the case of multiculturalism, therefore, we can reassemble some traditional liberal commitments that Balint would fully endorse to found a more sympathetic case towards those who reasonably ask for more than simply toleration as forebearance.</w:t>
      </w:r>
    </w:p>
    <w:p w:rsidR="00A35A3F" w:rsidRPr="00190265" w:rsidRDefault="00A35A3F"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I much admire Balint’s </w:t>
      </w:r>
      <w:r w:rsidR="00F36FC6" w:rsidRPr="00190265">
        <w:rPr>
          <w:rFonts w:ascii="Times New Roman" w:hAnsi="Times New Roman" w:cs="Times New Roman"/>
          <w:i/>
          <w:sz w:val="24"/>
          <w:szCs w:val="24"/>
        </w:rPr>
        <w:t>Respecting Toleration</w:t>
      </w:r>
      <w:r w:rsidR="003C28A5" w:rsidRPr="00190265">
        <w:rPr>
          <w:rFonts w:ascii="Times New Roman" w:hAnsi="Times New Roman" w:cs="Times New Roman"/>
          <w:sz w:val="24"/>
          <w:szCs w:val="24"/>
        </w:rPr>
        <w:t xml:space="preserve"> and believe</w:t>
      </w:r>
      <w:r w:rsidR="00F36FC6" w:rsidRPr="00190265">
        <w:rPr>
          <w:rFonts w:ascii="Times New Roman" w:hAnsi="Times New Roman" w:cs="Times New Roman"/>
          <w:sz w:val="24"/>
          <w:szCs w:val="24"/>
        </w:rPr>
        <w:t xml:space="preserve"> its</w:t>
      </w:r>
      <w:r w:rsidRPr="00190265">
        <w:rPr>
          <w:rFonts w:ascii="Times New Roman" w:hAnsi="Times New Roman" w:cs="Times New Roman"/>
          <w:sz w:val="24"/>
          <w:szCs w:val="24"/>
        </w:rPr>
        <w:t xml:space="preserve"> powerful arguments will help shift the term</w:t>
      </w:r>
      <w:r w:rsidR="00F36FC6" w:rsidRPr="00190265">
        <w:rPr>
          <w:rFonts w:ascii="Times New Roman" w:hAnsi="Times New Roman" w:cs="Times New Roman"/>
          <w:sz w:val="24"/>
          <w:szCs w:val="24"/>
        </w:rPr>
        <w:t xml:space="preserve">s of the debate on the topic.  However, I think his rejection of cultural and religious accommodation is a little too swift and I’ve tried to show </w:t>
      </w:r>
      <w:r w:rsidR="003C28A5" w:rsidRPr="00190265">
        <w:rPr>
          <w:rFonts w:ascii="Times New Roman" w:hAnsi="Times New Roman" w:cs="Times New Roman"/>
          <w:sz w:val="24"/>
          <w:szCs w:val="24"/>
        </w:rPr>
        <w:t>above</w:t>
      </w:r>
      <w:r w:rsidR="00F36FC6" w:rsidRPr="00190265">
        <w:rPr>
          <w:rFonts w:ascii="Times New Roman" w:hAnsi="Times New Roman" w:cs="Times New Roman"/>
          <w:sz w:val="24"/>
          <w:szCs w:val="24"/>
        </w:rPr>
        <w:t xml:space="preserve"> how there’s a bit more to be said for a more sympathetic stance towards minorities.</w:t>
      </w:r>
    </w:p>
    <w:p w:rsidR="00F36FC6" w:rsidRDefault="00F36FC6" w:rsidP="00190265">
      <w:pPr>
        <w:spacing w:line="360" w:lineRule="auto"/>
        <w:rPr>
          <w:rFonts w:ascii="Times New Roman" w:hAnsi="Times New Roman" w:cs="Times New Roman"/>
          <w:sz w:val="24"/>
          <w:szCs w:val="24"/>
        </w:rPr>
      </w:pPr>
    </w:p>
    <w:p w:rsidR="00DB2AC0" w:rsidRPr="00DB2AC0" w:rsidRDefault="00DB2AC0" w:rsidP="00190265">
      <w:pPr>
        <w:spacing w:line="360" w:lineRule="auto"/>
        <w:rPr>
          <w:rFonts w:ascii="Times New Roman" w:hAnsi="Times New Roman" w:cs="Times New Roman"/>
          <w:b/>
          <w:sz w:val="24"/>
          <w:szCs w:val="24"/>
        </w:rPr>
      </w:pPr>
      <w:r w:rsidRPr="00DB2AC0">
        <w:rPr>
          <w:rFonts w:ascii="Times New Roman" w:hAnsi="Times New Roman" w:cs="Times New Roman"/>
          <w:b/>
          <w:sz w:val="24"/>
          <w:szCs w:val="24"/>
        </w:rPr>
        <w:t>Notes on Contributor</w:t>
      </w:r>
    </w:p>
    <w:p w:rsidR="00DB2AC0" w:rsidRPr="00DB2AC0" w:rsidRDefault="00DB2AC0" w:rsidP="00DB2AC0">
      <w:pPr>
        <w:spacing w:line="240" w:lineRule="auto"/>
        <w:rPr>
          <w:rFonts w:ascii="Times New Roman" w:hAnsi="Times New Roman" w:cs="Times New Roman"/>
          <w:sz w:val="20"/>
          <w:szCs w:val="20"/>
        </w:rPr>
      </w:pPr>
      <w:r w:rsidRPr="00DB2AC0">
        <w:rPr>
          <w:rFonts w:ascii="Times New Roman" w:hAnsi="Times New Roman" w:cs="Times New Roman"/>
          <w:sz w:val="20"/>
          <w:szCs w:val="20"/>
        </w:rPr>
        <w:t xml:space="preserve">Jonathan Seglow is Reader in Political Theory at Royal Holloway, University of London. He is the author of </w:t>
      </w:r>
      <w:r w:rsidRPr="00DB2AC0">
        <w:rPr>
          <w:rFonts w:ascii="Times New Roman" w:hAnsi="Times New Roman" w:cs="Times New Roman"/>
          <w:i/>
          <w:sz w:val="20"/>
          <w:szCs w:val="20"/>
        </w:rPr>
        <w:t>Defending Associative Duties</w:t>
      </w:r>
      <w:r w:rsidRPr="00DB2AC0">
        <w:rPr>
          <w:rFonts w:ascii="Times New Roman" w:hAnsi="Times New Roman" w:cs="Times New Roman"/>
          <w:sz w:val="20"/>
          <w:szCs w:val="20"/>
        </w:rPr>
        <w:t xml:space="preserve"> (Routledge, 2013).  His more recent work has been on religious accommodation, religious establishment and freedom of speech.</w:t>
      </w:r>
    </w:p>
    <w:p w:rsidR="00DB2AC0" w:rsidRPr="00190265" w:rsidRDefault="00DB2AC0" w:rsidP="00190265">
      <w:pPr>
        <w:spacing w:line="360" w:lineRule="auto"/>
        <w:rPr>
          <w:rFonts w:ascii="Times New Roman" w:hAnsi="Times New Roman" w:cs="Times New Roman"/>
          <w:sz w:val="24"/>
          <w:szCs w:val="24"/>
        </w:rPr>
      </w:pPr>
    </w:p>
    <w:p w:rsidR="00080CC1" w:rsidRPr="00190265" w:rsidRDefault="00080CC1" w:rsidP="00190265">
      <w:pPr>
        <w:spacing w:line="360" w:lineRule="auto"/>
        <w:rPr>
          <w:rFonts w:ascii="Times New Roman" w:hAnsi="Times New Roman" w:cs="Times New Roman"/>
          <w:sz w:val="24"/>
          <w:szCs w:val="24"/>
        </w:rPr>
      </w:pPr>
    </w:p>
    <w:p w:rsidR="00080CC1" w:rsidRPr="00190265" w:rsidRDefault="00080CC1" w:rsidP="00190265">
      <w:pPr>
        <w:spacing w:line="360" w:lineRule="auto"/>
        <w:rPr>
          <w:rFonts w:ascii="Times New Roman" w:hAnsi="Times New Roman" w:cs="Times New Roman"/>
          <w:b/>
          <w:sz w:val="24"/>
          <w:szCs w:val="24"/>
        </w:rPr>
      </w:pPr>
      <w:r w:rsidRPr="00190265">
        <w:rPr>
          <w:rFonts w:ascii="Times New Roman" w:hAnsi="Times New Roman" w:cs="Times New Roman"/>
          <w:b/>
          <w:sz w:val="24"/>
          <w:szCs w:val="24"/>
        </w:rPr>
        <w:t>References</w:t>
      </w:r>
    </w:p>
    <w:p w:rsidR="00080CC1" w:rsidRPr="00190265" w:rsidRDefault="00080CC1"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Barry </w:t>
      </w:r>
      <w:r w:rsidR="00C34DB6">
        <w:rPr>
          <w:rFonts w:ascii="Times New Roman" w:hAnsi="Times New Roman" w:cs="Times New Roman"/>
          <w:sz w:val="24"/>
          <w:szCs w:val="24"/>
        </w:rPr>
        <w:t>B.</w:t>
      </w:r>
      <w:r w:rsidRPr="00190265">
        <w:rPr>
          <w:rFonts w:ascii="Times New Roman" w:hAnsi="Times New Roman" w:cs="Times New Roman"/>
          <w:sz w:val="24"/>
          <w:szCs w:val="24"/>
        </w:rPr>
        <w:t xml:space="preserve">  </w:t>
      </w:r>
      <w:r w:rsidRPr="00190265">
        <w:rPr>
          <w:rFonts w:ascii="Times New Roman" w:hAnsi="Times New Roman" w:cs="Times New Roman"/>
          <w:i/>
          <w:sz w:val="24"/>
          <w:szCs w:val="24"/>
        </w:rPr>
        <w:t>Culture and Equality: An Egalitarian Critique of Multiculturalism</w:t>
      </w:r>
      <w:r w:rsidRPr="00190265">
        <w:rPr>
          <w:rFonts w:ascii="Times New Roman" w:hAnsi="Times New Roman" w:cs="Times New Roman"/>
          <w:sz w:val="24"/>
          <w:szCs w:val="24"/>
        </w:rPr>
        <w:t>.  Cambridge: Polity, 2001.</w:t>
      </w:r>
    </w:p>
    <w:p w:rsidR="00366423" w:rsidRPr="00190265" w:rsidRDefault="00366423"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lastRenderedPageBreak/>
        <w:t xml:space="preserve">Darwall, </w:t>
      </w:r>
      <w:r w:rsidR="00C34DB6">
        <w:rPr>
          <w:rFonts w:ascii="Times New Roman" w:hAnsi="Times New Roman" w:cs="Times New Roman"/>
          <w:sz w:val="24"/>
          <w:szCs w:val="24"/>
        </w:rPr>
        <w:t>S</w:t>
      </w:r>
      <w:r w:rsidRPr="00190265">
        <w:rPr>
          <w:rFonts w:ascii="Times New Roman" w:hAnsi="Times New Roman" w:cs="Times New Roman"/>
          <w:sz w:val="24"/>
          <w:szCs w:val="24"/>
        </w:rPr>
        <w:t xml:space="preserve">.  </w:t>
      </w:r>
      <w:r w:rsidRPr="00190265">
        <w:rPr>
          <w:rFonts w:ascii="Times New Roman" w:hAnsi="Times New Roman" w:cs="Times New Roman"/>
          <w:i/>
          <w:sz w:val="24"/>
          <w:szCs w:val="24"/>
        </w:rPr>
        <w:t>The Second Person Standpoint</w:t>
      </w:r>
      <w:r w:rsidRPr="00190265">
        <w:rPr>
          <w:rFonts w:ascii="Times New Roman" w:hAnsi="Times New Roman" w:cs="Times New Roman"/>
          <w:sz w:val="24"/>
          <w:szCs w:val="24"/>
        </w:rPr>
        <w:t xml:space="preserve">.  </w:t>
      </w:r>
      <w:r w:rsidR="00A27C60">
        <w:rPr>
          <w:rFonts w:ascii="Times New Roman" w:hAnsi="Times New Roman" w:cs="Times New Roman"/>
          <w:sz w:val="24"/>
          <w:szCs w:val="24"/>
        </w:rPr>
        <w:t>Cambridge, Mass: Harvard University Press</w:t>
      </w:r>
      <w:r w:rsidRPr="00190265">
        <w:rPr>
          <w:rFonts w:ascii="Times New Roman" w:hAnsi="Times New Roman" w:cs="Times New Roman"/>
          <w:sz w:val="24"/>
          <w:szCs w:val="24"/>
        </w:rPr>
        <w:t>, 2006.</w:t>
      </w:r>
    </w:p>
    <w:p w:rsidR="008A2821" w:rsidRPr="00190265" w:rsidRDefault="00F36FC6"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Laborde, </w:t>
      </w:r>
      <w:r w:rsidR="00C34DB6">
        <w:rPr>
          <w:rFonts w:ascii="Times New Roman" w:hAnsi="Times New Roman" w:cs="Times New Roman"/>
          <w:sz w:val="24"/>
          <w:szCs w:val="24"/>
        </w:rPr>
        <w:t>C.</w:t>
      </w:r>
      <w:r w:rsidR="008A2821" w:rsidRPr="00190265">
        <w:rPr>
          <w:rFonts w:ascii="Times New Roman" w:hAnsi="Times New Roman" w:cs="Times New Roman"/>
          <w:sz w:val="24"/>
          <w:szCs w:val="24"/>
        </w:rPr>
        <w:t xml:space="preserve"> </w:t>
      </w:r>
      <w:r w:rsidR="008A2821" w:rsidRPr="00190265">
        <w:rPr>
          <w:rFonts w:ascii="Times New Roman" w:hAnsi="Times New Roman" w:cs="Times New Roman"/>
          <w:i/>
          <w:sz w:val="24"/>
          <w:szCs w:val="24"/>
        </w:rPr>
        <w:t>Liberalism’s Religion</w:t>
      </w:r>
      <w:r w:rsidR="008A2821" w:rsidRPr="00190265">
        <w:rPr>
          <w:rFonts w:ascii="Times New Roman" w:hAnsi="Times New Roman" w:cs="Times New Roman"/>
          <w:sz w:val="24"/>
          <w:szCs w:val="24"/>
        </w:rPr>
        <w:t>.  Harvard: University Press, 2017.</w:t>
      </w:r>
    </w:p>
    <w:p w:rsidR="00080CC1" w:rsidRPr="00190265" w:rsidRDefault="00080CC1"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Patten, </w:t>
      </w:r>
      <w:r w:rsidR="00C34DB6">
        <w:rPr>
          <w:rFonts w:ascii="Times New Roman" w:hAnsi="Times New Roman" w:cs="Times New Roman"/>
          <w:sz w:val="24"/>
          <w:szCs w:val="24"/>
        </w:rPr>
        <w:t>A</w:t>
      </w:r>
      <w:r w:rsidRPr="00190265">
        <w:rPr>
          <w:rFonts w:ascii="Times New Roman" w:hAnsi="Times New Roman" w:cs="Times New Roman"/>
          <w:sz w:val="24"/>
          <w:szCs w:val="24"/>
        </w:rPr>
        <w:t xml:space="preserve">.  </w:t>
      </w:r>
      <w:r w:rsidRPr="00190265">
        <w:rPr>
          <w:rFonts w:ascii="Times New Roman" w:hAnsi="Times New Roman" w:cs="Times New Roman"/>
          <w:i/>
          <w:sz w:val="24"/>
          <w:szCs w:val="24"/>
        </w:rPr>
        <w:t>Equal Recognition: A Liberal Theory of Minority Rights</w:t>
      </w:r>
      <w:r w:rsidRPr="00190265">
        <w:rPr>
          <w:rFonts w:ascii="Times New Roman" w:hAnsi="Times New Roman" w:cs="Times New Roman"/>
          <w:sz w:val="24"/>
          <w:szCs w:val="24"/>
        </w:rPr>
        <w:t>.  Princeton: Princeton University Press, 2015.</w:t>
      </w:r>
    </w:p>
    <w:p w:rsidR="00414713" w:rsidRPr="00190265" w:rsidRDefault="008A2821" w:rsidP="00190265">
      <w:pPr>
        <w:spacing w:line="360" w:lineRule="auto"/>
        <w:rPr>
          <w:rFonts w:ascii="Times New Roman" w:hAnsi="Times New Roman" w:cs="Times New Roman"/>
          <w:sz w:val="24"/>
          <w:szCs w:val="24"/>
        </w:rPr>
      </w:pPr>
      <w:r w:rsidRPr="00190265">
        <w:rPr>
          <w:rFonts w:ascii="Times New Roman" w:hAnsi="Times New Roman" w:cs="Times New Roman"/>
          <w:sz w:val="24"/>
          <w:szCs w:val="24"/>
        </w:rPr>
        <w:t xml:space="preserve">Seglow, </w:t>
      </w:r>
      <w:r w:rsidR="00C34DB6">
        <w:rPr>
          <w:rFonts w:ascii="Times New Roman" w:hAnsi="Times New Roman" w:cs="Times New Roman"/>
          <w:sz w:val="24"/>
          <w:szCs w:val="24"/>
        </w:rPr>
        <w:t>J</w:t>
      </w:r>
      <w:r w:rsidRPr="00190265">
        <w:rPr>
          <w:rFonts w:ascii="Times New Roman" w:hAnsi="Times New Roman" w:cs="Times New Roman"/>
          <w:sz w:val="24"/>
          <w:szCs w:val="24"/>
        </w:rPr>
        <w:t>. ‘Religious Accommodation</w:t>
      </w:r>
      <w:r w:rsidR="00080CC1" w:rsidRPr="00190265">
        <w:rPr>
          <w:rFonts w:ascii="Times New Roman" w:hAnsi="Times New Roman" w:cs="Times New Roman"/>
          <w:sz w:val="24"/>
          <w:szCs w:val="24"/>
        </w:rPr>
        <w:t xml:space="preserve">: Responsibility, Integrity and Self-Respect’ in </w:t>
      </w:r>
      <w:r w:rsidR="00C34DB6">
        <w:rPr>
          <w:rFonts w:ascii="Times New Roman" w:hAnsi="Times New Roman" w:cs="Times New Roman"/>
          <w:sz w:val="24"/>
          <w:szCs w:val="24"/>
        </w:rPr>
        <w:t>C.</w:t>
      </w:r>
      <w:r w:rsidR="00080CC1" w:rsidRPr="00190265">
        <w:rPr>
          <w:rFonts w:ascii="Times New Roman" w:hAnsi="Times New Roman" w:cs="Times New Roman"/>
          <w:sz w:val="24"/>
          <w:szCs w:val="24"/>
        </w:rPr>
        <w:t xml:space="preserve"> Laborde and </w:t>
      </w:r>
      <w:r w:rsidR="00C34DB6">
        <w:rPr>
          <w:rFonts w:ascii="Times New Roman" w:hAnsi="Times New Roman" w:cs="Times New Roman"/>
          <w:sz w:val="24"/>
          <w:szCs w:val="24"/>
        </w:rPr>
        <w:t>A.</w:t>
      </w:r>
      <w:r w:rsidR="00080CC1" w:rsidRPr="00190265">
        <w:rPr>
          <w:rFonts w:ascii="Times New Roman" w:hAnsi="Times New Roman" w:cs="Times New Roman"/>
          <w:sz w:val="24"/>
          <w:szCs w:val="24"/>
        </w:rPr>
        <w:t xml:space="preserve"> Bardon eds, </w:t>
      </w:r>
      <w:r w:rsidR="00080CC1" w:rsidRPr="00190265">
        <w:rPr>
          <w:rFonts w:ascii="Times New Roman" w:hAnsi="Times New Roman" w:cs="Times New Roman"/>
          <w:i/>
          <w:sz w:val="24"/>
          <w:szCs w:val="24"/>
        </w:rPr>
        <w:t>Religion and Liberal Political Philosophy</w:t>
      </w:r>
      <w:r w:rsidR="00080CC1" w:rsidRPr="00190265">
        <w:rPr>
          <w:rFonts w:ascii="Times New Roman" w:hAnsi="Times New Roman" w:cs="Times New Roman"/>
          <w:sz w:val="24"/>
          <w:szCs w:val="24"/>
        </w:rPr>
        <w:t>.  Oxford: Oxford University Press, 2017.</w:t>
      </w:r>
    </w:p>
    <w:p w:rsidR="00080CC1" w:rsidRPr="00190265" w:rsidRDefault="00080CC1" w:rsidP="00190265">
      <w:pPr>
        <w:spacing w:line="360" w:lineRule="auto"/>
        <w:rPr>
          <w:rFonts w:ascii="Times New Roman" w:hAnsi="Times New Roman" w:cs="Times New Roman"/>
          <w:sz w:val="24"/>
          <w:szCs w:val="24"/>
        </w:rPr>
      </w:pPr>
    </w:p>
    <w:p w:rsidR="00B03731" w:rsidRPr="00190265" w:rsidRDefault="00B03731" w:rsidP="00190265">
      <w:pPr>
        <w:spacing w:line="360" w:lineRule="auto"/>
        <w:rPr>
          <w:rFonts w:ascii="Times New Roman" w:hAnsi="Times New Roman" w:cs="Times New Roman"/>
          <w:sz w:val="24"/>
          <w:szCs w:val="24"/>
        </w:rPr>
      </w:pPr>
    </w:p>
    <w:sectPr w:rsidR="00B03731" w:rsidRPr="00190265" w:rsidSect="006621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28" w:rsidRDefault="006E0728" w:rsidP="00065231">
      <w:pPr>
        <w:spacing w:after="0" w:line="240" w:lineRule="auto"/>
      </w:pPr>
      <w:r>
        <w:separator/>
      </w:r>
    </w:p>
  </w:endnote>
  <w:endnote w:type="continuationSeparator" w:id="0">
    <w:p w:rsidR="006E0728" w:rsidRDefault="006E0728" w:rsidP="00065231">
      <w:pPr>
        <w:spacing w:after="0" w:line="240" w:lineRule="auto"/>
      </w:pPr>
      <w:r>
        <w:continuationSeparator/>
      </w:r>
    </w:p>
  </w:endnote>
  <w:endnote w:id="1">
    <w:p w:rsidR="004130D0" w:rsidRDefault="004130D0">
      <w:pPr>
        <w:pStyle w:val="EndnoteText"/>
      </w:pPr>
      <w:r>
        <w:rPr>
          <w:rStyle w:val="EndnoteReference"/>
        </w:rPr>
        <w:endnoteRef/>
      </w:r>
      <w:r>
        <w:t xml:space="preserve"> </w:t>
      </w:r>
      <w:r w:rsidRPr="006535BE">
        <w:rPr>
          <w:rFonts w:ascii="Garamond" w:hAnsi="Garamond" w:cs="Verdana-Bold"/>
          <w:bCs/>
          <w:i/>
        </w:rPr>
        <w:t>Eweida and Others v. the United Kingdom</w:t>
      </w:r>
      <w:r>
        <w:rPr>
          <w:rFonts w:ascii="Garamond" w:hAnsi="Garamond" w:cs="Verdana-Bold"/>
          <w:bCs/>
        </w:rPr>
        <w:t xml:space="preserve"> 37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2332"/>
      <w:docPartObj>
        <w:docPartGallery w:val="Page Numbers (Bottom of Page)"/>
        <w:docPartUnique/>
      </w:docPartObj>
    </w:sdtPr>
    <w:sdtEndPr>
      <w:rPr>
        <w:rFonts w:ascii="Times New Roman" w:hAnsi="Times New Roman" w:cs="Times New Roman"/>
        <w:sz w:val="20"/>
        <w:szCs w:val="20"/>
      </w:rPr>
    </w:sdtEndPr>
    <w:sdtContent>
      <w:p w:rsidR="009964C7" w:rsidRDefault="006E0728">
        <w:pPr>
          <w:pStyle w:val="Footer"/>
          <w:jc w:val="center"/>
        </w:pPr>
        <w:r>
          <w:rPr>
            <w:noProof/>
          </w:rPr>
          <w:fldChar w:fldCharType="begin"/>
        </w:r>
        <w:r>
          <w:rPr>
            <w:noProof/>
          </w:rPr>
          <w:instrText xml:space="preserve"> PAGE   \* MERGEFORMAT </w:instrText>
        </w:r>
        <w:r>
          <w:rPr>
            <w:noProof/>
          </w:rPr>
          <w:fldChar w:fldCharType="separate"/>
        </w:r>
        <w:r w:rsidR="00A85997">
          <w:rPr>
            <w:noProof/>
          </w:rPr>
          <w:t>4</w:t>
        </w:r>
        <w:r>
          <w:rPr>
            <w:noProof/>
          </w:rPr>
          <w:fldChar w:fldCharType="end"/>
        </w:r>
      </w:p>
      <w:p w:rsidR="009964C7" w:rsidRPr="009964C7" w:rsidRDefault="009964C7" w:rsidP="009964C7">
        <w:pPr>
          <w:pStyle w:val="Footer"/>
          <w:rPr>
            <w:rFonts w:ascii="Times New Roman" w:hAnsi="Times New Roman" w:cs="Times New Roman"/>
            <w:sz w:val="20"/>
            <w:szCs w:val="20"/>
          </w:rPr>
        </w:pPr>
        <w:r w:rsidRPr="009964C7">
          <w:rPr>
            <w:rFonts w:ascii="Times New Roman" w:hAnsi="Times New Roman" w:cs="Times New Roman"/>
            <w:sz w:val="20"/>
            <w:szCs w:val="20"/>
          </w:rPr>
          <w:t>*Email: j.seglow@rhul.ac.uk</w:t>
        </w:r>
      </w:p>
    </w:sdtContent>
  </w:sdt>
  <w:p w:rsidR="009964C7" w:rsidRDefault="00996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28" w:rsidRDefault="006E0728" w:rsidP="00065231">
      <w:pPr>
        <w:spacing w:after="0" w:line="240" w:lineRule="auto"/>
      </w:pPr>
      <w:r>
        <w:separator/>
      </w:r>
    </w:p>
  </w:footnote>
  <w:footnote w:type="continuationSeparator" w:id="0">
    <w:p w:rsidR="006E0728" w:rsidRDefault="006E0728" w:rsidP="0006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430"/>
    <w:multiLevelType w:val="hybridMultilevel"/>
    <w:tmpl w:val="419A2D42"/>
    <w:lvl w:ilvl="0" w:tplc="D75C9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10DB9"/>
    <w:multiLevelType w:val="hybridMultilevel"/>
    <w:tmpl w:val="1654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56B25"/>
    <w:multiLevelType w:val="hybridMultilevel"/>
    <w:tmpl w:val="581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97B8A"/>
    <w:multiLevelType w:val="hybridMultilevel"/>
    <w:tmpl w:val="6B0C2F6E"/>
    <w:lvl w:ilvl="0" w:tplc="F1CCD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12BD"/>
    <w:multiLevelType w:val="hybridMultilevel"/>
    <w:tmpl w:val="F0BCE104"/>
    <w:lvl w:ilvl="0" w:tplc="176CEA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24A8D"/>
    <w:multiLevelType w:val="hybridMultilevel"/>
    <w:tmpl w:val="A288A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62177"/>
    <w:multiLevelType w:val="hybridMultilevel"/>
    <w:tmpl w:val="9FE6E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83B29"/>
    <w:multiLevelType w:val="hybridMultilevel"/>
    <w:tmpl w:val="E5A45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AC086A"/>
    <w:multiLevelType w:val="hybridMultilevel"/>
    <w:tmpl w:val="ACA8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11424"/>
    <w:multiLevelType w:val="hybridMultilevel"/>
    <w:tmpl w:val="9CCCDC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7D0B7E"/>
    <w:multiLevelType w:val="hybridMultilevel"/>
    <w:tmpl w:val="1B40B1AE"/>
    <w:lvl w:ilvl="0" w:tplc="08166D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0"/>
  </w:num>
  <w:num w:numId="5">
    <w:abstractNumId w:val="1"/>
  </w:num>
  <w:num w:numId="6">
    <w:abstractNumId w:val="5"/>
  </w:num>
  <w:num w:numId="7">
    <w:abstractNumId w:val="0"/>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80"/>
    <w:rsid w:val="000273EE"/>
    <w:rsid w:val="000318C4"/>
    <w:rsid w:val="00040525"/>
    <w:rsid w:val="0005315C"/>
    <w:rsid w:val="00053400"/>
    <w:rsid w:val="000636E9"/>
    <w:rsid w:val="00065231"/>
    <w:rsid w:val="00077F74"/>
    <w:rsid w:val="00080CC1"/>
    <w:rsid w:val="00087B98"/>
    <w:rsid w:val="00092468"/>
    <w:rsid w:val="000C0ED6"/>
    <w:rsid w:val="000C2324"/>
    <w:rsid w:val="00103B7D"/>
    <w:rsid w:val="00110FBC"/>
    <w:rsid w:val="001246DE"/>
    <w:rsid w:val="00181843"/>
    <w:rsid w:val="00190265"/>
    <w:rsid w:val="001C061F"/>
    <w:rsid w:val="001E200B"/>
    <w:rsid w:val="001E2A2D"/>
    <w:rsid w:val="001E71F4"/>
    <w:rsid w:val="0022489E"/>
    <w:rsid w:val="002443BB"/>
    <w:rsid w:val="002A0D6D"/>
    <w:rsid w:val="002A6CD8"/>
    <w:rsid w:val="002C12E9"/>
    <w:rsid w:val="002E0A57"/>
    <w:rsid w:val="00301B69"/>
    <w:rsid w:val="00305DE5"/>
    <w:rsid w:val="0031256A"/>
    <w:rsid w:val="003201BB"/>
    <w:rsid w:val="00343A25"/>
    <w:rsid w:val="00364461"/>
    <w:rsid w:val="00366423"/>
    <w:rsid w:val="00373511"/>
    <w:rsid w:val="00397167"/>
    <w:rsid w:val="003A775C"/>
    <w:rsid w:val="003C28A5"/>
    <w:rsid w:val="003E516E"/>
    <w:rsid w:val="003F4BD6"/>
    <w:rsid w:val="004130D0"/>
    <w:rsid w:val="00414713"/>
    <w:rsid w:val="0041776B"/>
    <w:rsid w:val="00417D52"/>
    <w:rsid w:val="00435D3E"/>
    <w:rsid w:val="004A3747"/>
    <w:rsid w:val="004B2D1B"/>
    <w:rsid w:val="004B4460"/>
    <w:rsid w:val="004D4E74"/>
    <w:rsid w:val="004F3468"/>
    <w:rsid w:val="005311FD"/>
    <w:rsid w:val="0053475B"/>
    <w:rsid w:val="00535789"/>
    <w:rsid w:val="00572FDA"/>
    <w:rsid w:val="005A5703"/>
    <w:rsid w:val="005B4534"/>
    <w:rsid w:val="005E2E44"/>
    <w:rsid w:val="005E5A5F"/>
    <w:rsid w:val="005E5D11"/>
    <w:rsid w:val="006013E3"/>
    <w:rsid w:val="006318BD"/>
    <w:rsid w:val="006461E9"/>
    <w:rsid w:val="00655796"/>
    <w:rsid w:val="006621A1"/>
    <w:rsid w:val="006671B9"/>
    <w:rsid w:val="00672975"/>
    <w:rsid w:val="00697BB9"/>
    <w:rsid w:val="006A5E1A"/>
    <w:rsid w:val="006B7426"/>
    <w:rsid w:val="006E0728"/>
    <w:rsid w:val="006E721D"/>
    <w:rsid w:val="006F7A6F"/>
    <w:rsid w:val="00707C9C"/>
    <w:rsid w:val="00707D91"/>
    <w:rsid w:val="007245EC"/>
    <w:rsid w:val="00762C42"/>
    <w:rsid w:val="00763F1A"/>
    <w:rsid w:val="007B6639"/>
    <w:rsid w:val="007B7A6A"/>
    <w:rsid w:val="007C7EAB"/>
    <w:rsid w:val="007D1A10"/>
    <w:rsid w:val="007E116E"/>
    <w:rsid w:val="00821098"/>
    <w:rsid w:val="0083630D"/>
    <w:rsid w:val="00883AEC"/>
    <w:rsid w:val="008947EC"/>
    <w:rsid w:val="008A2821"/>
    <w:rsid w:val="008A5A2B"/>
    <w:rsid w:val="008B2C61"/>
    <w:rsid w:val="008C3259"/>
    <w:rsid w:val="008C51FE"/>
    <w:rsid w:val="008E085B"/>
    <w:rsid w:val="008F6873"/>
    <w:rsid w:val="009250BC"/>
    <w:rsid w:val="009265B2"/>
    <w:rsid w:val="00980FBE"/>
    <w:rsid w:val="00982DED"/>
    <w:rsid w:val="00995944"/>
    <w:rsid w:val="009964C7"/>
    <w:rsid w:val="009A3967"/>
    <w:rsid w:val="009B5823"/>
    <w:rsid w:val="009F0B37"/>
    <w:rsid w:val="00A22B6D"/>
    <w:rsid w:val="00A27C60"/>
    <w:rsid w:val="00A34257"/>
    <w:rsid w:val="00A35A3F"/>
    <w:rsid w:val="00A44A82"/>
    <w:rsid w:val="00A62DCF"/>
    <w:rsid w:val="00A72548"/>
    <w:rsid w:val="00A85997"/>
    <w:rsid w:val="00AA3B01"/>
    <w:rsid w:val="00AC1980"/>
    <w:rsid w:val="00B03731"/>
    <w:rsid w:val="00B36D1C"/>
    <w:rsid w:val="00B50006"/>
    <w:rsid w:val="00B553DF"/>
    <w:rsid w:val="00B82969"/>
    <w:rsid w:val="00BD13F5"/>
    <w:rsid w:val="00BD694F"/>
    <w:rsid w:val="00BF5131"/>
    <w:rsid w:val="00C075CA"/>
    <w:rsid w:val="00C33F70"/>
    <w:rsid w:val="00C34DB6"/>
    <w:rsid w:val="00C40B53"/>
    <w:rsid w:val="00C75663"/>
    <w:rsid w:val="00C819BB"/>
    <w:rsid w:val="00CC4721"/>
    <w:rsid w:val="00CD70EC"/>
    <w:rsid w:val="00CD7D77"/>
    <w:rsid w:val="00CE0289"/>
    <w:rsid w:val="00D2243E"/>
    <w:rsid w:val="00D22A8D"/>
    <w:rsid w:val="00D2458B"/>
    <w:rsid w:val="00D56009"/>
    <w:rsid w:val="00D74D8A"/>
    <w:rsid w:val="00D8467B"/>
    <w:rsid w:val="00DB024F"/>
    <w:rsid w:val="00DB2AC0"/>
    <w:rsid w:val="00DB302F"/>
    <w:rsid w:val="00DD6A9D"/>
    <w:rsid w:val="00DE53FB"/>
    <w:rsid w:val="00DF697A"/>
    <w:rsid w:val="00DF7981"/>
    <w:rsid w:val="00E37E66"/>
    <w:rsid w:val="00E53BD5"/>
    <w:rsid w:val="00E56851"/>
    <w:rsid w:val="00E70CDE"/>
    <w:rsid w:val="00EA1030"/>
    <w:rsid w:val="00ED05E3"/>
    <w:rsid w:val="00ED353F"/>
    <w:rsid w:val="00EE6E44"/>
    <w:rsid w:val="00EF3AA6"/>
    <w:rsid w:val="00F131B0"/>
    <w:rsid w:val="00F36FC6"/>
    <w:rsid w:val="00F376A1"/>
    <w:rsid w:val="00F677E5"/>
    <w:rsid w:val="00F75A94"/>
    <w:rsid w:val="00F84333"/>
    <w:rsid w:val="00FC137F"/>
    <w:rsid w:val="00FE1EE5"/>
    <w:rsid w:val="00FE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EECD8-8D5D-4660-80FC-F49E8408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70"/>
    <w:pPr>
      <w:ind w:left="720"/>
      <w:contextualSpacing/>
    </w:pPr>
  </w:style>
  <w:style w:type="paragraph" w:styleId="FootnoteText">
    <w:name w:val="footnote text"/>
    <w:basedOn w:val="Normal"/>
    <w:link w:val="FootnoteTextChar"/>
    <w:uiPriority w:val="99"/>
    <w:semiHidden/>
    <w:unhideWhenUsed/>
    <w:rsid w:val="00065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231"/>
    <w:rPr>
      <w:sz w:val="20"/>
      <w:szCs w:val="20"/>
    </w:rPr>
  </w:style>
  <w:style w:type="character" w:styleId="FootnoteReference">
    <w:name w:val="footnote reference"/>
    <w:basedOn w:val="DefaultParagraphFont"/>
    <w:uiPriority w:val="99"/>
    <w:semiHidden/>
    <w:unhideWhenUsed/>
    <w:rsid w:val="00065231"/>
    <w:rPr>
      <w:vertAlign w:val="superscript"/>
    </w:rPr>
  </w:style>
  <w:style w:type="paragraph" w:styleId="EndnoteText">
    <w:name w:val="endnote text"/>
    <w:basedOn w:val="Normal"/>
    <w:link w:val="EndnoteTextChar"/>
    <w:uiPriority w:val="99"/>
    <w:semiHidden/>
    <w:unhideWhenUsed/>
    <w:rsid w:val="00C34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DB6"/>
    <w:rPr>
      <w:sz w:val="20"/>
      <w:szCs w:val="20"/>
    </w:rPr>
  </w:style>
  <w:style w:type="character" w:styleId="EndnoteReference">
    <w:name w:val="endnote reference"/>
    <w:basedOn w:val="DefaultParagraphFont"/>
    <w:uiPriority w:val="99"/>
    <w:semiHidden/>
    <w:unhideWhenUsed/>
    <w:rsid w:val="00C34DB6"/>
    <w:rPr>
      <w:vertAlign w:val="superscript"/>
    </w:rPr>
  </w:style>
  <w:style w:type="paragraph" w:styleId="Header">
    <w:name w:val="header"/>
    <w:basedOn w:val="Normal"/>
    <w:link w:val="HeaderChar"/>
    <w:uiPriority w:val="99"/>
    <w:semiHidden/>
    <w:unhideWhenUsed/>
    <w:rsid w:val="009964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64C7"/>
  </w:style>
  <w:style w:type="paragraph" w:styleId="Footer">
    <w:name w:val="footer"/>
    <w:basedOn w:val="Normal"/>
    <w:link w:val="FooterChar"/>
    <w:uiPriority w:val="99"/>
    <w:unhideWhenUsed/>
    <w:rsid w:val="0099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955E-F9A1-4DAA-B763-90346CFD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dc:creator>
  <cp:lastModifiedBy>Revan, Jade</cp:lastModifiedBy>
  <cp:revision>2</cp:revision>
  <dcterms:created xsi:type="dcterms:W3CDTF">2019-05-16T13:48:00Z</dcterms:created>
  <dcterms:modified xsi:type="dcterms:W3CDTF">2019-05-16T13:48:00Z</dcterms:modified>
</cp:coreProperties>
</file>