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1FA0" w:rsidRPr="00AE1FA0" w:rsidRDefault="00AE1FA0" w:rsidP="00AE1FA0">
      <w:pPr>
        <w:spacing w:before="240" w:after="60" w:line="360" w:lineRule="auto"/>
        <w:jc w:val="center"/>
        <w:outlineLvl w:val="0"/>
        <w:rPr>
          <w:rFonts w:ascii="Arial" w:eastAsia="宋体" w:hAnsi="Arial" w:cs="Arial"/>
          <w:bCs/>
          <w:sz w:val="32"/>
          <w:szCs w:val="32"/>
        </w:rPr>
      </w:pPr>
      <w:bookmarkStart w:id="0" w:name="_Toc507784563"/>
      <w:bookmarkStart w:id="1" w:name="_Toc507784650"/>
      <w:bookmarkStart w:id="2" w:name="_Toc508124299"/>
      <w:bookmarkStart w:id="3" w:name="_Toc514757783"/>
      <w:bookmarkStart w:id="4" w:name="_Toc534732343"/>
      <w:r w:rsidRPr="00AE1FA0">
        <w:rPr>
          <w:rFonts w:ascii="Arial" w:eastAsia="宋体" w:hAnsi="Arial" w:cs="Arial"/>
          <w:bCs/>
          <w:sz w:val="32"/>
          <w:szCs w:val="32"/>
        </w:rPr>
        <w:t>Where the past is always present: A case study of the historicity of organizational space</w:t>
      </w:r>
      <w:bookmarkEnd w:id="0"/>
      <w:bookmarkEnd w:id="1"/>
      <w:bookmarkEnd w:id="2"/>
      <w:bookmarkEnd w:id="3"/>
      <w:bookmarkEnd w:id="4"/>
    </w:p>
    <w:p w:rsidR="00AE1FA0" w:rsidRPr="00AE1FA0" w:rsidRDefault="00AE1FA0" w:rsidP="00AE1FA0">
      <w:pPr>
        <w:widowControl/>
        <w:spacing w:after="160" w:line="360" w:lineRule="auto"/>
        <w:jc w:val="center"/>
        <w:rPr>
          <w:rFonts w:ascii="Arial" w:hAnsi="Arial" w:cs="Arial"/>
          <w:kern w:val="0"/>
          <w:sz w:val="22"/>
        </w:rPr>
      </w:pPr>
    </w:p>
    <w:p w:rsidR="00AE1FA0" w:rsidRPr="00AE1FA0" w:rsidRDefault="00AE1FA0" w:rsidP="00AE1FA0">
      <w:pPr>
        <w:widowControl/>
        <w:spacing w:after="160" w:line="360" w:lineRule="auto"/>
        <w:jc w:val="center"/>
        <w:rPr>
          <w:rFonts w:ascii="Arial" w:hAnsi="Arial" w:cs="Arial"/>
          <w:kern w:val="0"/>
          <w:sz w:val="22"/>
        </w:rPr>
      </w:pPr>
    </w:p>
    <w:p w:rsidR="00AE1FA0" w:rsidRPr="00AE1FA0" w:rsidRDefault="00AE1FA0" w:rsidP="00AE1FA0">
      <w:pPr>
        <w:widowControl/>
        <w:spacing w:after="160" w:line="360" w:lineRule="auto"/>
        <w:jc w:val="center"/>
        <w:rPr>
          <w:rFonts w:ascii="Arial" w:hAnsi="Arial" w:cs="Arial"/>
          <w:kern w:val="0"/>
          <w:sz w:val="22"/>
        </w:rPr>
      </w:pPr>
    </w:p>
    <w:p w:rsidR="00AE1FA0" w:rsidRPr="00AE1FA0" w:rsidRDefault="00AE1FA0" w:rsidP="00AE1FA0">
      <w:pPr>
        <w:widowControl/>
        <w:spacing w:after="160" w:line="360" w:lineRule="auto"/>
        <w:jc w:val="center"/>
        <w:rPr>
          <w:rFonts w:ascii="Arial" w:hAnsi="Arial" w:cs="Arial"/>
          <w:kern w:val="0"/>
          <w:sz w:val="22"/>
        </w:rPr>
      </w:pPr>
    </w:p>
    <w:p w:rsidR="00AE1FA0" w:rsidRPr="00AE1FA0" w:rsidRDefault="00AE1FA0" w:rsidP="00AE1FA0">
      <w:pPr>
        <w:widowControl/>
        <w:spacing w:after="160" w:line="360" w:lineRule="auto"/>
        <w:jc w:val="center"/>
        <w:rPr>
          <w:rFonts w:ascii="Arial" w:hAnsi="Arial" w:cs="Arial"/>
          <w:kern w:val="0"/>
          <w:sz w:val="22"/>
        </w:rPr>
      </w:pPr>
    </w:p>
    <w:p w:rsidR="00AE1FA0" w:rsidRPr="00AE1FA0" w:rsidRDefault="00AE1FA0" w:rsidP="00AE1FA0">
      <w:pPr>
        <w:widowControl/>
        <w:spacing w:after="160" w:line="360" w:lineRule="auto"/>
        <w:jc w:val="center"/>
        <w:rPr>
          <w:rFonts w:ascii="Arial" w:hAnsi="Arial" w:cs="Arial"/>
          <w:kern w:val="0"/>
          <w:sz w:val="22"/>
        </w:rPr>
      </w:pPr>
    </w:p>
    <w:p w:rsidR="00AE1FA0" w:rsidRPr="00AE1FA0" w:rsidRDefault="00AE1FA0" w:rsidP="00AE1FA0">
      <w:pPr>
        <w:widowControl/>
        <w:spacing w:after="160" w:line="360" w:lineRule="auto"/>
        <w:jc w:val="center"/>
        <w:rPr>
          <w:rFonts w:ascii="Arial" w:hAnsi="Arial" w:cs="Arial"/>
          <w:kern w:val="0"/>
          <w:sz w:val="32"/>
        </w:rPr>
      </w:pPr>
      <w:r w:rsidRPr="00AE1FA0">
        <w:rPr>
          <w:rFonts w:ascii="Arial" w:hAnsi="Arial" w:cs="Arial"/>
          <w:kern w:val="0"/>
          <w:sz w:val="32"/>
        </w:rPr>
        <w:t>Yihan Liu</w:t>
      </w:r>
    </w:p>
    <w:p w:rsidR="00AE1FA0" w:rsidRPr="00AE1FA0" w:rsidRDefault="00AE1FA0" w:rsidP="00AE1FA0">
      <w:pPr>
        <w:widowControl/>
        <w:spacing w:after="160" w:line="360" w:lineRule="auto"/>
        <w:jc w:val="center"/>
        <w:rPr>
          <w:rFonts w:ascii="Arial" w:hAnsi="Arial" w:cs="Arial"/>
          <w:kern w:val="0"/>
          <w:sz w:val="32"/>
        </w:rPr>
      </w:pPr>
    </w:p>
    <w:p w:rsidR="00AE1FA0" w:rsidRPr="00AE1FA0" w:rsidRDefault="00AE1FA0" w:rsidP="00AE1FA0">
      <w:pPr>
        <w:widowControl/>
        <w:spacing w:after="160" w:line="360" w:lineRule="auto"/>
        <w:jc w:val="center"/>
        <w:rPr>
          <w:rFonts w:ascii="Arial" w:hAnsi="Arial" w:cs="Arial"/>
          <w:kern w:val="0"/>
          <w:sz w:val="32"/>
        </w:rPr>
      </w:pPr>
    </w:p>
    <w:p w:rsidR="00AE1FA0" w:rsidRPr="00AE1FA0" w:rsidRDefault="00AE1FA0" w:rsidP="00AE1FA0">
      <w:pPr>
        <w:widowControl/>
        <w:spacing w:after="160" w:line="360" w:lineRule="auto"/>
        <w:jc w:val="center"/>
        <w:rPr>
          <w:rFonts w:ascii="Arial" w:hAnsi="Arial" w:cs="Arial"/>
          <w:kern w:val="0"/>
          <w:sz w:val="32"/>
        </w:rPr>
      </w:pPr>
    </w:p>
    <w:p w:rsidR="00AE1FA0" w:rsidRPr="00AE1FA0" w:rsidRDefault="00AE1FA0" w:rsidP="00AE1FA0">
      <w:pPr>
        <w:widowControl/>
        <w:spacing w:after="160" w:line="360" w:lineRule="auto"/>
        <w:jc w:val="center"/>
        <w:rPr>
          <w:rFonts w:ascii="Arial" w:hAnsi="Arial" w:cs="Arial"/>
          <w:kern w:val="0"/>
          <w:sz w:val="32"/>
        </w:rPr>
      </w:pPr>
    </w:p>
    <w:p w:rsidR="00AE1FA0" w:rsidRPr="00AE1FA0" w:rsidRDefault="00AE1FA0" w:rsidP="00AE1FA0">
      <w:pPr>
        <w:widowControl/>
        <w:spacing w:after="160" w:line="360" w:lineRule="auto"/>
        <w:jc w:val="center"/>
        <w:rPr>
          <w:rFonts w:ascii="Arial" w:hAnsi="Arial" w:cs="Arial"/>
          <w:kern w:val="0"/>
          <w:sz w:val="32"/>
        </w:rPr>
      </w:pPr>
    </w:p>
    <w:p w:rsidR="00AE1FA0" w:rsidRPr="00AE1FA0" w:rsidRDefault="00AE1FA0" w:rsidP="00AE1FA0">
      <w:pPr>
        <w:widowControl/>
        <w:spacing w:after="160" w:line="360" w:lineRule="auto"/>
        <w:jc w:val="center"/>
        <w:rPr>
          <w:rFonts w:ascii="Arial" w:hAnsi="Arial" w:cs="Arial"/>
          <w:kern w:val="0"/>
          <w:sz w:val="32"/>
        </w:rPr>
      </w:pPr>
    </w:p>
    <w:p w:rsidR="00AE1FA0" w:rsidRPr="00AE1FA0" w:rsidRDefault="00AE1FA0" w:rsidP="00AE1FA0">
      <w:pPr>
        <w:widowControl/>
        <w:spacing w:after="160" w:line="360" w:lineRule="auto"/>
        <w:jc w:val="center"/>
        <w:rPr>
          <w:rFonts w:ascii="Arial" w:hAnsi="Arial" w:cs="Arial"/>
          <w:kern w:val="0"/>
          <w:sz w:val="32"/>
        </w:rPr>
      </w:pPr>
      <w:r w:rsidRPr="00AE1FA0">
        <w:rPr>
          <w:rFonts w:ascii="Arial" w:hAnsi="Arial" w:cs="Arial"/>
          <w:kern w:val="0"/>
          <w:sz w:val="32"/>
        </w:rPr>
        <w:t>Thesis submitted for the Degree of Doctor of Philosophy in the University of London</w:t>
      </w:r>
    </w:p>
    <w:p w:rsidR="00AE1FA0" w:rsidRPr="00AE1FA0" w:rsidRDefault="00AE1FA0" w:rsidP="00AE1FA0">
      <w:pPr>
        <w:widowControl/>
        <w:spacing w:after="160" w:line="360" w:lineRule="auto"/>
        <w:jc w:val="center"/>
        <w:rPr>
          <w:rFonts w:ascii="Arial" w:hAnsi="Arial" w:cs="Arial"/>
          <w:kern w:val="0"/>
          <w:sz w:val="32"/>
        </w:rPr>
      </w:pPr>
    </w:p>
    <w:p w:rsidR="00AE1FA0" w:rsidRPr="00AE1FA0" w:rsidRDefault="00AE1FA0" w:rsidP="00AE1FA0">
      <w:pPr>
        <w:widowControl/>
        <w:spacing w:after="160" w:line="360" w:lineRule="auto"/>
        <w:jc w:val="center"/>
        <w:rPr>
          <w:rFonts w:ascii="Arial" w:hAnsi="Arial" w:cs="Arial"/>
          <w:kern w:val="0"/>
          <w:sz w:val="32"/>
        </w:rPr>
      </w:pPr>
      <w:r w:rsidRPr="00AE1FA0">
        <w:rPr>
          <w:rFonts w:ascii="Arial" w:hAnsi="Arial" w:cs="Arial"/>
          <w:kern w:val="0"/>
          <w:sz w:val="32"/>
        </w:rPr>
        <w:t>School of Management</w:t>
      </w:r>
    </w:p>
    <w:p w:rsidR="00AE1FA0" w:rsidRPr="00AE1FA0" w:rsidRDefault="00AE1FA0" w:rsidP="00AE1FA0">
      <w:pPr>
        <w:widowControl/>
        <w:spacing w:after="160" w:line="360" w:lineRule="auto"/>
        <w:jc w:val="center"/>
        <w:rPr>
          <w:rFonts w:ascii="Arial" w:hAnsi="Arial" w:cs="Arial"/>
          <w:kern w:val="0"/>
          <w:sz w:val="32"/>
        </w:rPr>
      </w:pPr>
      <w:r w:rsidRPr="00AE1FA0">
        <w:rPr>
          <w:rFonts w:ascii="Arial" w:hAnsi="Arial" w:cs="Arial"/>
          <w:kern w:val="0"/>
          <w:sz w:val="32"/>
        </w:rPr>
        <w:t>Royal Holloway, University of London, 2018</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autoSpaceDE w:val="0"/>
        <w:autoSpaceDN w:val="0"/>
        <w:adjustRightInd w:val="0"/>
        <w:jc w:val="left"/>
        <w:rPr>
          <w:rFonts w:ascii="Arial" w:hAnsi="Arial" w:cs="Arial"/>
          <w:color w:val="000000"/>
          <w:kern w:val="0"/>
          <w:sz w:val="24"/>
          <w:szCs w:val="24"/>
        </w:rPr>
      </w:pPr>
    </w:p>
    <w:p w:rsidR="00AE1FA0" w:rsidRPr="00AE1FA0" w:rsidRDefault="00AE1FA0" w:rsidP="00AE1FA0">
      <w:pPr>
        <w:widowControl/>
        <w:autoSpaceDE w:val="0"/>
        <w:autoSpaceDN w:val="0"/>
        <w:adjustRightInd w:val="0"/>
        <w:jc w:val="center"/>
        <w:rPr>
          <w:rFonts w:ascii="Arial" w:hAnsi="Arial" w:cs="Arial"/>
          <w:bCs/>
          <w:color w:val="000000"/>
          <w:kern w:val="0"/>
          <w:sz w:val="32"/>
        </w:rPr>
      </w:pPr>
      <w:r w:rsidRPr="00AE1FA0">
        <w:rPr>
          <w:rFonts w:ascii="Arial" w:hAnsi="Arial" w:cs="Arial"/>
          <w:color w:val="000000"/>
          <w:kern w:val="0"/>
          <w:sz w:val="36"/>
          <w:szCs w:val="24"/>
        </w:rPr>
        <w:t xml:space="preserve"> </w:t>
      </w:r>
      <w:r w:rsidRPr="00AE1FA0">
        <w:rPr>
          <w:rFonts w:ascii="Arial" w:hAnsi="Arial" w:cs="Arial"/>
          <w:bCs/>
          <w:color w:val="000000"/>
          <w:kern w:val="0"/>
          <w:sz w:val="32"/>
        </w:rPr>
        <w:t xml:space="preserve">Declaration of Authorship </w:t>
      </w:r>
    </w:p>
    <w:p w:rsidR="00AE1FA0" w:rsidRPr="00AE1FA0" w:rsidRDefault="00AE1FA0" w:rsidP="00AE1FA0">
      <w:pPr>
        <w:widowControl/>
        <w:autoSpaceDE w:val="0"/>
        <w:autoSpaceDN w:val="0"/>
        <w:adjustRightInd w:val="0"/>
        <w:jc w:val="center"/>
        <w:rPr>
          <w:rFonts w:ascii="Arial" w:hAnsi="Arial" w:cs="Arial"/>
          <w:bCs/>
          <w:color w:val="000000"/>
          <w:kern w:val="0"/>
          <w:sz w:val="32"/>
        </w:rPr>
      </w:pPr>
    </w:p>
    <w:p w:rsidR="00AE1FA0" w:rsidRPr="00AE1FA0" w:rsidRDefault="00AE1FA0" w:rsidP="00AE1FA0">
      <w:pPr>
        <w:widowControl/>
        <w:autoSpaceDE w:val="0"/>
        <w:autoSpaceDN w:val="0"/>
        <w:adjustRightInd w:val="0"/>
        <w:jc w:val="center"/>
        <w:rPr>
          <w:rFonts w:ascii="Arial" w:hAnsi="Arial" w:cs="Arial"/>
          <w:color w:val="000000"/>
          <w:kern w:val="0"/>
          <w:sz w:val="36"/>
          <w:szCs w:val="24"/>
        </w:rPr>
      </w:pPr>
    </w:p>
    <w:p w:rsidR="00AE1FA0" w:rsidRPr="00AE1FA0" w:rsidRDefault="00AE1FA0" w:rsidP="00AE1FA0">
      <w:pPr>
        <w:widowControl/>
        <w:autoSpaceDE w:val="0"/>
        <w:autoSpaceDN w:val="0"/>
        <w:adjustRightInd w:val="0"/>
        <w:spacing w:line="360" w:lineRule="auto"/>
        <w:rPr>
          <w:rFonts w:ascii="Arial" w:hAnsi="Arial" w:cs="Arial"/>
          <w:color w:val="000000"/>
          <w:kern w:val="0"/>
          <w:sz w:val="24"/>
        </w:rPr>
      </w:pPr>
      <w:r w:rsidRPr="00AE1FA0">
        <w:rPr>
          <w:rFonts w:ascii="Arial" w:hAnsi="Arial" w:cs="Arial"/>
          <w:color w:val="000000"/>
          <w:kern w:val="0"/>
          <w:sz w:val="24"/>
        </w:rPr>
        <w:t xml:space="preserve">This thesis is entirely my own work. Where I have drawn upon the work of others, such instances are clearly stated. </w:t>
      </w:r>
    </w:p>
    <w:p w:rsidR="00AE1FA0" w:rsidRPr="00AE1FA0" w:rsidRDefault="00AE1FA0" w:rsidP="00AE1FA0">
      <w:pPr>
        <w:widowControl/>
        <w:autoSpaceDE w:val="0"/>
        <w:autoSpaceDN w:val="0"/>
        <w:adjustRightInd w:val="0"/>
        <w:spacing w:line="360" w:lineRule="auto"/>
        <w:rPr>
          <w:rFonts w:ascii="Arial" w:hAnsi="Arial" w:cs="Arial"/>
          <w:color w:val="000000"/>
          <w:kern w:val="0"/>
          <w:sz w:val="24"/>
        </w:rPr>
      </w:pPr>
    </w:p>
    <w:p w:rsidR="00AE1FA0" w:rsidRPr="00AE1FA0" w:rsidRDefault="00AE1FA0" w:rsidP="00AE1FA0">
      <w:pPr>
        <w:widowControl/>
        <w:autoSpaceDE w:val="0"/>
        <w:autoSpaceDN w:val="0"/>
        <w:adjustRightInd w:val="0"/>
        <w:spacing w:line="360" w:lineRule="auto"/>
        <w:rPr>
          <w:rFonts w:ascii="Arial" w:hAnsi="Arial" w:cs="Arial"/>
          <w:color w:val="000000"/>
          <w:kern w:val="0"/>
          <w:sz w:val="24"/>
        </w:rPr>
      </w:pPr>
      <w:r w:rsidRPr="00AE1FA0">
        <w:rPr>
          <w:rFonts w:ascii="Arial" w:hAnsi="Arial" w:cs="Arial"/>
          <w:color w:val="000000"/>
          <w:kern w:val="0"/>
          <w:sz w:val="24"/>
        </w:rPr>
        <w:t xml:space="preserve">No part of the thesis has been presented to any other university for consideration of a PhD or any similar degree. </w:t>
      </w:r>
    </w:p>
    <w:p w:rsidR="00AE1FA0" w:rsidRPr="00AE1FA0" w:rsidRDefault="00AE1FA0" w:rsidP="00AE1FA0">
      <w:pPr>
        <w:widowControl/>
        <w:autoSpaceDE w:val="0"/>
        <w:autoSpaceDN w:val="0"/>
        <w:adjustRightInd w:val="0"/>
        <w:spacing w:line="360" w:lineRule="auto"/>
        <w:rPr>
          <w:rFonts w:ascii="Arial" w:hAnsi="Arial" w:cs="Arial"/>
          <w:color w:val="000000"/>
          <w:kern w:val="0"/>
          <w:sz w:val="24"/>
        </w:rPr>
      </w:pPr>
    </w:p>
    <w:p w:rsidR="00AE1FA0" w:rsidRPr="00AE1FA0" w:rsidRDefault="00AE1FA0" w:rsidP="00AE1FA0">
      <w:pPr>
        <w:widowControl/>
        <w:autoSpaceDE w:val="0"/>
        <w:autoSpaceDN w:val="0"/>
        <w:adjustRightInd w:val="0"/>
        <w:spacing w:line="360" w:lineRule="auto"/>
        <w:rPr>
          <w:rFonts w:ascii="Arial" w:hAnsi="Arial" w:cs="Arial"/>
          <w:color w:val="000000"/>
          <w:kern w:val="0"/>
          <w:sz w:val="24"/>
        </w:rPr>
      </w:pPr>
    </w:p>
    <w:p w:rsidR="00AE1FA0" w:rsidRPr="00AE1FA0" w:rsidRDefault="00AE1FA0" w:rsidP="00AE1FA0">
      <w:pPr>
        <w:widowControl/>
        <w:autoSpaceDE w:val="0"/>
        <w:autoSpaceDN w:val="0"/>
        <w:adjustRightInd w:val="0"/>
        <w:spacing w:line="360" w:lineRule="auto"/>
        <w:rPr>
          <w:rFonts w:ascii="Arial" w:hAnsi="Arial" w:cs="Arial"/>
          <w:color w:val="000000"/>
          <w:kern w:val="0"/>
          <w:sz w:val="24"/>
        </w:rPr>
      </w:pPr>
      <w:r w:rsidRPr="00AE1FA0">
        <w:rPr>
          <w:rFonts w:ascii="Arial" w:hAnsi="Arial" w:cs="Arial"/>
          <w:color w:val="000000"/>
          <w:kern w:val="0"/>
          <w:sz w:val="24"/>
        </w:rPr>
        <w:t>Signed: _____</w:t>
      </w:r>
      <w:r w:rsidRPr="00AE1FA0">
        <w:rPr>
          <w:rFonts w:ascii="Arial" w:hAnsi="Arial" w:cs="Arial"/>
          <w:noProof/>
          <w:color w:val="000000"/>
          <w:kern w:val="0"/>
          <w:sz w:val="24"/>
          <w:lang w:eastAsia="en-GB"/>
        </w:rPr>
        <w:drawing>
          <wp:inline distT="0" distB="0" distL="0" distR="0" wp14:anchorId="252558D6" wp14:editId="24CDDF9D">
            <wp:extent cx="180975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电子签名.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2230" cy="381522"/>
                    </a:xfrm>
                    <a:prstGeom prst="rect">
                      <a:avLst/>
                    </a:prstGeom>
                  </pic:spPr>
                </pic:pic>
              </a:graphicData>
            </a:graphic>
          </wp:inline>
        </w:drawing>
      </w:r>
      <w:r w:rsidRPr="00AE1FA0">
        <w:rPr>
          <w:rFonts w:ascii="Arial" w:hAnsi="Arial" w:cs="Arial"/>
          <w:color w:val="000000"/>
          <w:kern w:val="0"/>
          <w:sz w:val="24"/>
        </w:rPr>
        <w:t xml:space="preserve">_________________ </w:t>
      </w:r>
    </w:p>
    <w:p w:rsidR="00AE1FA0" w:rsidRPr="00AE1FA0" w:rsidRDefault="00AE1FA0" w:rsidP="00AE1FA0">
      <w:pPr>
        <w:widowControl/>
        <w:autoSpaceDE w:val="0"/>
        <w:autoSpaceDN w:val="0"/>
        <w:adjustRightInd w:val="0"/>
        <w:spacing w:line="360" w:lineRule="auto"/>
        <w:rPr>
          <w:rFonts w:ascii="Arial" w:hAnsi="Arial" w:cs="Arial"/>
          <w:color w:val="000000"/>
          <w:kern w:val="0"/>
          <w:sz w:val="24"/>
        </w:rPr>
      </w:pPr>
    </w:p>
    <w:p w:rsidR="00AE1FA0" w:rsidRPr="00AE1FA0" w:rsidRDefault="00AE1FA0" w:rsidP="00AE1FA0">
      <w:pPr>
        <w:widowControl/>
        <w:spacing w:after="160" w:line="360" w:lineRule="auto"/>
        <w:rPr>
          <w:rFonts w:ascii="Arial" w:hAnsi="Arial" w:cs="Arial"/>
          <w:color w:val="000000"/>
          <w:kern w:val="0"/>
          <w:sz w:val="24"/>
        </w:rPr>
      </w:pPr>
      <w:r w:rsidRPr="00AE1FA0">
        <w:rPr>
          <w:rFonts w:ascii="Arial" w:hAnsi="Arial" w:cs="Arial"/>
          <w:color w:val="000000"/>
          <w:kern w:val="0"/>
          <w:sz w:val="24"/>
        </w:rPr>
        <w:t>Date: ______13</w:t>
      </w:r>
      <w:r w:rsidRPr="00AE1FA0">
        <w:rPr>
          <w:rFonts w:ascii="Arial" w:hAnsi="Arial" w:cs="Arial"/>
          <w:color w:val="000000"/>
          <w:kern w:val="0"/>
          <w:sz w:val="24"/>
          <w:vertAlign w:val="superscript"/>
        </w:rPr>
        <w:t>th</w:t>
      </w:r>
      <w:r w:rsidRPr="00AE1FA0">
        <w:rPr>
          <w:rFonts w:ascii="Arial" w:hAnsi="Arial" w:cs="Arial"/>
          <w:color w:val="000000"/>
          <w:kern w:val="0"/>
          <w:sz w:val="24"/>
        </w:rPr>
        <w:t>/Feburary/2019__________________</w:t>
      </w:r>
    </w:p>
    <w:p w:rsidR="00AE1FA0" w:rsidRPr="00AE1FA0" w:rsidRDefault="00AE1FA0" w:rsidP="00AE1FA0">
      <w:pPr>
        <w:widowControl/>
        <w:spacing w:after="160" w:line="360" w:lineRule="auto"/>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color w:val="000000"/>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keepNext/>
        <w:keepLines/>
        <w:widowControl/>
        <w:spacing w:before="240" w:line="360" w:lineRule="auto"/>
        <w:jc w:val="center"/>
        <w:outlineLvl w:val="0"/>
        <w:rPr>
          <w:rFonts w:ascii="Arial" w:eastAsiaTheme="majorEastAsia" w:hAnsi="Arial" w:cs="Arial"/>
          <w:color w:val="000000" w:themeColor="text1"/>
          <w:kern w:val="0"/>
          <w:sz w:val="32"/>
          <w:szCs w:val="32"/>
        </w:rPr>
      </w:pPr>
      <w:bookmarkStart w:id="5" w:name="_Toc534732344"/>
      <w:r w:rsidRPr="00AE1FA0">
        <w:rPr>
          <w:rFonts w:ascii="Arial" w:eastAsiaTheme="majorEastAsia" w:hAnsi="Arial" w:cs="Arial"/>
          <w:color w:val="000000" w:themeColor="text1"/>
          <w:kern w:val="0"/>
          <w:sz w:val="32"/>
          <w:szCs w:val="32"/>
        </w:rPr>
        <w:lastRenderedPageBreak/>
        <w:t>Acknowledgments</w:t>
      </w:r>
      <w:bookmarkEnd w:id="5"/>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4"/>
          <w:szCs w:val="24"/>
        </w:rPr>
      </w:pPr>
      <w:proofErr w:type="gramStart"/>
      <w:r w:rsidRPr="00AE1FA0">
        <w:rPr>
          <w:rFonts w:ascii="Arial" w:hAnsi="Arial" w:cs="Arial"/>
          <w:kern w:val="0"/>
          <w:sz w:val="24"/>
          <w:szCs w:val="24"/>
        </w:rPr>
        <w:t>First of all</w:t>
      </w:r>
      <w:proofErr w:type="gramEnd"/>
      <w:r w:rsidRPr="00AE1FA0">
        <w:rPr>
          <w:rFonts w:ascii="Arial" w:hAnsi="Arial" w:cs="Arial"/>
          <w:kern w:val="0"/>
          <w:sz w:val="24"/>
          <w:szCs w:val="24"/>
        </w:rPr>
        <w:t xml:space="preserve">, I would like to express my sincerest thanks to my supervisors, Professor Chris Grey and Professor Gillian Symon. I could not have completed this four-year journey without their help and support. My intellectual curiosity about organizational studies was aroused when I read Chris’s well-known book in my undergraduate study. Working with him has been an even better experience: his insightful comments, critical ideas, support and sense of humour have made this PhD journey thoroughly enjoyable. I am also grateful to Gillian, who has always encouraged and supported me with her prompt feedback and constructive comments. I would also like to thank them for their help in guiding my journey as an academic and for assisting me in meeting community groups in the field of organizational space and history through attending research seminars and conferences, and in publishing conference papers and a journal article – an article which this thesis partly draws upon: Liu, Y. and Grey, C. (2018) </w:t>
      </w:r>
      <w:r w:rsidRPr="00AE1FA0">
        <w:rPr>
          <w:rFonts w:ascii="Arial" w:hAnsi="Arial" w:cs="Arial"/>
          <w:noProof/>
          <w:kern w:val="0"/>
          <w:sz w:val="24"/>
          <w:szCs w:val="24"/>
        </w:rPr>
        <w:t xml:space="preserve">History, gendered space and organizational identity: An archival study of a university building. </w:t>
      </w:r>
      <w:r w:rsidRPr="00AE1FA0">
        <w:rPr>
          <w:rFonts w:ascii="Arial" w:hAnsi="Arial" w:cs="Arial"/>
          <w:i/>
          <w:noProof/>
          <w:kern w:val="0"/>
          <w:sz w:val="24"/>
          <w:szCs w:val="24"/>
        </w:rPr>
        <w:t>Human Relations</w:t>
      </w:r>
      <w:r w:rsidRPr="00AE1FA0">
        <w:rPr>
          <w:rFonts w:ascii="Arial" w:hAnsi="Arial" w:cs="Arial"/>
          <w:noProof/>
          <w:kern w:val="0"/>
          <w:sz w:val="24"/>
          <w:szCs w:val="24"/>
        </w:rPr>
        <w:t>,71(5): 640-667.</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I would like to thank archivists in RHUL Archive, Annabel Valentine and Harriet Costelloe, who have provided continuous help in digging out archival material as well as assisting me in obtaining permission to use archival images in this thesis. I am also grateful for people in RHUL who granted me access to conduct interviews in the Department of Politics and International Relations, School of Management, Founder’s Library, Estates Department, as well as with students residing in Founder’s Building.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I have benefited from meeting and communicating with different academics and </w:t>
      </w:r>
      <w:proofErr w:type="gramStart"/>
      <w:r w:rsidRPr="00AE1FA0">
        <w:rPr>
          <w:rFonts w:ascii="Arial" w:hAnsi="Arial" w:cs="Arial"/>
          <w:kern w:val="0"/>
          <w:sz w:val="24"/>
          <w:szCs w:val="24"/>
        </w:rPr>
        <w:t>in particular would</w:t>
      </w:r>
      <w:proofErr w:type="gramEnd"/>
      <w:r w:rsidRPr="00AE1FA0">
        <w:rPr>
          <w:rFonts w:ascii="Arial" w:hAnsi="Arial" w:cs="Arial"/>
          <w:kern w:val="0"/>
          <w:sz w:val="24"/>
          <w:szCs w:val="24"/>
        </w:rPr>
        <w:t xml:space="preserve"> like to thank Elena Giovannoni, Christopher Napier, Laura Spence and Neil Conway for their constructive comments made on my presentations in various seminars and workshops. And special thanks to Jackie, Joanne and all administrative staff in the School of Management for their kind support during the four years of my study.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lastRenderedPageBreak/>
        <w:t>Last, but certainly not least, I would like to express my utmost gratitude to my beloved family: my parents, Guangxin Chu and Bo Liu; my sister, Yiqiong Liu, and my grandmother, who always believe in my ability and who support me whole-heartedly throughout writing this thesis and my life in general.</w:t>
      </w: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keepNext/>
        <w:keepLines/>
        <w:widowControl/>
        <w:spacing w:before="240" w:line="360" w:lineRule="auto"/>
        <w:jc w:val="center"/>
        <w:outlineLvl w:val="0"/>
        <w:rPr>
          <w:rFonts w:ascii="Arial" w:eastAsiaTheme="majorEastAsia" w:hAnsi="Arial" w:cs="Arial"/>
          <w:color w:val="000000" w:themeColor="text1"/>
          <w:kern w:val="0"/>
          <w:sz w:val="32"/>
          <w:szCs w:val="32"/>
        </w:rPr>
      </w:pPr>
      <w:bookmarkStart w:id="6" w:name="_Toc534732345"/>
      <w:r w:rsidRPr="00AE1FA0">
        <w:rPr>
          <w:rFonts w:ascii="Arial" w:eastAsiaTheme="majorEastAsia" w:hAnsi="Arial" w:cs="Arial"/>
          <w:color w:val="000000" w:themeColor="text1"/>
          <w:kern w:val="0"/>
          <w:sz w:val="32"/>
          <w:szCs w:val="32"/>
        </w:rPr>
        <w:lastRenderedPageBreak/>
        <w:t>Abstract</w:t>
      </w:r>
      <w:bookmarkEnd w:id="6"/>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noProof/>
          <w:color w:val="FF0000"/>
          <w:kern w:val="0"/>
          <w:sz w:val="24"/>
          <w:szCs w:val="24"/>
        </w:rPr>
      </w:pPr>
      <w:r w:rsidRPr="00AE1FA0">
        <w:rPr>
          <w:rFonts w:ascii="Arial" w:hAnsi="Arial" w:cs="Arial"/>
          <w:noProof/>
          <w:kern w:val="0"/>
          <w:sz w:val="24"/>
          <w:szCs w:val="24"/>
        </w:rPr>
        <w:t xml:space="preserve">The thesis was initiated by the reconceptualization of organizational space as a social product and organizations as process. The research objective was to study organizational space in history through researching an empirical case over a long historical period, with the aim of unravelling how the historicity of the organizational space interacts with the present day. Specifically, this thesis builds on the framework of Henri Lefebvre’s work on space. Lefebvrian conceptualization of space enabled  research of organizational space as a social construction, as a process in a recursive way. The theoretical contribution of this thesis lies in demonstrating the analytical potential of Lefebvre's work, to synthesize different theories including process theory and new historicism. Methodologically, this thesis empirically uncovered the historicity of organizational space in a university building – the Founder's Building of </w:t>
      </w:r>
      <w:r w:rsidRPr="00AE1FA0">
        <w:rPr>
          <w:rFonts w:ascii="Arial" w:hAnsi="Arial" w:cs="Arial"/>
          <w:kern w:val="0"/>
          <w:sz w:val="24"/>
          <w:szCs w:val="24"/>
        </w:rPr>
        <w:t>Royal Holloway, University of London</w:t>
      </w:r>
      <w:r w:rsidRPr="00AE1FA0">
        <w:rPr>
          <w:rFonts w:ascii="Arial" w:hAnsi="Arial" w:cs="Arial"/>
          <w:noProof/>
          <w:kern w:val="0"/>
          <w:sz w:val="24"/>
          <w:szCs w:val="24"/>
        </w:rPr>
        <w:t>. Founder’s Building, the original building of RHUL, (which was then Royal Holloway College, opened in 1886 as a women college).</w:t>
      </w:r>
      <w:r w:rsidRPr="00AE1FA0">
        <w:rPr>
          <w:rFonts w:ascii="Arial" w:hAnsi="Arial" w:cs="Arial"/>
          <w:noProof/>
          <w:color w:val="FF0000"/>
          <w:kern w:val="0"/>
          <w:sz w:val="24"/>
          <w:szCs w:val="24"/>
        </w:rPr>
        <w:t xml:space="preserve"> </w:t>
      </w:r>
      <w:r w:rsidRPr="00AE1FA0">
        <w:rPr>
          <w:rFonts w:ascii="Arial" w:hAnsi="Arial" w:cs="Arial"/>
          <w:noProof/>
          <w:kern w:val="0"/>
          <w:sz w:val="24"/>
          <w:szCs w:val="24"/>
        </w:rPr>
        <w:t>Specifically, both archival evidence and interviewing evidence were collected and analysed as a twin-track approach.  Therefore, the methodological contribution of this thesis is to exemplify the possibility of a twin-track strategy in understanding how organizational space can be communicated and how people can interact with it; and to demonstrate reflexivity within this twin-track approach. The most important finding emerging from this thesis is that how history of organizational space is articulated and appropriated by users of the space. In the case of Founder’s Building, it is discovered that space becomes a major field for negotiations and appropriations in term of how history can be articulated.</w:t>
      </w: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259" w:lineRule="auto"/>
        <w:jc w:val="left"/>
        <w:rPr>
          <w:rFonts w:ascii="Arial" w:hAnsi="Arial" w:cs="Arial"/>
          <w:kern w:val="0"/>
          <w:sz w:val="22"/>
        </w:rPr>
      </w:pPr>
    </w:p>
    <w:p w:rsidR="00AE1FA0" w:rsidRPr="00AE1FA0" w:rsidRDefault="00AE1FA0" w:rsidP="00AE1FA0">
      <w:pPr>
        <w:widowControl/>
        <w:spacing w:after="160" w:line="259" w:lineRule="auto"/>
        <w:jc w:val="left"/>
        <w:rPr>
          <w:rFonts w:ascii="Arial" w:hAnsi="Arial" w:cs="Arial"/>
          <w:kern w:val="0"/>
          <w:sz w:val="22"/>
        </w:rPr>
      </w:pPr>
    </w:p>
    <w:p w:rsidR="00AE1FA0" w:rsidRPr="00AE1FA0" w:rsidRDefault="00AE1FA0" w:rsidP="00AE1FA0">
      <w:pPr>
        <w:widowControl/>
        <w:spacing w:after="160" w:line="259" w:lineRule="auto"/>
        <w:jc w:val="left"/>
        <w:rPr>
          <w:rFonts w:ascii="Arial" w:hAnsi="Arial" w:cs="Arial"/>
          <w:kern w:val="0"/>
          <w:sz w:val="22"/>
        </w:rPr>
      </w:pPr>
    </w:p>
    <w:p w:rsidR="00AE1FA0" w:rsidRPr="00AE1FA0" w:rsidRDefault="00AE1FA0" w:rsidP="00AE1FA0">
      <w:pPr>
        <w:widowControl/>
        <w:spacing w:after="160" w:line="259" w:lineRule="auto"/>
        <w:jc w:val="left"/>
        <w:rPr>
          <w:rFonts w:ascii="Arial" w:hAnsi="Arial" w:cs="Arial"/>
          <w:kern w:val="0"/>
          <w:sz w:val="22"/>
        </w:rPr>
      </w:pPr>
    </w:p>
    <w:sdt>
      <w:sdtPr>
        <w:rPr>
          <w:rFonts w:ascii="Arial" w:hAnsi="Arial" w:cs="Arial"/>
          <w:kern w:val="0"/>
          <w:sz w:val="22"/>
        </w:rPr>
        <w:id w:val="1099145559"/>
        <w:docPartObj>
          <w:docPartGallery w:val="Table of Contents"/>
          <w:docPartUnique/>
        </w:docPartObj>
      </w:sdtPr>
      <w:sdtEndPr>
        <w:rPr>
          <w:b/>
          <w:bCs/>
          <w:noProof/>
        </w:rPr>
      </w:sdtEndPr>
      <w:sdtContent>
        <w:p w:rsidR="00AE1FA0" w:rsidRPr="00AE1FA0" w:rsidRDefault="00AE1FA0" w:rsidP="00AE1FA0">
          <w:pPr>
            <w:keepNext/>
            <w:keepLines/>
            <w:widowControl/>
            <w:spacing w:before="240" w:line="259" w:lineRule="auto"/>
            <w:jc w:val="center"/>
            <w:rPr>
              <w:rFonts w:ascii="Arial" w:eastAsiaTheme="majorEastAsia" w:hAnsi="Arial" w:cs="Arial"/>
              <w:color w:val="000000" w:themeColor="text1"/>
              <w:kern w:val="0"/>
              <w:sz w:val="32"/>
              <w:szCs w:val="32"/>
              <w:lang w:eastAsia="en-US"/>
            </w:rPr>
          </w:pPr>
          <w:r w:rsidRPr="00AE1FA0">
            <w:rPr>
              <w:rFonts w:ascii="Arial" w:eastAsiaTheme="majorEastAsia" w:hAnsi="Arial" w:cs="Arial"/>
              <w:color w:val="000000" w:themeColor="text1"/>
              <w:kern w:val="0"/>
              <w:sz w:val="32"/>
              <w:szCs w:val="32"/>
              <w:lang w:eastAsia="en-US"/>
            </w:rPr>
            <w:t>Table of Contents</w:t>
          </w:r>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r w:rsidRPr="00AE1FA0">
            <w:rPr>
              <w:rFonts w:ascii="Arial" w:hAnsi="Arial" w:cs="Arial"/>
              <w:noProof/>
              <w:kern w:val="0"/>
              <w:sz w:val="22"/>
            </w:rPr>
            <w:fldChar w:fldCharType="begin"/>
          </w:r>
          <w:r w:rsidRPr="00AE1FA0">
            <w:rPr>
              <w:rFonts w:ascii="Arial" w:hAnsi="Arial" w:cs="Arial"/>
              <w:noProof/>
              <w:kern w:val="0"/>
              <w:sz w:val="22"/>
            </w:rPr>
            <w:instrText xml:space="preserve"> TOC \o "1-3" \h \z \u </w:instrText>
          </w:r>
          <w:r w:rsidRPr="00AE1FA0">
            <w:rPr>
              <w:rFonts w:ascii="Arial" w:hAnsi="Arial" w:cs="Arial"/>
              <w:noProof/>
              <w:kern w:val="0"/>
              <w:sz w:val="22"/>
            </w:rPr>
            <w:fldChar w:fldCharType="separate"/>
          </w:r>
          <w:hyperlink w:anchor="_Toc534732344" w:history="1">
            <w:r w:rsidRPr="00AE1FA0">
              <w:rPr>
                <w:rFonts w:ascii="Arial" w:hAnsi="Arial" w:cs="Arial"/>
                <w:noProof/>
                <w:color w:val="0000FF" w:themeColor="hyperlink"/>
                <w:kern w:val="0"/>
                <w:sz w:val="24"/>
                <w:szCs w:val="24"/>
                <w:u w:val="single"/>
              </w:rPr>
              <w:t>Acknowledgments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_Toc534732344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3</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hyperlink w:anchor="_Toc534732345" w:history="1">
            <w:r w:rsidRPr="00AE1FA0">
              <w:rPr>
                <w:rFonts w:ascii="Arial" w:hAnsi="Arial" w:cs="Arial"/>
                <w:noProof/>
                <w:color w:val="0000FF" w:themeColor="hyperlink"/>
                <w:kern w:val="0"/>
                <w:sz w:val="24"/>
                <w:szCs w:val="24"/>
                <w:u w:val="single"/>
              </w:rPr>
              <w:t>Abstract</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_Toc534732345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6</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hyperlink w:anchor="_Toc534732346" w:history="1">
            <w:r w:rsidRPr="00AE1FA0">
              <w:rPr>
                <w:rFonts w:ascii="Arial" w:hAnsi="Arial" w:cs="Arial"/>
                <w:noProof/>
                <w:color w:val="0000FF" w:themeColor="hyperlink"/>
                <w:kern w:val="0"/>
                <w:sz w:val="24"/>
                <w:szCs w:val="24"/>
                <w:u w:val="single"/>
              </w:rPr>
              <w:t>List of Images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_Toc534732346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hyperlink w:anchor="_Toc534732347" w:history="1">
            <w:r w:rsidRPr="00AE1FA0">
              <w:rPr>
                <w:rFonts w:ascii="Arial" w:hAnsi="Arial" w:cs="Arial"/>
                <w:noProof/>
                <w:color w:val="0000FF" w:themeColor="hyperlink"/>
                <w:kern w:val="0"/>
                <w:sz w:val="24"/>
                <w:szCs w:val="24"/>
                <w:u w:val="single"/>
              </w:rPr>
              <w:t>List of Tables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_Toc534732347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hyperlink w:anchor="_Toc534732348" w:history="1">
            <w:r w:rsidRPr="00AE1FA0">
              <w:rPr>
                <w:rFonts w:ascii="Arial" w:hAnsi="Arial" w:cs="Arial"/>
                <w:noProof/>
                <w:color w:val="0000FF" w:themeColor="hyperlink"/>
                <w:kern w:val="0"/>
                <w:sz w:val="24"/>
                <w:szCs w:val="24"/>
                <w:u w:val="single"/>
              </w:rPr>
              <w:t>Chapter One Introduction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_Toc534732348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16</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49" w:history="1">
            <w:r w:rsidRPr="00AE1FA0">
              <w:rPr>
                <w:rFonts w:ascii="Arial" w:hAnsi="Arial" w:cs="Arial"/>
                <w:noProof/>
                <w:color w:val="0000FF" w:themeColor="hyperlink"/>
                <w:kern w:val="0"/>
                <w:sz w:val="24"/>
                <w:szCs w:val="24"/>
                <w:u w:val="single"/>
              </w:rPr>
              <w:t>1.1.</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Organizational space and organizations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_Toc534732349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16</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50" w:history="1">
            <w:r w:rsidRPr="00AE1FA0">
              <w:rPr>
                <w:rFonts w:ascii="Arial" w:hAnsi="Arial" w:cs="Arial"/>
                <w:noProof/>
                <w:color w:val="0000FF" w:themeColor="hyperlink"/>
                <w:kern w:val="0"/>
                <w:sz w:val="24"/>
                <w:szCs w:val="24"/>
                <w:u w:val="single"/>
              </w:rPr>
              <w:t>1.2.</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Thesis approach</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_Toc534732350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20</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51" w:history="1">
            <w:r w:rsidRPr="00AE1FA0">
              <w:rPr>
                <w:rFonts w:ascii="Arial" w:hAnsi="Arial" w:cs="Arial"/>
                <w:noProof/>
                <w:color w:val="0000FF" w:themeColor="hyperlink"/>
                <w:kern w:val="0"/>
                <w:sz w:val="24"/>
                <w:szCs w:val="24"/>
                <w:u w:val="single"/>
              </w:rPr>
              <w:t>1.2.1. Theoretical approach</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_Toc534732351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20</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52" w:history="1">
            <w:r w:rsidRPr="00AE1FA0">
              <w:rPr>
                <w:rFonts w:ascii="Arial" w:hAnsi="Arial" w:cs="Arial"/>
                <w:noProof/>
                <w:color w:val="0000FF" w:themeColor="hyperlink"/>
                <w:kern w:val="0"/>
                <w:sz w:val="24"/>
                <w:szCs w:val="24"/>
                <w:u w:val="single"/>
              </w:rPr>
              <w:t>1.2.2. An empirical case study</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_Toc534732352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22</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54" w:history="1">
            <w:r w:rsidRPr="00AE1FA0">
              <w:rPr>
                <w:rFonts w:ascii="Arial" w:hAnsi="Arial" w:cs="Arial"/>
                <w:noProof/>
                <w:color w:val="0000FF" w:themeColor="hyperlink"/>
                <w:kern w:val="0"/>
                <w:sz w:val="24"/>
                <w:szCs w:val="24"/>
                <w:u w:val="single"/>
              </w:rPr>
              <w:t>1.3.</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Structure of the thesis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_Toc534732354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55" w:history="1">
            <w:r w:rsidRPr="00AE1FA0">
              <w:rPr>
                <w:rFonts w:ascii="Arial" w:hAnsi="Arial" w:cs="Arial"/>
                <w:noProof/>
                <w:color w:val="0000FF" w:themeColor="hyperlink"/>
                <w:kern w:val="0"/>
                <w:sz w:val="24"/>
                <w:szCs w:val="24"/>
                <w:u w:val="single"/>
              </w:rPr>
              <w:t>1.4.</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Contribution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_Toc534732355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28</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259" w:lineRule="auto"/>
            <w:jc w:val="left"/>
            <w:rPr>
              <w:rFonts w:ascii="Arial" w:hAnsi="Arial" w:cs="Arial"/>
              <w:noProof/>
              <w:color w:val="0000FF" w:themeColor="hyperlink"/>
              <w:kern w:val="0"/>
              <w:sz w:val="24"/>
              <w:szCs w:val="24"/>
              <w:u w:val="single"/>
              <w:shd w:val="clear" w:color="auto" w:fill="FFFFFF"/>
            </w:rPr>
          </w:pPr>
          <w:hyperlink w:anchor="_Toc534732356" w:history="1">
            <w:r w:rsidRPr="00AE1FA0">
              <w:rPr>
                <w:rFonts w:ascii="Arial" w:hAnsi="Arial" w:cs="Arial"/>
                <w:noProof/>
                <w:color w:val="0000FF" w:themeColor="hyperlink"/>
                <w:kern w:val="0"/>
                <w:sz w:val="24"/>
                <w:szCs w:val="24"/>
                <w:u w:val="single"/>
                <w:shd w:val="clear" w:color="auto" w:fill="FFFFFF"/>
              </w:rPr>
              <w:t>Chapter Two Literature review: Historicizing organizational space</w:t>
            </w:r>
            <w:r w:rsidRPr="00AE1FA0">
              <w:rPr>
                <w:rFonts w:ascii="Arial" w:hAnsi="Arial" w:cs="Arial"/>
                <w:noProof/>
                <w:webHidden/>
                <w:color w:val="0000FF" w:themeColor="hyperlink"/>
                <w:kern w:val="0"/>
                <w:sz w:val="24"/>
                <w:szCs w:val="24"/>
                <w:u w:val="single"/>
              </w:rPr>
              <w:tab/>
            </w:r>
            <w:r w:rsidRPr="00AE1FA0">
              <w:rPr>
                <w:rFonts w:ascii="Arial" w:hAnsi="Arial" w:cs="Arial"/>
                <w:noProof/>
                <w:webHidden/>
                <w:color w:val="0000FF" w:themeColor="hyperlink"/>
                <w:kern w:val="0"/>
                <w:sz w:val="24"/>
                <w:szCs w:val="24"/>
                <w:u w:val="single"/>
              </w:rPr>
              <w:fldChar w:fldCharType="begin"/>
            </w:r>
            <w:r w:rsidRPr="00AE1FA0">
              <w:rPr>
                <w:rFonts w:ascii="Arial" w:hAnsi="Arial" w:cs="Arial"/>
                <w:noProof/>
                <w:webHidden/>
                <w:color w:val="0000FF" w:themeColor="hyperlink"/>
                <w:kern w:val="0"/>
                <w:sz w:val="24"/>
                <w:szCs w:val="24"/>
                <w:u w:val="single"/>
              </w:rPr>
              <w:instrText xml:space="preserve"> PAGEREF _Toc534732356 \h </w:instrText>
            </w:r>
            <w:r w:rsidRPr="00AE1FA0">
              <w:rPr>
                <w:rFonts w:ascii="Arial" w:hAnsi="Arial" w:cs="Arial"/>
                <w:noProof/>
                <w:webHidden/>
                <w:color w:val="0000FF" w:themeColor="hyperlink"/>
                <w:kern w:val="0"/>
                <w:sz w:val="24"/>
                <w:szCs w:val="24"/>
                <w:u w:val="single"/>
              </w:rPr>
            </w:r>
            <w:r w:rsidRPr="00AE1FA0">
              <w:rPr>
                <w:rFonts w:ascii="Arial" w:hAnsi="Arial" w:cs="Arial"/>
                <w:noProof/>
                <w:webHidden/>
                <w:color w:val="0000FF" w:themeColor="hyperlink"/>
                <w:kern w:val="0"/>
                <w:sz w:val="24"/>
                <w:szCs w:val="24"/>
                <w:u w:val="single"/>
              </w:rPr>
              <w:fldChar w:fldCharType="separate"/>
            </w:r>
            <w:r w:rsidRPr="00AE1FA0">
              <w:rPr>
                <w:rFonts w:ascii="Arial" w:hAnsi="Arial" w:cs="Arial"/>
                <w:noProof/>
                <w:webHidden/>
                <w:color w:val="0000FF" w:themeColor="hyperlink"/>
                <w:kern w:val="0"/>
                <w:sz w:val="24"/>
                <w:szCs w:val="24"/>
                <w:u w:val="single"/>
              </w:rPr>
              <w:t>31</w:t>
            </w:r>
            <w:r w:rsidRPr="00AE1FA0">
              <w:rPr>
                <w:rFonts w:ascii="Arial" w:hAnsi="Arial" w:cs="Arial"/>
                <w:noProof/>
                <w:webHidden/>
                <w:color w:val="0000FF" w:themeColor="hyperlink"/>
                <w:kern w:val="0"/>
                <w:sz w:val="24"/>
                <w:szCs w:val="24"/>
                <w:u w:val="single"/>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357" w:history="1">
            <w:r w:rsidRPr="00AE1FA0">
              <w:rPr>
                <w:rFonts w:ascii="Arial" w:hAnsi="Arial" w:cs="Arial"/>
                <w:noProof/>
                <w:color w:val="0000FF" w:themeColor="hyperlink"/>
                <w:kern w:val="0"/>
                <w:sz w:val="24"/>
                <w:szCs w:val="24"/>
                <w:u w:val="single"/>
                <w:shd w:val="clear" w:color="auto" w:fill="FFFFFF"/>
              </w:rPr>
              <w:t>Chapter Introduction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_Toc534732357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31</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58" w:history="1">
            <w:r w:rsidRPr="00AE1FA0">
              <w:rPr>
                <w:rFonts w:ascii="Arial" w:hAnsi="Arial" w:cs="Arial"/>
                <w:noProof/>
                <w:color w:val="0000FF" w:themeColor="hyperlink"/>
                <w:kern w:val="0"/>
                <w:sz w:val="24"/>
                <w:szCs w:val="24"/>
                <w:u w:val="single"/>
              </w:rPr>
              <w:t>2.1.</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Conceptualizations of organizational space: From organizational space to spatialized organizations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_Toc534732358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32</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59" w:history="1">
            <w:r w:rsidRPr="00AE1FA0">
              <w:rPr>
                <w:rFonts w:ascii="Arial" w:hAnsi="Arial" w:cs="Arial"/>
                <w:noProof/>
                <w:color w:val="0000FF" w:themeColor="hyperlink"/>
                <w:kern w:val="0"/>
                <w:sz w:val="24"/>
                <w:szCs w:val="24"/>
                <w:u w:val="single"/>
              </w:rPr>
              <w:t>2.2.</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Spatialized organizations: Buildings/Space of organisation and society</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_Toc534732359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38</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60" w:history="1">
            <w:r w:rsidRPr="00AE1FA0">
              <w:rPr>
                <w:rFonts w:ascii="Arial" w:hAnsi="Arial" w:cs="Arial"/>
                <w:noProof/>
                <w:color w:val="0000FF" w:themeColor="hyperlink"/>
                <w:kern w:val="0"/>
                <w:sz w:val="24"/>
                <w:szCs w:val="24"/>
                <w:u w:val="single"/>
              </w:rPr>
              <w:t>2.3.</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Process philosophy of organization studies: from organizations to organizing</w:t>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_Toc534732360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44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61" w:history="1">
            <w:r w:rsidRPr="00AE1FA0">
              <w:rPr>
                <w:rFonts w:ascii="Arial" w:hAnsi="Arial" w:cs="Arial"/>
                <w:noProof/>
                <w:color w:val="0000FF" w:themeColor="hyperlink"/>
                <w:kern w:val="0"/>
                <w:sz w:val="24"/>
                <w:szCs w:val="24"/>
                <w:u w:val="single"/>
              </w:rPr>
              <w:t>2.4.</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Space and time: A historical perspective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_Toc534732361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46</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62" w:history="1">
            <w:r w:rsidRPr="00AE1FA0">
              <w:rPr>
                <w:rFonts w:ascii="Arial" w:hAnsi="Arial" w:cs="Arial"/>
                <w:noProof/>
                <w:color w:val="0000FF" w:themeColor="hyperlink"/>
                <w:kern w:val="0"/>
                <w:sz w:val="24"/>
                <w:szCs w:val="24"/>
                <w:u w:val="single"/>
              </w:rPr>
              <w:t>2.5.</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Social past: New Historicism and historicity</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_Toc534732362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51</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63" w:history="1">
            <w:r w:rsidRPr="00AE1FA0">
              <w:rPr>
                <w:rFonts w:ascii="Arial" w:hAnsi="Arial" w:cs="Arial"/>
                <w:noProof/>
                <w:color w:val="0000FF" w:themeColor="hyperlink"/>
                <w:kern w:val="0"/>
                <w:sz w:val="24"/>
                <w:szCs w:val="24"/>
                <w:u w:val="single"/>
              </w:rPr>
              <w:t>2.6.</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Space is a social product: Lefebvre’s work and contributions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_Toc534732363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56</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64" w:history="1">
            <w:r w:rsidRPr="00AE1FA0">
              <w:rPr>
                <w:rFonts w:ascii="Arial" w:hAnsi="Arial" w:cs="Arial"/>
                <w:noProof/>
                <w:color w:val="0000FF" w:themeColor="hyperlink"/>
                <w:kern w:val="0"/>
                <w:sz w:val="24"/>
                <w:szCs w:val="24"/>
                <w:u w:val="single"/>
              </w:rPr>
              <w:t>2.7.</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Theorizing organizational space: Lefebvre’s triad</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_Toc534732364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64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65" w:history="1">
            <w:r w:rsidRPr="00AE1FA0">
              <w:rPr>
                <w:rFonts w:ascii="Arial" w:hAnsi="Arial" w:cs="Arial"/>
                <w:noProof/>
                <w:color w:val="0000FF" w:themeColor="hyperlink"/>
                <w:kern w:val="0"/>
                <w:sz w:val="24"/>
                <w:szCs w:val="24"/>
                <w:u w:val="single"/>
              </w:rPr>
              <w:t>2.8.</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Applying Lefebvrian theories: Advantages and challenges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_Toc534732365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68</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366" w:history="1">
            <w:r w:rsidRPr="00AE1FA0">
              <w:rPr>
                <w:rFonts w:ascii="Arial" w:hAnsi="Arial" w:cs="Arial"/>
                <w:noProof/>
                <w:color w:val="0000FF" w:themeColor="hyperlink"/>
                <w:kern w:val="0"/>
                <w:sz w:val="24"/>
                <w:szCs w:val="24"/>
                <w:u w:val="single"/>
              </w:rPr>
              <w:t>Chapter Conclusion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_Toc534732366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70</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259" w:lineRule="auto"/>
            <w:jc w:val="left"/>
            <w:rPr>
              <w:rFonts w:ascii="Arial" w:hAnsi="Arial" w:cs="Arial"/>
              <w:noProof/>
              <w:color w:val="0000FF" w:themeColor="hyperlink"/>
              <w:kern w:val="0"/>
              <w:sz w:val="24"/>
              <w:szCs w:val="24"/>
              <w:u w:val="single"/>
            </w:rPr>
          </w:pPr>
          <w:hyperlink w:anchor="_Toc534732367" w:history="1">
            <w:r w:rsidRPr="00AE1FA0">
              <w:rPr>
                <w:rFonts w:ascii="Arial" w:hAnsi="Arial" w:cs="Arial"/>
                <w:noProof/>
                <w:color w:val="0000FF" w:themeColor="hyperlink"/>
                <w:kern w:val="0"/>
                <w:sz w:val="24"/>
                <w:szCs w:val="24"/>
                <w:u w:val="single"/>
              </w:rPr>
              <w:t>Chapter Three Methodology and empirical case</w:t>
            </w:r>
            <w:r w:rsidRPr="00AE1FA0">
              <w:rPr>
                <w:rFonts w:ascii="Arial" w:hAnsi="Arial" w:cs="Arial"/>
                <w:noProof/>
                <w:webHidden/>
                <w:color w:val="0000FF" w:themeColor="hyperlink"/>
                <w:kern w:val="0"/>
                <w:sz w:val="24"/>
                <w:szCs w:val="24"/>
                <w:u w:val="single"/>
              </w:rPr>
              <w:tab/>
            </w:r>
            <w:r w:rsidRPr="00AE1FA0">
              <w:rPr>
                <w:rFonts w:ascii="Arial" w:hAnsi="Arial" w:cs="Arial"/>
                <w:noProof/>
                <w:webHidden/>
                <w:color w:val="0000FF" w:themeColor="hyperlink"/>
                <w:kern w:val="0"/>
                <w:sz w:val="24"/>
                <w:szCs w:val="24"/>
                <w:u w:val="single"/>
              </w:rPr>
              <w:fldChar w:fldCharType="begin"/>
            </w:r>
            <w:r w:rsidRPr="00AE1FA0">
              <w:rPr>
                <w:rFonts w:ascii="Arial" w:hAnsi="Arial" w:cs="Arial"/>
                <w:noProof/>
                <w:webHidden/>
                <w:color w:val="0000FF" w:themeColor="hyperlink"/>
                <w:kern w:val="0"/>
                <w:sz w:val="24"/>
                <w:szCs w:val="24"/>
                <w:u w:val="single"/>
              </w:rPr>
              <w:instrText xml:space="preserve"> PAGEREF _Toc534732367 \h </w:instrText>
            </w:r>
            <w:r w:rsidRPr="00AE1FA0">
              <w:rPr>
                <w:rFonts w:ascii="Arial" w:hAnsi="Arial" w:cs="Arial"/>
                <w:noProof/>
                <w:webHidden/>
                <w:color w:val="0000FF" w:themeColor="hyperlink"/>
                <w:kern w:val="0"/>
                <w:sz w:val="24"/>
                <w:szCs w:val="24"/>
                <w:u w:val="single"/>
              </w:rPr>
            </w:r>
            <w:r w:rsidRPr="00AE1FA0">
              <w:rPr>
                <w:rFonts w:ascii="Arial" w:hAnsi="Arial" w:cs="Arial"/>
                <w:noProof/>
                <w:webHidden/>
                <w:color w:val="0000FF" w:themeColor="hyperlink"/>
                <w:kern w:val="0"/>
                <w:sz w:val="24"/>
                <w:szCs w:val="24"/>
                <w:u w:val="single"/>
              </w:rPr>
              <w:fldChar w:fldCharType="separate"/>
            </w:r>
            <w:r w:rsidRPr="00AE1FA0">
              <w:rPr>
                <w:rFonts w:ascii="Arial" w:hAnsi="Arial" w:cs="Arial"/>
                <w:noProof/>
                <w:webHidden/>
                <w:color w:val="0000FF" w:themeColor="hyperlink"/>
                <w:kern w:val="0"/>
                <w:sz w:val="24"/>
                <w:szCs w:val="24"/>
                <w:u w:val="single"/>
              </w:rPr>
              <w:t>72</w:t>
            </w:r>
            <w:r w:rsidRPr="00AE1FA0">
              <w:rPr>
                <w:rFonts w:ascii="Arial" w:hAnsi="Arial" w:cs="Arial"/>
                <w:noProof/>
                <w:webHidden/>
                <w:color w:val="0000FF" w:themeColor="hyperlink"/>
                <w:kern w:val="0"/>
                <w:sz w:val="24"/>
                <w:szCs w:val="24"/>
                <w:u w:val="single"/>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368" w:history="1">
            <w:r w:rsidRPr="00AE1FA0">
              <w:rPr>
                <w:rFonts w:ascii="Arial" w:hAnsi="Arial" w:cs="Arial"/>
                <w:noProof/>
                <w:color w:val="0000FF" w:themeColor="hyperlink"/>
                <w:kern w:val="0"/>
                <w:sz w:val="24"/>
                <w:szCs w:val="24"/>
                <w:u w:val="single"/>
              </w:rPr>
              <w:t>Chapter Introduction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_Toc534732368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72</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70" w:history="1">
            <w:r w:rsidRPr="00AE1FA0">
              <w:rPr>
                <w:rFonts w:ascii="Arial" w:hAnsi="Arial" w:cs="Arial"/>
                <w:noProof/>
                <w:color w:val="0000FF" w:themeColor="hyperlink"/>
                <w:kern w:val="0"/>
                <w:sz w:val="24"/>
                <w:szCs w:val="24"/>
                <w:u w:val="single"/>
              </w:rPr>
              <w:t>3.1.</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Framing research questions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_Toc534732370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72</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71" w:history="1">
            <w:r w:rsidRPr="00AE1FA0">
              <w:rPr>
                <w:rFonts w:ascii="Arial" w:hAnsi="Arial" w:cs="Arial"/>
                <w:noProof/>
                <w:color w:val="0000FF" w:themeColor="hyperlink"/>
                <w:kern w:val="0"/>
                <w:sz w:val="24"/>
                <w:szCs w:val="24"/>
                <w:u w:val="single"/>
              </w:rPr>
              <w:t>3.2.</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Phenomenology: A philosophical movement to lived experience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_Toc534732371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77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72" w:history="1">
            <w:r w:rsidRPr="00AE1FA0">
              <w:rPr>
                <w:rFonts w:ascii="Arial" w:hAnsi="Arial" w:cs="Arial"/>
                <w:noProof/>
                <w:color w:val="0000FF" w:themeColor="hyperlink"/>
                <w:kern w:val="0"/>
                <w:sz w:val="24"/>
                <w:szCs w:val="24"/>
                <w:u w:val="single"/>
              </w:rPr>
              <w:t>3.3.</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Research design: A case study of Founder’s Building</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_Toc534732372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81</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73" w:history="1">
            <w:r w:rsidRPr="00AE1FA0">
              <w:rPr>
                <w:rFonts w:ascii="Arial" w:hAnsi="Arial" w:cs="Arial"/>
                <w:noProof/>
                <w:color w:val="0000FF" w:themeColor="hyperlink"/>
                <w:kern w:val="0"/>
                <w:sz w:val="24"/>
                <w:szCs w:val="24"/>
                <w:u w:val="single"/>
              </w:rPr>
              <w:t>3.3.1. A twin-track approach</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_Toc534732373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83</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74" w:history="1">
            <w:r w:rsidRPr="00AE1FA0">
              <w:rPr>
                <w:rFonts w:ascii="Arial" w:hAnsi="Arial" w:cs="Arial"/>
                <w:noProof/>
                <w:color w:val="0000FF" w:themeColor="hyperlink"/>
                <w:kern w:val="0"/>
                <w:sz w:val="24"/>
                <w:szCs w:val="24"/>
                <w:u w:val="single"/>
              </w:rPr>
              <w:t>3.3.2. Archival material</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_Toc534732374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84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75" w:history="1">
            <w:r w:rsidRPr="00AE1FA0">
              <w:rPr>
                <w:rFonts w:ascii="Arial" w:hAnsi="Arial" w:cs="Arial"/>
                <w:noProof/>
                <w:color w:val="0000FF" w:themeColor="hyperlink"/>
                <w:kern w:val="0"/>
                <w:sz w:val="24"/>
                <w:szCs w:val="24"/>
                <w:u w:val="single"/>
              </w:rPr>
              <w:t>3.3.3. Semi-structured interviewing</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_Toc534732375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88</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76" w:history="1">
            <w:r w:rsidRPr="00AE1FA0">
              <w:rPr>
                <w:rFonts w:ascii="Arial" w:hAnsi="Arial" w:cs="Arial"/>
                <w:noProof/>
                <w:color w:val="0000FF" w:themeColor="hyperlink"/>
                <w:kern w:val="0"/>
                <w:sz w:val="24"/>
                <w:szCs w:val="24"/>
                <w:u w:val="single"/>
              </w:rPr>
              <w:t>3.4.</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Reflexive twin-track framework: An overall analytical strategy</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_Toc534732376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92</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77" w:history="1">
            <w:r w:rsidRPr="00AE1FA0">
              <w:rPr>
                <w:rFonts w:ascii="Arial" w:hAnsi="Arial" w:cs="Arial"/>
                <w:noProof/>
                <w:color w:val="0000FF" w:themeColor="hyperlink"/>
                <w:kern w:val="0"/>
                <w:sz w:val="24"/>
                <w:szCs w:val="24"/>
                <w:u w:val="single"/>
              </w:rPr>
              <w:t>3.4.1. Analytical approach of archival materials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_Toc534732377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93</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78" w:history="1">
            <w:r w:rsidRPr="00AE1FA0">
              <w:rPr>
                <w:rFonts w:ascii="Arial" w:hAnsi="Arial" w:cs="Arial"/>
                <w:noProof/>
                <w:color w:val="0000FF" w:themeColor="hyperlink"/>
                <w:kern w:val="0"/>
                <w:sz w:val="24"/>
                <w:szCs w:val="24"/>
                <w:u w:val="single"/>
              </w:rPr>
              <w:t>3.4.2. Analytical approach of interviewing material</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_Toc534732378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97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79" w:history="1">
            <w:r w:rsidRPr="00AE1FA0">
              <w:rPr>
                <w:rFonts w:ascii="Arial" w:hAnsi="Arial" w:cs="Arial"/>
                <w:noProof/>
                <w:color w:val="0000FF" w:themeColor="hyperlink"/>
                <w:kern w:val="0"/>
                <w:sz w:val="24"/>
                <w:szCs w:val="24"/>
                <w:u w:val="single"/>
              </w:rPr>
              <w:t>3.5.</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Ethical considerations: Being an insider and outsider</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_Toc534732379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100</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80" w:history="1">
            <w:r w:rsidRPr="00AE1FA0">
              <w:rPr>
                <w:rFonts w:ascii="Arial" w:hAnsi="Arial" w:cs="Arial"/>
                <w:noProof/>
                <w:color w:val="0000FF" w:themeColor="hyperlink"/>
                <w:kern w:val="0"/>
                <w:sz w:val="24"/>
                <w:szCs w:val="24"/>
                <w:u w:val="single"/>
              </w:rPr>
              <w:t>3.6.</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Being a reflexive researcher</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_Toc534732380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102</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color w:val="0000FF" w:themeColor="hyperlink"/>
              <w:kern w:val="0"/>
              <w:sz w:val="24"/>
              <w:szCs w:val="24"/>
              <w:u w:val="single"/>
            </w:rPr>
          </w:pPr>
          <w:hyperlink w:anchor="_Toc534732381" w:history="1">
            <w:r w:rsidRPr="00AE1FA0">
              <w:rPr>
                <w:rFonts w:ascii="Arial" w:hAnsi="Arial" w:cs="Arial"/>
                <w:noProof/>
                <w:color w:val="0000FF" w:themeColor="hyperlink"/>
                <w:kern w:val="0"/>
                <w:sz w:val="24"/>
                <w:szCs w:val="24"/>
                <w:u w:val="single"/>
              </w:rPr>
              <w:t xml:space="preserve">Chapter Four Beyond the encounter: Experiencing space over </w:t>
            </w:r>
            <w:r w:rsidRPr="00AE1FA0">
              <w:rPr>
                <w:rFonts w:ascii="Arial" w:hAnsi="Arial" w:cs="Arial"/>
                <w:noProof/>
                <w:webHidden/>
                <w:color w:val="0000FF" w:themeColor="hyperlink"/>
                <w:kern w:val="0"/>
                <w:sz w:val="24"/>
                <w:szCs w:val="24"/>
                <w:u w:val="single"/>
              </w:rPr>
              <w:tab/>
            </w:r>
            <w:r w:rsidRPr="00AE1FA0">
              <w:rPr>
                <w:rFonts w:ascii="Arial" w:hAnsi="Arial" w:cs="Arial"/>
                <w:noProof/>
                <w:webHidden/>
                <w:color w:val="0000FF" w:themeColor="hyperlink"/>
                <w:kern w:val="0"/>
                <w:sz w:val="24"/>
                <w:szCs w:val="24"/>
                <w:u w:val="single"/>
              </w:rPr>
              <w:fldChar w:fldCharType="begin"/>
            </w:r>
            <w:r w:rsidRPr="00AE1FA0">
              <w:rPr>
                <w:rFonts w:ascii="Arial" w:hAnsi="Arial" w:cs="Arial"/>
                <w:noProof/>
                <w:webHidden/>
                <w:color w:val="0000FF" w:themeColor="hyperlink"/>
                <w:kern w:val="0"/>
                <w:sz w:val="24"/>
                <w:szCs w:val="24"/>
                <w:u w:val="single"/>
              </w:rPr>
              <w:instrText xml:space="preserve"> PAGEREF _Toc534732381 \h </w:instrText>
            </w:r>
            <w:r w:rsidRPr="00AE1FA0">
              <w:rPr>
                <w:rFonts w:ascii="Arial" w:hAnsi="Arial" w:cs="Arial"/>
                <w:noProof/>
                <w:webHidden/>
                <w:color w:val="0000FF" w:themeColor="hyperlink"/>
                <w:kern w:val="0"/>
                <w:sz w:val="24"/>
                <w:szCs w:val="24"/>
                <w:u w:val="single"/>
              </w:rPr>
            </w:r>
            <w:r w:rsidRPr="00AE1FA0">
              <w:rPr>
                <w:rFonts w:ascii="Arial" w:hAnsi="Arial" w:cs="Arial"/>
                <w:noProof/>
                <w:webHidden/>
                <w:color w:val="0000FF" w:themeColor="hyperlink"/>
                <w:kern w:val="0"/>
                <w:sz w:val="24"/>
                <w:szCs w:val="24"/>
                <w:u w:val="single"/>
              </w:rPr>
              <w:fldChar w:fldCharType="separate"/>
            </w:r>
            <w:r w:rsidRPr="00AE1FA0">
              <w:rPr>
                <w:rFonts w:ascii="Arial" w:hAnsi="Arial" w:cs="Arial"/>
                <w:noProof/>
                <w:webHidden/>
                <w:color w:val="0000FF" w:themeColor="hyperlink"/>
                <w:kern w:val="0"/>
                <w:sz w:val="24"/>
                <w:szCs w:val="24"/>
                <w:u w:val="single"/>
              </w:rPr>
              <w:t>107</w:t>
            </w:r>
            <w:r w:rsidRPr="00AE1FA0">
              <w:rPr>
                <w:rFonts w:ascii="Arial" w:hAnsi="Arial" w:cs="Arial"/>
                <w:noProof/>
                <w:webHidden/>
                <w:color w:val="0000FF" w:themeColor="hyperlink"/>
                <w:kern w:val="0"/>
                <w:sz w:val="24"/>
                <w:szCs w:val="24"/>
                <w:u w:val="single"/>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382" w:history="1">
            <w:r w:rsidRPr="00AE1FA0">
              <w:rPr>
                <w:rFonts w:ascii="Arial" w:hAnsi="Arial" w:cs="Arial"/>
                <w:noProof/>
                <w:color w:val="0000FF" w:themeColor="hyperlink"/>
                <w:kern w:val="0"/>
                <w:sz w:val="24"/>
                <w:szCs w:val="24"/>
                <w:u w:val="single"/>
              </w:rPr>
              <w:t>Chapter Introduction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_Toc534732382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107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84" w:history="1">
            <w:r w:rsidRPr="00AE1FA0">
              <w:rPr>
                <w:rFonts w:ascii="Arial" w:hAnsi="Arial" w:cs="Arial"/>
                <w:noProof/>
                <w:color w:val="0000FF" w:themeColor="hyperlink"/>
                <w:kern w:val="0"/>
                <w:sz w:val="24"/>
                <w:szCs w:val="24"/>
                <w:u w:val="single"/>
              </w:rPr>
              <w:t>4.1.</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Experiencing Founder’s Building over time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_Toc534732384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108</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85" w:history="1">
            <w:r w:rsidRPr="00AE1FA0">
              <w:rPr>
                <w:rFonts w:ascii="Arial" w:hAnsi="Arial" w:cs="Arial"/>
                <w:noProof/>
                <w:color w:val="0000FF" w:themeColor="hyperlink"/>
                <w:kern w:val="0"/>
                <w:sz w:val="24"/>
                <w:szCs w:val="24"/>
                <w:u w:val="single"/>
              </w:rPr>
              <w:t>4.2.</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Implications behind a separate-sphered space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_Toc534732385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117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86" w:history="1">
            <w:r w:rsidRPr="00AE1FA0">
              <w:rPr>
                <w:rFonts w:ascii="Arial" w:hAnsi="Arial" w:cs="Arial"/>
                <w:noProof/>
                <w:color w:val="0000FF" w:themeColor="hyperlink"/>
                <w:kern w:val="0"/>
                <w:sz w:val="24"/>
                <w:szCs w:val="24"/>
                <w:u w:val="single"/>
              </w:rPr>
              <w:t>4.2.1. Separate-sphered space and safety</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_Toc534732386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117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87" w:history="1">
            <w:r w:rsidRPr="00AE1FA0">
              <w:rPr>
                <w:rFonts w:ascii="Arial" w:hAnsi="Arial" w:cs="Arial"/>
                <w:noProof/>
                <w:color w:val="0000FF" w:themeColor="hyperlink"/>
                <w:kern w:val="0"/>
                <w:sz w:val="24"/>
                <w:szCs w:val="24"/>
                <w:u w:val="single"/>
              </w:rPr>
              <w:t>4.2.2. Separate-sphered space for a Ladies’ College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_Toc534732387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124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88" w:history="1">
            <w:r w:rsidRPr="00AE1FA0">
              <w:rPr>
                <w:rFonts w:ascii="Arial" w:hAnsi="Arial" w:cs="Arial"/>
                <w:noProof/>
                <w:color w:val="0000FF" w:themeColor="hyperlink"/>
                <w:kern w:val="0"/>
                <w:sz w:val="24"/>
                <w:szCs w:val="24"/>
                <w:u w:val="single"/>
              </w:rPr>
              <w:t>4.3.</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Founder’s Building as a negotiated space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_Toc534732388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127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389" w:history="1">
            <w:r w:rsidRPr="00AE1FA0">
              <w:rPr>
                <w:rFonts w:ascii="Arial" w:hAnsi="Arial" w:cs="Arial"/>
                <w:noProof/>
                <w:color w:val="0000FF" w:themeColor="hyperlink"/>
                <w:kern w:val="0"/>
                <w:sz w:val="24"/>
                <w:szCs w:val="24"/>
                <w:u w:val="single"/>
              </w:rPr>
              <w:t>Chapter Conclusion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_Toc534732389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134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color w:val="0000FF" w:themeColor="hyperlink"/>
              <w:kern w:val="0"/>
              <w:sz w:val="24"/>
              <w:szCs w:val="24"/>
              <w:u w:val="single"/>
            </w:rPr>
          </w:pPr>
          <w:hyperlink w:anchor="_Toc534732390" w:history="1">
            <w:r w:rsidRPr="00AE1FA0">
              <w:rPr>
                <w:rFonts w:ascii="Arial" w:hAnsi="Arial" w:cs="Arial"/>
                <w:noProof/>
                <w:color w:val="0000FF" w:themeColor="hyperlink"/>
                <w:kern w:val="0"/>
                <w:sz w:val="24"/>
                <w:szCs w:val="24"/>
                <w:u w:val="single"/>
              </w:rPr>
              <w:t>Chapter Five Linking space and history: The significance of the term ‘Victorian</w:t>
            </w:r>
            <w:r w:rsidRPr="00AE1FA0">
              <w:rPr>
                <w:rFonts w:ascii="Arial" w:hAnsi="Arial" w:cs="Arial"/>
                <w:noProof/>
                <w:webHidden/>
                <w:color w:val="0000FF" w:themeColor="hyperlink"/>
                <w:kern w:val="0"/>
                <w:sz w:val="24"/>
                <w:szCs w:val="24"/>
                <w:u w:val="single"/>
              </w:rPr>
              <w:tab/>
            </w:r>
            <w:r w:rsidRPr="00AE1FA0">
              <w:rPr>
                <w:rFonts w:ascii="Arial" w:hAnsi="Arial" w:cs="Arial"/>
                <w:noProof/>
                <w:webHidden/>
                <w:color w:val="0000FF" w:themeColor="hyperlink"/>
                <w:kern w:val="0"/>
                <w:sz w:val="24"/>
                <w:szCs w:val="24"/>
                <w:u w:val="single"/>
              </w:rPr>
              <w:fldChar w:fldCharType="begin"/>
            </w:r>
            <w:r w:rsidRPr="00AE1FA0">
              <w:rPr>
                <w:rFonts w:ascii="Arial" w:hAnsi="Arial" w:cs="Arial"/>
                <w:noProof/>
                <w:webHidden/>
                <w:color w:val="0000FF" w:themeColor="hyperlink"/>
                <w:kern w:val="0"/>
                <w:sz w:val="24"/>
                <w:szCs w:val="24"/>
                <w:u w:val="single"/>
              </w:rPr>
              <w:instrText xml:space="preserve"> PAGEREF _Toc534732390 \h </w:instrText>
            </w:r>
            <w:r w:rsidRPr="00AE1FA0">
              <w:rPr>
                <w:rFonts w:ascii="Arial" w:hAnsi="Arial" w:cs="Arial"/>
                <w:noProof/>
                <w:webHidden/>
                <w:color w:val="0000FF" w:themeColor="hyperlink"/>
                <w:kern w:val="0"/>
                <w:sz w:val="24"/>
                <w:szCs w:val="24"/>
                <w:u w:val="single"/>
              </w:rPr>
            </w:r>
            <w:r w:rsidRPr="00AE1FA0">
              <w:rPr>
                <w:rFonts w:ascii="Arial" w:hAnsi="Arial" w:cs="Arial"/>
                <w:noProof/>
                <w:webHidden/>
                <w:color w:val="0000FF" w:themeColor="hyperlink"/>
                <w:kern w:val="0"/>
                <w:sz w:val="24"/>
                <w:szCs w:val="24"/>
                <w:u w:val="single"/>
              </w:rPr>
              <w:fldChar w:fldCharType="separate"/>
            </w:r>
            <w:r w:rsidRPr="00AE1FA0">
              <w:rPr>
                <w:rFonts w:ascii="Arial" w:hAnsi="Arial" w:cs="Arial"/>
                <w:noProof/>
                <w:webHidden/>
                <w:color w:val="0000FF" w:themeColor="hyperlink"/>
                <w:kern w:val="0"/>
                <w:sz w:val="24"/>
                <w:szCs w:val="24"/>
                <w:u w:val="single"/>
              </w:rPr>
              <w:t>137</w:t>
            </w:r>
            <w:r w:rsidRPr="00AE1FA0">
              <w:rPr>
                <w:rFonts w:ascii="Arial" w:hAnsi="Arial" w:cs="Arial"/>
                <w:noProof/>
                <w:webHidden/>
                <w:color w:val="0000FF" w:themeColor="hyperlink"/>
                <w:kern w:val="0"/>
                <w:sz w:val="24"/>
                <w:szCs w:val="24"/>
                <w:u w:val="single"/>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391" w:history="1">
            <w:r w:rsidRPr="00AE1FA0">
              <w:rPr>
                <w:rFonts w:ascii="Arial" w:hAnsi="Arial" w:cs="Arial"/>
                <w:noProof/>
                <w:color w:val="0000FF" w:themeColor="hyperlink"/>
                <w:kern w:val="0"/>
                <w:sz w:val="24"/>
                <w:szCs w:val="24"/>
                <w:u w:val="single"/>
              </w:rPr>
              <w:t>Chapter Introduction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_Toc534732391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137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93" w:history="1">
            <w:r w:rsidRPr="00AE1FA0">
              <w:rPr>
                <w:rFonts w:ascii="Arial" w:hAnsi="Arial" w:cs="Arial"/>
                <w:noProof/>
                <w:color w:val="0000FF" w:themeColor="hyperlink"/>
                <w:kern w:val="0"/>
                <w:sz w:val="24"/>
                <w:szCs w:val="24"/>
                <w:u w:val="single"/>
              </w:rPr>
              <w:t>5.1.</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‘Victorian’ as a key discursive term</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_Toc534732393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138</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394" w:history="1">
            <w:r w:rsidRPr="00AE1FA0">
              <w:rPr>
                <w:rFonts w:ascii="Arial" w:hAnsi="Arial" w:cs="Arial"/>
                <w:noProof/>
                <w:color w:val="0000FF" w:themeColor="hyperlink"/>
                <w:kern w:val="0"/>
                <w:sz w:val="24"/>
                <w:szCs w:val="24"/>
                <w:u w:val="single"/>
              </w:rPr>
              <w:t>5.2.</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How Founder’s Building become a ‘Victorian’ space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_Toc534732394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141</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95" w:history="1">
            <w:r w:rsidRPr="00AE1FA0">
              <w:rPr>
                <w:rFonts w:ascii="Arial" w:hAnsi="Arial" w:cs="Arial"/>
                <w:noProof/>
                <w:color w:val="0000FF" w:themeColor="hyperlink"/>
                <w:kern w:val="0"/>
                <w:sz w:val="24"/>
                <w:szCs w:val="24"/>
                <w:u w:val="single"/>
              </w:rPr>
              <w:t>5.2.1. Homeliness and ‘Victorian’ lifestyle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_Toc534732395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147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396" w:history="1">
            <w:r w:rsidRPr="00AE1FA0">
              <w:rPr>
                <w:rFonts w:ascii="Arial" w:hAnsi="Arial" w:cs="Arial"/>
                <w:noProof/>
                <w:color w:val="0000FF" w:themeColor="hyperlink"/>
                <w:kern w:val="0"/>
                <w:sz w:val="24"/>
                <w:szCs w:val="24"/>
                <w:u w:val="single"/>
              </w:rPr>
              <w:t>5.3. How ‘Victorian’ is alive in Founder’s Building</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_Toc534732396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153</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97" w:history="1">
            <w:r w:rsidRPr="00AE1FA0">
              <w:rPr>
                <w:rFonts w:ascii="Arial" w:hAnsi="Arial" w:cs="Arial"/>
                <w:noProof/>
                <w:color w:val="0000FF" w:themeColor="hyperlink"/>
                <w:kern w:val="0"/>
                <w:sz w:val="24"/>
                <w:szCs w:val="24"/>
                <w:u w:val="single"/>
              </w:rPr>
              <w:t>5.3.1. Alive through becoming an historic space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_Toc534732397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153</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398" w:history="1">
            <w:r w:rsidRPr="00AE1FA0">
              <w:rPr>
                <w:rFonts w:ascii="Arial" w:hAnsi="Arial" w:cs="Arial"/>
                <w:noProof/>
                <w:color w:val="0000FF" w:themeColor="hyperlink"/>
                <w:kern w:val="0"/>
                <w:sz w:val="24"/>
                <w:szCs w:val="24"/>
                <w:u w:val="single"/>
              </w:rPr>
              <w:t>5.3.2. Alive through persistent physicality of ‘Victorian’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_Toc534732398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157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399" w:history="1">
            <w:r w:rsidRPr="00AE1FA0">
              <w:rPr>
                <w:rFonts w:ascii="Arial" w:hAnsi="Arial" w:cs="Arial"/>
                <w:noProof/>
                <w:color w:val="0000FF" w:themeColor="hyperlink"/>
                <w:kern w:val="0"/>
                <w:sz w:val="24"/>
                <w:szCs w:val="24"/>
                <w:u w:val="single"/>
              </w:rPr>
              <w:t>Chapter Conclusion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_Toc534732399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160</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eastAsia="宋体" w:hAnsi="Arial" w:cs="Arial"/>
              <w:noProof/>
              <w:color w:val="0000FF" w:themeColor="hyperlink"/>
              <w:kern w:val="0"/>
              <w:sz w:val="24"/>
              <w:szCs w:val="24"/>
              <w:u w:val="single"/>
            </w:rPr>
          </w:pPr>
          <w:hyperlink w:anchor="_Toc534732400" w:history="1">
            <w:r w:rsidRPr="00AE1FA0">
              <w:rPr>
                <w:rFonts w:ascii="Arial" w:eastAsia="宋体" w:hAnsi="Arial" w:cs="Arial"/>
                <w:noProof/>
                <w:color w:val="0000FF" w:themeColor="hyperlink"/>
                <w:kern w:val="0"/>
                <w:sz w:val="24"/>
                <w:szCs w:val="24"/>
                <w:u w:val="single"/>
              </w:rPr>
              <w:t>Chapter Six Discussion: Reflections on theory, history and method</w:t>
            </w:r>
            <w:r w:rsidRPr="00AE1FA0">
              <w:rPr>
                <w:rFonts w:ascii="Arial" w:hAnsi="Arial" w:cs="Arial"/>
                <w:noProof/>
                <w:webHidden/>
                <w:color w:val="0000FF" w:themeColor="hyperlink"/>
                <w:kern w:val="0"/>
                <w:sz w:val="24"/>
                <w:szCs w:val="24"/>
                <w:u w:val="single"/>
              </w:rPr>
              <w:tab/>
            </w:r>
            <w:r w:rsidRPr="00AE1FA0">
              <w:rPr>
                <w:rFonts w:ascii="Arial" w:hAnsi="Arial" w:cs="Arial"/>
                <w:noProof/>
                <w:webHidden/>
                <w:color w:val="0000FF" w:themeColor="hyperlink"/>
                <w:kern w:val="0"/>
                <w:sz w:val="24"/>
                <w:szCs w:val="24"/>
                <w:u w:val="single"/>
              </w:rPr>
              <w:fldChar w:fldCharType="begin"/>
            </w:r>
            <w:r w:rsidRPr="00AE1FA0">
              <w:rPr>
                <w:rFonts w:ascii="Arial" w:hAnsi="Arial" w:cs="Arial"/>
                <w:noProof/>
                <w:webHidden/>
                <w:color w:val="0000FF" w:themeColor="hyperlink"/>
                <w:kern w:val="0"/>
                <w:sz w:val="24"/>
                <w:szCs w:val="24"/>
                <w:u w:val="single"/>
              </w:rPr>
              <w:instrText xml:space="preserve"> PAGEREF _Toc534732400 \h </w:instrText>
            </w:r>
            <w:r w:rsidRPr="00AE1FA0">
              <w:rPr>
                <w:rFonts w:ascii="Arial" w:hAnsi="Arial" w:cs="Arial"/>
                <w:noProof/>
                <w:webHidden/>
                <w:color w:val="0000FF" w:themeColor="hyperlink"/>
                <w:kern w:val="0"/>
                <w:sz w:val="24"/>
                <w:szCs w:val="24"/>
                <w:u w:val="single"/>
              </w:rPr>
            </w:r>
            <w:r w:rsidRPr="00AE1FA0">
              <w:rPr>
                <w:rFonts w:ascii="Arial" w:hAnsi="Arial" w:cs="Arial"/>
                <w:noProof/>
                <w:webHidden/>
                <w:color w:val="0000FF" w:themeColor="hyperlink"/>
                <w:kern w:val="0"/>
                <w:sz w:val="24"/>
                <w:szCs w:val="24"/>
                <w:u w:val="single"/>
              </w:rPr>
              <w:fldChar w:fldCharType="separate"/>
            </w:r>
            <w:r w:rsidRPr="00AE1FA0">
              <w:rPr>
                <w:rFonts w:ascii="Arial" w:hAnsi="Arial" w:cs="Arial"/>
                <w:noProof/>
                <w:webHidden/>
                <w:color w:val="0000FF" w:themeColor="hyperlink"/>
                <w:kern w:val="0"/>
                <w:sz w:val="24"/>
                <w:szCs w:val="24"/>
                <w:u w:val="single"/>
              </w:rPr>
              <w:t>162</w:t>
            </w:r>
            <w:r w:rsidRPr="00AE1FA0">
              <w:rPr>
                <w:rFonts w:ascii="Arial" w:hAnsi="Arial" w:cs="Arial"/>
                <w:noProof/>
                <w:webHidden/>
                <w:color w:val="0000FF" w:themeColor="hyperlink"/>
                <w:kern w:val="0"/>
                <w:sz w:val="24"/>
                <w:szCs w:val="24"/>
                <w:u w:val="single"/>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401" w:history="1">
            <w:r w:rsidRPr="00AE1FA0">
              <w:rPr>
                <w:rFonts w:ascii="Arial" w:eastAsia="宋体" w:hAnsi="Arial" w:cs="Arial"/>
                <w:noProof/>
                <w:color w:val="0000FF" w:themeColor="hyperlink"/>
                <w:kern w:val="0"/>
                <w:sz w:val="24"/>
                <w:szCs w:val="24"/>
                <w:u w:val="single"/>
              </w:rPr>
              <w:t>Chapter Introduction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_Toc534732401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162</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403" w:history="1">
            <w:r w:rsidRPr="00AE1FA0">
              <w:rPr>
                <w:rFonts w:ascii="Arial" w:hAnsi="Arial" w:cs="Arial"/>
                <w:noProof/>
                <w:color w:val="0000FF" w:themeColor="hyperlink"/>
                <w:kern w:val="0"/>
                <w:sz w:val="24"/>
                <w:szCs w:val="24"/>
                <w:u w:val="single"/>
              </w:rPr>
              <w:t>6.1.</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Reflection on a process worldview</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_Toc534732403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163</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404" w:history="1">
            <w:r w:rsidRPr="00AE1FA0">
              <w:rPr>
                <w:rFonts w:ascii="Arial" w:eastAsia="宋体" w:hAnsi="Arial" w:cs="Arial"/>
                <w:noProof/>
                <w:color w:val="0000FF" w:themeColor="hyperlink"/>
                <w:kern w:val="0"/>
                <w:sz w:val="24"/>
                <w:szCs w:val="24"/>
                <w:u w:val="single"/>
              </w:rPr>
              <w:t>6.2.</w:t>
            </w:r>
            <w:r w:rsidRPr="00AE1FA0">
              <w:rPr>
                <w:rFonts w:ascii="Arial" w:hAnsi="Arial" w:cs="Arial"/>
                <w:noProof/>
                <w:sz w:val="24"/>
                <w:szCs w:val="24"/>
                <w:lang w:val="en-US"/>
              </w:rPr>
              <w:tab/>
            </w:r>
            <w:r w:rsidRPr="00AE1FA0">
              <w:rPr>
                <w:rFonts w:ascii="Arial" w:eastAsia="宋体" w:hAnsi="Arial" w:cs="Arial"/>
                <w:noProof/>
                <w:color w:val="0000FF" w:themeColor="hyperlink"/>
                <w:kern w:val="0"/>
                <w:sz w:val="24"/>
                <w:szCs w:val="24"/>
                <w:u w:val="single"/>
              </w:rPr>
              <w:t>Reflection on writing a Lefebvrian study</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_Toc534732404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165</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05" w:history="1">
            <w:r w:rsidRPr="00AE1FA0">
              <w:rPr>
                <w:rFonts w:ascii="Arial" w:eastAsia="宋体" w:hAnsi="Arial" w:cs="Arial"/>
                <w:noProof/>
                <w:color w:val="0000FF" w:themeColor="hyperlink"/>
                <w:kern w:val="0"/>
                <w:sz w:val="24"/>
                <w:szCs w:val="24"/>
                <w:u w:val="single"/>
              </w:rPr>
              <w:t>6.2.1. Lefebvre’s triad as an integrated heuristic device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_Toc534732405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166</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06" w:history="1">
            <w:r w:rsidRPr="00AE1FA0">
              <w:rPr>
                <w:rFonts w:ascii="Arial" w:eastAsia="宋体" w:hAnsi="Arial" w:cs="Arial"/>
                <w:noProof/>
                <w:color w:val="0000FF" w:themeColor="hyperlink"/>
                <w:kern w:val="0"/>
                <w:sz w:val="24"/>
                <w:szCs w:val="24"/>
                <w:u w:val="single"/>
              </w:rPr>
              <w:t>6.2.2. What historicity adds to Lefebvre’s work</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_Toc534732406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167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07" w:history="1">
            <w:r w:rsidRPr="00AE1FA0">
              <w:rPr>
                <w:rFonts w:ascii="Arial" w:eastAsia="宋体" w:hAnsi="Arial" w:cs="Arial"/>
                <w:noProof/>
                <w:color w:val="0000FF" w:themeColor="hyperlink"/>
                <w:kern w:val="0"/>
                <w:sz w:val="24"/>
                <w:szCs w:val="24"/>
                <w:u w:val="single"/>
              </w:rPr>
              <w:t>6.2.3. How the triad is integrated</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_Toc534732407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169</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08" w:history="1">
            <w:r w:rsidRPr="00AE1FA0">
              <w:rPr>
                <w:rFonts w:ascii="Arial" w:eastAsia="宋体" w:hAnsi="Arial" w:cs="Arial"/>
                <w:noProof/>
                <w:color w:val="0000FF" w:themeColor="hyperlink"/>
                <w:kern w:val="0"/>
                <w:sz w:val="24"/>
                <w:szCs w:val="24"/>
                <w:u w:val="single"/>
              </w:rPr>
              <w:t>6.2.4. Benefits and challenges to regard the triad as integrated</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_Toc534732408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172</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409" w:history="1">
            <w:r w:rsidRPr="00AE1FA0">
              <w:rPr>
                <w:rFonts w:ascii="Arial" w:hAnsi="Arial" w:cs="Arial"/>
                <w:noProof/>
                <w:color w:val="0000FF" w:themeColor="hyperlink"/>
                <w:kern w:val="0"/>
                <w:sz w:val="24"/>
                <w:szCs w:val="24"/>
                <w:u w:val="single"/>
              </w:rPr>
              <w:t>6.3.</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Reflection on reflexive twin-track framework</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_Toc534732409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174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10" w:history="1">
            <w:r w:rsidRPr="00AE1FA0">
              <w:rPr>
                <w:rFonts w:ascii="Arial" w:hAnsi="Arial" w:cs="Arial"/>
                <w:noProof/>
                <w:color w:val="0000FF" w:themeColor="hyperlink"/>
                <w:kern w:val="0"/>
                <w:sz w:val="24"/>
                <w:szCs w:val="24"/>
                <w:u w:val="single"/>
              </w:rPr>
              <w:t>6.3.1. Reflecting on the collection of empirical evidence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_Toc534732410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175</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11" w:history="1">
            <w:r w:rsidRPr="00AE1FA0">
              <w:rPr>
                <w:rFonts w:ascii="Arial" w:hAnsi="Arial" w:cs="Arial"/>
                <w:noProof/>
                <w:color w:val="0000FF" w:themeColor="hyperlink"/>
                <w:kern w:val="0"/>
                <w:sz w:val="24"/>
                <w:szCs w:val="24"/>
                <w:u w:val="single"/>
              </w:rPr>
              <w:t>6.3.2. Reflecting on analysis process of empirical evidence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_Toc534732411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179</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220"/>
            <w:jc w:val="left"/>
            <w:rPr>
              <w:rFonts w:ascii="Arial" w:hAnsi="Arial" w:cs="Arial"/>
              <w:noProof/>
              <w:sz w:val="24"/>
              <w:szCs w:val="24"/>
              <w:lang w:val="en-US"/>
            </w:rPr>
          </w:pPr>
          <w:hyperlink w:anchor="_Toc534732412" w:history="1">
            <w:r w:rsidRPr="00AE1FA0">
              <w:rPr>
                <w:rFonts w:ascii="Arial" w:hAnsi="Arial" w:cs="Arial"/>
                <w:noProof/>
                <w:color w:val="0000FF" w:themeColor="hyperlink"/>
                <w:kern w:val="0"/>
                <w:sz w:val="24"/>
                <w:szCs w:val="24"/>
                <w:u w:val="single"/>
              </w:rPr>
              <w:t>Chapter Conclusion</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_Toc534732412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183</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hyperlink w:anchor="_Toc534732413" w:history="1">
            <w:r w:rsidRPr="00AE1FA0">
              <w:rPr>
                <w:rFonts w:ascii="Arial" w:hAnsi="Arial" w:cs="Arial"/>
                <w:noProof/>
                <w:color w:val="0000FF" w:themeColor="hyperlink"/>
                <w:kern w:val="0"/>
                <w:sz w:val="24"/>
                <w:szCs w:val="24"/>
                <w:u w:val="single"/>
              </w:rPr>
              <w:t>Chapter Seven Conclusion</w:t>
            </w:r>
            <w:r w:rsidRPr="00AE1FA0">
              <w:rPr>
                <w:rFonts w:ascii="Arial" w:hAnsi="Arial" w:cs="Arial"/>
                <w:noProof/>
                <w:webHidden/>
                <w:color w:val="0000FF" w:themeColor="hyperlink"/>
                <w:kern w:val="0"/>
                <w:sz w:val="24"/>
                <w:szCs w:val="24"/>
                <w:u w:val="single"/>
              </w:rPr>
              <w:tab/>
            </w:r>
            <w:r w:rsidRPr="00AE1FA0">
              <w:rPr>
                <w:rFonts w:ascii="Arial" w:hAnsi="Arial" w:cs="Arial"/>
                <w:noProof/>
                <w:webHidden/>
                <w:color w:val="0000FF" w:themeColor="hyperlink"/>
                <w:kern w:val="0"/>
                <w:sz w:val="24"/>
                <w:szCs w:val="24"/>
                <w:u w:val="single"/>
              </w:rPr>
              <w:fldChar w:fldCharType="begin"/>
            </w:r>
            <w:r w:rsidRPr="00AE1FA0">
              <w:rPr>
                <w:rFonts w:ascii="Arial" w:hAnsi="Arial" w:cs="Arial"/>
                <w:noProof/>
                <w:webHidden/>
                <w:color w:val="0000FF" w:themeColor="hyperlink"/>
                <w:kern w:val="0"/>
                <w:sz w:val="24"/>
                <w:szCs w:val="24"/>
                <w:u w:val="single"/>
              </w:rPr>
              <w:instrText xml:space="preserve"> PAGEREF _Toc534732413 \h </w:instrText>
            </w:r>
            <w:r w:rsidRPr="00AE1FA0">
              <w:rPr>
                <w:rFonts w:ascii="Arial" w:hAnsi="Arial" w:cs="Arial"/>
                <w:noProof/>
                <w:webHidden/>
                <w:color w:val="0000FF" w:themeColor="hyperlink"/>
                <w:kern w:val="0"/>
                <w:sz w:val="24"/>
                <w:szCs w:val="24"/>
                <w:u w:val="single"/>
              </w:rPr>
            </w:r>
            <w:r w:rsidRPr="00AE1FA0">
              <w:rPr>
                <w:rFonts w:ascii="Arial" w:hAnsi="Arial" w:cs="Arial"/>
                <w:noProof/>
                <w:webHidden/>
                <w:color w:val="0000FF" w:themeColor="hyperlink"/>
                <w:kern w:val="0"/>
                <w:sz w:val="24"/>
                <w:szCs w:val="24"/>
                <w:u w:val="single"/>
              </w:rPr>
              <w:fldChar w:fldCharType="separate"/>
            </w:r>
            <w:r w:rsidRPr="00AE1FA0">
              <w:rPr>
                <w:rFonts w:ascii="Arial" w:hAnsi="Arial" w:cs="Arial"/>
                <w:noProof/>
                <w:webHidden/>
                <w:color w:val="0000FF" w:themeColor="hyperlink"/>
                <w:kern w:val="0"/>
                <w:sz w:val="24"/>
                <w:szCs w:val="24"/>
                <w:u w:val="single"/>
              </w:rPr>
              <w:t>185</w:t>
            </w:r>
            <w:r w:rsidRPr="00AE1FA0">
              <w:rPr>
                <w:rFonts w:ascii="Arial" w:hAnsi="Arial" w:cs="Arial"/>
                <w:noProof/>
                <w:webHidden/>
                <w:color w:val="0000FF" w:themeColor="hyperlink"/>
                <w:kern w:val="0"/>
                <w:sz w:val="24"/>
                <w:szCs w:val="24"/>
                <w:u w:val="single"/>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415" w:history="1">
            <w:r w:rsidRPr="00AE1FA0">
              <w:rPr>
                <w:rFonts w:ascii="Arial" w:eastAsia="宋体" w:hAnsi="Arial" w:cs="Arial"/>
                <w:noProof/>
                <w:color w:val="0000FF" w:themeColor="hyperlink"/>
                <w:kern w:val="0"/>
                <w:sz w:val="24"/>
                <w:szCs w:val="24"/>
                <w:u w:val="single"/>
              </w:rPr>
              <w:t>7.1.</w:t>
            </w:r>
            <w:r w:rsidRPr="00AE1FA0">
              <w:rPr>
                <w:rFonts w:ascii="Arial" w:hAnsi="Arial" w:cs="Arial"/>
                <w:noProof/>
                <w:sz w:val="24"/>
                <w:szCs w:val="24"/>
                <w:lang w:val="en-US"/>
              </w:rPr>
              <w:tab/>
            </w:r>
            <w:r w:rsidRPr="00AE1FA0">
              <w:rPr>
                <w:rFonts w:ascii="Arial" w:eastAsia="宋体" w:hAnsi="Arial" w:cs="Arial"/>
                <w:noProof/>
                <w:color w:val="0000FF" w:themeColor="hyperlink"/>
                <w:kern w:val="0"/>
                <w:sz w:val="24"/>
                <w:szCs w:val="24"/>
                <w:u w:val="single"/>
              </w:rPr>
              <w:t>Contributions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_Toc534732415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185</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16" w:history="1">
            <w:r w:rsidRPr="00AE1FA0">
              <w:rPr>
                <w:rFonts w:ascii="Arial" w:hAnsi="Arial" w:cs="Arial"/>
                <w:noProof/>
                <w:color w:val="0000FF" w:themeColor="hyperlink"/>
                <w:kern w:val="0"/>
                <w:sz w:val="24"/>
                <w:szCs w:val="24"/>
                <w:u w:val="single"/>
              </w:rPr>
              <w:t>7.1.1. Theoretical contribution: Historicization of organizational space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_Toc534732416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186</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17" w:history="1">
            <w:r w:rsidRPr="00AE1FA0">
              <w:rPr>
                <w:rFonts w:ascii="Arial" w:hAnsi="Arial" w:cs="Arial"/>
                <w:noProof/>
                <w:color w:val="0000FF" w:themeColor="hyperlink"/>
                <w:kern w:val="0"/>
                <w:sz w:val="24"/>
                <w:szCs w:val="24"/>
                <w:u w:val="single"/>
              </w:rPr>
              <w:t>7.1.2. Methodological contribution: A reflexive twin-track framework</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_Toc534732417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190</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18" w:history="1">
            <w:r w:rsidRPr="00AE1FA0">
              <w:rPr>
                <w:rFonts w:ascii="Arial" w:hAnsi="Arial" w:cs="Arial"/>
                <w:noProof/>
                <w:color w:val="0000FF" w:themeColor="hyperlink"/>
                <w:kern w:val="0"/>
                <w:sz w:val="24"/>
                <w:szCs w:val="24"/>
                <w:u w:val="single"/>
              </w:rPr>
              <w:t>7.1.3. Empirical contribution: The past is always present</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_Toc534732418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194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419" w:history="1">
            <w:r w:rsidRPr="00AE1FA0">
              <w:rPr>
                <w:rFonts w:ascii="Arial" w:hAnsi="Arial" w:cs="Arial"/>
                <w:noProof/>
                <w:color w:val="0000FF" w:themeColor="hyperlink"/>
                <w:kern w:val="0"/>
                <w:sz w:val="24"/>
                <w:szCs w:val="24"/>
                <w:u w:val="single"/>
              </w:rPr>
              <w:t>7.2.</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Limitations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_Toc534732419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204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420" w:history="1">
            <w:r w:rsidRPr="00AE1FA0">
              <w:rPr>
                <w:rFonts w:ascii="Arial" w:hAnsi="Arial" w:cs="Arial"/>
                <w:noProof/>
                <w:color w:val="0000FF" w:themeColor="hyperlink"/>
                <w:kern w:val="0"/>
                <w:sz w:val="24"/>
                <w:szCs w:val="24"/>
                <w:u w:val="single"/>
              </w:rPr>
              <w:t>7.3.</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Future research</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_Toc534732420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206</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21" w:history="1">
            <w:r w:rsidRPr="00AE1FA0">
              <w:rPr>
                <w:rFonts w:ascii="Arial" w:hAnsi="Arial" w:cs="Arial"/>
                <w:noProof/>
                <w:color w:val="0000FF" w:themeColor="hyperlink"/>
                <w:kern w:val="0"/>
                <w:sz w:val="24"/>
                <w:szCs w:val="24"/>
                <w:u w:val="single"/>
              </w:rPr>
              <w:t>7.3.1. Founder’s Building in transition time: Post-1985</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_Toc534732421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207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22" w:history="1">
            <w:r w:rsidRPr="00AE1FA0">
              <w:rPr>
                <w:rFonts w:ascii="Arial" w:hAnsi="Arial" w:cs="Arial"/>
                <w:noProof/>
                <w:color w:val="0000FF" w:themeColor="hyperlink"/>
                <w:kern w:val="0"/>
                <w:sz w:val="24"/>
                <w:szCs w:val="24"/>
                <w:u w:val="single"/>
              </w:rPr>
              <w:t>7.3.2. ‘Victorian’ time in the present</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_Toc534732422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208</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23" w:history="1">
            <w:r w:rsidRPr="00AE1FA0">
              <w:rPr>
                <w:rFonts w:ascii="Arial" w:hAnsi="Arial" w:cs="Arial"/>
                <w:noProof/>
                <w:color w:val="0000FF" w:themeColor="hyperlink"/>
                <w:kern w:val="0"/>
                <w:sz w:val="24"/>
                <w:szCs w:val="24"/>
                <w:u w:val="single"/>
              </w:rPr>
              <w:t>7.3.3. Twin-track framework as a powerful technique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_Toc534732423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209</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ind w:left="440"/>
            <w:jc w:val="left"/>
            <w:rPr>
              <w:rFonts w:ascii="Arial" w:hAnsi="Arial" w:cs="Arial"/>
              <w:noProof/>
              <w:sz w:val="24"/>
              <w:szCs w:val="24"/>
              <w:lang w:val="en-US"/>
            </w:rPr>
          </w:pPr>
          <w:hyperlink w:anchor="_Toc534732424" w:history="1">
            <w:r w:rsidRPr="00AE1FA0">
              <w:rPr>
                <w:rFonts w:ascii="Arial" w:hAnsi="Arial" w:cs="Arial"/>
                <w:noProof/>
                <w:color w:val="0000FF" w:themeColor="hyperlink"/>
                <w:kern w:val="0"/>
                <w:sz w:val="24"/>
                <w:szCs w:val="24"/>
                <w:u w:val="single"/>
              </w:rPr>
              <w:t>7.3.4. Identification and spatial experience</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_Toc534732424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211</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left" w:pos="840"/>
              <w:tab w:val="right" w:leader="dot" w:pos="9016"/>
            </w:tabs>
            <w:spacing w:after="100" w:line="360" w:lineRule="auto"/>
            <w:ind w:left="220"/>
            <w:jc w:val="left"/>
            <w:rPr>
              <w:rFonts w:ascii="Arial" w:hAnsi="Arial" w:cs="Arial"/>
              <w:noProof/>
              <w:sz w:val="24"/>
              <w:szCs w:val="24"/>
              <w:lang w:val="en-US"/>
            </w:rPr>
          </w:pPr>
          <w:hyperlink w:anchor="_Toc534732425" w:history="1">
            <w:r w:rsidRPr="00AE1FA0">
              <w:rPr>
                <w:rFonts w:ascii="Arial" w:hAnsi="Arial" w:cs="Arial"/>
                <w:noProof/>
                <w:color w:val="0000FF" w:themeColor="hyperlink"/>
                <w:kern w:val="0"/>
                <w:sz w:val="24"/>
                <w:szCs w:val="24"/>
                <w:u w:val="single"/>
              </w:rPr>
              <w:t>7.4.</w:t>
            </w:r>
            <w:r w:rsidRPr="00AE1FA0">
              <w:rPr>
                <w:rFonts w:ascii="Arial" w:hAnsi="Arial" w:cs="Arial"/>
                <w:noProof/>
                <w:sz w:val="24"/>
                <w:szCs w:val="24"/>
                <w:lang w:val="en-US"/>
              </w:rPr>
              <w:tab/>
            </w:r>
            <w:r w:rsidRPr="00AE1FA0">
              <w:rPr>
                <w:rFonts w:ascii="Arial" w:hAnsi="Arial" w:cs="Arial"/>
                <w:noProof/>
                <w:color w:val="0000FF" w:themeColor="hyperlink"/>
                <w:kern w:val="0"/>
                <w:sz w:val="24"/>
                <w:szCs w:val="24"/>
                <w:u w:val="single"/>
              </w:rPr>
              <w:t>Final words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_Toc534732425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212</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hyperlink w:anchor="_Toc534732426" w:history="1">
            <w:r w:rsidRPr="00AE1FA0">
              <w:rPr>
                <w:rFonts w:ascii="Arial" w:hAnsi="Arial" w:cs="Arial"/>
                <w:noProof/>
                <w:color w:val="0000FF" w:themeColor="hyperlink"/>
                <w:kern w:val="0"/>
                <w:sz w:val="24"/>
                <w:szCs w:val="24"/>
                <w:u w:val="single"/>
              </w:rPr>
              <w:t>Bibliography</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_Toc534732426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214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hyperlink w:anchor="_Toc534732427" w:history="1">
            <w:r w:rsidRPr="00AE1FA0">
              <w:rPr>
                <w:rFonts w:ascii="Arial" w:hAnsi="Arial" w:cs="Arial"/>
                <w:noProof/>
                <w:color w:val="0000FF" w:themeColor="hyperlink"/>
                <w:kern w:val="0"/>
                <w:sz w:val="24"/>
                <w:szCs w:val="24"/>
                <w:u w:val="single"/>
                <w:lang w:eastAsia="en-US"/>
              </w:rPr>
              <w:t>Appendix 1 Sample of interviewing questions list</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_Toc534732427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234</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hyperlink w:anchor="_Toc534732428" w:history="1">
            <w:r w:rsidRPr="00AE1FA0">
              <w:rPr>
                <w:rFonts w:ascii="Arial" w:hAnsi="Arial" w:cs="Arial"/>
                <w:noProof/>
                <w:color w:val="0000FF" w:themeColor="hyperlink"/>
                <w:kern w:val="0"/>
                <w:sz w:val="24"/>
                <w:szCs w:val="24"/>
                <w:u w:val="single"/>
                <w:lang w:eastAsia="en-US"/>
              </w:rPr>
              <w:t>Appendix 2 Sample of information sheet and consent form</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_Toc534732428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237</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leader="dot" w:pos="9016"/>
            </w:tabs>
            <w:spacing w:after="100" w:line="360" w:lineRule="auto"/>
            <w:jc w:val="left"/>
            <w:rPr>
              <w:rFonts w:ascii="Arial" w:hAnsi="Arial" w:cs="Arial"/>
              <w:noProof/>
              <w:sz w:val="24"/>
              <w:szCs w:val="24"/>
              <w:lang w:val="en-US"/>
            </w:rPr>
          </w:pPr>
          <w:hyperlink w:anchor="_Toc534732429" w:history="1">
            <w:r w:rsidRPr="00AE1FA0">
              <w:rPr>
                <w:rFonts w:ascii="Arial" w:hAnsi="Arial" w:cs="Arial"/>
                <w:noProof/>
                <w:color w:val="0000FF" w:themeColor="hyperlink"/>
                <w:kern w:val="0"/>
                <w:sz w:val="24"/>
                <w:szCs w:val="24"/>
                <w:u w:val="single"/>
              </w:rPr>
              <w:t>Appendix 3 Summary of empirical materials</w:t>
            </w:r>
            <w:r w:rsidRPr="00AE1FA0">
              <w:rPr>
                <w:rFonts w:ascii="Arial" w:hAnsi="Arial" w:cs="Arial"/>
                <w:noProof/>
                <w:webHidden/>
                <w:kern w:val="0"/>
                <w:sz w:val="24"/>
                <w:szCs w:val="24"/>
              </w:rPr>
              <w:tab/>
            </w:r>
            <w:r w:rsidRPr="00AE1FA0">
              <w:rPr>
                <w:rFonts w:ascii="Arial" w:hAnsi="Arial" w:cs="Arial"/>
                <w:noProof/>
                <w:webHidden/>
                <w:kern w:val="0"/>
                <w:sz w:val="24"/>
                <w:szCs w:val="24"/>
              </w:rPr>
              <w:fldChar w:fldCharType="begin"/>
            </w:r>
            <w:r w:rsidRPr="00AE1FA0">
              <w:rPr>
                <w:rFonts w:ascii="Arial" w:hAnsi="Arial" w:cs="Arial"/>
                <w:noProof/>
                <w:webHidden/>
                <w:kern w:val="0"/>
                <w:sz w:val="24"/>
                <w:szCs w:val="24"/>
              </w:rPr>
              <w:instrText xml:space="preserve"> PAGEREF _Toc534732429 \h </w:instrText>
            </w:r>
            <w:r w:rsidRPr="00AE1FA0">
              <w:rPr>
                <w:rFonts w:ascii="Arial" w:hAnsi="Arial" w:cs="Arial"/>
                <w:noProof/>
                <w:webHidden/>
                <w:kern w:val="0"/>
                <w:sz w:val="24"/>
                <w:szCs w:val="24"/>
              </w:rPr>
            </w:r>
            <w:r w:rsidRPr="00AE1FA0">
              <w:rPr>
                <w:rFonts w:ascii="Arial" w:hAnsi="Arial" w:cs="Arial"/>
                <w:noProof/>
                <w:webHidden/>
                <w:kern w:val="0"/>
                <w:sz w:val="24"/>
                <w:szCs w:val="24"/>
              </w:rPr>
              <w:fldChar w:fldCharType="separate"/>
            </w:r>
            <w:r w:rsidRPr="00AE1FA0">
              <w:rPr>
                <w:rFonts w:ascii="Arial" w:hAnsi="Arial" w:cs="Arial"/>
                <w:noProof/>
                <w:webHidden/>
                <w:kern w:val="0"/>
                <w:sz w:val="24"/>
                <w:szCs w:val="24"/>
              </w:rPr>
              <w:t>240</w:t>
            </w:r>
            <w:r w:rsidRPr="00AE1FA0">
              <w:rPr>
                <w:rFonts w:ascii="Arial" w:hAnsi="Arial" w:cs="Arial"/>
                <w:noProof/>
                <w:webHidden/>
                <w:kern w:val="0"/>
                <w:sz w:val="24"/>
                <w:szCs w:val="24"/>
              </w:rPr>
              <w:fldChar w:fldCharType="end"/>
            </w:r>
          </w:hyperlink>
        </w:p>
        <w:p w:rsidR="00AE1FA0" w:rsidRPr="00AE1FA0" w:rsidRDefault="00AE1FA0" w:rsidP="00AE1FA0">
          <w:pPr>
            <w:widowControl/>
            <w:tabs>
              <w:tab w:val="right" w:pos="9026"/>
            </w:tabs>
            <w:spacing w:after="160" w:line="259" w:lineRule="auto"/>
            <w:jc w:val="left"/>
            <w:rPr>
              <w:rFonts w:ascii="Arial" w:hAnsi="Arial" w:cs="Arial"/>
              <w:b/>
              <w:bCs/>
              <w:noProof/>
              <w:kern w:val="0"/>
              <w:sz w:val="22"/>
            </w:rPr>
          </w:pPr>
          <w:r w:rsidRPr="00AE1FA0">
            <w:rPr>
              <w:rFonts w:ascii="Arial" w:hAnsi="Arial" w:cs="Arial"/>
              <w:b/>
              <w:bCs/>
              <w:noProof/>
              <w:kern w:val="0"/>
              <w:sz w:val="22"/>
            </w:rPr>
            <w:fldChar w:fldCharType="end"/>
          </w:r>
        </w:p>
      </w:sdtContent>
    </w:sdt>
    <w:p w:rsidR="00AE1FA0" w:rsidRPr="00AE1FA0" w:rsidRDefault="00AE1FA0" w:rsidP="00AE1FA0">
      <w:pPr>
        <w:widowControl/>
        <w:tabs>
          <w:tab w:val="right" w:pos="9026"/>
        </w:tabs>
        <w:spacing w:after="160" w:line="259" w:lineRule="auto"/>
        <w:jc w:val="left"/>
        <w:rPr>
          <w:kern w:val="0"/>
          <w:sz w:val="22"/>
        </w:rPr>
      </w:pPr>
      <w:bookmarkStart w:id="7" w:name="_Toc534732346"/>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kern w:val="0"/>
          <w:sz w:val="22"/>
        </w:rPr>
      </w:pPr>
    </w:p>
    <w:p w:rsidR="00AE1FA0" w:rsidRPr="00AE1FA0" w:rsidRDefault="00AE1FA0" w:rsidP="00AE1FA0">
      <w:pPr>
        <w:widowControl/>
        <w:tabs>
          <w:tab w:val="right" w:pos="9026"/>
        </w:tabs>
        <w:spacing w:after="160" w:line="259" w:lineRule="auto"/>
        <w:jc w:val="left"/>
        <w:rPr>
          <w:rFonts w:hint="eastAsia"/>
          <w:kern w:val="0"/>
          <w:sz w:val="22"/>
        </w:rPr>
      </w:pPr>
    </w:p>
    <w:bookmarkEnd w:id="7"/>
    <w:p w:rsidR="00AE1FA0" w:rsidRPr="00AE1FA0" w:rsidRDefault="00AE1FA0" w:rsidP="00AE1FA0">
      <w:pPr>
        <w:keepNext/>
        <w:keepLines/>
        <w:widowControl/>
        <w:spacing w:before="240" w:line="360" w:lineRule="auto"/>
        <w:jc w:val="left"/>
        <w:outlineLvl w:val="0"/>
        <w:rPr>
          <w:rFonts w:ascii="Arial" w:eastAsiaTheme="majorEastAsia" w:hAnsi="Arial" w:cs="Arial"/>
          <w:kern w:val="0"/>
          <w:sz w:val="32"/>
          <w:szCs w:val="32"/>
        </w:rPr>
      </w:pPr>
      <w:r w:rsidRPr="00AE1FA0">
        <w:rPr>
          <w:rFonts w:ascii="Arial" w:eastAsiaTheme="majorEastAsia" w:hAnsi="Arial" w:cs="Arial"/>
          <w:kern w:val="0"/>
          <w:sz w:val="32"/>
          <w:szCs w:val="32"/>
        </w:rPr>
        <w:lastRenderedPageBreak/>
        <w:t>List of Images</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jc w:val="distribute"/>
        <w:rPr>
          <w:rFonts w:ascii="Arial" w:hAnsi="Arial" w:cs="Arial"/>
          <w:sz w:val="24"/>
          <w:szCs w:val="24"/>
        </w:rPr>
      </w:pPr>
      <w:r w:rsidRPr="00AE1FA0">
        <w:rPr>
          <w:rFonts w:ascii="Arial" w:hAnsi="Arial" w:cs="Arial"/>
          <w:sz w:val="24"/>
          <w:szCs w:val="24"/>
        </w:rPr>
        <w:t>Image 1. Founder’s Building in the air……………………………………………………21</w:t>
      </w:r>
    </w:p>
    <w:p w:rsidR="00AE1FA0" w:rsidRPr="00AE1FA0" w:rsidRDefault="00AE1FA0" w:rsidP="00AE1FA0">
      <w:pPr>
        <w:spacing w:line="360" w:lineRule="auto"/>
        <w:jc w:val="distribute"/>
        <w:rPr>
          <w:rFonts w:ascii="Arial" w:hAnsi="Arial" w:cs="Arial"/>
          <w:sz w:val="24"/>
          <w:szCs w:val="24"/>
        </w:rPr>
      </w:pPr>
      <w:r w:rsidRPr="00AE1FA0">
        <w:rPr>
          <w:rFonts w:ascii="Arial" w:hAnsi="Arial" w:cs="Arial"/>
          <w:sz w:val="24"/>
          <w:szCs w:val="24"/>
        </w:rPr>
        <w:t>Image 2. East Wing Common Room, 1928……………………………………………79</w:t>
      </w:r>
    </w:p>
    <w:p w:rsidR="00AE1FA0" w:rsidRPr="00AE1FA0" w:rsidRDefault="00AE1FA0" w:rsidP="00AE1FA0">
      <w:pPr>
        <w:spacing w:line="360" w:lineRule="auto"/>
        <w:jc w:val="distribute"/>
        <w:rPr>
          <w:rFonts w:ascii="Arial" w:eastAsia="宋体" w:hAnsi="Arial" w:cs="Arial"/>
          <w:sz w:val="24"/>
          <w:szCs w:val="28"/>
        </w:rPr>
      </w:pPr>
      <w:r w:rsidRPr="00AE1FA0">
        <w:rPr>
          <w:rFonts w:ascii="Arial" w:eastAsia="宋体" w:hAnsi="Arial" w:cs="Arial"/>
          <w:sz w:val="24"/>
          <w:szCs w:val="28"/>
        </w:rPr>
        <w:t>Image 3. Picture Gallery, RHUL…………………………………………………114</w:t>
      </w:r>
    </w:p>
    <w:p w:rsidR="00AE1FA0" w:rsidRPr="00AE1FA0" w:rsidRDefault="00AE1FA0" w:rsidP="00AE1FA0">
      <w:pPr>
        <w:spacing w:line="360" w:lineRule="auto"/>
        <w:contextualSpacing/>
        <w:jc w:val="distribute"/>
        <w:rPr>
          <w:rFonts w:ascii="Arial" w:eastAsia="宋体" w:hAnsi="Arial" w:cs="Arial"/>
          <w:sz w:val="24"/>
          <w:szCs w:val="28"/>
        </w:rPr>
      </w:pPr>
      <w:r w:rsidRPr="00AE1FA0">
        <w:rPr>
          <w:rFonts w:ascii="Arial" w:eastAsia="宋体" w:hAnsi="Arial" w:cs="Arial"/>
          <w:sz w:val="24"/>
          <w:szCs w:val="28"/>
        </w:rPr>
        <w:t xml:space="preserve">Image 4: Bulge and Bay-windowed rooms…………………………………………….116 </w:t>
      </w:r>
    </w:p>
    <w:p w:rsidR="00AE1FA0" w:rsidRPr="00AE1FA0" w:rsidRDefault="00AE1FA0" w:rsidP="00AE1FA0">
      <w:pPr>
        <w:spacing w:line="360" w:lineRule="auto"/>
        <w:contextualSpacing/>
        <w:jc w:val="distribute"/>
        <w:rPr>
          <w:rFonts w:ascii="Arial" w:eastAsia="宋体" w:hAnsi="Arial" w:cs="Arial"/>
          <w:sz w:val="24"/>
          <w:szCs w:val="28"/>
        </w:rPr>
      </w:pPr>
      <w:r w:rsidRPr="00AE1FA0">
        <w:rPr>
          <w:rFonts w:ascii="Arial" w:eastAsia="宋体" w:hAnsi="Arial" w:cs="Arial"/>
          <w:sz w:val="24"/>
          <w:szCs w:val="28"/>
        </w:rPr>
        <w:t>Image 5: Fresher’s Guide to College Phraseology, 1957…………………………</w:t>
      </w:r>
      <w:proofErr w:type="gramStart"/>
      <w:r w:rsidRPr="00AE1FA0">
        <w:rPr>
          <w:rFonts w:ascii="Arial" w:eastAsia="宋体" w:hAnsi="Arial" w:cs="Arial"/>
          <w:sz w:val="24"/>
          <w:szCs w:val="28"/>
        </w:rPr>
        <w:t>…..</w:t>
      </w:r>
      <w:proofErr w:type="gramEnd"/>
      <w:r w:rsidRPr="00AE1FA0">
        <w:rPr>
          <w:rFonts w:ascii="Arial" w:eastAsia="宋体" w:hAnsi="Arial" w:cs="Arial"/>
          <w:sz w:val="24"/>
          <w:szCs w:val="28"/>
        </w:rPr>
        <w:t>118</w:t>
      </w:r>
    </w:p>
    <w:p w:rsidR="00AE1FA0" w:rsidRPr="00AE1FA0" w:rsidRDefault="00AE1FA0" w:rsidP="00AE1FA0">
      <w:pPr>
        <w:spacing w:line="360" w:lineRule="auto"/>
        <w:jc w:val="distribute"/>
        <w:rPr>
          <w:rFonts w:ascii="Arial" w:eastAsia="宋体" w:hAnsi="Arial" w:cs="Arial"/>
          <w:sz w:val="24"/>
          <w:szCs w:val="28"/>
        </w:rPr>
      </w:pPr>
      <w:r w:rsidRPr="00AE1FA0">
        <w:rPr>
          <w:rFonts w:ascii="Arial" w:eastAsia="宋体" w:hAnsi="Arial" w:cs="Arial"/>
          <w:sz w:val="24"/>
          <w:szCs w:val="28"/>
        </w:rPr>
        <w:t>Image</w:t>
      </w:r>
      <w:r>
        <w:rPr>
          <w:rFonts w:ascii="Arial" w:eastAsia="宋体" w:hAnsi="Arial" w:cs="Arial"/>
          <w:sz w:val="24"/>
          <w:szCs w:val="28"/>
        </w:rPr>
        <w:t xml:space="preserve"> </w:t>
      </w:r>
      <w:r w:rsidRPr="00AE1FA0">
        <w:rPr>
          <w:rFonts w:ascii="Arial" w:eastAsia="宋体" w:hAnsi="Arial" w:cs="Arial"/>
          <w:sz w:val="24"/>
          <w:szCs w:val="28"/>
        </w:rPr>
        <w:t>6: Instructions to Men, 1916…………………………………………………...123</w:t>
      </w:r>
    </w:p>
    <w:p w:rsidR="00AE1FA0" w:rsidRPr="00AE1FA0" w:rsidRDefault="00AE1FA0" w:rsidP="00AE1FA0">
      <w:pPr>
        <w:spacing w:line="360" w:lineRule="auto"/>
        <w:jc w:val="distribute"/>
        <w:rPr>
          <w:rFonts w:ascii="Arial" w:eastAsia="宋体" w:hAnsi="Arial" w:cs="Arial"/>
          <w:sz w:val="24"/>
          <w:szCs w:val="28"/>
        </w:rPr>
      </w:pPr>
      <w:r w:rsidRPr="00AE1FA0">
        <w:rPr>
          <w:rFonts w:ascii="Arial" w:eastAsia="宋体" w:hAnsi="Arial" w:cs="Arial"/>
          <w:sz w:val="24"/>
          <w:szCs w:val="28"/>
        </w:rPr>
        <w:t>Image 7: Map of Royal Holloway College, 1937………………………………………127</w:t>
      </w:r>
    </w:p>
    <w:p w:rsidR="00AE1FA0" w:rsidRPr="00AE1FA0" w:rsidRDefault="00AE1FA0" w:rsidP="00AE1FA0">
      <w:pPr>
        <w:spacing w:line="360" w:lineRule="auto"/>
        <w:jc w:val="distribute"/>
        <w:rPr>
          <w:rFonts w:ascii="Arial" w:eastAsia="宋体" w:hAnsi="Arial" w:cs="Arial"/>
          <w:sz w:val="24"/>
          <w:szCs w:val="28"/>
        </w:rPr>
      </w:pPr>
      <w:r w:rsidRPr="00AE1FA0">
        <w:rPr>
          <w:rFonts w:ascii="Arial" w:eastAsia="宋体" w:hAnsi="Arial" w:cs="Arial"/>
          <w:sz w:val="24"/>
          <w:szCs w:val="28"/>
        </w:rPr>
        <w:t>Image 8: Large Boardroom, Founder’s Building…………………………………….128</w:t>
      </w:r>
    </w:p>
    <w:p w:rsidR="00AE1FA0" w:rsidRPr="00AE1FA0" w:rsidRDefault="00AE1FA0" w:rsidP="00AE1FA0">
      <w:pPr>
        <w:spacing w:line="360" w:lineRule="auto"/>
        <w:jc w:val="distribute"/>
        <w:rPr>
          <w:rFonts w:ascii="Arial" w:eastAsia="宋体" w:hAnsi="Arial" w:cs="Arial"/>
          <w:sz w:val="24"/>
          <w:szCs w:val="28"/>
        </w:rPr>
      </w:pPr>
      <w:r w:rsidRPr="00AE1FA0">
        <w:rPr>
          <w:rFonts w:ascii="Arial" w:eastAsia="宋体" w:hAnsi="Arial" w:cs="Arial"/>
          <w:sz w:val="24"/>
          <w:szCs w:val="28"/>
        </w:rPr>
        <w:t>Image 9: The statue of Queen Victoria……………………………………………….138</w:t>
      </w:r>
    </w:p>
    <w:p w:rsidR="00AE1FA0" w:rsidRPr="00AE1FA0" w:rsidRDefault="00AE1FA0" w:rsidP="00AE1FA0">
      <w:pPr>
        <w:spacing w:line="360" w:lineRule="auto"/>
        <w:jc w:val="distribute"/>
        <w:rPr>
          <w:rFonts w:ascii="Arial" w:eastAsia="宋体" w:hAnsi="Arial" w:cs="Arial"/>
          <w:sz w:val="24"/>
          <w:szCs w:val="24"/>
        </w:rPr>
      </w:pPr>
      <w:r w:rsidRPr="00AE1FA0">
        <w:rPr>
          <w:rFonts w:ascii="Arial" w:eastAsia="宋体" w:hAnsi="Arial" w:cs="Arial"/>
          <w:sz w:val="24"/>
          <w:szCs w:val="24"/>
        </w:rPr>
        <w:t>Image 10: Classroom, pre 1910…………………………………………………………146</w:t>
      </w:r>
    </w:p>
    <w:p w:rsidR="00AE1FA0" w:rsidRPr="00AE1FA0" w:rsidRDefault="00AE1FA0" w:rsidP="00AE1FA0">
      <w:pPr>
        <w:spacing w:line="360" w:lineRule="auto"/>
        <w:jc w:val="distribute"/>
        <w:rPr>
          <w:rFonts w:ascii="Arial" w:eastAsia="宋体" w:hAnsi="Arial" w:cs="Arial"/>
          <w:sz w:val="24"/>
          <w:szCs w:val="28"/>
        </w:rPr>
      </w:pPr>
      <w:r w:rsidRPr="00AE1FA0">
        <w:rPr>
          <w:rFonts w:ascii="Arial" w:eastAsia="Times New Roman" w:hAnsi="Arial" w:cs="Arial"/>
          <w:sz w:val="24"/>
          <w:szCs w:val="28"/>
          <w:lang w:eastAsia="ja-JP"/>
        </w:rPr>
        <w:t>Image 11</w:t>
      </w:r>
      <w:r w:rsidRPr="00AE1FA0">
        <w:rPr>
          <w:rFonts w:ascii="Arial" w:eastAsia="宋体" w:hAnsi="Arial" w:cs="Arial"/>
          <w:sz w:val="24"/>
          <w:szCs w:val="28"/>
        </w:rPr>
        <w:t>: Principal’s sitting room presented in a promotional brochure, 1895…….148</w:t>
      </w:r>
    </w:p>
    <w:p w:rsidR="00AE1FA0" w:rsidRPr="00AE1FA0" w:rsidRDefault="00AE1FA0" w:rsidP="00AE1FA0">
      <w:pPr>
        <w:spacing w:line="360" w:lineRule="auto"/>
        <w:jc w:val="distribute"/>
        <w:rPr>
          <w:rFonts w:ascii="Arial" w:eastAsia="宋体" w:hAnsi="Arial" w:cs="Arial"/>
          <w:bCs/>
          <w:sz w:val="24"/>
          <w:szCs w:val="28"/>
        </w:rPr>
      </w:pPr>
      <w:r w:rsidRPr="00AE1FA0">
        <w:rPr>
          <w:rFonts w:ascii="Arial" w:eastAsia="宋体" w:hAnsi="Arial" w:cs="Arial"/>
          <w:sz w:val="24"/>
          <w:szCs w:val="28"/>
        </w:rPr>
        <w:t xml:space="preserve">Image 12: </w:t>
      </w:r>
      <w:r w:rsidRPr="00AE1FA0">
        <w:rPr>
          <w:rFonts w:ascii="Arial" w:eastAsia="宋体" w:hAnsi="Arial" w:cs="Arial"/>
          <w:bCs/>
          <w:sz w:val="24"/>
          <w:szCs w:val="28"/>
        </w:rPr>
        <w:t>Student’s study room in Founder’s Building, 1928…………………149</w:t>
      </w:r>
    </w:p>
    <w:p w:rsidR="00AE1FA0" w:rsidRPr="00AE1FA0" w:rsidRDefault="00AE1FA0" w:rsidP="00AE1FA0">
      <w:pPr>
        <w:spacing w:line="360" w:lineRule="auto"/>
        <w:jc w:val="distribute"/>
        <w:rPr>
          <w:rFonts w:ascii="Arial" w:eastAsia="宋体" w:hAnsi="Arial" w:cs="Arial"/>
          <w:sz w:val="24"/>
          <w:szCs w:val="28"/>
        </w:rPr>
      </w:pPr>
      <w:r w:rsidRPr="00AE1FA0">
        <w:rPr>
          <w:rFonts w:ascii="Arial" w:eastAsia="宋体" w:hAnsi="Arial" w:cs="Arial"/>
          <w:sz w:val="24"/>
          <w:szCs w:val="28"/>
        </w:rPr>
        <w:t>Image 13: Rule for Maids, 1906……………………………………………………….153</w:t>
      </w:r>
    </w:p>
    <w:p w:rsidR="00AE1FA0" w:rsidRPr="00AE1FA0" w:rsidRDefault="00AE1FA0" w:rsidP="00AE1FA0">
      <w:pPr>
        <w:spacing w:line="360" w:lineRule="auto"/>
        <w:jc w:val="distribute"/>
        <w:rPr>
          <w:rFonts w:ascii="Arial" w:eastAsia="宋体" w:hAnsi="Arial" w:cs="Arial"/>
          <w:sz w:val="24"/>
          <w:szCs w:val="28"/>
        </w:rPr>
      </w:pPr>
      <w:r w:rsidRPr="00AE1FA0">
        <w:rPr>
          <w:rFonts w:ascii="Arial" w:eastAsia="宋体" w:hAnsi="Arial" w:cs="Arial"/>
          <w:sz w:val="24"/>
          <w:szCs w:val="28"/>
        </w:rPr>
        <w:t>Image 14: Royal Holloway College Daily Routine, c1906………………………</w:t>
      </w:r>
      <w:proofErr w:type="gramStart"/>
      <w:r w:rsidRPr="00AE1FA0">
        <w:rPr>
          <w:rFonts w:ascii="Arial" w:eastAsia="宋体" w:hAnsi="Arial" w:cs="Arial"/>
          <w:sz w:val="24"/>
          <w:szCs w:val="28"/>
        </w:rPr>
        <w:t>…..</w:t>
      </w:r>
      <w:proofErr w:type="gramEnd"/>
      <w:r w:rsidRPr="00AE1FA0">
        <w:rPr>
          <w:rFonts w:ascii="Arial" w:eastAsia="宋体" w:hAnsi="Arial" w:cs="Arial"/>
          <w:sz w:val="24"/>
          <w:szCs w:val="28"/>
        </w:rPr>
        <w:t>157</w:t>
      </w:r>
    </w:p>
    <w:p w:rsidR="00AE1FA0" w:rsidRPr="00AE1FA0" w:rsidRDefault="00AE1FA0" w:rsidP="00AE1FA0">
      <w:pPr>
        <w:widowControl/>
        <w:spacing w:line="360" w:lineRule="auto"/>
        <w:jc w:val="distribute"/>
        <w:rPr>
          <w:rFonts w:ascii="Arial" w:eastAsia="宋体" w:hAnsi="Arial" w:cs="Arial"/>
          <w:kern w:val="0"/>
          <w:sz w:val="24"/>
          <w:szCs w:val="28"/>
        </w:rPr>
      </w:pPr>
      <w:r w:rsidRPr="00AE1FA0">
        <w:rPr>
          <w:rFonts w:ascii="Arial" w:eastAsia="宋体" w:hAnsi="Arial" w:cs="Arial"/>
          <w:kern w:val="0"/>
          <w:sz w:val="24"/>
          <w:szCs w:val="28"/>
        </w:rPr>
        <w:t>Image 15: Petting Zoo, Student Newsletter, 2017………………………………</w:t>
      </w:r>
      <w:proofErr w:type="gramStart"/>
      <w:r w:rsidRPr="00AE1FA0">
        <w:rPr>
          <w:rFonts w:ascii="Arial" w:eastAsia="宋体" w:hAnsi="Arial" w:cs="Arial"/>
          <w:kern w:val="0"/>
          <w:sz w:val="24"/>
          <w:szCs w:val="28"/>
        </w:rPr>
        <w:t>…..</w:t>
      </w:r>
      <w:proofErr w:type="gramEnd"/>
      <w:r w:rsidRPr="00AE1FA0">
        <w:rPr>
          <w:rFonts w:ascii="Arial" w:eastAsia="宋体" w:hAnsi="Arial" w:cs="Arial"/>
          <w:kern w:val="0"/>
          <w:sz w:val="24"/>
          <w:szCs w:val="28"/>
        </w:rPr>
        <w:t>208</w:t>
      </w:r>
    </w:p>
    <w:p w:rsidR="00AE1FA0" w:rsidRPr="00AE1FA0" w:rsidRDefault="00AE1FA0" w:rsidP="00AE1FA0">
      <w:pPr>
        <w:widowControl/>
        <w:spacing w:line="360" w:lineRule="auto"/>
        <w:jc w:val="distribute"/>
        <w:rPr>
          <w:rFonts w:ascii="Arial" w:eastAsia="宋体" w:hAnsi="Arial" w:cs="Arial"/>
          <w:kern w:val="0"/>
          <w:sz w:val="24"/>
          <w:szCs w:val="28"/>
        </w:rPr>
      </w:pPr>
      <w:r w:rsidRPr="00AE1FA0">
        <w:rPr>
          <w:rFonts w:ascii="Arial" w:eastAsia="宋体" w:hAnsi="Arial" w:cs="Arial"/>
          <w:kern w:val="0"/>
          <w:sz w:val="24"/>
          <w:szCs w:val="28"/>
        </w:rPr>
        <w:t>Image 16: Petting Zoo in history, Student Newsletter, 2017……………………</w:t>
      </w:r>
      <w:proofErr w:type="gramStart"/>
      <w:r w:rsidRPr="00AE1FA0">
        <w:rPr>
          <w:rFonts w:ascii="Arial" w:eastAsia="宋体" w:hAnsi="Arial" w:cs="Arial"/>
          <w:kern w:val="0"/>
          <w:sz w:val="24"/>
          <w:szCs w:val="28"/>
        </w:rPr>
        <w:t>…..</w:t>
      </w:r>
      <w:proofErr w:type="gramEnd"/>
      <w:r w:rsidRPr="00AE1FA0">
        <w:rPr>
          <w:rFonts w:ascii="Arial" w:eastAsia="宋体" w:hAnsi="Arial" w:cs="Arial"/>
          <w:kern w:val="0"/>
          <w:sz w:val="24"/>
          <w:szCs w:val="28"/>
        </w:rPr>
        <w:t>209</w:t>
      </w:r>
    </w:p>
    <w:p w:rsidR="00AE1FA0" w:rsidRPr="00AE1FA0" w:rsidRDefault="00AE1FA0" w:rsidP="00AE1FA0">
      <w:pPr>
        <w:widowControl/>
        <w:spacing w:after="160" w:line="360" w:lineRule="auto"/>
        <w:jc w:val="distribute"/>
        <w:rPr>
          <w:rFonts w:ascii="Arial" w:hAnsi="Arial" w:cs="Arial"/>
          <w:kern w:val="0"/>
          <w:sz w:val="22"/>
        </w:rPr>
      </w:pPr>
    </w:p>
    <w:p w:rsidR="00AE1FA0" w:rsidRPr="00AE1FA0" w:rsidRDefault="00AE1FA0" w:rsidP="00AE1FA0">
      <w:pPr>
        <w:widowControl/>
        <w:spacing w:after="160" w:line="360" w:lineRule="auto"/>
        <w:jc w:val="distribute"/>
        <w:rPr>
          <w:rFonts w:ascii="Arial" w:hAnsi="Arial" w:cs="Arial"/>
          <w:kern w:val="0"/>
          <w:sz w:val="24"/>
          <w:szCs w:val="24"/>
        </w:rPr>
      </w:pPr>
    </w:p>
    <w:p w:rsidR="00AE1FA0" w:rsidRPr="00AE1FA0" w:rsidRDefault="00AE1FA0" w:rsidP="00AE1FA0">
      <w:pPr>
        <w:widowControl/>
        <w:spacing w:after="160" w:line="360" w:lineRule="auto"/>
        <w:jc w:val="distribute"/>
        <w:rPr>
          <w:rFonts w:ascii="Arial" w:hAnsi="Arial" w:cs="Arial"/>
          <w:kern w:val="0"/>
          <w:sz w:val="22"/>
        </w:rPr>
      </w:pPr>
    </w:p>
    <w:p w:rsidR="00AE1FA0" w:rsidRPr="00AE1FA0" w:rsidRDefault="00AE1FA0" w:rsidP="00AE1FA0">
      <w:pPr>
        <w:keepNext/>
        <w:keepLines/>
        <w:widowControl/>
        <w:spacing w:before="240" w:line="360" w:lineRule="auto"/>
        <w:jc w:val="left"/>
        <w:outlineLvl w:val="0"/>
        <w:rPr>
          <w:rFonts w:ascii="Arial" w:eastAsiaTheme="majorEastAsia" w:hAnsi="Arial" w:cs="Arial"/>
          <w:kern w:val="0"/>
          <w:sz w:val="32"/>
          <w:szCs w:val="32"/>
        </w:rPr>
      </w:pPr>
      <w:bookmarkStart w:id="8" w:name="_Toc534732347"/>
      <w:r w:rsidRPr="00AE1FA0">
        <w:rPr>
          <w:rFonts w:ascii="Arial" w:eastAsiaTheme="majorEastAsia" w:hAnsi="Arial" w:cs="Arial"/>
          <w:kern w:val="0"/>
          <w:sz w:val="32"/>
          <w:szCs w:val="32"/>
        </w:rPr>
        <w:t>List of Tables</w:t>
      </w:r>
      <w:bookmarkEnd w:id="8"/>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line="360" w:lineRule="auto"/>
        <w:jc w:val="distribute"/>
        <w:rPr>
          <w:rFonts w:ascii="Arial" w:hAnsi="Arial" w:cs="Arial"/>
          <w:kern w:val="0"/>
          <w:sz w:val="24"/>
        </w:rPr>
      </w:pPr>
      <w:r w:rsidRPr="00AE1FA0">
        <w:rPr>
          <w:rFonts w:ascii="Arial" w:hAnsi="Arial" w:cs="Arial"/>
          <w:kern w:val="0"/>
          <w:sz w:val="24"/>
        </w:rPr>
        <w:t>Table 1. Timeline of RHUL: Important moments for Founder’s Building…………….91</w:t>
      </w:r>
    </w:p>
    <w:p w:rsidR="00AE1FA0" w:rsidRPr="00AE1FA0" w:rsidRDefault="00AE1FA0" w:rsidP="00AE1FA0">
      <w:pPr>
        <w:widowControl/>
        <w:spacing w:line="360" w:lineRule="auto"/>
        <w:jc w:val="distribute"/>
        <w:rPr>
          <w:rFonts w:ascii="Arial" w:hAnsi="Arial" w:cs="Arial"/>
          <w:kern w:val="0"/>
          <w:sz w:val="24"/>
        </w:rPr>
      </w:pPr>
      <w:r w:rsidRPr="00AE1FA0">
        <w:rPr>
          <w:rFonts w:ascii="Arial" w:hAnsi="Arial" w:cs="Arial"/>
          <w:kern w:val="0"/>
          <w:sz w:val="24"/>
        </w:rPr>
        <w:t>Table 2. A twin-track framework guiding the selection of interviewing participates...94</w:t>
      </w:r>
    </w:p>
    <w:p w:rsidR="00AE1FA0" w:rsidRPr="00AE1FA0" w:rsidRDefault="00AE1FA0" w:rsidP="00AE1FA0">
      <w:pPr>
        <w:widowControl/>
        <w:spacing w:after="160" w:line="259" w:lineRule="auto"/>
        <w:jc w:val="left"/>
        <w:rPr>
          <w:rFonts w:ascii="Arial" w:hAnsi="Arial" w:cs="Arial"/>
          <w:kern w:val="0"/>
          <w:sz w:val="24"/>
        </w:rPr>
      </w:pPr>
    </w:p>
    <w:p w:rsidR="00AE1FA0" w:rsidRPr="00AE1FA0" w:rsidRDefault="00AE1FA0" w:rsidP="00AE1FA0">
      <w:pPr>
        <w:widowControl/>
        <w:spacing w:after="160" w:line="259" w:lineRule="auto"/>
        <w:jc w:val="left"/>
        <w:rPr>
          <w:rFonts w:ascii="Arial" w:hAnsi="Arial" w:cs="Arial"/>
          <w:kern w:val="0"/>
          <w:sz w:val="24"/>
        </w:rPr>
      </w:pPr>
    </w:p>
    <w:p w:rsidR="00AE1FA0" w:rsidRPr="00AE1FA0" w:rsidRDefault="00AE1FA0" w:rsidP="00AE1FA0">
      <w:pPr>
        <w:widowControl/>
        <w:spacing w:after="160" w:line="259" w:lineRule="auto"/>
        <w:jc w:val="left"/>
        <w:rPr>
          <w:rFonts w:ascii="Arial" w:hAnsi="Arial" w:cs="Arial"/>
          <w:kern w:val="0"/>
          <w:sz w:val="24"/>
        </w:rPr>
      </w:pPr>
    </w:p>
    <w:p w:rsidR="00AE1FA0" w:rsidRPr="00AE1FA0" w:rsidRDefault="00AE1FA0" w:rsidP="00AE1FA0">
      <w:pPr>
        <w:widowControl/>
        <w:spacing w:after="160" w:line="259" w:lineRule="auto"/>
        <w:jc w:val="left"/>
        <w:rPr>
          <w:rFonts w:ascii="Arial" w:hAnsi="Arial" w:cs="Arial"/>
          <w:kern w:val="0"/>
          <w:sz w:val="24"/>
        </w:rPr>
      </w:pPr>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noProof/>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hint="eastAsia"/>
          <w:kern w:val="0"/>
          <w:sz w:val="24"/>
          <w:szCs w:val="24"/>
        </w:rPr>
      </w:pPr>
    </w:p>
    <w:p w:rsidR="00AE1FA0" w:rsidRPr="00AE1FA0" w:rsidRDefault="00AE1FA0" w:rsidP="00AE1FA0">
      <w:pPr>
        <w:spacing w:before="240" w:after="60" w:line="360" w:lineRule="auto"/>
        <w:jc w:val="center"/>
        <w:outlineLvl w:val="0"/>
        <w:rPr>
          <w:rFonts w:ascii="Arial" w:eastAsia="宋体" w:hAnsi="Arial" w:cs="Arial"/>
          <w:bCs/>
          <w:sz w:val="32"/>
          <w:szCs w:val="32"/>
          <w:shd w:val="clear" w:color="auto" w:fill="FFFFFF"/>
        </w:rPr>
      </w:pPr>
      <w:bookmarkStart w:id="9" w:name="_Toc534732348"/>
      <w:r w:rsidRPr="00AE1FA0">
        <w:rPr>
          <w:rFonts w:ascii="Arial" w:eastAsia="宋体" w:hAnsi="Arial" w:cs="Arial"/>
          <w:bCs/>
          <w:sz w:val="32"/>
          <w:szCs w:val="32"/>
        </w:rPr>
        <w:lastRenderedPageBreak/>
        <w:t>Chapter One</w:t>
      </w:r>
      <w:bookmarkEnd w:id="9"/>
      <w:r w:rsidRPr="00AE1FA0">
        <w:rPr>
          <w:rFonts w:ascii="Arial" w:eastAsia="宋体" w:hAnsi="Arial" w:cs="Arial"/>
          <w:bCs/>
          <w:sz w:val="32"/>
          <w:szCs w:val="32"/>
        </w:rPr>
        <w:t xml:space="preserve"> </w:t>
      </w:r>
    </w:p>
    <w:p w:rsidR="00AE1FA0" w:rsidRPr="00AE1FA0" w:rsidRDefault="00AE1FA0" w:rsidP="00AE1FA0">
      <w:pPr>
        <w:widowControl/>
        <w:spacing w:after="160" w:line="360" w:lineRule="auto"/>
        <w:jc w:val="left"/>
        <w:rPr>
          <w:rFonts w:ascii="Arial" w:hAnsi="Arial" w:cs="Arial"/>
          <w:kern w:val="0"/>
          <w:sz w:val="32"/>
          <w:szCs w:val="32"/>
        </w:rPr>
      </w:pPr>
      <w:r w:rsidRPr="00AE1FA0">
        <w:rPr>
          <w:rFonts w:ascii="Arial" w:hAnsi="Arial" w:cs="Arial"/>
          <w:kern w:val="0"/>
          <w:sz w:val="32"/>
          <w:szCs w:val="32"/>
        </w:rPr>
        <w:t>Introduction</w:t>
      </w:r>
    </w:p>
    <w:p w:rsidR="00AE1FA0" w:rsidRPr="00AE1FA0" w:rsidRDefault="00AE1FA0" w:rsidP="00AE1FA0">
      <w:pPr>
        <w:widowControl/>
        <w:spacing w:after="160" w:line="360" w:lineRule="auto"/>
        <w:jc w:val="left"/>
        <w:rPr>
          <w:rFonts w:ascii="Arial" w:hAnsi="Arial" w:cs="Arial"/>
          <w:kern w:val="0"/>
          <w:sz w:val="32"/>
          <w:szCs w:val="32"/>
        </w:rPr>
      </w:pPr>
    </w:p>
    <w:p w:rsidR="00AE1FA0" w:rsidRPr="00AE1FA0" w:rsidRDefault="00AE1FA0" w:rsidP="00AE1FA0">
      <w:pPr>
        <w:keepNext/>
        <w:keepLines/>
        <w:widowControl/>
        <w:numPr>
          <w:ilvl w:val="1"/>
          <w:numId w:val="39"/>
        </w:numPr>
        <w:spacing w:before="40" w:after="160" w:line="360" w:lineRule="auto"/>
        <w:jc w:val="left"/>
        <w:outlineLvl w:val="1"/>
        <w:rPr>
          <w:rFonts w:ascii="Arial" w:eastAsiaTheme="majorEastAsia" w:hAnsi="Arial" w:cs="Arial"/>
          <w:b/>
          <w:color w:val="000000" w:themeColor="text1"/>
          <w:kern w:val="0"/>
          <w:sz w:val="24"/>
          <w:szCs w:val="24"/>
        </w:rPr>
      </w:pPr>
      <w:bookmarkStart w:id="10" w:name="_Toc534732349"/>
      <w:r w:rsidRPr="00AE1FA0">
        <w:rPr>
          <w:rFonts w:ascii="Arial" w:eastAsiaTheme="majorEastAsia" w:hAnsi="Arial" w:cs="Arial"/>
          <w:b/>
          <w:color w:val="000000" w:themeColor="text1"/>
          <w:kern w:val="0"/>
          <w:sz w:val="24"/>
          <w:szCs w:val="24"/>
        </w:rPr>
        <w:t>Organizational space and organizations</w:t>
      </w:r>
      <w:bookmarkEnd w:id="10"/>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hAnsi="Arial" w:cs="Arial"/>
          <w:sz w:val="24"/>
          <w:szCs w:val="24"/>
        </w:rPr>
      </w:pPr>
      <w:r w:rsidRPr="00AE1FA0">
        <w:rPr>
          <w:rFonts w:ascii="Arial" w:hAnsi="Arial" w:cs="Arial"/>
          <w:kern w:val="0"/>
          <w:sz w:val="24"/>
          <w:szCs w:val="24"/>
        </w:rPr>
        <w:t xml:space="preserve">Organizational space has been increasingly theorized as a social product, influenced by the emergence of spatial turn into organization studies. To say organizational space is socially produced means to acknowledge that organizations are spatially constructed and shaped. Yet, until the 1990s, the notion of space as a social product was marginalized, and just as Henri Lefebvre wrote, “the word space had a strictly geometrical meaning: the idea it evoked was to imply that of an empty area” (Lefebvre, 1991: 1). This metaphor of ‘empty area’ or ‘empty container’ can be dated back to Euclidean definition of space as a mathematical subject. Therefore, expressions such as ‘social space’, before the rise of spatial turn, would have seemed strange. Spatial turn represents a shift in understanding of space from container to social product (Beyes and Steyaert, 2012); ‘turn’ captures its nature as a philosophical shift because space is an ancient or classic topic, not only in organization studies, but also in general social science. Thus, the aim of spatial turn is not to encourage more spatial studies, but to introduce alternative insights into the question of how organizations and how we, as members of organizations, are spatialized. Put simply, how space influences interactions, and vice versa. Therefore, </w:t>
      </w:r>
      <w:r w:rsidRPr="00AE1FA0">
        <w:rPr>
          <w:rFonts w:ascii="Arial" w:hAnsi="Arial" w:cs="Arial"/>
          <w:sz w:val="24"/>
          <w:szCs w:val="24"/>
        </w:rPr>
        <w:t xml:space="preserve">the aim of this thesis has been to explore how space is socially constructed and how people experience space as a process. </w:t>
      </w:r>
      <w:r w:rsidRPr="00AE1FA0">
        <w:rPr>
          <w:rFonts w:ascii="Arial" w:hAnsi="Arial" w:cs="Arial"/>
          <w:kern w:val="0"/>
          <w:sz w:val="24"/>
          <w:szCs w:val="24"/>
        </w:rPr>
        <w:t>In this thesis, I will explore this via a case study of the Founder’s Building at Royal Holloway, University of London (RHUL)</w:t>
      </w:r>
      <w:r w:rsidRPr="00AE1FA0">
        <w:rPr>
          <w:rFonts w:ascii="Arial" w:hAnsi="Arial" w:cs="Arial"/>
          <w:kern w:val="0"/>
          <w:sz w:val="24"/>
          <w:szCs w:val="24"/>
          <w:vertAlign w:val="superscript"/>
        </w:rPr>
        <w:footnoteReference w:id="1"/>
      </w:r>
      <w:r w:rsidRPr="00AE1FA0">
        <w:rPr>
          <w:rFonts w:ascii="Arial" w:hAnsi="Arial" w:cs="Arial"/>
          <w:kern w:val="0"/>
          <w:sz w:val="24"/>
          <w:szCs w:val="24"/>
        </w:rPr>
        <w:t xml:space="preserve">.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I would like to propose two theoretical arguments which have motivated this thesis. These two lines of arguments are interwoven. The first is that the spatialization </w:t>
      </w:r>
      <w:r w:rsidRPr="00AE1FA0">
        <w:rPr>
          <w:rFonts w:ascii="Arial" w:hAnsi="Arial" w:cs="Arial"/>
          <w:kern w:val="0"/>
          <w:sz w:val="24"/>
          <w:szCs w:val="24"/>
        </w:rPr>
        <w:lastRenderedPageBreak/>
        <w:t xml:space="preserve">process of organizations can be explored through claims of spatial turn. Underneath this argument is a rediscovery of the importance of spatial turn, particularly how it can shift our understanding of organizational space and organizations. Spatial turn is especially motivated by a fundamental philosophical shift and therefore can foster an alternative way to analyse organizational space.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The second argument is about process philosophical approach embedded the conceptualization and analysis of the Founder’s Building. The underlying logic of this approach is to develop a philosophical position consistent with assumptions and claims of spatial turn. Thus, this is the reason that spatial turn and process philosophical approach are mutually constitutive. The first argument is centred on the importance of re-conceptualizing organizational space, whereas the second argument made it possible to re-theorize organizational space as evolving process.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Henri Lefebvre is recognized as the pioneer of spatial turn, and his book, </w:t>
      </w:r>
      <w:r w:rsidRPr="00AE1FA0">
        <w:rPr>
          <w:rFonts w:ascii="Arial" w:hAnsi="Arial" w:cs="Arial"/>
          <w:i/>
          <w:kern w:val="0"/>
          <w:sz w:val="24"/>
          <w:szCs w:val="24"/>
        </w:rPr>
        <w:t>Production of Space</w:t>
      </w:r>
      <w:r w:rsidRPr="00AE1FA0">
        <w:rPr>
          <w:rFonts w:ascii="Arial" w:hAnsi="Arial" w:cs="Arial"/>
          <w:kern w:val="0"/>
          <w:sz w:val="24"/>
          <w:szCs w:val="24"/>
        </w:rPr>
        <w:t xml:space="preserve">, published in 1991, builds the foundation of understandings. I will discuss more about his theories and implications in following sections, but for now, what I want to highlight is that in this thesis, Henri Lefebvre’s main contribution is his theorization of organizational space as social product. Indeed, the essence of his theories lies in a philosophical shift, transforming assumption of space from container to process metaphor. More importantly, it is evident in his book that his aim is not to provide a ‘quick fix’, but to reconceptualize our understandings or space, organizations and society. Just as Gotdinener (1993) summarized, Lefebvre’s approach to space is geographical, historical and semiotic simultaneously. Here we can see that spatial turn ultimately emerges to foster inter-disciplinary studies. Inspired by spatial turn, this thesis touched upon different theories in spatial, historical and political disciplines. However, I want to clarify that this thesis is a work of organization studies and is attentive to many facets of organization, even if space is foregrounded. What this means is that I try not to make some artificial separation of space from other concepts in organization studies. Just as Dale and Burrell (2008: xiii) put, study of space is about how organizations relate to wider society, and “organization is integral to the construction of spaces in which we live”. Thus, the </w:t>
      </w:r>
      <w:r w:rsidRPr="00AE1FA0">
        <w:rPr>
          <w:rFonts w:ascii="Arial" w:hAnsi="Arial" w:cs="Arial"/>
          <w:kern w:val="0"/>
          <w:sz w:val="24"/>
          <w:szCs w:val="24"/>
        </w:rPr>
        <w:lastRenderedPageBreak/>
        <w:t xml:space="preserve">spatial turn is indeed motivated by questionings of fundamental assumptions of how to define and conceptualize organizations.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Traditionally, the ontological assumption underpinning organization studies and theories is that they involve “substance over activity; discrete individually over interactive relatedness; descriptive fixity over productive energy, and classificatory stability over fluidity and evanescence” (Rescher, 1996: 31-35). That means, not only organizations, but the whole society is believed to operate in a stabilized and discrete way, in which individuals are reduced to unified entities at the same time. Nayak and Chia (2011) further elaborate by arguing that this presumption of discreteness and solidity comes from ancient Greek thoughts and classical scientific thinking. Underpinned by this presumption, social entities including organizations and individuals are therefore theorized as “circumscribed entities locatable in space rather than as dynamic and evolving configurations of relations” (Nayak and Chia, 2011: 284). This way of theorization of organizations is termed as “fallacy of misplaced concreteness” (Whitehead, 2010) and prevails in most modern understandings and theories in organization studies.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Once positioning space into this fallacy, it becomes rather clear why the assumption of space as container is still in dominant position. It is because our understandings of organizations and society are all confined to the fallacy of concreteness over uncertainty and fluidity. Implications of this fallacy in spatial studies include over-emphasis on formal and objective perspectives in organizations, such as its contexts, its technologies and infrastructures (Hernes, 2014; Hernes, 2002; Nayak and Chia, 2011). This is evident when combing through the changing trends in spatial studies in organizations: from Taylor’s time-motion in factory space to recent research interests into aesthetics and emotion in workplace, the concept of space is constantly restricted to concrete and malleable entity. Spatial turn therefore emerges to challenge this fallacy and more and more researchers argue that a process approach is necessary to theorize space in and between organizations. Sydow (2004) emphasized that only by theorizing space as process, is it possible to demonstrate </w:t>
      </w:r>
      <w:r w:rsidRPr="00AE1FA0">
        <w:rPr>
          <w:rFonts w:ascii="Arial" w:hAnsi="Arial" w:cs="Arial"/>
          <w:kern w:val="0"/>
          <w:sz w:val="24"/>
          <w:szCs w:val="24"/>
        </w:rPr>
        <w:lastRenderedPageBreak/>
        <w:t>how meanings are attributed to space, and how space can influence process of sense-making.</w:t>
      </w:r>
      <w:r w:rsidRPr="00AE1FA0">
        <w:rPr>
          <w:rFonts w:ascii="Arial" w:hAnsi="Arial" w:cs="Arial"/>
          <w:kern w:val="0"/>
          <w:sz w:val="24"/>
          <w:szCs w:val="24"/>
          <w:vertAlign w:val="superscript"/>
        </w:rPr>
        <w:t xml:space="preserve">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The second theoretical claim behind this thesis is that</w:t>
      </w:r>
      <w:r w:rsidRPr="00AE1FA0">
        <w:rPr>
          <w:rFonts w:ascii="Arial" w:hAnsi="Arial" w:cs="Arial"/>
          <w:i/>
          <w:kern w:val="0"/>
          <w:sz w:val="24"/>
          <w:szCs w:val="24"/>
        </w:rPr>
        <w:t xml:space="preserve"> </w:t>
      </w:r>
      <w:r w:rsidRPr="00AE1FA0">
        <w:rPr>
          <w:rFonts w:ascii="Arial" w:hAnsi="Arial" w:cs="Arial"/>
          <w:kern w:val="0"/>
          <w:sz w:val="24"/>
          <w:szCs w:val="24"/>
        </w:rPr>
        <w:t>the</w:t>
      </w:r>
      <w:r w:rsidRPr="00AE1FA0">
        <w:rPr>
          <w:rFonts w:ascii="Arial" w:hAnsi="Arial" w:cs="Arial"/>
          <w:i/>
          <w:kern w:val="0"/>
          <w:sz w:val="24"/>
          <w:szCs w:val="24"/>
        </w:rPr>
        <w:t xml:space="preserve"> </w:t>
      </w:r>
      <w:r w:rsidRPr="00AE1FA0">
        <w:rPr>
          <w:rFonts w:ascii="Arial" w:hAnsi="Arial" w:cs="Arial"/>
          <w:kern w:val="0"/>
          <w:sz w:val="24"/>
          <w:szCs w:val="24"/>
        </w:rPr>
        <w:t xml:space="preserve">process philosophical approach and spatial turn are mutually constitutive. Process approach denotes a paradigm shift from the substance ontology and shares the similar assumption with spatial turn in terms of space, organization and society. Process philosophy originated from researchers including Alfred North Whitehead, Henri Bergson and William James, who writes intensively about activities of organizations (Helin </w:t>
      </w:r>
      <w:r w:rsidRPr="00AE1FA0">
        <w:rPr>
          <w:rFonts w:ascii="Arial" w:hAnsi="Arial" w:cs="Arial"/>
          <w:i/>
          <w:kern w:val="0"/>
          <w:sz w:val="24"/>
          <w:szCs w:val="24"/>
        </w:rPr>
        <w:t>et al.</w:t>
      </w:r>
      <w:r w:rsidRPr="00AE1FA0">
        <w:rPr>
          <w:rFonts w:ascii="Arial" w:hAnsi="Arial" w:cs="Arial"/>
          <w:kern w:val="0"/>
          <w:sz w:val="24"/>
          <w:szCs w:val="24"/>
        </w:rPr>
        <w:t xml:space="preserve">, 2014). In order to understand organizations and society processually, in contrast to substance ontology, process philosophical approach prioritizes ontology of becoming, in which interactions and processes are attributes of reality (Hernes, 2014). In Bakken and Hernes’ (2006) work, organization was re-conceptualized as becoming </w:t>
      </w:r>
      <w:r w:rsidRPr="00AE1FA0">
        <w:rPr>
          <w:rFonts w:ascii="Arial" w:hAnsi="Arial" w:cs="Arial"/>
          <w:i/>
          <w:kern w:val="0"/>
          <w:sz w:val="24"/>
          <w:szCs w:val="24"/>
        </w:rPr>
        <w:t>process</w:t>
      </w:r>
      <w:r w:rsidRPr="00AE1FA0">
        <w:rPr>
          <w:rFonts w:ascii="Arial" w:hAnsi="Arial" w:cs="Arial"/>
          <w:kern w:val="0"/>
          <w:sz w:val="24"/>
          <w:szCs w:val="24"/>
        </w:rPr>
        <w:t xml:space="preserve">.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What this understanding contributed to my thesis is that I could re-conceptualize organizational space as well as organization itself as becoming processes, which made it possible to discover both present and past. More precisely, process approach is a philosophy with a different orientation of time as “an immanent unfolding force [that] carries the past into the present and the future rather than an axis in which events are deemed to unfold over time” (Nayak and Chia, 2011: 296). Hernes (2002: xix) further explains that organizations should be conceptualized as “relatively stabilized relational configurations that have evolved as actualities out of an infinite number of possibly”. In this thesis, the empirical case, Founder’s Building, was theorized as a crystallization of relations, possibilities and interactions. Besides organizations, individual was also seen as a nexus of these relations, interactions and possibilities. Therefore, one of characteristics of this thesis is that my approach to the organization, and participants, are all shaped by process theories. Ingold (2000) put it more precisely that the coming-into-being of individuals forms the coming-into-being of the world.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lastRenderedPageBreak/>
        <w:t xml:space="preserve">Yet the question </w:t>
      </w:r>
      <w:proofErr w:type="gramStart"/>
      <w:r w:rsidRPr="00AE1FA0">
        <w:rPr>
          <w:rFonts w:ascii="Arial" w:hAnsi="Arial" w:cs="Arial"/>
          <w:kern w:val="0"/>
          <w:sz w:val="24"/>
          <w:szCs w:val="24"/>
        </w:rPr>
        <w:t>still remains</w:t>
      </w:r>
      <w:proofErr w:type="gramEnd"/>
      <w:r w:rsidRPr="00AE1FA0">
        <w:rPr>
          <w:rFonts w:ascii="Arial" w:hAnsi="Arial" w:cs="Arial"/>
          <w:kern w:val="0"/>
          <w:sz w:val="24"/>
          <w:szCs w:val="24"/>
        </w:rPr>
        <w:t xml:space="preserve">, what can a process philosophy adds to this research on space and organization? One of most important contribution of process philosophy is that it crystallized temporality and conceptualized organizations as emergent processes. That is, process philosophical approach adopted in this thesis privileges process over end-states, </w:t>
      </w:r>
      <w:r w:rsidRPr="00AE1FA0">
        <w:rPr>
          <w:rFonts w:ascii="Arial" w:hAnsi="Arial" w:cs="Arial"/>
          <w:i/>
          <w:kern w:val="0"/>
          <w:sz w:val="24"/>
          <w:szCs w:val="24"/>
        </w:rPr>
        <w:t>becoming</w:t>
      </w:r>
      <w:r w:rsidRPr="00AE1FA0">
        <w:rPr>
          <w:rFonts w:ascii="Arial" w:hAnsi="Arial" w:cs="Arial"/>
          <w:kern w:val="0"/>
          <w:sz w:val="24"/>
          <w:szCs w:val="24"/>
        </w:rPr>
        <w:t xml:space="preserve"> over </w:t>
      </w:r>
      <w:r w:rsidRPr="00AE1FA0">
        <w:rPr>
          <w:rFonts w:ascii="Arial" w:hAnsi="Arial" w:cs="Arial"/>
          <w:i/>
          <w:kern w:val="0"/>
          <w:sz w:val="24"/>
          <w:szCs w:val="24"/>
        </w:rPr>
        <w:t>being</w:t>
      </w:r>
      <w:r w:rsidRPr="00AE1FA0">
        <w:rPr>
          <w:rFonts w:ascii="Arial" w:hAnsi="Arial" w:cs="Arial"/>
          <w:kern w:val="0"/>
          <w:sz w:val="24"/>
          <w:szCs w:val="24"/>
        </w:rPr>
        <w:t xml:space="preserve">. Attending to temporality brings forward not only what is happening in the present, but also emphasizes the importance of considering the past, histories of the space and what happened in that space. Therefore, in this thesis, the aim is to study space in history and moreover over a long historical period. Indeed, as suggested by Ingold (2000), individuals are the condensation of histories gradually forming into the becoming process of the society. This applies to organization and space in a similar way. A process philosophy approach is necessary to position spatial studies in a temporal context to understand organization as an evolving process. If situating organisational space in the process philosophical field, the assumption of organizational space as a container would be transferred to actual process of how it is produced and evolved. Once convinced that organizational space is an unfinished process, a look into the past is necessary and bears the same weight as the present space. Therefore, my thesis is a study of present and past of the process how organizational space evolves. This consequently leads to another feature of this thesis: its twin-track framework. One track emphasises the present, the other is attentive to the past. Detailed discussions of this feature can be found in later sections and in Chapter Three where I illustrate methodological choices. The reason is that a process philosophy can recover the continuities inherent in organizational life, where past and present interact and influence each other. What differentiates past from present is action and movement. The present is “that which is acting” as it transmits external movement through the body; the past is “that which acts no longer” (Helin </w:t>
      </w:r>
      <w:r w:rsidRPr="00AE1FA0">
        <w:rPr>
          <w:rFonts w:ascii="Arial" w:hAnsi="Arial" w:cs="Arial"/>
          <w:i/>
          <w:kern w:val="0"/>
          <w:sz w:val="24"/>
          <w:szCs w:val="24"/>
        </w:rPr>
        <w:t>et al.</w:t>
      </w:r>
      <w:r w:rsidRPr="00AE1FA0">
        <w:rPr>
          <w:rFonts w:ascii="Arial" w:hAnsi="Arial" w:cs="Arial"/>
          <w:kern w:val="0"/>
          <w:sz w:val="24"/>
          <w:szCs w:val="24"/>
        </w:rPr>
        <w:t xml:space="preserve">, 2014).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keepNext/>
        <w:keepLines/>
        <w:widowControl/>
        <w:numPr>
          <w:ilvl w:val="1"/>
          <w:numId w:val="39"/>
        </w:numPr>
        <w:spacing w:before="40" w:after="160" w:line="360" w:lineRule="auto"/>
        <w:jc w:val="left"/>
        <w:outlineLvl w:val="1"/>
        <w:rPr>
          <w:rFonts w:ascii="Arial" w:eastAsiaTheme="majorEastAsia" w:hAnsi="Arial" w:cs="Arial"/>
          <w:b/>
          <w:color w:val="000000" w:themeColor="text1"/>
          <w:kern w:val="0"/>
          <w:sz w:val="24"/>
          <w:szCs w:val="24"/>
        </w:rPr>
      </w:pPr>
      <w:bookmarkStart w:id="11" w:name="_Toc534732350"/>
      <w:r w:rsidRPr="00AE1FA0">
        <w:rPr>
          <w:rFonts w:ascii="Arial" w:eastAsiaTheme="majorEastAsia" w:hAnsi="Arial" w:cs="Arial"/>
          <w:b/>
          <w:color w:val="000000" w:themeColor="text1"/>
          <w:kern w:val="0"/>
          <w:sz w:val="24"/>
          <w:szCs w:val="24"/>
        </w:rPr>
        <w:t>Thesis approach</w:t>
      </w:r>
      <w:bookmarkEnd w:id="11"/>
    </w:p>
    <w:p w:rsidR="00AE1FA0" w:rsidRPr="00AE1FA0" w:rsidRDefault="00AE1FA0" w:rsidP="00AE1FA0">
      <w:pPr>
        <w:widowControl/>
        <w:spacing w:after="160" w:line="259" w:lineRule="auto"/>
        <w:jc w:val="left"/>
        <w:rPr>
          <w:rFonts w:ascii="Arial" w:hAnsi="Arial" w:cs="Arial"/>
          <w:kern w:val="0"/>
          <w:sz w:val="22"/>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12" w:name="_Toc534732351"/>
      <w:r w:rsidRPr="00AE1FA0">
        <w:rPr>
          <w:rFonts w:ascii="Arial" w:eastAsiaTheme="majorEastAsia" w:hAnsi="Arial" w:cs="Arial"/>
          <w:b/>
          <w:color w:val="000000" w:themeColor="text1"/>
          <w:kern w:val="0"/>
          <w:sz w:val="24"/>
          <w:szCs w:val="24"/>
        </w:rPr>
        <w:t>1.2.1. Theoretical approach</w:t>
      </w:r>
      <w:bookmarkEnd w:id="12"/>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lastRenderedPageBreak/>
        <w:t xml:space="preserve">One of contributions of this thesis is that it integrates different theoretical accounts and varying levels of analysis; yet this is a challenge, bringing in as it does a wide range of theories from diverse traditions. For instance, two broad theoretical traditions: space and history literatures. These literatures are based on disparate assumptions and traditions of analysis. Though these literatures and theories are divergent, the strategy that I choose gives explanatory power to empirical evidence. Of course, this might be criticized for losing depth compared to focusing on a single paradigm, but the nature of organizational space encourages a multi-disciplinary interest. More importantly, empirically, no one single school of thoughts of organizational space or history can fully explain what happened in Founder’s Building and RHUL. Therefore, a theoretical and analytical framework required for this thesis is one that is congruent with assumptions of both spatial turn and process theory, as well as dynamic enough to uncover becoming process of Founder’s Building in past and present.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The theoretical and analytical framework chosen for this thesis is Lefebvre’s theorizations, among which his triad was helpful in unpacking empirical evidence in Founder’s Building. Lefebvre’s triad theorizes space as conceived, perceived and lived. I will discuss more about Lefebvre’s theorization of organizational space and his triad in Chapter Two, but here I want to clarify that this framework is not a mechanistic categorization tool; it is not used to differentiate or categorize empirical evidence. That is, the theoretical and analytical framework based on my interpretation of Lefebvre’s theorisation aims to encourage investigation into the inner dynamism and interrelationship inherent in an empirical site. Apart from drawing attention to interrelationships embedded in space, this triad also emphasizes the process nature of space. Space is not a finished end-product, on the contrary, it is an ongoing process.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Empirically, Founder’s Building resulted from the architect’s and founders’ ideas, under certain social influences, and their conception was then transformed into buildings, with their artefacts, lived and experienced by users in different time periods. One thing to notice, this process is not a closed loop, but an evolving process where lived space in the past can influence the present perception process and directions. </w:t>
      </w:r>
      <w:r w:rsidRPr="00AE1FA0">
        <w:rPr>
          <w:rFonts w:ascii="Arial" w:hAnsi="Arial" w:cs="Arial"/>
          <w:kern w:val="0"/>
          <w:sz w:val="24"/>
          <w:szCs w:val="24"/>
        </w:rPr>
        <w:lastRenderedPageBreak/>
        <w:t xml:space="preserve">This is evident in Founder’s Building and many cases exist. It is because of this disparateness that a twin-track framework is employed as a methodological solution to bridge space and history. Here, a twin-track framework is defined as a strategy guiding both collection and analysis of empirical material, i.e. archival material and interviewing material. The rationale behind this choice lies in the theorization of space as an evolving and historical process, which can only be comprehended through investigations of past and present. In this thesis, archival material is collected to understand the past of Founder’s Building, interviews were conducted to uncover how people experience Founder’s Building today. Another central theoretical concept is historicity, which partly motivated by Lefebvre’s theorization of space as historical, and partly resulted from history literatures. Key theoretical claim of historicity is that everything bears the imprints of historicity (Dilthey, 1959). Thus, historicity transforms history from products of the past to be part of the present. This is consistent with the process philosophical approach as well and can explains empirically why something that happened in the past still presents in Founder’s Building. </w:t>
      </w:r>
    </w:p>
    <w:p w:rsidR="00AE1FA0" w:rsidRPr="00AE1FA0" w:rsidRDefault="00AE1FA0" w:rsidP="00AE1FA0">
      <w:pPr>
        <w:widowControl/>
        <w:spacing w:after="160" w:line="360" w:lineRule="auto"/>
        <w:jc w:val="left"/>
        <w:rPr>
          <w:rFonts w:ascii="Arial" w:hAnsi="Arial" w:cs="Arial"/>
          <w:kern w:val="0"/>
          <w:sz w:val="24"/>
          <w:szCs w:val="24"/>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13" w:name="_Toc534732352"/>
      <w:r w:rsidRPr="00AE1FA0">
        <w:rPr>
          <w:rFonts w:ascii="Arial" w:eastAsiaTheme="majorEastAsia" w:hAnsi="Arial" w:cs="Arial"/>
          <w:b/>
          <w:color w:val="000000" w:themeColor="text1"/>
          <w:kern w:val="0"/>
          <w:sz w:val="24"/>
          <w:szCs w:val="24"/>
        </w:rPr>
        <w:t xml:space="preserve">1.2.2. An empirical case </w:t>
      </w:r>
      <w:proofErr w:type="gramStart"/>
      <w:r w:rsidRPr="00AE1FA0">
        <w:rPr>
          <w:rFonts w:ascii="Arial" w:eastAsiaTheme="majorEastAsia" w:hAnsi="Arial" w:cs="Arial"/>
          <w:b/>
          <w:color w:val="000000" w:themeColor="text1"/>
          <w:kern w:val="0"/>
          <w:sz w:val="24"/>
          <w:szCs w:val="24"/>
        </w:rPr>
        <w:t>study</w:t>
      </w:r>
      <w:bookmarkEnd w:id="13"/>
      <w:proofErr w:type="gramEnd"/>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This thesis is based on an investigation of an empirical case study: Founder’s Building in Royal Holloway, University of London (Image 1). I started my research in the college archive to discover how Founder’s Building was experienced and what influenced that experiencing. Once the first phase of archive work was completed, I started to interview current users of Founder’s Building – a wide range of participants were interviewed including academic staff, both part-time and full-time, administrative staff, and students who currently live in Founder’s Building. As a current member of RHUL and a regular visitor to Founder’s Building, my access to both the college archive and to potential interviewees was relatively unproblematic (details can be found in Chapter Six where I reflect on my experience). Being in a sense an outsider brought some challenges, which I discuss critically in Chapter Three, but I want to emphasize that being also an insider was an advantage, saving time for gathering background knowledge and making it easier for me to build rapport with interviewing participants.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noProof/>
          <w:kern w:val="0"/>
          <w:sz w:val="24"/>
          <w:szCs w:val="24"/>
          <w:lang w:eastAsia="en-GB"/>
        </w:rPr>
        <w:drawing>
          <wp:inline distT="0" distB="0" distL="0" distR="0" wp14:anchorId="090843A9" wp14:editId="1D1851A9">
            <wp:extent cx="5731510" cy="38258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unders-building-and-the-windsor-building-from-the-ai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Image 1: Founder’s Building from the air</w:t>
      </w:r>
      <w:r w:rsidRPr="00AE1FA0">
        <w:rPr>
          <w:rFonts w:ascii="Arial" w:hAnsi="Arial" w:cs="Arial"/>
          <w:kern w:val="0"/>
          <w:sz w:val="24"/>
          <w:szCs w:val="24"/>
          <w:vertAlign w:val="superscript"/>
        </w:rPr>
        <w:footnoteReference w:id="2"/>
      </w:r>
    </w:p>
    <w:p w:rsidR="00AE1FA0" w:rsidRPr="00AE1FA0" w:rsidRDefault="00AE1FA0" w:rsidP="00AE1FA0">
      <w:pPr>
        <w:widowControl/>
        <w:spacing w:after="160" w:line="360" w:lineRule="auto"/>
        <w:rPr>
          <w:rFonts w:ascii="Arial" w:hAnsi="Arial" w:cs="Arial"/>
          <w:b/>
          <w:kern w:val="0"/>
          <w:sz w:val="24"/>
          <w:szCs w:val="24"/>
        </w:rPr>
      </w:pPr>
      <w:r w:rsidRPr="00AE1FA0">
        <w:rPr>
          <w:rFonts w:ascii="Arial" w:hAnsi="Arial" w:cs="Arial"/>
          <w:kern w:val="0"/>
          <w:sz w:val="24"/>
          <w:szCs w:val="24"/>
        </w:rPr>
        <w:t>Founder’s Building in RHUL itself is a condensation of a long history and tradition, and it has witnessed the evolution process not only of RHUL on a micro-level, but also the process of general social change on a macro-level. An introduction to Founder’s Building and its history can be found in Chapter Three, but for now, I want to introduce some important moments in in the timeline. To start with, Founder’s Building was opened in 1886 as a women college. From 1945, male postgraduate students were admitted, and male undergraduate students were admitted since 1965. In 1985, RHUL became co-educational. Just by combing through key moments in the timeline, its history as a women college has had an enduring impact on Founder’s Building and its traditions (Salt and Bennett,1986; Williams, 1993; Bingham, 1987). To take an example: ‘maids’, together with other supporting staff, like butlers, formed an important group of occupants in Founder’s Building for a long time. Students were encouraged to bring their maids and this tradition lasted for more than 60 years until World War II.  In the 21</w:t>
      </w:r>
      <w:r w:rsidRPr="00AE1FA0">
        <w:rPr>
          <w:rFonts w:ascii="Arial" w:hAnsi="Arial" w:cs="Arial"/>
          <w:kern w:val="0"/>
          <w:sz w:val="24"/>
          <w:szCs w:val="24"/>
          <w:vertAlign w:val="superscript"/>
        </w:rPr>
        <w:t>st</w:t>
      </w:r>
      <w:r w:rsidRPr="00AE1FA0">
        <w:rPr>
          <w:rFonts w:ascii="Arial" w:hAnsi="Arial" w:cs="Arial"/>
          <w:kern w:val="0"/>
          <w:sz w:val="24"/>
          <w:szCs w:val="24"/>
        </w:rPr>
        <w:t xml:space="preserve"> century, the notion of community and diversity is promoted, </w:t>
      </w:r>
      <w:r w:rsidRPr="00AE1FA0">
        <w:rPr>
          <w:rFonts w:ascii="Arial" w:hAnsi="Arial" w:cs="Arial"/>
          <w:kern w:val="0"/>
          <w:sz w:val="24"/>
          <w:szCs w:val="24"/>
        </w:rPr>
        <w:lastRenderedPageBreak/>
        <w:t xml:space="preserve">but both had already left their historical imprints. Founder’s Building. Diversity may seem less relevant, but the design of Founder’s Building resembled Chateau de Chambord in France and organizing of the college borrowed many traditions from Vassar College in America. Detailed discussions of these examples will be provided later in the thesis.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Timing of my research luckily fell when many changes were happening in Founder’s Building and RHUL. I started to interview in 2016 summer, when at least one academic department began to move out of Founder’s Building and was relocated in a modernised building. Remaining departments were either on the waiting list to move out or had been notified relocation would happen in the future. Refurbishment was being carried out in Founder’s Building, where the reception area was radically altered. Outside Founder’s Building, a new library was built, a project that lasted more than a year and has changed the campus landscape dramatically. Though it is not part of Founder’s Building, it faces Founder’s Building directly and shares a courtyard with it. Partly, this has transformed Founder’s Building from a rather independent space to a more integrated part of the campus. Even the name of the new library, Emily Wilding Davison building, is named after an alumna who lived and studied in Founder’s Building. </w:t>
      </w:r>
    </w:p>
    <w:p w:rsidR="00AE1FA0" w:rsidRPr="00AE1FA0" w:rsidRDefault="00AE1FA0" w:rsidP="00AE1FA0">
      <w:pPr>
        <w:widowControl/>
        <w:spacing w:after="160" w:line="360" w:lineRule="auto"/>
        <w:jc w:val="left"/>
        <w:rPr>
          <w:rFonts w:ascii="Arial" w:hAnsi="Arial" w:cs="Arial"/>
          <w:kern w:val="0"/>
          <w:sz w:val="24"/>
          <w:szCs w:val="24"/>
        </w:rPr>
      </w:pPr>
    </w:p>
    <w:p w:rsidR="00AE1FA0" w:rsidRPr="00AE1FA0" w:rsidRDefault="00AE1FA0" w:rsidP="00AE1FA0">
      <w:pPr>
        <w:keepNext/>
        <w:keepLines/>
        <w:widowControl/>
        <w:numPr>
          <w:ilvl w:val="1"/>
          <w:numId w:val="33"/>
        </w:numPr>
        <w:spacing w:before="40" w:after="160" w:line="259" w:lineRule="auto"/>
        <w:jc w:val="left"/>
        <w:outlineLvl w:val="1"/>
        <w:rPr>
          <w:rFonts w:ascii="Arial" w:eastAsiaTheme="majorEastAsia" w:hAnsi="Arial" w:cs="Arial"/>
          <w:vanish/>
          <w:color w:val="365F91" w:themeColor="accent1" w:themeShade="BF"/>
          <w:kern w:val="0"/>
          <w:sz w:val="26"/>
          <w:szCs w:val="26"/>
        </w:rPr>
      </w:pPr>
      <w:bookmarkStart w:id="14" w:name="_Toc514757793"/>
      <w:bookmarkStart w:id="15" w:name="_Toc534732353"/>
      <w:bookmarkEnd w:id="14"/>
      <w:bookmarkEnd w:id="15"/>
    </w:p>
    <w:p w:rsidR="00AE1FA0" w:rsidRPr="00AE1FA0" w:rsidRDefault="00AE1FA0" w:rsidP="00AE1FA0">
      <w:pPr>
        <w:keepNext/>
        <w:keepLines/>
        <w:widowControl/>
        <w:numPr>
          <w:ilvl w:val="1"/>
          <w:numId w:val="39"/>
        </w:numPr>
        <w:spacing w:before="40" w:after="160" w:line="259" w:lineRule="auto"/>
        <w:jc w:val="left"/>
        <w:outlineLvl w:val="1"/>
        <w:rPr>
          <w:rFonts w:ascii="Arial" w:eastAsiaTheme="majorEastAsia" w:hAnsi="Arial" w:cs="Arial"/>
          <w:b/>
          <w:color w:val="000000" w:themeColor="text1"/>
          <w:kern w:val="0"/>
          <w:sz w:val="24"/>
          <w:szCs w:val="26"/>
        </w:rPr>
      </w:pPr>
      <w:bookmarkStart w:id="16" w:name="_Toc534732354"/>
      <w:r w:rsidRPr="00AE1FA0">
        <w:rPr>
          <w:rFonts w:ascii="Arial" w:eastAsiaTheme="majorEastAsia" w:hAnsi="Arial" w:cs="Arial"/>
          <w:b/>
          <w:color w:val="000000" w:themeColor="text1"/>
          <w:kern w:val="0"/>
          <w:sz w:val="24"/>
          <w:szCs w:val="26"/>
        </w:rPr>
        <w:t>Structure of the thesis</w:t>
      </w:r>
      <w:bookmarkEnd w:id="16"/>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This thesis starts with a general debate of space as a container or a process, then develops further why I have claimed organizational space should be explored as a social process by investigating the underlying philosophical assumption.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Chapter One aims to familiarize readers with key theoretical concepts and claims, including organizational space and process theory, as well as introducing Lefebvre’s triad as a main theoretical framework. This chapter also covers a brief introduction of theoretical design and empirical case for this thesis. Though each is discussed in later chapters, discussions here are to help readers to form a general impression of </w:t>
      </w:r>
      <w:r w:rsidRPr="00AE1FA0">
        <w:rPr>
          <w:rFonts w:ascii="Arial" w:hAnsi="Arial" w:cs="Arial"/>
          <w:kern w:val="0"/>
          <w:sz w:val="24"/>
          <w:szCs w:val="24"/>
        </w:rPr>
        <w:lastRenderedPageBreak/>
        <w:t xml:space="preserve">what they can expect. For this reason, structure of the thesis as well as contributions are provided as well.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Chapter Two seeks to set the scene for studying space in an organizational context. To start with, different definitions of space are analysed in a critical way. </w:t>
      </w:r>
      <w:proofErr w:type="gramStart"/>
      <w:r w:rsidRPr="00AE1FA0">
        <w:rPr>
          <w:rFonts w:ascii="Arial" w:hAnsi="Arial" w:cs="Arial"/>
          <w:kern w:val="0"/>
          <w:sz w:val="24"/>
          <w:szCs w:val="24"/>
        </w:rPr>
        <w:t>In particular, I</w:t>
      </w:r>
      <w:proofErr w:type="gramEnd"/>
      <w:r w:rsidRPr="00AE1FA0">
        <w:rPr>
          <w:rFonts w:ascii="Arial" w:hAnsi="Arial" w:cs="Arial"/>
          <w:kern w:val="0"/>
          <w:sz w:val="24"/>
          <w:szCs w:val="24"/>
        </w:rPr>
        <w:t xml:space="preserve"> compare two divergent definitions of space in existed literatures, which is whether space is a Euclidean concept or space is socially produced (Taylor and Spicer, 2007; Dale and Burrell, 2008; Dale, 2005). More than just listing different characteristics of these two traditions, I try to demonstrate how the belief that space is socially produced is built on different interpretations of space from a new angle. It is this new angle that inspired and motivated the rise of spatial turn. Spatial turn is more than a turning point in the field of human geography; more importantly for organization studies, it encourages growing interest in studying organizational space (Warf &amp; Arias, 2009; Beyes and Steyaert, 2012; Kingston, 2010; Taylor and Spicer, 2007). Henri Lefebvre is one of the most influential figures in spatial turn and his work is widely applied in organization studies. Apart from introducing characteristics and implications of Lefebvre’s theories, this chapter also depicts the downside and potential risks in applying Lefebvre’s theories in an organizational context by carefully examining empirical cases in existed literatures. Discussions around historical turn and historicity contribute to the second part of this chapter. Concept of historicity emerges from the analysis of Lefebvre’s theorization of space as he defined study of space is historical ultimately historical (Lefebvre, 1991). Thus, I revisit the literatures of historical approaches and discuss how it can be achieved in studies of organizational space. Finally, this chapter unpacks the implications of studying organizational space by showcasing its potential in helping us to understand organizations and society from a new angle.</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Chapter Three focuses on the methodological stance and choices. Contextualization of the research question builds the foundation of this chapter by introducing the empirical case – Founder’s Building. The scope of this research is provided to help readers understand the following specific research design better. Before moving towards research design, one section is devoted to philosophical assumptions </w:t>
      </w:r>
      <w:r w:rsidRPr="00AE1FA0">
        <w:rPr>
          <w:rFonts w:ascii="Arial" w:hAnsi="Arial" w:cs="Arial"/>
          <w:kern w:val="0"/>
          <w:sz w:val="24"/>
          <w:szCs w:val="24"/>
        </w:rPr>
        <w:lastRenderedPageBreak/>
        <w:t xml:space="preserve">underlying and reflections on being a reflexive researcher. This philosophical section is particularly important not only because it can demonstrate the consistency of the design of this whole research project, but also because it is essential for doing an interpretive and reflexive research. The next section </w:t>
      </w:r>
      <w:proofErr w:type="gramStart"/>
      <w:r w:rsidRPr="00AE1FA0">
        <w:rPr>
          <w:rFonts w:ascii="Arial" w:hAnsi="Arial" w:cs="Arial"/>
          <w:kern w:val="0"/>
          <w:sz w:val="24"/>
          <w:szCs w:val="24"/>
        </w:rPr>
        <w:t>looks into</w:t>
      </w:r>
      <w:proofErr w:type="gramEnd"/>
      <w:r w:rsidRPr="00AE1FA0">
        <w:rPr>
          <w:rFonts w:ascii="Arial" w:hAnsi="Arial" w:cs="Arial"/>
          <w:kern w:val="0"/>
          <w:sz w:val="24"/>
          <w:szCs w:val="24"/>
        </w:rPr>
        <w:t xml:space="preserve"> the specific design of the Founder’s Building and how the twin-track framework has been applied. Aspects including methods of collecting archival and interviewing materials, analytical strategies of empirical evidence and ethical considerations are unravelled.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Chapter Four discusses empirical findings in Founder’s Building with the focus on how Founder’s Building is experienced over time. In the beginning of this chapter, I introduce the concept of encounter and shift my focus on interactions between users and Founder’s Building. This chapter consists of three sub-sections and each depicts Founder’s Building from a specific perspective. However, it should be emphasised that there are overlapping areas, and indeed these overlapping areas indicate the integrity of the findings. For readers, these three sections are more like different versions of stories of Founder’s Building and RHUL. The first section focuses on the becoming process of how RHUL and Founder’s Building is spatialized. The emphasis is put on how becoming process of Founder’s Building has been influenced by social changes. The second section focuses on more specific perspectives and depicts how Founder’s Building as a separate-sphered space evolves. Two empirical cases demonstrate in detail concepts of safety and Ladies’ College in Founder’s Building. This section is written in a way showcasing how conceived, perceived and lived space are closely intermingled together empirically in the case of Founder’s Building. The third section of this chapter works as a comprehensive discussion of previous sections and shifts attention to negotiation process existing in interactions between social changes and experiencing.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Chapter Five focuses on another perspective of Founder’s Building, which is where the title of this thesis comes from. What I attempt to achieve is not just to demonstrate that the past is present, but to show which parts of past is present, how, and why. I start this chapter by approaching Founder’s Building as a ‘Victorian’ building. It should be noted that the definition of ‘Victorian’ should not be limited to a specific time period. </w:t>
      </w:r>
      <w:r w:rsidRPr="00AE1FA0">
        <w:rPr>
          <w:rFonts w:ascii="Arial" w:hAnsi="Arial" w:cs="Arial"/>
          <w:kern w:val="0"/>
          <w:sz w:val="24"/>
          <w:szCs w:val="24"/>
        </w:rPr>
        <w:lastRenderedPageBreak/>
        <w:t xml:space="preserve">Here, ‘Victorian’ is a discursive term. It is evident from the empirical evidence that the meaning of ‘Victorian’ changes in different time periods and its meaning influences how people interpret Founder’s Building. As a discursive term, ‘Victorian’ is alive in the present, not just in Founder’s Building or RHUL, but also in society. Indeed, much evidence has indicated that ‘Victorian’ is a recurring term mentioned by interviewees, which indicates how life in </w:t>
      </w:r>
      <w:proofErr w:type="gramStart"/>
      <w:r w:rsidRPr="00AE1FA0">
        <w:rPr>
          <w:rFonts w:ascii="Arial" w:hAnsi="Arial" w:cs="Arial"/>
          <w:kern w:val="0"/>
          <w:sz w:val="24"/>
          <w:szCs w:val="24"/>
        </w:rPr>
        <w:t>RHUL</w:t>
      </w:r>
      <w:proofErr w:type="gramEnd"/>
      <w:r w:rsidRPr="00AE1FA0">
        <w:rPr>
          <w:rFonts w:ascii="Arial" w:hAnsi="Arial" w:cs="Arial"/>
          <w:kern w:val="0"/>
          <w:sz w:val="24"/>
          <w:szCs w:val="24"/>
        </w:rPr>
        <w:t xml:space="preserve"> and Founder’s Building is still shaped by ‘Victorian’ notions and values. In the second half of this chapter, I discuss how the term could always be present in Founder’s Building, for which I provide two possible explanations. One is that ‘Victorian’ exists through the ‘becoming’ process of Founder’s Building as a historic space, the other is that ‘Victorian’ remains alive through the persistency of ‘Victorian’ physicality.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Chapter Six reflects on the analysing and writing process of the thesis. This chapter has three sections. The first section is about reflection on writing a Lefebvrian study. However, I want to clarify again that calling it a Lefebvrian study is not the same as analysing Founder’s Building based on Henri Lefebvre’s ‘</w:t>
      </w:r>
      <w:proofErr w:type="gramStart"/>
      <w:r w:rsidRPr="00AE1FA0">
        <w:rPr>
          <w:rFonts w:ascii="Arial" w:hAnsi="Arial" w:cs="Arial"/>
          <w:kern w:val="0"/>
          <w:sz w:val="24"/>
          <w:szCs w:val="24"/>
        </w:rPr>
        <w:t>instructions’</w:t>
      </w:r>
      <w:proofErr w:type="gramEnd"/>
      <w:r w:rsidRPr="00AE1FA0">
        <w:rPr>
          <w:rFonts w:ascii="Arial" w:hAnsi="Arial" w:cs="Arial"/>
          <w:kern w:val="0"/>
          <w:sz w:val="24"/>
          <w:szCs w:val="24"/>
        </w:rPr>
        <w:t xml:space="preserve">. Instead, the aim is to interpret the case study based on my readings and interpretations of Lefebvre’s work and theories. Thus, one central interpretation is to treat Lefebvre’s triad as an integrated heuristic device. Specifically, this section explores and reflects how this triad is integrated and the challenges in applying it to Founder’s Building. The second section shifts reflection to writing a historical study from a process philosophical position. Here, process philosophical position is the key conception framing evaluations of both Lefebvre’s theories and historical understandings. Discussions of contributions of historicity in Lefebvrian analysis showcase the importance as well as huge potential of historical perspective in spatial studies. The third section reflects more on the empirical level and evaluates the twin-track strategy employed. Both collection and analysis process of empirical evidence are covered in this chapter.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In Chapter Seven, I first outline contributions to this thesis. I then discuss some limitations, on both theoretical and methodological perspectives. This chapter ends with potential directions for future research, elaborated from four different </w:t>
      </w:r>
      <w:r w:rsidRPr="00AE1FA0">
        <w:rPr>
          <w:rFonts w:ascii="Arial" w:hAnsi="Arial" w:cs="Arial"/>
          <w:kern w:val="0"/>
          <w:sz w:val="24"/>
          <w:szCs w:val="24"/>
        </w:rPr>
        <w:lastRenderedPageBreak/>
        <w:t>perspectives. The first possible route is to explore Founder’s Building in post-1985s; the second is to adopt a multiple case study method and to investigate ‘Victorian’ buildings and space. For research with more general interest, the third route could apply twin-track strategy as a generic technique to study other buildings, space and organizations. The fourth possible direction for future researchers could be to explore the interrelationship between identification process and spatial experience.</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keepNext/>
        <w:keepLines/>
        <w:widowControl/>
        <w:numPr>
          <w:ilvl w:val="1"/>
          <w:numId w:val="39"/>
        </w:numPr>
        <w:spacing w:before="40" w:after="160" w:line="360" w:lineRule="auto"/>
        <w:jc w:val="left"/>
        <w:outlineLvl w:val="1"/>
        <w:rPr>
          <w:rFonts w:ascii="Arial" w:eastAsiaTheme="majorEastAsia" w:hAnsi="Arial" w:cs="Arial"/>
          <w:b/>
          <w:color w:val="000000" w:themeColor="text1"/>
          <w:kern w:val="0"/>
          <w:sz w:val="24"/>
          <w:szCs w:val="26"/>
        </w:rPr>
      </w:pPr>
      <w:bookmarkStart w:id="17" w:name="_Toc534732355"/>
      <w:r w:rsidRPr="00AE1FA0">
        <w:rPr>
          <w:rFonts w:ascii="Arial" w:eastAsiaTheme="majorEastAsia" w:hAnsi="Arial" w:cs="Arial"/>
          <w:b/>
          <w:color w:val="000000" w:themeColor="text1"/>
          <w:kern w:val="0"/>
          <w:sz w:val="24"/>
          <w:szCs w:val="26"/>
        </w:rPr>
        <w:t>Contribution</w:t>
      </w:r>
      <w:bookmarkEnd w:id="17"/>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In the conclusion I elaborate on the contributions, each of which contributes to organizational space in a different way, with wider implications in the field of organization studies.</w:t>
      </w: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The first contribution is to develop a theoretical conceptualization of space, bringing together Lefebvre’s assumption of space as a social construction and processual assumption of space as ongoing process. Founder’s Building is the empirical site that exemplifies the plausibility of this conceptualization. Contrary to the popular conceptualization of space as container or bounded entity, space in this thesis is conceptualized as a becoming process that historically shapes and influences. Though Lefebvre made clear in his book that the space is historical, historicity is often marginalized in the field of organization studies. On the theoretical level, I also aim to elaborate the notion of temporality. Temporality is destabilized as continuing evolving process under the influence of processual philosophy, which is also the essence of Lefebvre’s theorization. Yet what it lacks is the empirical case can bring forward temporality without reducing conceptualization of space to physicality. Moreover, historicization of Lefebvre’s theory is even scarcer in existing empirical studies. In contrast to existing empirical works shaped by Lefebvre’s theories, this thesis aims to contribute to understanding of organizational space through embracing fundamental assumptions that underpinned Lefebvre’s theory, rather than applying his triad as a mechanistic tool. </w:t>
      </w:r>
    </w:p>
    <w:p w:rsidR="00AE1FA0" w:rsidRPr="00AE1FA0" w:rsidRDefault="00AE1FA0" w:rsidP="00AE1FA0">
      <w:pPr>
        <w:widowControl/>
        <w:spacing w:after="160" w:line="360" w:lineRule="auto"/>
        <w:jc w:val="left"/>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lastRenderedPageBreak/>
        <w:t xml:space="preserve">Methodological potential of this reflexive twin-track strategy is the second central contribution I attempt to accomplish. This methodological strategy results from the theoretical implications of both Lefebvrian theory and historicity. More importantly, the objective of this thesis is to uncover the intersection of past and present. Thus, the method chosen should fulfil the requirement to discover empirical evidence of present and past without compromising the quality of the empirical evidence. While findings from Founder’s Building have been derived and indicate a good fit of this twin-track strategy, this specific strategy of framework has wider implications; for instance, this can be easily applied to multiple case studies and has relevance to other areas in organization studies, such as organizational remembering and forgetting or forming process of identity. What this twin-track strategy differentiates from others is on two perspectives. One, this thesis is an empirical case that showed the potential of combining archival and interviewing material. Two, the notion of reflexivity is another salient characteristic. It indeed is the key concept not only in determining the collection process but also shaping how empirical evidence is analysed and presented. Thus, on one level, the methodological contribution of this thesis is the design of this twin-track strategy; on the other level, the contribution is to apply this strategy in a reflexive way. </w:t>
      </w:r>
    </w:p>
    <w:p w:rsidR="00AE1FA0" w:rsidRP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The final contribution seeks to contribute to the field of empirical level achieved by empirically examining Founder’s Building and RHUL. The most central contribution is what the title of this thesis depicts: that the past is always present. That is, historicity of Founder’s Building is discovered and the process of how histories leave imprints on it is revealed. This is achieved through investigations of users’ interactions and interpretations of Founder’s Building and RHUL. This empirical contribution is achieved through detailed discussion of interactions between experiencing of space and social changes, which another empirical contribution is revealed in Founder’s Building.  In this process, the phenomenon of appropriation as an evident finding emerged. It is through this appropriation process that linking the histories and experiencing process becomes possible. Moreover, I elaborate Lefebvre’s triad framework empirically by integrating conceived, perceived and lived space into the analysis to uncover the interrelationship and dynamism of how Founder’s Building evolves and develops. Empirical findings from this case have some practical </w:t>
      </w:r>
      <w:r w:rsidRPr="00AE1FA0">
        <w:rPr>
          <w:rFonts w:ascii="Arial" w:hAnsi="Arial" w:cs="Arial"/>
          <w:kern w:val="0"/>
          <w:sz w:val="24"/>
          <w:szCs w:val="24"/>
        </w:rPr>
        <w:lastRenderedPageBreak/>
        <w:t>implications for further studies on organizational space and wider situations in the organizational context.</w:t>
      </w: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hint="eastAsia"/>
          <w:kern w:val="0"/>
          <w:sz w:val="24"/>
          <w:szCs w:val="24"/>
        </w:rPr>
      </w:pPr>
    </w:p>
    <w:p w:rsidR="00AE1FA0" w:rsidRPr="00AE1FA0" w:rsidRDefault="00AE1FA0" w:rsidP="00AE1FA0">
      <w:pPr>
        <w:keepNext/>
        <w:keepLines/>
        <w:widowControl/>
        <w:spacing w:before="240" w:line="360" w:lineRule="auto"/>
        <w:jc w:val="center"/>
        <w:outlineLvl w:val="0"/>
        <w:rPr>
          <w:rFonts w:ascii="Arial" w:eastAsiaTheme="majorEastAsia" w:hAnsi="Arial" w:cs="Arial"/>
          <w:color w:val="000000" w:themeColor="text1"/>
          <w:kern w:val="0"/>
          <w:sz w:val="32"/>
          <w:szCs w:val="32"/>
          <w:shd w:val="clear" w:color="auto" w:fill="FFFFFF"/>
        </w:rPr>
      </w:pPr>
      <w:bookmarkStart w:id="18" w:name="_Toc534732356"/>
      <w:r w:rsidRPr="00AE1FA0">
        <w:rPr>
          <w:rFonts w:ascii="Arial" w:eastAsiaTheme="majorEastAsia" w:hAnsi="Arial" w:cs="Arial"/>
          <w:color w:val="000000" w:themeColor="text1"/>
          <w:kern w:val="0"/>
          <w:sz w:val="32"/>
          <w:szCs w:val="32"/>
          <w:shd w:val="clear" w:color="auto" w:fill="FFFFFF"/>
        </w:rPr>
        <w:lastRenderedPageBreak/>
        <w:t>Chapter Two</w:t>
      </w:r>
      <w:bookmarkEnd w:id="18"/>
    </w:p>
    <w:p w:rsidR="00AE1FA0" w:rsidRPr="00AE1FA0" w:rsidRDefault="00AE1FA0" w:rsidP="00AE1FA0">
      <w:pPr>
        <w:widowControl/>
        <w:spacing w:after="160" w:line="360" w:lineRule="auto"/>
        <w:jc w:val="left"/>
        <w:rPr>
          <w:rFonts w:ascii="Arial" w:hAnsi="Arial" w:cs="Arial"/>
          <w:kern w:val="0"/>
          <w:sz w:val="32"/>
          <w:szCs w:val="32"/>
          <w:shd w:val="clear" w:color="auto" w:fill="FFFFFF"/>
        </w:rPr>
      </w:pPr>
      <w:r w:rsidRPr="00AE1FA0">
        <w:rPr>
          <w:rFonts w:ascii="Arial" w:hAnsi="Arial" w:cs="Arial"/>
          <w:kern w:val="0"/>
          <w:sz w:val="32"/>
          <w:szCs w:val="32"/>
          <w:shd w:val="clear" w:color="auto" w:fill="FFFFFF"/>
        </w:rPr>
        <w:t>Literature review: Historicizing organizational space</w:t>
      </w:r>
    </w:p>
    <w:p w:rsidR="00AE1FA0" w:rsidRPr="00AE1FA0" w:rsidRDefault="00AE1FA0" w:rsidP="00AE1FA0">
      <w:pPr>
        <w:widowControl/>
        <w:spacing w:after="160" w:line="360" w:lineRule="auto"/>
        <w:jc w:val="left"/>
        <w:rPr>
          <w:rFonts w:ascii="Arial" w:hAnsi="Arial" w:cs="Arial"/>
          <w:kern w:val="0"/>
          <w:sz w:val="32"/>
          <w:szCs w:val="32"/>
          <w:shd w:val="clear" w:color="auto" w:fill="FFFFFF"/>
        </w:rPr>
      </w:pPr>
    </w:p>
    <w:p w:rsidR="00AE1FA0" w:rsidRPr="00AE1FA0" w:rsidRDefault="00AE1FA0" w:rsidP="00AE1FA0">
      <w:pPr>
        <w:keepNext/>
        <w:keepLines/>
        <w:widowControl/>
        <w:spacing w:before="40" w:line="360" w:lineRule="auto"/>
        <w:jc w:val="left"/>
        <w:outlineLvl w:val="1"/>
        <w:rPr>
          <w:rFonts w:ascii="Arial" w:eastAsiaTheme="majorEastAsia" w:hAnsi="Arial" w:cs="Arial"/>
          <w:b/>
          <w:color w:val="000000" w:themeColor="text1"/>
          <w:kern w:val="0"/>
          <w:sz w:val="24"/>
          <w:szCs w:val="26"/>
          <w:shd w:val="clear" w:color="auto" w:fill="FFFFFF"/>
        </w:rPr>
      </w:pPr>
      <w:bookmarkStart w:id="19" w:name="_Toc534732357"/>
      <w:r w:rsidRPr="00AE1FA0">
        <w:rPr>
          <w:rFonts w:ascii="Arial" w:eastAsiaTheme="majorEastAsia" w:hAnsi="Arial" w:cs="Arial"/>
          <w:b/>
          <w:color w:val="000000" w:themeColor="text1"/>
          <w:kern w:val="0"/>
          <w:sz w:val="24"/>
          <w:szCs w:val="26"/>
          <w:shd w:val="clear" w:color="auto" w:fill="FFFFFF"/>
        </w:rPr>
        <w:t>Chapter Introduction</w:t>
      </w:r>
      <w:bookmarkEnd w:id="19"/>
    </w:p>
    <w:p w:rsidR="00AE1FA0" w:rsidRPr="00AE1FA0" w:rsidRDefault="00AE1FA0" w:rsidP="00AE1FA0">
      <w:pPr>
        <w:widowControl/>
        <w:spacing w:after="160" w:line="259" w:lineRule="auto"/>
        <w:jc w:val="left"/>
        <w:rPr>
          <w:rFonts w:ascii="Arial" w:hAnsi="Arial" w:cs="Arial"/>
          <w:kern w:val="0"/>
          <w:sz w:val="22"/>
        </w:rPr>
      </w:pPr>
    </w:p>
    <w:p w:rsidR="00AE1FA0" w:rsidRPr="00AE1FA0" w:rsidRDefault="00AE1FA0" w:rsidP="00AE1FA0">
      <w:pPr>
        <w:spacing w:line="360" w:lineRule="auto"/>
        <w:rPr>
          <w:rFonts w:ascii="Arial" w:hAnsi="Arial" w:cs="Arial"/>
          <w:sz w:val="24"/>
          <w:szCs w:val="24"/>
          <w:shd w:val="clear" w:color="auto" w:fill="FFFFFF"/>
        </w:rPr>
      </w:pPr>
      <w:r w:rsidRPr="00AE1FA0">
        <w:rPr>
          <w:rFonts w:ascii="Arial" w:hAnsi="Arial" w:cs="Arial"/>
          <w:sz w:val="24"/>
          <w:szCs w:val="24"/>
          <w:shd w:val="clear" w:color="auto" w:fill="FFFFFF"/>
        </w:rPr>
        <w:t xml:space="preserve">In this chapter, the primary aim is to enter a long-standing debate on the conceptualization of space in the organizational context. Whereas the rise of spatial studies becomes gradually prevalent in organization studies, what is generally missing is investigation of how space and organization is conceptualized, and thus how these conceptualizations affect the way to explore organizational space. I start to deal with this by firstly examining how organizational space is conceptualized, based on the evaluation of different categorization tradition. Through </w:t>
      </w:r>
      <w:proofErr w:type="gramStart"/>
      <w:r w:rsidRPr="00AE1FA0">
        <w:rPr>
          <w:rFonts w:ascii="Arial" w:hAnsi="Arial" w:cs="Arial"/>
          <w:sz w:val="24"/>
          <w:szCs w:val="24"/>
          <w:shd w:val="clear" w:color="auto" w:fill="FFFFFF"/>
        </w:rPr>
        <w:t>carefully scrutinizing</w:t>
      </w:r>
      <w:proofErr w:type="gramEnd"/>
      <w:r w:rsidRPr="00AE1FA0">
        <w:rPr>
          <w:rFonts w:ascii="Arial" w:hAnsi="Arial" w:cs="Arial"/>
          <w:sz w:val="24"/>
          <w:szCs w:val="24"/>
          <w:shd w:val="clear" w:color="auto" w:fill="FFFFFF"/>
        </w:rPr>
        <w:t xml:space="preserve"> different ways of how organizational space can be conceptualized as well as the fundamental underpinning assumptions, I propose the necessity of moving from conceptualizing organization space as entities to spatialized experiences, which is deeply associated with thoughts of process theory. Thus, the second section of this chapter is a shift in interest from organizational space to organizations and the wider social world. In this section, I revisit the history of process theory and how it can become a philosophy, to understand not only organizational space, but also organizations and society. What this brings forward to organization studies is the concept of temporality, therefore, I then move my focus to time and space, which enables understanding of why a historical perspective is essential to understand organizational space. This is achieved and motivated by the rising trend of historical turn, which is also an important part in this section. In the rest of this chapter, my discussions are to evaluate and demonstrate how Lefebvre’s theorization of space and his spatial triad can be useful to approach organizational space as a process in history. I start by introducing assumptions and implications of Lefebvre’s theories, and then illustrate key concepts as well as some empirical cases applied to this school of theory. Finally, I reflect on benefits, challenges and possible critiques of Lefebvrian theories and framework. </w:t>
      </w:r>
    </w:p>
    <w:p w:rsidR="00AE1FA0" w:rsidRPr="00AE1FA0" w:rsidRDefault="00AE1FA0" w:rsidP="00AE1FA0">
      <w:pPr>
        <w:spacing w:line="360" w:lineRule="auto"/>
        <w:jc w:val="left"/>
        <w:rPr>
          <w:rFonts w:ascii="Arial" w:hAnsi="Arial" w:cs="Arial"/>
          <w:sz w:val="24"/>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20" w:name="_Toc534732358"/>
      <w:r w:rsidRPr="00AE1FA0">
        <w:rPr>
          <w:rFonts w:ascii="Arial" w:eastAsiaTheme="majorEastAsia" w:hAnsi="Arial" w:cs="Arial"/>
          <w:b/>
          <w:color w:val="000000" w:themeColor="text1"/>
          <w:kern w:val="0"/>
          <w:sz w:val="24"/>
          <w:szCs w:val="26"/>
        </w:rPr>
        <w:lastRenderedPageBreak/>
        <w:t>Conceptualizations of organizational space: From organizational space to spatialized organizations</w:t>
      </w:r>
      <w:bookmarkEnd w:id="20"/>
    </w:p>
    <w:p w:rsidR="00AE1FA0" w:rsidRPr="00AE1FA0" w:rsidRDefault="00AE1FA0" w:rsidP="00AE1FA0">
      <w:pPr>
        <w:spacing w:line="360" w:lineRule="auto"/>
        <w:rPr>
          <w:rFonts w:ascii="Arial" w:hAnsi="Arial" w:cs="Arial"/>
          <w:kern w:val="0"/>
          <w:sz w:val="24"/>
          <w:szCs w:val="24"/>
        </w:rPr>
      </w:pPr>
    </w:p>
    <w:p w:rsidR="00AE1FA0" w:rsidRPr="00AE1FA0" w:rsidRDefault="00AE1FA0" w:rsidP="00AE1FA0">
      <w:pPr>
        <w:spacing w:line="360" w:lineRule="auto"/>
        <w:rPr>
          <w:rFonts w:ascii="Arial" w:hAnsi="Arial" w:cs="Arial"/>
          <w:kern w:val="0"/>
          <w:sz w:val="24"/>
          <w:szCs w:val="24"/>
        </w:rPr>
      </w:pPr>
      <w:r w:rsidRPr="00AE1FA0">
        <w:rPr>
          <w:rFonts w:ascii="Arial" w:hAnsi="Arial" w:cs="Arial"/>
          <w:kern w:val="0"/>
          <w:sz w:val="24"/>
          <w:szCs w:val="24"/>
        </w:rPr>
        <w:t xml:space="preserve">In the field of organization studies, organizational space has been conceptualized in different ways, and each conceptualization represents a specific understanding of organizations and the wider social world. Hence, this section begins with revisiting these divergent taxonomies conceptualizing organizational space and then introduces how organizational space is conceptualized in this thesis. In Taylor and Spicer’s (2007) widely cited paper, organizational space was categorized into three different approaches: ‘space as distance’, ‘space as materialization of social/power relations’, and ‘space as lived experience’. </w:t>
      </w:r>
    </w:p>
    <w:p w:rsidR="00AE1FA0" w:rsidRPr="00AE1FA0" w:rsidRDefault="00AE1FA0" w:rsidP="00AE1FA0">
      <w:pPr>
        <w:spacing w:line="360" w:lineRule="auto"/>
        <w:rPr>
          <w:rFonts w:ascii="Arial" w:hAnsi="Arial" w:cs="Arial"/>
          <w:kern w:val="0"/>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hAnsi="Arial" w:cs="Arial"/>
          <w:kern w:val="0"/>
          <w:sz w:val="24"/>
          <w:szCs w:val="24"/>
        </w:rPr>
        <w:t xml:space="preserve">Space as distance is based on the Euclidian understanding of space and the social world. Based on this conceptualization, organizational space is perceived as purely physical existence that consists of measurable distance between people and objects. (Zhang and Spicer, 2014; Zhang, Spicer and Hancock, 2008). What this category of space implies is that organizational space is measurable and can be approached objectively. The emphasis of investigation lies in measuring distance and proximity (Taylor and Spicer, 2007). Most of earlier work of organizational space fall into this categorization of space as distance. For instance, </w:t>
      </w:r>
      <w:r w:rsidRPr="00AE1FA0">
        <w:rPr>
          <w:rFonts w:ascii="Arial" w:eastAsia="宋体" w:hAnsi="Arial" w:cs="Arial"/>
          <w:sz w:val="24"/>
          <w:szCs w:val="24"/>
        </w:rPr>
        <w:t xml:space="preserve">Chanlat (2006) argues that in the Taylorism tradition, the organizational space is conceptualized as controlled and divided, while in the bureaucratic context, it is framed as a platform for neutrality and impersonality in the context of the workplace.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kern w:val="0"/>
          <w:sz w:val="24"/>
          <w:szCs w:val="24"/>
        </w:rPr>
      </w:pPr>
      <w:r w:rsidRPr="00AE1FA0">
        <w:rPr>
          <w:rFonts w:ascii="Arial" w:eastAsia="宋体" w:hAnsi="Arial" w:cs="Arial"/>
          <w:sz w:val="24"/>
          <w:szCs w:val="24"/>
        </w:rPr>
        <w:t>These extrapolations from earlier work brought about the first wave of shifting attention to space in the organizational field. Rising interest in ergonomics studies is a typical example of this wave. Ergonomics is defined as “the application of scientific information concerning human beings to the design of objects, systems, and environments” (Gainer, 2008: 5). Here what should be highlighted is that space is conceptualized as objects, systems and environments. In the UK, ergonomics emerged in the 1930s with the ambition to improve the effectiveness of human performance (Wilson, 2000).</w:t>
      </w:r>
      <w:r w:rsidRPr="00AE1FA0">
        <w:rPr>
          <w:rFonts w:ascii="Arial" w:eastAsia="宋体" w:hAnsi="Arial" w:cs="Arial"/>
          <w:kern w:val="0"/>
          <w:sz w:val="24"/>
          <w:szCs w:val="24"/>
        </w:rPr>
        <w:t xml:space="preserve"> For instance, the popularity of the open office reflects this trend due to the original stimulus to seek the higher productivity and efficient use </w:t>
      </w:r>
      <w:r w:rsidRPr="00AE1FA0">
        <w:rPr>
          <w:rFonts w:ascii="Arial" w:eastAsia="宋体" w:hAnsi="Arial" w:cs="Arial"/>
          <w:kern w:val="0"/>
          <w:sz w:val="24"/>
          <w:szCs w:val="24"/>
        </w:rPr>
        <w:lastRenderedPageBreak/>
        <w:t xml:space="preserve">of organizational space (Oldham and Rotchford, 1983). Consequently, physical space has been the focus of space research. The empirical work of Leather </w:t>
      </w:r>
      <w:r w:rsidRPr="00AE1FA0">
        <w:rPr>
          <w:rFonts w:ascii="Arial" w:eastAsia="宋体" w:hAnsi="Arial" w:cs="Arial"/>
          <w:i/>
          <w:kern w:val="0"/>
          <w:sz w:val="24"/>
          <w:szCs w:val="24"/>
        </w:rPr>
        <w:t>et al.</w:t>
      </w:r>
      <w:r w:rsidRPr="00AE1FA0">
        <w:rPr>
          <w:rFonts w:ascii="Arial" w:eastAsia="宋体" w:hAnsi="Arial" w:cs="Arial"/>
          <w:kern w:val="0"/>
          <w:sz w:val="24"/>
          <w:szCs w:val="24"/>
        </w:rPr>
        <w:t xml:space="preserve"> (1998) exemplified how work space could be conceptualized as objectively measurable physical distance. In their work, they chose to focus on windows in work space and evaluate relationship between natural views and job satisfaction. Haynes’s research (2008), as another example, concluded that the office layout would influence office interactions significantly. Underpinning assumptions of conceptualizing space as physical distance are twofold. On one hand, not only organizational space but the social world is comprised of measurable, physical and objective objects; on the other hand, there is a causal relationship between space and behaviour. </w:t>
      </w:r>
    </w:p>
    <w:p w:rsidR="00AE1FA0" w:rsidRPr="00AE1FA0" w:rsidRDefault="00AE1FA0" w:rsidP="00AE1FA0">
      <w:pPr>
        <w:spacing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Conceptualization of space as Euclidean space in organization studies is widespread and most of frameworks depict this tradition. For example, in the framework proposed by </w:t>
      </w:r>
      <w:bookmarkStart w:id="21" w:name="_Hlk534728215"/>
      <w:r w:rsidRPr="00AE1FA0">
        <w:rPr>
          <w:rFonts w:ascii="Arial" w:eastAsia="宋体" w:hAnsi="Arial" w:cs="Arial"/>
          <w:kern w:val="0"/>
          <w:sz w:val="24"/>
          <w:szCs w:val="24"/>
        </w:rPr>
        <w:t>Vilnai-Yavetz and Rafaeli (2005)</w:t>
      </w:r>
      <w:bookmarkEnd w:id="21"/>
      <w:r w:rsidRPr="00AE1FA0">
        <w:rPr>
          <w:rFonts w:ascii="Arial" w:eastAsia="宋体" w:hAnsi="Arial" w:cs="Arial"/>
          <w:kern w:val="0"/>
          <w:sz w:val="24"/>
          <w:szCs w:val="24"/>
        </w:rPr>
        <w:t>, ‘instrumental’ is one dimension of space. This dimension is defined as factors that may influence the performance and satisfaction of the employees, focusing mainly on how to improve efficiency and productivity (</w:t>
      </w:r>
      <w:bookmarkStart w:id="22" w:name="_Hlk534728240"/>
      <w:r w:rsidRPr="00AE1FA0">
        <w:rPr>
          <w:rFonts w:ascii="Arial" w:eastAsia="宋体" w:hAnsi="Arial" w:cs="Arial"/>
          <w:kern w:val="0"/>
          <w:sz w:val="24"/>
          <w:szCs w:val="24"/>
        </w:rPr>
        <w:t>Elsbach and Bechky, 2007</w:t>
      </w:r>
      <w:bookmarkEnd w:id="22"/>
      <w:r w:rsidRPr="00AE1FA0">
        <w:rPr>
          <w:rFonts w:ascii="Arial" w:eastAsia="宋体" w:hAnsi="Arial" w:cs="Arial"/>
          <w:kern w:val="0"/>
          <w:sz w:val="24"/>
          <w:szCs w:val="24"/>
        </w:rPr>
        <w:t xml:space="preserve">). Harvey (2006) proposed a different framework of conceptualizing space based on his reflection of science. Space was first conceptualized as the space of Euclid. He theorized this space as a fixed and pre-existing. For researchers focusing on this dimension, what is prioritized is whether organizational space functions as a suitable work environment, for example, whether the temperature is comfortable enough for employees to perform to their best potential in the work organization. However, almost all the studies based on this perspective assume that the employees are passive recipients of organizational space and are unable to alter it (Tuomaala </w:t>
      </w:r>
      <w:r w:rsidRPr="00AE1FA0">
        <w:rPr>
          <w:rFonts w:ascii="Arial" w:eastAsia="宋体" w:hAnsi="Arial" w:cs="Arial"/>
          <w:i/>
          <w:kern w:val="0"/>
          <w:sz w:val="24"/>
          <w:szCs w:val="24"/>
        </w:rPr>
        <w:t>et al.</w:t>
      </w:r>
      <w:r w:rsidRPr="00AE1FA0">
        <w:rPr>
          <w:rFonts w:ascii="Arial" w:eastAsia="宋体" w:hAnsi="Arial" w:cs="Arial"/>
          <w:kern w:val="0"/>
          <w:sz w:val="24"/>
          <w:szCs w:val="24"/>
        </w:rPr>
        <w:t xml:space="preserve">, 2009; Jensen and Arens, 2005).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sz w:val="24"/>
          <w:szCs w:val="24"/>
        </w:rPr>
      </w:pPr>
      <w:r w:rsidRPr="00AE1FA0">
        <w:rPr>
          <w:rFonts w:ascii="Arial" w:eastAsia="宋体" w:hAnsi="Arial" w:cs="Arial"/>
          <w:kern w:val="0"/>
          <w:sz w:val="24"/>
          <w:szCs w:val="24"/>
        </w:rPr>
        <w:t xml:space="preserve">In this vein, another conceptualization of organization space emerged, as already indicated, as the materialization of social and power relations. While theorizing organizational space as distance can reveal the visible aspects, this conceptualization as materialization of relations delves into deeper levels. Here, organizational space is seen as a tool or a technique to discover the invisible aspects of organizations. Organizations therefore are theorized as materialization of power relations in this tradition. Most empirical studies have been influenced by Marxian </w:t>
      </w:r>
      <w:r w:rsidRPr="00AE1FA0">
        <w:rPr>
          <w:rFonts w:ascii="Arial" w:eastAsia="宋体" w:hAnsi="Arial" w:cs="Arial"/>
          <w:kern w:val="0"/>
          <w:sz w:val="24"/>
          <w:szCs w:val="24"/>
        </w:rPr>
        <w:lastRenderedPageBreak/>
        <w:t xml:space="preserve">theories (Taylor and Spicer, 2007). </w:t>
      </w:r>
      <w:r w:rsidRPr="00AE1FA0">
        <w:rPr>
          <w:rFonts w:ascii="Arial" w:eastAsia="宋体" w:hAnsi="Arial" w:cs="Arial"/>
          <w:sz w:val="24"/>
          <w:szCs w:val="24"/>
        </w:rPr>
        <w:t>This trend started to spread in the 1980s and many scholars subscribed to this belief in different approaches. David Harvey’s work centred on the production of different types of space based on materialist and cultural analysis (</w:t>
      </w:r>
      <w:bookmarkStart w:id="23" w:name="_Hlk534731071"/>
      <w:r w:rsidRPr="00AE1FA0">
        <w:rPr>
          <w:rFonts w:ascii="Arial" w:eastAsia="宋体" w:hAnsi="Arial" w:cs="Arial"/>
          <w:sz w:val="24"/>
          <w:szCs w:val="24"/>
        </w:rPr>
        <w:t>Gilbert, 200</w:t>
      </w:r>
      <w:r w:rsidRPr="00AE1FA0">
        <w:rPr>
          <w:rFonts w:ascii="Arial" w:hAnsi="Arial" w:cs="Arial"/>
          <w:sz w:val="24"/>
          <w:szCs w:val="24"/>
        </w:rPr>
        <w:t>8</w:t>
      </w:r>
      <w:bookmarkEnd w:id="23"/>
      <w:r w:rsidRPr="00AE1FA0">
        <w:rPr>
          <w:rFonts w:ascii="Arial" w:eastAsia="宋体" w:hAnsi="Arial" w:cs="Arial"/>
          <w:sz w:val="24"/>
          <w:szCs w:val="24"/>
        </w:rPr>
        <w:t xml:space="preserve">). </w:t>
      </w:r>
    </w:p>
    <w:p w:rsidR="00AE1FA0" w:rsidRPr="00AE1FA0" w:rsidRDefault="00AE1FA0" w:rsidP="00AE1FA0">
      <w:pPr>
        <w:widowControl/>
        <w:spacing w:after="160" w:line="360" w:lineRule="auto"/>
        <w:rPr>
          <w:rFonts w:ascii="Arial" w:eastAsia="宋体" w:hAnsi="Arial" w:cs="Arial"/>
          <w:sz w:val="24"/>
          <w:szCs w:val="24"/>
        </w:rPr>
      </w:pPr>
    </w:p>
    <w:p w:rsidR="00AE1FA0" w:rsidRPr="00AE1FA0" w:rsidRDefault="00AE1FA0" w:rsidP="00AE1FA0">
      <w:pPr>
        <w:widowControl/>
        <w:spacing w:after="160" w:line="360" w:lineRule="auto"/>
        <w:rPr>
          <w:rFonts w:ascii="Arial" w:eastAsia="宋体" w:hAnsi="Arial" w:cs="Arial"/>
          <w:sz w:val="24"/>
          <w:szCs w:val="24"/>
        </w:rPr>
      </w:pPr>
      <w:r w:rsidRPr="00AE1FA0">
        <w:rPr>
          <w:rFonts w:ascii="Arial" w:eastAsia="宋体" w:hAnsi="Arial" w:cs="Arial"/>
          <w:sz w:val="24"/>
          <w:szCs w:val="24"/>
        </w:rPr>
        <w:t>Apart from the contributions from the Marxist school, drawing from Gilbert’s (200</w:t>
      </w:r>
      <w:r w:rsidRPr="00AE1FA0">
        <w:rPr>
          <w:rFonts w:ascii="Arial" w:hAnsi="Arial" w:cs="Arial"/>
          <w:sz w:val="24"/>
          <w:szCs w:val="24"/>
        </w:rPr>
        <w:t>8</w:t>
      </w:r>
      <w:r w:rsidRPr="00AE1FA0">
        <w:rPr>
          <w:rFonts w:ascii="Arial" w:eastAsia="宋体" w:hAnsi="Arial" w:cs="Arial"/>
          <w:sz w:val="24"/>
          <w:szCs w:val="24"/>
        </w:rPr>
        <w:t>) work, Foucauldian scholars also approach organizational space as social and imaginary instead of fixed</w:t>
      </w:r>
      <w:r w:rsidRPr="00AE1FA0">
        <w:rPr>
          <w:rFonts w:ascii="Arial" w:hAnsi="Arial" w:cs="Arial"/>
          <w:sz w:val="24"/>
          <w:szCs w:val="24"/>
        </w:rPr>
        <w:t>.</w:t>
      </w:r>
      <w:r w:rsidRPr="00AE1FA0">
        <w:rPr>
          <w:rFonts w:ascii="Arial" w:eastAsia="宋体" w:hAnsi="Arial" w:cs="Arial"/>
          <w:sz w:val="24"/>
          <w:szCs w:val="24"/>
        </w:rPr>
        <w:t xml:space="preserve"> </w:t>
      </w:r>
      <w:bookmarkStart w:id="24" w:name="_Hlk534731094"/>
      <w:r w:rsidRPr="00AE1FA0">
        <w:rPr>
          <w:rFonts w:ascii="Arial" w:eastAsia="宋体" w:hAnsi="Arial" w:cs="Arial"/>
          <w:sz w:val="24"/>
          <w:szCs w:val="24"/>
        </w:rPr>
        <w:t>Shilling (1991</w:t>
      </w:r>
      <w:bookmarkEnd w:id="24"/>
      <w:r w:rsidRPr="00AE1FA0">
        <w:rPr>
          <w:rFonts w:ascii="Arial" w:eastAsia="宋体" w:hAnsi="Arial" w:cs="Arial"/>
          <w:sz w:val="24"/>
          <w:szCs w:val="24"/>
        </w:rPr>
        <w:t xml:space="preserve">: 23) argued that “space is a central to the production and reproduction of social relationships.” Edward Soja’s (1989) writing on postmodern geographies reasserted the belief that organizational space is a social product, which indicates organizational space is a condensation of the social relations evolved in temporality. The concept of temporality is essential in the way locating the organizational space in the dimension of past, present, and future simultaneously. What these works have in common can be summarized by Taylor and Spicer (2007) that organizational space is conceptualized as central to establish and maintain power relations. This enables answering the question why organizational space is configured as it is with the belief that configurations of organizational space can be a mechanism of control. </w:t>
      </w:r>
    </w:p>
    <w:p w:rsidR="00AE1FA0" w:rsidRPr="00AE1FA0" w:rsidRDefault="00AE1FA0" w:rsidP="00AE1FA0">
      <w:pPr>
        <w:widowControl/>
        <w:spacing w:after="160" w:line="360" w:lineRule="auto"/>
        <w:rPr>
          <w:rFonts w:ascii="Arial" w:eastAsia="宋体" w:hAnsi="Arial" w:cs="Arial"/>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sz w:val="24"/>
          <w:szCs w:val="24"/>
        </w:rPr>
        <w:t xml:space="preserve">Conceptualization of organizational space as materialization of social relations can also be discovered in </w:t>
      </w:r>
      <w:r w:rsidRPr="00AE1FA0">
        <w:rPr>
          <w:rFonts w:ascii="Arial" w:eastAsia="宋体" w:hAnsi="Arial" w:cs="Arial"/>
          <w:kern w:val="0"/>
          <w:sz w:val="24"/>
          <w:szCs w:val="24"/>
        </w:rPr>
        <w:t xml:space="preserve">Vilnai-Yavetz and Rafaeli’s (2005) framework. They conceptualized it as symbolic space. Drawn on symbolism orientation that emerged in the 1980s, studies of organizational space followed two different pathways. One is a managerial focusing on the relationship between culture and managerial performance; the second is to understand what is going on in organizations from a symbolic and cultural perspective (Chanlat, 2006). For example, the emphasis of organizational memory as the ‘storage bin’ for the physical environment is one example of symbolism. </w:t>
      </w:r>
      <w:bookmarkStart w:id="25" w:name="_Hlk535119819"/>
      <w:r w:rsidRPr="00AE1FA0">
        <w:rPr>
          <w:rFonts w:ascii="Arial" w:eastAsia="宋体" w:hAnsi="Arial" w:cs="Arial"/>
          <w:kern w:val="0"/>
          <w:sz w:val="24"/>
          <w:szCs w:val="24"/>
        </w:rPr>
        <w:t xml:space="preserve">Corporate headquarters and landmark buildings are treated as powerful representations and signifiers for individual and collective memories (Decker, 2014). This assumption claims that buildings and architectures form the basis for social remembering and memories, which thereafter mediate how people interpret space. </w:t>
      </w:r>
      <w:bookmarkEnd w:id="25"/>
      <w:r w:rsidRPr="00AE1FA0">
        <w:rPr>
          <w:rFonts w:ascii="Arial" w:eastAsia="宋体" w:hAnsi="Arial" w:cs="Arial"/>
          <w:kern w:val="0"/>
          <w:sz w:val="24"/>
          <w:szCs w:val="24"/>
        </w:rPr>
        <w:t xml:space="preserve">This type of understanding emphasises the totality of symbolic meanings attached to </w:t>
      </w:r>
      <w:r w:rsidRPr="00AE1FA0">
        <w:rPr>
          <w:rFonts w:ascii="Arial" w:eastAsia="宋体" w:hAnsi="Arial" w:cs="Arial"/>
          <w:kern w:val="0"/>
          <w:sz w:val="24"/>
          <w:szCs w:val="24"/>
        </w:rPr>
        <w:lastRenderedPageBreak/>
        <w:t>buildings. Additionally, since physical space symbolizes organizational images and communicates ideas to anyone encountering it, it is conceivable to know what an organization prioritises, shaped by power and discourse. For example, sheer anonymity of an office building in the post-Fordist period is believed to tell occupants that they are nothing special; while the building that has creativity and fun represents the importance of flexibility and amusement for its occupants (Baldry, 1997; Van Meel and Vos, 2001).  What this conceptualization offers are the avoidance of overemphasis on physical perspectives and acknowledges inhabitants as observers and interpreters of their physical environment (Vilnai-Yavetz, Rafaeli and Yaacov, 2005).</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spacing w:line="360" w:lineRule="auto"/>
        <w:rPr>
          <w:rFonts w:ascii="Arial" w:eastAsia="宋体" w:hAnsi="Arial" w:cs="Arial"/>
          <w:kern w:val="0"/>
          <w:sz w:val="24"/>
          <w:szCs w:val="24"/>
        </w:rPr>
      </w:pPr>
      <w:r w:rsidRPr="00AE1FA0">
        <w:rPr>
          <w:rFonts w:ascii="Arial" w:eastAsia="宋体" w:hAnsi="Arial" w:cs="Arial"/>
          <w:kern w:val="0"/>
          <w:sz w:val="24"/>
          <w:szCs w:val="24"/>
        </w:rPr>
        <w:t xml:space="preserve">However, if following symbolism in this way, the space itself is still considered as given and contextual, waiting for deciphering. Moreover, a causal relationship between the past (buildings built before) and present is assumed by the symbolic tradition. That is, experiencing of space is seen as passive and people are responding to products of the past – buildings. In the field of organizational symbolism, space is seen as the representative symbol of organizational culture (McElroy and Morrow, 2010). Individuals assign meanings to specific places based on collective and shared cultural understandings. Therefore, the symbolic dimension is more akin to a sense-making process regarding how people define and interpret situations. Yet symbolic perspective arrives at a similar conclusion: that the space or the artefacts in it are still positioned as a concrete entity to be exploited and managed. No matter simplified organizational space towards physical objects or giving them symbolic meanings, these two well-established approaches still lack the dynamic nature that the process view of organization emphasises. That is, what ‘space as distance’ and ‘space as materialization of social relations’ have in common is that organizational space is theorized as a relatively independent context that can be separated from organizations. They both share the assumption that organizational space is a passive container for material objects. </w:t>
      </w:r>
    </w:p>
    <w:p w:rsidR="00AE1FA0" w:rsidRPr="00AE1FA0" w:rsidRDefault="00AE1FA0" w:rsidP="00AE1FA0">
      <w:pPr>
        <w:spacing w:line="360" w:lineRule="auto"/>
        <w:rPr>
          <w:rFonts w:ascii="Arial" w:eastAsia="宋体" w:hAnsi="Arial" w:cs="Arial"/>
          <w:kern w:val="0"/>
          <w:sz w:val="24"/>
          <w:szCs w:val="24"/>
        </w:rPr>
      </w:pPr>
    </w:p>
    <w:p w:rsidR="00AE1FA0" w:rsidRPr="00AE1FA0" w:rsidRDefault="00AE1FA0" w:rsidP="00AE1FA0">
      <w:pPr>
        <w:spacing w:line="360" w:lineRule="auto"/>
        <w:rPr>
          <w:rFonts w:ascii="Arial" w:eastAsia="宋体" w:hAnsi="Arial" w:cs="Arial"/>
          <w:kern w:val="0"/>
          <w:sz w:val="24"/>
          <w:szCs w:val="24"/>
        </w:rPr>
      </w:pPr>
      <w:r w:rsidRPr="00AE1FA0">
        <w:rPr>
          <w:rFonts w:ascii="Arial" w:eastAsia="宋体" w:hAnsi="Arial" w:cs="Arial"/>
          <w:kern w:val="0"/>
          <w:sz w:val="24"/>
          <w:szCs w:val="24"/>
        </w:rPr>
        <w:t xml:space="preserve">Within this assumption, even though different preferences towards how the organizational space to be organized might emerge one after another, the essence remains unchanged. Consequently, the seemingly new perspectives or novel findings </w:t>
      </w:r>
      <w:r w:rsidRPr="00AE1FA0">
        <w:rPr>
          <w:rFonts w:ascii="Arial" w:eastAsia="宋体" w:hAnsi="Arial" w:cs="Arial"/>
          <w:kern w:val="0"/>
          <w:sz w:val="24"/>
          <w:szCs w:val="24"/>
        </w:rPr>
        <w:lastRenderedPageBreak/>
        <w:t xml:space="preserve">only reflect the temporal fads about how organizations should be organized. For instance, in this century, the trend of organizational space design evolved in three stages with divergent objectives: from ‘efficiency’ to ‘effectiveness’ and towards ‘expression’. While ‘efficiency’ and ‘effectiveness’ are centred on directing and moderating occupants’ behaviours physically, such as space budgeting, the aim of ‘expression’ affirms that physical space design is a representation of the core value for an organization (Harrison and Morgan, 2006). For this reason, one possible responsibility of space design serves to convey consistent messages internally and externally. Subsequently, the potential to understand employees’ behaviours become the main stimulus of spatial study. This </w:t>
      </w:r>
      <w:proofErr w:type="gramStart"/>
      <w:r w:rsidRPr="00AE1FA0">
        <w:rPr>
          <w:rFonts w:ascii="Arial" w:eastAsia="宋体" w:hAnsi="Arial" w:cs="Arial"/>
          <w:kern w:val="0"/>
          <w:sz w:val="24"/>
          <w:szCs w:val="24"/>
        </w:rPr>
        <w:t>is based on the assumption</w:t>
      </w:r>
      <w:proofErr w:type="gramEnd"/>
      <w:r w:rsidRPr="00AE1FA0">
        <w:rPr>
          <w:rFonts w:ascii="Arial" w:eastAsia="宋体" w:hAnsi="Arial" w:cs="Arial"/>
          <w:kern w:val="0"/>
          <w:sz w:val="24"/>
          <w:szCs w:val="24"/>
        </w:rPr>
        <w:t xml:space="preserve"> that spatial practice will reflect how employees make sense of the organization and then perform. However, even though inhabitants can be viewed as observers and interpreters in the ‘space as materialization of social relations’ orientation, they are not regarded as the active participants whose experiences and behaviours will construct organizational space. </w:t>
      </w:r>
    </w:p>
    <w:p w:rsidR="00AE1FA0" w:rsidRPr="00AE1FA0" w:rsidRDefault="00AE1FA0" w:rsidP="00AE1FA0">
      <w:pPr>
        <w:spacing w:line="360" w:lineRule="auto"/>
        <w:rPr>
          <w:rFonts w:ascii="Arial" w:eastAsia="宋体" w:hAnsi="Arial" w:cs="Arial"/>
          <w:kern w:val="0"/>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kern w:val="0"/>
          <w:sz w:val="24"/>
          <w:szCs w:val="24"/>
        </w:rPr>
        <w:t xml:space="preserve">Thus ‘space as lived experience’ is introduced to acknowledge active participation of inhabitants in construction of organizational space. According to Taylor and Spicer (2007: 333), different spaces are constructed out of different experiences of their inhabitants through “cultural and sensory apparatus that we all carry to work with us”. This is an important shift in organization studies from theorizing space as a background and container to ongoing lived experience. Spatial turn, a recent trend in organization studies, is built upon this conceptualization. </w:t>
      </w:r>
      <w:r w:rsidRPr="00AE1FA0">
        <w:rPr>
          <w:rFonts w:ascii="Arial" w:eastAsia="宋体" w:hAnsi="Arial" w:cs="Arial"/>
          <w:sz w:val="24"/>
          <w:szCs w:val="24"/>
        </w:rPr>
        <w:t xml:space="preserve"> In the last two decades, spatial turn has shifted the emphasis from objective perspective towards “a mutually constitutive, dialectical relationship between social structure and space” (Ranade, 2007: 1522). This is a promising new direction in organizational space study, as L</w:t>
      </w:r>
      <w:hyperlink r:id="rId9" w:history="1">
        <w:r w:rsidRPr="00AE1FA0">
          <w:rPr>
            <w:rFonts w:ascii="Arial" w:eastAsia="宋体" w:hAnsi="Arial" w:cs="Arial"/>
            <w:sz w:val="24"/>
            <w:szCs w:val="24"/>
          </w:rPr>
          <w:t>öw</w:t>
        </w:r>
      </w:hyperlink>
      <w:r w:rsidRPr="00AE1FA0">
        <w:rPr>
          <w:rFonts w:ascii="Arial" w:eastAsia="宋体" w:hAnsi="Arial" w:cs="Arial"/>
          <w:sz w:val="24"/>
          <w:szCs w:val="24"/>
        </w:rPr>
        <w:t xml:space="preserve"> (2006) pointed out, the buildings become a point of spatial articulation where multiple forces interact.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Thus, the interpretations towards organizational space cannot be reduced to the buildings only. Instead, understandings of social and economic forces should be highlighted and analysed through how inhabitants experience space.  More importantly, the interpretations of symbolic meanings cannot be detached from historical processes. The interpretation of human spatial organization as an ongoing </w:t>
      </w:r>
      <w:r w:rsidRPr="00AE1FA0">
        <w:rPr>
          <w:rFonts w:ascii="Arial" w:eastAsia="宋体" w:hAnsi="Arial" w:cs="Arial"/>
          <w:sz w:val="24"/>
          <w:szCs w:val="24"/>
        </w:rPr>
        <w:lastRenderedPageBreak/>
        <w:t xml:space="preserve">social and historical production, articulated by Henri Lefebvre (1991), is one of the key arguments in the trend of spatial turn. I will further discuss Lefebvre’s theories in the later section, but for now, what I want to highlight is that his theory of production is significant in the way it integrates space in a comprehensive social theory as well as enabling the analysis of spatial processes at different levels (Prigge, 2008). What this ‘space as lived experience’ conceptualization brings forward in my research is the potential to position organizational space in the construction process of not only organizations, but also the wider social world.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kern w:val="0"/>
          <w:sz w:val="24"/>
          <w:szCs w:val="24"/>
        </w:rPr>
      </w:pPr>
      <w:r w:rsidRPr="00AE1FA0">
        <w:rPr>
          <w:rFonts w:ascii="Arial" w:eastAsia="宋体" w:hAnsi="Arial" w:cs="Arial"/>
          <w:sz w:val="24"/>
          <w:szCs w:val="24"/>
        </w:rPr>
        <w:t xml:space="preserve">It should be noted that spatial turn is not just about theorizing space as lived experience, it is a multidisciplinary concept and affects organizations in various aspects. What is certain about spatial turn is that human geography firstly brings this concept forward (Warf and Arias, 2008). </w:t>
      </w:r>
      <w:r w:rsidRPr="00AE1FA0">
        <w:rPr>
          <w:rFonts w:ascii="Arial" w:eastAsia="宋体" w:hAnsi="Arial" w:cs="Arial"/>
          <w:kern w:val="0"/>
          <w:sz w:val="24"/>
          <w:szCs w:val="24"/>
        </w:rPr>
        <w:t>Organizational space is traditionally perceived as a representation in organizational geographical planning, such as the architecture of organizations. Although geographical studies may seemingly centre on a broader level, like urban planning, the study of organizational space inevitably has been influenced by the discipline of geography. Many nomenclatures describing or measuring organizational space come from geography field, like latitude, accessibility and scale.  However, geography, as a discipline with varying orientations, provides divergent interpretations and references for the understanding of organizational space. For example, when organizational space is understood from the political-economic geography perspective, it is constituted through the agency of economic and political actors, where the focus is the interrelationship between organizational space and external geographies. In cultural geography, Foucault’s work and actor-network theory have been</w:t>
      </w:r>
      <w:r w:rsidRPr="00AE1FA0">
        <w:rPr>
          <w:rFonts w:ascii="Arial" w:hAnsi="Arial" w:cs="Arial"/>
          <w:kern w:val="0"/>
          <w:sz w:val="24"/>
          <w:szCs w:val="24"/>
        </w:rPr>
        <w:t xml:space="preserve"> applied in</w:t>
      </w:r>
      <w:r w:rsidRPr="00AE1FA0">
        <w:rPr>
          <w:rFonts w:ascii="Arial" w:eastAsia="宋体" w:hAnsi="Arial" w:cs="Arial"/>
          <w:kern w:val="0"/>
          <w:sz w:val="24"/>
          <w:szCs w:val="24"/>
        </w:rPr>
        <w:t xml:space="preserve"> the study of organizational space (Conradson, 2003). </w:t>
      </w:r>
    </w:p>
    <w:p w:rsidR="00AE1FA0" w:rsidRPr="00AE1FA0" w:rsidRDefault="00AE1FA0" w:rsidP="00AE1FA0">
      <w:pPr>
        <w:spacing w:line="360" w:lineRule="auto"/>
        <w:rPr>
          <w:rFonts w:ascii="Arial" w:eastAsia="宋体" w:hAnsi="Arial" w:cs="Arial"/>
          <w:kern w:val="0"/>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kern w:val="0"/>
          <w:sz w:val="24"/>
          <w:szCs w:val="24"/>
        </w:rPr>
        <w:t>Crang (199</w:t>
      </w:r>
      <w:r w:rsidRPr="00AE1FA0">
        <w:rPr>
          <w:rFonts w:ascii="Arial" w:hAnsi="Arial" w:cs="Arial"/>
          <w:kern w:val="0"/>
          <w:sz w:val="24"/>
          <w:szCs w:val="24"/>
        </w:rPr>
        <w:t>4</w:t>
      </w:r>
      <w:r w:rsidRPr="00AE1FA0">
        <w:rPr>
          <w:rFonts w:ascii="Arial" w:eastAsia="宋体" w:hAnsi="Arial" w:cs="Arial"/>
          <w:kern w:val="0"/>
          <w:sz w:val="24"/>
          <w:szCs w:val="24"/>
        </w:rPr>
        <w:t xml:space="preserve">) provided a case that used the actor-network theory to study a restaurant in England. He argued that the geographies of workplace, including the surveillance and location, were useful in understanding the character of employment being constructed. Davies (2000) provided another example to state that the scope and display of the National History Unit in Bristol could offer insights for understanding the production of natural history films, in which wider social changes are implied. It is human geography that re-emphasizes the importance of space as </w:t>
      </w:r>
      <w:r w:rsidRPr="00AE1FA0">
        <w:rPr>
          <w:rFonts w:ascii="Arial" w:eastAsia="宋体" w:hAnsi="Arial" w:cs="Arial"/>
          <w:kern w:val="0"/>
          <w:sz w:val="24"/>
          <w:szCs w:val="24"/>
        </w:rPr>
        <w:lastRenderedPageBreak/>
        <w:t xml:space="preserve">social product. </w:t>
      </w:r>
      <w:r w:rsidRPr="00AE1FA0">
        <w:rPr>
          <w:rFonts w:ascii="Arial" w:eastAsia="宋体" w:hAnsi="Arial" w:cs="Arial"/>
          <w:sz w:val="24"/>
          <w:szCs w:val="24"/>
        </w:rPr>
        <w:t xml:space="preserve">Organization studies has gradually come to regard space as an integrated part of organizations. Spatial turn denotes a rising attention to “a social theorizing of space as both social product and generative force” (Beyes and Steyaert, 2012: 49). Hence, we can see, one implication of spatial turn is that it problematizes the container conceptualization of organizational space. Neither ‘space as distance’ nor ‘space as materialization of social relations’ is appropriate to study organizational space in the trend to spatial turn. Another implication of spatial turn lies in shifting interests from space to human interactions. Just as underlined by (Kingston, 2010), people interact through space, in space. What this adds to our understanding of organizational space is a switch of research interest, from organizational space to human beings. Together with the first implication, spatial turn enables the discovery of experiences and interactions happening in space apart from orthodox interests in space itself.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This section has revisited different theorizations of organizational space and how the central argument </w:t>
      </w:r>
      <w:proofErr w:type="gramStart"/>
      <w:r w:rsidRPr="00AE1FA0">
        <w:rPr>
          <w:rFonts w:ascii="Arial" w:eastAsia="宋体" w:hAnsi="Arial" w:cs="Arial"/>
          <w:sz w:val="24"/>
          <w:szCs w:val="24"/>
        </w:rPr>
        <w:t>emerges:</w:t>
      </w:r>
      <w:proofErr w:type="gramEnd"/>
      <w:r w:rsidRPr="00AE1FA0">
        <w:rPr>
          <w:rFonts w:ascii="Arial" w:eastAsia="宋体" w:hAnsi="Arial" w:cs="Arial"/>
          <w:sz w:val="24"/>
          <w:szCs w:val="24"/>
        </w:rPr>
        <w:t xml:space="preserve"> that organizational space is not and cannot be separated from understandings of organizations and society. Each conceptualization of organizational space represents a specific assumption of organization and society, and the next section tries to set the scene for two different conceptualizations of organizations with the focus on process theory. More importantly, I want to underline implications of process theory and how it is inherently consistent with assumptions of spatial turn.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26" w:name="_Toc534732359"/>
      <w:r w:rsidRPr="00AE1FA0">
        <w:rPr>
          <w:rFonts w:ascii="Arial" w:eastAsiaTheme="majorEastAsia" w:hAnsi="Arial" w:cs="Arial"/>
          <w:b/>
          <w:color w:val="000000" w:themeColor="text1"/>
          <w:kern w:val="0"/>
          <w:sz w:val="24"/>
          <w:szCs w:val="26"/>
        </w:rPr>
        <w:t>Spatialised organisations: Buildings/Space of organisations and society</w:t>
      </w:r>
      <w:bookmarkEnd w:id="26"/>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This section builds upon the previous section and continues the investigation into the conceptualisation of organisational space and how different conceptualisations approach organisational studies via different pathways. Yet, unlike the previous sections, that depicted three dominant conceptualisations of organisational space, this section follows the argument that, if organisational space is to be theorised as lived experience enacted through both physical and social interaction, what implications are there for the study of organisations? In a more straightforward way, if we assume that organisations are spatialised, how will the understanding of </w:t>
      </w:r>
      <w:r w:rsidRPr="00AE1FA0">
        <w:rPr>
          <w:rFonts w:ascii="Arial" w:eastAsia="宋体" w:hAnsi="Arial" w:cs="Arial"/>
          <w:sz w:val="24"/>
          <w:szCs w:val="24"/>
        </w:rPr>
        <w:lastRenderedPageBreak/>
        <w:t xml:space="preserve">organisations and the wider society will be changed? To begin with, this section starts with a discussion of what this core assumption adds to space study in organisations and its implications. Then, I will move to a more practical perspective and introduce empirical studies that demonstrate the possibility and potential of this assumption in organisation studies.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As illustrated in the previous section as well as discussed in the Introduction chapter, </w:t>
      </w:r>
      <w:proofErr w:type="gramStart"/>
      <w:r w:rsidRPr="00AE1FA0">
        <w:rPr>
          <w:rFonts w:ascii="Arial" w:eastAsia="宋体" w:hAnsi="Arial" w:cs="Arial"/>
          <w:sz w:val="24"/>
          <w:szCs w:val="24"/>
        </w:rPr>
        <w:t>The</w:t>
      </w:r>
      <w:proofErr w:type="gramEnd"/>
      <w:r w:rsidRPr="00AE1FA0">
        <w:rPr>
          <w:rFonts w:ascii="Arial" w:eastAsia="宋体" w:hAnsi="Arial" w:cs="Arial"/>
          <w:sz w:val="24"/>
          <w:szCs w:val="24"/>
        </w:rPr>
        <w:t xml:space="preserve"> assumption that organisations are spatialized is motivated by the emerging interest in spatial turns in organisational studies, which shifts attention to how people experience space. Dale and Burrell’s (2008) work provides a comprehensive overview of how organisational space should be conceptualised beyond mere physical existence, which also offers an effective review of the literature on various areas of organisations, including power, identity, boundary and culture. Although the theoretical arguments of this thesis will be further developed and framed, this book indeed provides a good starting point for grasping the idea of how to conceptualise space as social construction. First, the primary argument, Dale and Burrell (2008) claimed, is that space is central to understanding organisations and organisations are fundamental to understanding society. This is consistent with the claim I made in the previous section, where I addressed how it is unrealistic to separate space from an understanding of organisations. Similarly, Dale and Burrell (2008) also problematized the Euclidean conceptualization of space with the premise that space should be approached as social, political, ethical, economic and philosophical. To be attentive to the complexity of space, they applied a more critical approach and Lefebvre’s triad was introduced, and the main contribution of Dale and Burrell’s (2008) work on my thesis is that it provides some practical solutions when apply Lefebvre’s theories.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However, my articulation of Lefebvrian theories differs from that of Dale and Burrell. To start with, in the first section of this chapter, I revisited three popular conceptualisations of space with different analytical emphases: ‘space as distance’, ‘space as the materialization of social/power relations’, and ‘space as lived experience’ (Taylor and Spicer, 2007). ‘Sociomateriality’ is stressed by Dale and Burrell (2008), in which organisational space is conceptualised as sociomaterial in nature. Sociomateriality, here, is more like a heuristic that demands equal relevance to space as social practice as to space as material objects (Berti, Simpson and Clegg, </w:t>
      </w:r>
      <w:r w:rsidRPr="00AE1FA0">
        <w:rPr>
          <w:rFonts w:ascii="Arial" w:eastAsia="宋体" w:hAnsi="Arial" w:cs="Arial"/>
          <w:sz w:val="24"/>
          <w:szCs w:val="24"/>
        </w:rPr>
        <w:lastRenderedPageBreak/>
        <w:t>2017). A sociomaterial approach makes it possible to conceive of organisational space as generative and active. Organisational</w:t>
      </w:r>
      <w:r w:rsidRPr="00AE1FA0">
        <w:rPr>
          <w:rFonts w:ascii="Arial" w:eastAsia="宋体" w:hAnsi="Arial" w:cs="Arial"/>
          <w:i/>
          <w:sz w:val="24"/>
          <w:szCs w:val="24"/>
        </w:rPr>
        <w:t xml:space="preserve"> </w:t>
      </w:r>
      <w:r w:rsidRPr="00AE1FA0">
        <w:rPr>
          <w:rFonts w:ascii="Arial" w:eastAsia="宋体" w:hAnsi="Arial" w:cs="Arial"/>
          <w:sz w:val="24"/>
          <w:szCs w:val="24"/>
        </w:rPr>
        <w:t>practices take place within, are enabled by and constituted through existing spatial arrangements where the social and the material are considered ‘constituted entanglements’ (Orlikowski, 2007) rather than distinctly separate entities (</w:t>
      </w:r>
      <w:bookmarkStart w:id="27" w:name="_Hlk534277768"/>
      <w:r w:rsidRPr="00AE1FA0">
        <w:rPr>
          <w:rFonts w:ascii="Arial" w:eastAsia="宋体" w:hAnsi="Arial" w:cs="Arial"/>
          <w:sz w:val="24"/>
          <w:szCs w:val="24"/>
        </w:rPr>
        <w:t>Valand and Georg, 2014</w:t>
      </w:r>
      <w:bookmarkEnd w:id="27"/>
      <w:r w:rsidRPr="00AE1FA0">
        <w:rPr>
          <w:rFonts w:ascii="Arial" w:eastAsia="宋体" w:hAnsi="Arial" w:cs="Arial"/>
          <w:sz w:val="24"/>
          <w:szCs w:val="24"/>
        </w:rPr>
        <w:t xml:space="preserve">). Dale and Burrell (2008) worked to ensure this integration through re-emphasising physicality and embodiment. That is, the significance of the physical as well as embodiment of space is reasserted in understanding the social activities within organisations. This reassertion of physicality’s importance is congruent with the second conceptualisation that I discussed before, which is that space is theorised as the materialisation of social and power relations.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The conceptualisation of space as the materialisation of social and power relations has a long history and is well developed, with the emphasis on materiality and the embodiment of experience. Foucauldian research on space is a typical example of how space can be approached as the materialisation of power relations, in which space becomes central for understanding how society and organisations are organised. Yet, this conceptualisation has its own limitations, especially in this thesis, where the focus is placed on experience. </w:t>
      </w:r>
      <w:proofErr w:type="gramStart"/>
      <w:r w:rsidRPr="00AE1FA0">
        <w:rPr>
          <w:rFonts w:ascii="Arial" w:eastAsia="宋体" w:hAnsi="Arial" w:cs="Arial"/>
          <w:sz w:val="24"/>
          <w:szCs w:val="24"/>
        </w:rPr>
        <w:t>In particular, by</w:t>
      </w:r>
      <w:proofErr w:type="gramEnd"/>
      <w:r w:rsidRPr="00AE1FA0">
        <w:rPr>
          <w:rFonts w:ascii="Arial" w:eastAsia="宋体" w:hAnsi="Arial" w:cs="Arial"/>
          <w:sz w:val="24"/>
          <w:szCs w:val="24"/>
        </w:rPr>
        <w:t xml:space="preserve"> theorising space as the materialisation of social relations, the non-physical aspects of space become marginalised (e.g. Vilnai-Yavetz and Rafaeli, 2005; Elsbach and Bechky, 2007). Also, emphasising the materiality or physicality of space will lead to an over-emphasis on representational space, such as headquarters or monumental space rather than mundane space or liminal space (see also Decker, 2014). One solution to this might be to shift the research focus to non-representational space; for instance, Dale and Burrell (2008) </w:t>
      </w:r>
      <w:proofErr w:type="gramStart"/>
      <w:r w:rsidRPr="00AE1FA0">
        <w:rPr>
          <w:rFonts w:ascii="Arial" w:eastAsia="宋体" w:hAnsi="Arial" w:cs="Arial"/>
          <w:sz w:val="24"/>
          <w:szCs w:val="24"/>
        </w:rPr>
        <w:t>looked into</w:t>
      </w:r>
      <w:proofErr w:type="gramEnd"/>
      <w:r w:rsidRPr="00AE1FA0">
        <w:rPr>
          <w:rFonts w:ascii="Arial" w:eastAsia="宋体" w:hAnsi="Arial" w:cs="Arial"/>
          <w:sz w:val="24"/>
          <w:szCs w:val="24"/>
        </w:rPr>
        <w:t xml:space="preserve"> boundaries and emphasised the political implications of these. They argued that spatial activity, such as drawing boundaries in space, carries political value and used the example of the boundary between domestic and work space. Specifically, they traced back the history of Western capitalism and explored how the boundary between leisure and productive work evolved (Dale and Burrell, 2008: 200). What is consistent with my approach is the emphasis on historical exploration in spatial study. However, the problem of the marginalisation of the non-physical perspectives of representational space </w:t>
      </w:r>
      <w:proofErr w:type="gramStart"/>
      <w:r w:rsidRPr="00AE1FA0">
        <w:rPr>
          <w:rFonts w:ascii="Arial" w:eastAsia="宋体" w:hAnsi="Arial" w:cs="Arial"/>
          <w:sz w:val="24"/>
          <w:szCs w:val="24"/>
        </w:rPr>
        <w:t>still remains</w:t>
      </w:r>
      <w:proofErr w:type="gramEnd"/>
      <w:r w:rsidRPr="00AE1FA0">
        <w:rPr>
          <w:rFonts w:ascii="Arial" w:eastAsia="宋体" w:hAnsi="Arial" w:cs="Arial"/>
          <w:sz w:val="24"/>
          <w:szCs w:val="24"/>
        </w:rPr>
        <w:t xml:space="preserve"> unsolved.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lastRenderedPageBreak/>
        <w:t xml:space="preserve">One possible reason behind this problem of Dale and Burrell’s (2008) approach is that they share a presumption that space is still seen as contextual. That is, space is experienced by people, interpreted by people, and changed by people. However, I am not making the claim that the materiality or physicality of space is not essential; quite the opposite, I treat the physicality of space as one of the most important components of spatial analysis in this thesis, on both the theoretical and empirical levels. What differentiates my interpretation from that of Dale and Burrell is that I emphasise more the experience or experiencing process rather than following a political narrative of how space is constructed. This will become clearer in the empirical analysis chapters, where I prioritise individuals’ experiences and feelings as the analytical focus as well as being attentive to any political inherent implications.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Another way in which this thesis differs from Dale and Burrell’s work (2008) is that both the buildings, in this case, the Founder’s Building, and the social interactions and relations are interested and explored as equally important. My argument is that it is impossible to position space simply as some sort of medium, as it is an active actor, participating in the production and re-production processes of social relations (e.g. Gilbert, 2008; Shilling, 1991). However, what Dale and Burrell (2008) attempted to accomplish is to tease out the different forms of power relations that exist within and influence the spatial process. This has many practical implications in space study and can be applied widely to different areas. In emphasising the interconnection between space and power, through enchantment, emplacement, and enactment, it is plausible to see how organisational space becomes the most important site for the ‘battle for hearts and </w:t>
      </w:r>
      <w:proofErr w:type="gramStart"/>
      <w:r w:rsidRPr="00AE1FA0">
        <w:rPr>
          <w:rFonts w:ascii="Arial" w:eastAsia="宋体" w:hAnsi="Arial" w:cs="Arial"/>
          <w:sz w:val="24"/>
          <w:szCs w:val="24"/>
        </w:rPr>
        <w:t>minds’</w:t>
      </w:r>
      <w:proofErr w:type="gramEnd"/>
      <w:r w:rsidRPr="00AE1FA0">
        <w:rPr>
          <w:rFonts w:ascii="Arial" w:eastAsia="宋体" w:hAnsi="Arial" w:cs="Arial"/>
          <w:sz w:val="24"/>
          <w:szCs w:val="24"/>
        </w:rPr>
        <w:t xml:space="preserve">. I quote their definitions at length in order to take a closer look at how they differentiate from each other as well as showcase how power relations are placed at the centre of their arguments.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ind w:left="420"/>
        <w:rPr>
          <w:rFonts w:ascii="Arial" w:eastAsia="宋体" w:hAnsi="Arial" w:cs="Arial"/>
          <w:sz w:val="24"/>
          <w:szCs w:val="24"/>
        </w:rPr>
      </w:pPr>
      <w:r w:rsidRPr="00AE1FA0">
        <w:rPr>
          <w:rFonts w:ascii="Arial" w:eastAsia="宋体" w:hAnsi="Arial" w:cs="Arial"/>
          <w:sz w:val="24"/>
          <w:szCs w:val="24"/>
        </w:rPr>
        <w:t>‘Enchantment is described as the fusion of the material and the symbolic and includes but it not exhausted by the sort of built expression of power.</w:t>
      </w:r>
    </w:p>
    <w:p w:rsidR="00AE1FA0" w:rsidRPr="00AE1FA0" w:rsidRDefault="00AE1FA0" w:rsidP="00AE1FA0">
      <w:pPr>
        <w:spacing w:line="360" w:lineRule="auto"/>
        <w:ind w:left="420"/>
        <w:rPr>
          <w:rFonts w:ascii="Arial" w:eastAsia="宋体" w:hAnsi="Arial" w:cs="Arial"/>
          <w:sz w:val="24"/>
          <w:szCs w:val="24"/>
        </w:rPr>
      </w:pPr>
    </w:p>
    <w:p w:rsidR="00AE1FA0" w:rsidRPr="00AE1FA0" w:rsidRDefault="00AE1FA0" w:rsidP="00AE1FA0">
      <w:pPr>
        <w:spacing w:line="360" w:lineRule="auto"/>
        <w:ind w:left="420"/>
        <w:rPr>
          <w:rFonts w:ascii="Arial" w:eastAsia="宋体" w:hAnsi="Arial" w:cs="Arial"/>
          <w:sz w:val="24"/>
          <w:szCs w:val="24"/>
        </w:rPr>
      </w:pPr>
      <w:r w:rsidRPr="00AE1FA0">
        <w:rPr>
          <w:rFonts w:ascii="Arial" w:eastAsia="宋体" w:hAnsi="Arial" w:cs="Arial"/>
          <w:sz w:val="24"/>
          <w:szCs w:val="24"/>
        </w:rPr>
        <w:t xml:space="preserve">Emplacement refers to the construction of certain places for certain activities and certain people. It involves the processes of inclusion within and exclusion from specific spaces. </w:t>
      </w:r>
    </w:p>
    <w:p w:rsidR="00AE1FA0" w:rsidRPr="00AE1FA0" w:rsidRDefault="00AE1FA0" w:rsidP="00AE1FA0">
      <w:pPr>
        <w:spacing w:line="360" w:lineRule="auto"/>
        <w:ind w:left="420"/>
        <w:rPr>
          <w:rFonts w:ascii="Arial" w:eastAsia="宋体" w:hAnsi="Arial" w:cs="Arial"/>
          <w:sz w:val="24"/>
          <w:szCs w:val="24"/>
        </w:rPr>
      </w:pPr>
    </w:p>
    <w:p w:rsidR="00AE1FA0" w:rsidRPr="00AE1FA0" w:rsidRDefault="00AE1FA0" w:rsidP="00AE1FA0">
      <w:pPr>
        <w:spacing w:line="360" w:lineRule="auto"/>
        <w:ind w:left="420"/>
        <w:rPr>
          <w:rFonts w:ascii="Arial" w:eastAsia="宋体" w:hAnsi="Arial" w:cs="Arial"/>
          <w:sz w:val="24"/>
          <w:szCs w:val="24"/>
        </w:rPr>
      </w:pPr>
      <w:r w:rsidRPr="00AE1FA0">
        <w:rPr>
          <w:rFonts w:ascii="Arial" w:eastAsia="宋体" w:hAnsi="Arial" w:cs="Arial"/>
          <w:sz w:val="24"/>
          <w:szCs w:val="24"/>
        </w:rPr>
        <w:lastRenderedPageBreak/>
        <w:t>Enactment is a form of control that is perhaps particularly pertinent to modern forms of organization, although as we shall see it also has long historical roots. Enactment is about the lived experience of social space. It is about the interaction of people as simultaneously social and embodied beings with the power embedded in specific spaces’ (Dale and Burrell, 2008: 60-66)</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In emphasising the correlation between space, power and control, what Dale and Burrell (2008) achieved is a spatial analysis through analysing power relations, so here space becomes a medium of power relations. This is not to suggest that space is depreciated in their analysis because space and power relations are inseparable, and continually intertwined with each other, while new space as well as power relations are produced through these interaction processes. Burrell and Dale (2003) stated explicitly that ‘what we are interested is not simply the building of buildings but, more significantly, the buildings of social through buildings’ (177). Embodiment is another important concept for understanding that the interconnection between materiality and power is implausible. For instance, Dale and Burrell (2008) discussed at length how human existence is both social and material simultaneously, using the concept of embodiment.  Embodiment is widely seen as material rather than social in nature, especially in the established Cartesian tradition, where ‘the material, the spatial and the embodied tend to be leach out of social research’ (Dale and Burrell, 2008: 205). Several researchers (e.g. Gagliardi, 1990; Law, 1994), especially in the social science field, have criticised this domination by the Cartesian view of embodiment. Merleau-Ponty, the French phenomenologist, argued that ‘to be a body it to be tied to a certain world’ (1962: 148). As future elaborated by Russon (1994: 293), it is the living body of people which is ‘the dynamic process of our establishing contact with the world’. That is, the body is both the contact or medium, and the substance of existence itself. Unlike the traditional Cartesian view, the body is only conceptualised as an inert object, instead, it becomes an active component in any social activity. So, what implications are there for introducing embodiment into the study of space? Lefebvre’s work is here to remind us of the importance of embodiment for understanding space as social production.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bookmarkStart w:id="28" w:name="_Hlk535119544"/>
      <w:r w:rsidRPr="00AE1FA0">
        <w:rPr>
          <w:rFonts w:ascii="Arial" w:eastAsia="宋体" w:hAnsi="Arial" w:cs="Arial"/>
          <w:sz w:val="24"/>
          <w:szCs w:val="24"/>
        </w:rPr>
        <w:t xml:space="preserve">Lefebvre (1991) argued that the human body remains the core of spatial theory and emphasised that the body is the site of struggle and subtle power relations. Here, </w:t>
      </w:r>
      <w:r w:rsidRPr="00AE1FA0">
        <w:rPr>
          <w:rFonts w:ascii="Arial" w:eastAsia="宋体" w:hAnsi="Arial" w:cs="Arial"/>
          <w:sz w:val="24"/>
          <w:szCs w:val="24"/>
        </w:rPr>
        <w:lastRenderedPageBreak/>
        <w:t xml:space="preserve">embodiment is developed in relation to the ‘self and others, social representations, psychological projections and cultural images’ (Dale and Burrell, 2007: 208). In spatial studies, what this concept stresses </w:t>
      </w:r>
      <w:proofErr w:type="gramStart"/>
      <w:r w:rsidRPr="00AE1FA0">
        <w:rPr>
          <w:rFonts w:ascii="Arial" w:eastAsia="宋体" w:hAnsi="Arial" w:cs="Arial"/>
          <w:sz w:val="24"/>
          <w:szCs w:val="24"/>
        </w:rPr>
        <w:t>is</w:t>
      </w:r>
      <w:proofErr w:type="gramEnd"/>
      <w:r w:rsidRPr="00AE1FA0">
        <w:rPr>
          <w:rFonts w:ascii="Arial" w:eastAsia="宋体" w:hAnsi="Arial" w:cs="Arial"/>
          <w:sz w:val="24"/>
          <w:szCs w:val="24"/>
        </w:rPr>
        <w:t xml:space="preserve"> the attention to individuals’ interactions and experiences in space. In this thesis, embodiment becomes an important concept in shaping the actual analysis of the empirical evidence. As will be argued in later chapters, individuals are analysed as specific rather than natural objects. That is, the specificity of embodiment is acknowledged. In this vein, Dale and Burrell’s (2008) work on embodiment and space inspires interest in as well as a focus on individualised experiences and interactions with space. What is foregrounded in the analyses is both to socialise and historicise space and individuals. Specifically, individuals and space are no longer seen as passive or inert.</w:t>
      </w:r>
      <w:bookmarkEnd w:id="28"/>
      <w:r w:rsidRPr="00AE1FA0">
        <w:rPr>
          <w:rFonts w:ascii="Arial" w:eastAsia="宋体" w:hAnsi="Arial" w:cs="Arial"/>
          <w:sz w:val="24"/>
          <w:szCs w:val="24"/>
        </w:rPr>
        <w:t xml:space="preserve"> Underpinning this argument is a deeper shift in understanding organisations. Dale and Burrell (2008) also made this clear by defining organisations as part of the social processes rather than as bounded entities. A detailed discussion of how different assumptions about organisations influence the study of organisational space is presented in the next section, but here I wish to stress that, although conceptualising organisations as a process shares the same assumption as my analysis, what is different here is that Dale and Burrell (200) argued that the social process involves producing social and material ordering. This again is congruent with how they conceptualise space as the materialisation of power relations.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Hence, it becomes clearer that Dale and Burrell (2008) had a more political economy focus during their analysis while this thesis adopts a more phenomenological focus, aiming to address the nuances in the details of people and space. Although Dale and Burrell’s (2008) analysis have many implications regarding how to address space as social production with a material emphasis, it indeed provides many practical solutions for empirical cases. For instance, the reassertion of materiality in space has spurred research interest in organisational identity in space research. Although identity is not the focus of this thesis, it is appreciated that identity is another perspective that should be focused on, and indeed it has been addressed in the future study section as one of options for future research.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hint="eastAsia"/>
          <w:sz w:val="24"/>
          <w:szCs w:val="24"/>
        </w:rPr>
        <w:t>T</w:t>
      </w:r>
      <w:r w:rsidRPr="00AE1FA0">
        <w:rPr>
          <w:rFonts w:ascii="Arial" w:eastAsia="宋体" w:hAnsi="Arial" w:cs="Arial"/>
          <w:sz w:val="24"/>
          <w:szCs w:val="24"/>
        </w:rPr>
        <w:t xml:space="preserve">his section is intended to reflect on the potential of conceptualising space as social construction, and how divergent the implications of this conceptualisation are; that is, </w:t>
      </w:r>
      <w:r w:rsidRPr="00AE1FA0">
        <w:rPr>
          <w:rFonts w:ascii="Arial" w:eastAsia="宋体" w:hAnsi="Arial" w:cs="Arial"/>
          <w:sz w:val="24"/>
          <w:szCs w:val="24"/>
        </w:rPr>
        <w:lastRenderedPageBreak/>
        <w:t xml:space="preserve">how different scholars interpret the assumption ‘organisational space is a social construction’ in divergent ways. While the previous section introduced the different conceptualisations of space, this section focuses on more subtle differences in terms of how to approach organisational space and what kind of narratives to follow in order to depict the process of how organisational space is constructed. Therefore, the detailed discussion of Dale and Burrell’s (2007) work presented in this section aims to provide a vivid example to demonstrate how complicated this analytical process can be. More specifically, I scrutinised how my interpretation of the core assumption that organisational space is a social product differs from that of others. To put it briefly, what my interpretation prioritises is lived experience that is deeply embedded in the process assumption of organisations and society, which will be discussed in the next section.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29" w:name="_Toc534732360"/>
      <w:r w:rsidRPr="00AE1FA0">
        <w:rPr>
          <w:rFonts w:ascii="Arial" w:eastAsiaTheme="majorEastAsia" w:hAnsi="Arial" w:cs="Arial"/>
          <w:b/>
          <w:color w:val="000000" w:themeColor="text1"/>
          <w:kern w:val="0"/>
          <w:sz w:val="24"/>
          <w:szCs w:val="26"/>
        </w:rPr>
        <w:t>Process philosophy of organization studies: from organizations to organizing</w:t>
      </w:r>
      <w:bookmarkEnd w:id="29"/>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kern w:val="0"/>
          <w:sz w:val="24"/>
          <w:szCs w:val="24"/>
        </w:rPr>
      </w:pPr>
      <w:r w:rsidRPr="00AE1FA0">
        <w:rPr>
          <w:rFonts w:ascii="Arial" w:eastAsia="宋体" w:hAnsi="Arial" w:cs="Arial"/>
          <w:sz w:val="24"/>
          <w:szCs w:val="24"/>
        </w:rPr>
        <w:t xml:space="preserve">In the previous section, the emphasis was on two contradictory assumptions about organizational space: space as a container versus space as social product. More importantly, I now want to re-emphasize the interrelationship between the conceptualization of organizational space and organizations.  This section will centre on different assumptions of organizations and then how these assumptions affect organizational space. Varying assumptions towards organizations indeed explain different approaches to the study organizational space. To delve into the deep rationale as to why it evolves in this way, the fundamental assumption and understanding about the concept of ‘organization’ should be clarified first. Beginning from the Modernism period, the orthodox view of organizations is theorized as a rationally constituted object. Moreover, it is framed as a social tool that can be used and managed rationally. Based on this assumption, organization is conceptualized as a noun, a stable and bounded system. Modern companies or organizations are founded based on this assumption, where the mode of management is “control and performativity” (Cooper and Burrell, 1988: 102). Based on this assumption, the organizational space is thus perceived as a background or context, where the motivation behind the relevant studies is the belief that organizational space can and </w:t>
      </w:r>
      <w:r w:rsidRPr="00AE1FA0">
        <w:rPr>
          <w:rFonts w:ascii="Arial" w:eastAsia="宋体" w:hAnsi="Arial" w:cs="Arial"/>
          <w:sz w:val="24"/>
          <w:szCs w:val="24"/>
        </w:rPr>
        <w:lastRenderedPageBreak/>
        <w:t xml:space="preserve">should be managed. </w:t>
      </w:r>
      <w:r w:rsidRPr="00AE1FA0">
        <w:rPr>
          <w:rFonts w:ascii="Arial" w:eastAsia="宋体" w:hAnsi="Arial" w:cs="Arial"/>
          <w:kern w:val="0"/>
          <w:sz w:val="24"/>
          <w:szCs w:val="24"/>
        </w:rPr>
        <w:t xml:space="preserve">Therefore, the emphasis of spatial analysis in the organizations is reduced to a study of “what is inside the space” (Watkins, 2005: 210).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Process theory emerges to provide an alternative theorization of organizations.  </w:t>
      </w:r>
      <w:r w:rsidRPr="00AE1FA0">
        <w:rPr>
          <w:rFonts w:ascii="Arial" w:hAnsi="Arial" w:cs="Arial"/>
          <w:kern w:val="0"/>
          <w:sz w:val="24"/>
          <w:szCs w:val="24"/>
        </w:rPr>
        <w:t xml:space="preserve">What distinguishes process theory from traditional entity theory is the introduction of ‘becoming’ concept. In the context of organization studies, this indicates a switch from organizations to organizing. Hernes (2014) explained that the idea of ‘becoming’ explicates how seemingly entities are all in a continuous state of becoming. Here, entities can be human beings, machines, and organizations as well. We can see that the introduction of process theory makes salient not only how organizations should be approached as a becoming process, but also how various facets of organizations should be studied as a gradually becoming process. Space, in this thesis specifically, therefore, can be theorized and approached as a becoming process.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hAnsi="Arial" w:cs="Arial"/>
          <w:kern w:val="0"/>
          <w:sz w:val="24"/>
          <w:szCs w:val="24"/>
        </w:rPr>
        <w:t xml:space="preserve">Process thinking is not a new philosophical position and had existed since early Greece. In Bakken and Hernes’ (2006) widely cited paper on organizing as a verb and noun, they retrospectively reviewed the history and development of process thinking. In the context of organizational studies, Max Weber and Karl Marx are early contributors who highlighted the importance of process. Karl Weick is believed to be the earlier scholar who theorized process thinking in organization studies (Weick, 1995). More recent contributions include Tsoukas and Chia’s (2002) study on organizational change and transformation, and Haridimos Tsoukas’s (2000) work on organizational becoming. </w:t>
      </w:r>
      <w:r w:rsidRPr="00AE1FA0">
        <w:rPr>
          <w:rFonts w:ascii="Arial" w:eastAsia="宋体" w:hAnsi="Arial" w:cs="Arial"/>
          <w:sz w:val="24"/>
          <w:szCs w:val="24"/>
        </w:rPr>
        <w:t xml:space="preserve">Unlike regarding organizations as bounded system where the imaginary lines are drawn on where the organization starts and ends, as Hernes (2004) claimed, this process view of organization has the advantage that a continual state of the organization and interaction can be achieved. Here, organization is “an unbounded form about the formation of contexts for action and interaction and subsequently about their reproduction over time and space” (Hernes, 2004: 11). Based on this assumption, not only the emergence of contexts, but conditions for how the organization is formed and its evolution can be revealed. The process </w:t>
      </w:r>
      <w:proofErr w:type="gramStart"/>
      <w:r w:rsidRPr="00AE1FA0">
        <w:rPr>
          <w:rFonts w:ascii="Arial" w:eastAsia="宋体" w:hAnsi="Arial" w:cs="Arial"/>
          <w:sz w:val="24"/>
          <w:szCs w:val="24"/>
        </w:rPr>
        <w:t>view</w:t>
      </w:r>
      <w:proofErr w:type="gramEnd"/>
      <w:r w:rsidRPr="00AE1FA0">
        <w:rPr>
          <w:rFonts w:ascii="Arial" w:eastAsia="宋体" w:hAnsi="Arial" w:cs="Arial"/>
          <w:sz w:val="24"/>
          <w:szCs w:val="24"/>
        </w:rPr>
        <w:t xml:space="preserve"> of the organization, therefore, denotes the shifted emphasis towards the temporality of organizational study. If situating the notion of organizational space is the process view, the assumption of organizational space as a container would be transferred to the actual process of how it is produced and evolved.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In the field of organizational space, Hernes (2004) provided a dichotomy of organization as either a repository of different space or as representations of actions and interactions of occupants. The first has been adopted by many researchers who emphasise the physicality of space and ignore the social perspectives. However, the second notion acknowledges that space is produced as a social product, which is grounded primarily on Lefebvre’s work. Lefebvre’s concept of space is built on the assumption that space is produced continually, in which it is subject to production and reproduction (Hernes, 2004). The first assumption follows the tradition of organization as a noun whereas the second assumes the organization as a process. When organizational space is treated as a noun, it is therefore approached as a detachable unit. Hence the study of organizational space attempts to make impact on organization by suggesting practical solutions to improve the organizational space only. Whereas in the case that organizational space is seen as a verb, the organization and organizational space cannot be separable, and organizational space is not a subunit or component. This becomes a trend in the field of social geography, where space is believed to become the expression of the possibility of pluralities. </w:t>
      </w:r>
      <w:r w:rsidRPr="00AE1FA0">
        <w:rPr>
          <w:rFonts w:ascii="Arial" w:hAnsi="Arial" w:cs="Arial"/>
          <w:sz w:val="24"/>
          <w:szCs w:val="24"/>
        </w:rPr>
        <w:t xml:space="preserve">Under this trend, interpretations towards organizational space and its implications become subjective. </w:t>
      </w:r>
      <w:r w:rsidRPr="00AE1FA0">
        <w:rPr>
          <w:rFonts w:ascii="Arial" w:eastAsia="宋体" w:hAnsi="Arial" w:cs="Arial"/>
          <w:sz w:val="24"/>
          <w:szCs w:val="24"/>
        </w:rPr>
        <w:t>In the organization study context, this is congruent with the assumption of organizations as juxtaposed where reciprocal relations exist (</w:t>
      </w:r>
      <w:hyperlink r:id="rId10" w:history="1">
        <w:r w:rsidRPr="00AE1FA0">
          <w:rPr>
            <w:rFonts w:ascii="Arial" w:eastAsia="宋体" w:hAnsi="Arial" w:cs="Arial"/>
            <w:sz w:val="24"/>
            <w:szCs w:val="24"/>
          </w:rPr>
          <w:t>Löw</w:t>
        </w:r>
      </w:hyperlink>
      <w:r w:rsidRPr="00AE1FA0">
        <w:rPr>
          <w:rFonts w:ascii="Arial" w:eastAsia="宋体" w:hAnsi="Arial" w:cs="Arial"/>
          <w:sz w:val="24"/>
          <w:szCs w:val="24"/>
        </w:rPr>
        <w:t xml:space="preserve">, 2006). Here the study of organizational space becomes a lens for understanding organization from a process perspective in a more holistic approach. </w:t>
      </w:r>
    </w:p>
    <w:p w:rsidR="00AE1FA0" w:rsidRPr="00AE1FA0" w:rsidRDefault="00AE1FA0" w:rsidP="00AE1FA0">
      <w:pPr>
        <w:spacing w:line="360" w:lineRule="auto"/>
        <w:rPr>
          <w:rFonts w:ascii="Arial" w:hAnsi="Arial" w:cs="Arial"/>
          <w:kern w:val="0"/>
          <w:sz w:val="24"/>
          <w:szCs w:val="24"/>
        </w:rPr>
      </w:pPr>
    </w:p>
    <w:p w:rsidR="00AE1FA0" w:rsidRPr="00AE1FA0" w:rsidRDefault="00AE1FA0" w:rsidP="00AE1FA0">
      <w:pPr>
        <w:spacing w:line="360" w:lineRule="auto"/>
        <w:rPr>
          <w:rFonts w:ascii="Arial" w:hAnsi="Arial" w:cs="Arial"/>
          <w:kern w:val="0"/>
          <w:sz w:val="24"/>
          <w:szCs w:val="24"/>
        </w:rPr>
      </w:pPr>
      <w:r w:rsidRPr="00AE1FA0">
        <w:rPr>
          <w:rFonts w:ascii="Arial" w:hAnsi="Arial" w:cs="Arial"/>
          <w:kern w:val="0"/>
          <w:sz w:val="24"/>
          <w:szCs w:val="24"/>
        </w:rPr>
        <w:t>One thing to be noted is that the process view is not an objective claim but is subject to interpretations and evaluations. In this thesis, particularly, Chia and Langley’s (2005) work on categorizing process view into weak and strong is useful. Their work (2005: 1486) firstly theorized weak and strong process view: “a weak process view has a priori assumption of the world as consisting of entities”, whereas a strong process view considers things as constituted by processes. A strong view of process theory underscores the importance of temporality. In fact, the concept of ‘becoming’ cannot be fully apprehended without the concept of temporality. Tor Hernes is one of the process theorists who sees process theory as a fundamental philosophical shift, and this thesis is based on his theorization of the process philosophical approach.</w:t>
      </w:r>
    </w:p>
    <w:p w:rsidR="00AE1FA0" w:rsidRPr="00AE1FA0" w:rsidRDefault="00AE1FA0" w:rsidP="00AE1FA0">
      <w:pPr>
        <w:spacing w:line="360" w:lineRule="auto"/>
        <w:rPr>
          <w:rFonts w:ascii="Arial" w:eastAsia="宋体" w:hAnsi="Arial" w:cs="Arial"/>
          <w:color w:val="00B050"/>
          <w:sz w:val="28"/>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30" w:name="_Toc534732361"/>
      <w:r w:rsidRPr="00AE1FA0">
        <w:rPr>
          <w:rFonts w:ascii="Arial" w:eastAsiaTheme="majorEastAsia" w:hAnsi="Arial" w:cs="Arial"/>
          <w:b/>
          <w:color w:val="000000" w:themeColor="text1"/>
          <w:kern w:val="0"/>
          <w:sz w:val="24"/>
          <w:szCs w:val="26"/>
        </w:rPr>
        <w:t>Space and time: A historical perspective</w:t>
      </w:r>
      <w:bookmarkEnd w:id="30"/>
    </w:p>
    <w:p w:rsidR="00AE1FA0" w:rsidRPr="00AE1FA0" w:rsidRDefault="00AE1FA0" w:rsidP="00AE1FA0">
      <w:pPr>
        <w:widowControl/>
        <w:spacing w:after="160" w:line="360" w:lineRule="auto"/>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4"/>
        </w:rPr>
      </w:pPr>
      <w:r w:rsidRPr="00AE1FA0">
        <w:rPr>
          <w:rFonts w:ascii="Arial" w:hAnsi="Arial" w:cs="Arial"/>
          <w:kern w:val="0"/>
          <w:sz w:val="24"/>
        </w:rPr>
        <w:t xml:space="preserve">Once subscribed to spatial turn and process philosophy, understandings of both organizations and organizational space are destabilized, and it is impossible to ignore dynamism within and beyond organizations; history becomes an integral dimension in organizational life and experiences.  What should be clarified first is that turning to time and turning to history are two different theoretical claims. While process theory advocates reassertion of temporality into organizations, spatial turn further accentuates the importance to add a historical insight into organization studies.  Thus, this section focuses on the interrelationship between time and space, and then moves towards history and space. </w:t>
      </w:r>
    </w:p>
    <w:p w:rsidR="00AE1FA0" w:rsidRPr="00AE1FA0" w:rsidRDefault="00AE1FA0" w:rsidP="00AE1FA0">
      <w:pPr>
        <w:widowControl/>
        <w:spacing w:after="160" w:line="360" w:lineRule="auto"/>
        <w:rPr>
          <w:rFonts w:ascii="Arial" w:hAnsi="Arial" w:cs="Arial"/>
          <w:kern w:val="0"/>
          <w:sz w:val="24"/>
        </w:rPr>
      </w:pPr>
    </w:p>
    <w:p w:rsidR="00AE1FA0" w:rsidRPr="00AE1FA0" w:rsidRDefault="00AE1FA0" w:rsidP="00AE1FA0">
      <w:pPr>
        <w:widowControl/>
        <w:spacing w:after="160" w:line="360" w:lineRule="auto"/>
        <w:rPr>
          <w:rFonts w:ascii="Arial" w:eastAsia="宋体" w:hAnsi="Arial" w:cs="Arial"/>
          <w:sz w:val="24"/>
          <w:szCs w:val="24"/>
        </w:rPr>
      </w:pPr>
      <w:r w:rsidRPr="00AE1FA0">
        <w:rPr>
          <w:rFonts w:ascii="Arial" w:hAnsi="Arial" w:cs="Arial"/>
          <w:kern w:val="0"/>
          <w:sz w:val="24"/>
        </w:rPr>
        <w:t xml:space="preserve">One of the most influential implications of a strong process thinking is that it destabilizes the temporality of organizational life and motivates researchers to </w:t>
      </w:r>
      <w:proofErr w:type="gramStart"/>
      <w:r w:rsidRPr="00AE1FA0">
        <w:rPr>
          <w:rFonts w:ascii="Arial" w:hAnsi="Arial" w:cs="Arial"/>
          <w:kern w:val="0"/>
          <w:sz w:val="24"/>
        </w:rPr>
        <w:t>look into</w:t>
      </w:r>
      <w:proofErr w:type="gramEnd"/>
      <w:r w:rsidRPr="00AE1FA0">
        <w:rPr>
          <w:rFonts w:ascii="Arial" w:hAnsi="Arial" w:cs="Arial"/>
          <w:kern w:val="0"/>
          <w:sz w:val="24"/>
        </w:rPr>
        <w:t xml:space="preserve"> the process of how things evolve, change and act (Langley, 2007).  Here, things can be people, organizations and space. In fact, the relationship of </w:t>
      </w:r>
      <w:r w:rsidRPr="00AE1FA0">
        <w:rPr>
          <w:rFonts w:ascii="Arial" w:eastAsia="宋体" w:hAnsi="Arial" w:cs="Arial"/>
          <w:sz w:val="24"/>
          <w:szCs w:val="24"/>
        </w:rPr>
        <w:t>space and time is a classic question in social science. However, f</w:t>
      </w:r>
      <w:bookmarkStart w:id="31" w:name="_Hlk535120450"/>
      <w:r w:rsidRPr="00AE1FA0">
        <w:rPr>
          <w:rFonts w:ascii="Arial" w:eastAsia="宋体" w:hAnsi="Arial" w:cs="Arial"/>
          <w:sz w:val="24"/>
          <w:szCs w:val="24"/>
        </w:rPr>
        <w:t>or a long period, space is conceptualized as opposite to time. Vasquez (2013: 3)</w:t>
      </w:r>
      <w:r w:rsidRPr="00AE1FA0">
        <w:rPr>
          <w:rFonts w:ascii="Arial" w:eastAsia="宋体" w:hAnsi="Arial" w:cs="Arial"/>
          <w:sz w:val="24"/>
          <w:szCs w:val="24"/>
          <w:vertAlign w:val="superscript"/>
        </w:rPr>
        <w:t xml:space="preserve"> </w:t>
      </w:r>
      <w:r w:rsidRPr="00AE1FA0">
        <w:rPr>
          <w:rFonts w:ascii="Arial" w:eastAsia="宋体" w:hAnsi="Arial" w:cs="Arial"/>
          <w:sz w:val="24"/>
          <w:szCs w:val="24"/>
        </w:rPr>
        <w:t xml:space="preserve">framed this argument as “space is commonly presented in terms of absence of time, absence of movement or change”. What this argument depicts is space theorized as a steady and static existence along with the passage of time. Process theory, on the contrary, offers a different solution to this question and considers time and space as interwoven (Crang and Thrift, 2000period). Hence process theory not only destabilizes the space, but also destabilizes time. Both organizational space and time becomes process continually evolving and changing. Just </w:t>
      </w:r>
      <w:r w:rsidRPr="00AE1FA0">
        <w:rPr>
          <w:rFonts w:ascii="Arial" w:eastAsia="宋体" w:hAnsi="Arial" w:cs="Arial"/>
          <w:kern w:val="0"/>
          <w:sz w:val="24"/>
          <w:szCs w:val="24"/>
        </w:rPr>
        <w:t>as Azaryahu and Foote (2008) further explained, buildings are traditionally treated as historical background providing a tangible link to the past. Yet it is spatial turn and Lefebvre’s work that draws attention to the historical perspective of organizations.</w:t>
      </w:r>
      <w:bookmarkEnd w:id="31"/>
      <w:r w:rsidRPr="00AE1FA0">
        <w:rPr>
          <w:rFonts w:ascii="Arial" w:eastAsia="宋体" w:hAnsi="Arial" w:cs="Arial"/>
          <w:kern w:val="0"/>
          <w:sz w:val="24"/>
          <w:szCs w:val="24"/>
        </w:rPr>
        <w:t xml:space="preserve"> While process theory enables investigations of temporality in organizational space, spatial turn emphasizes the integration of space and organizations. </w:t>
      </w:r>
      <w:r w:rsidRPr="00AE1FA0">
        <w:rPr>
          <w:rFonts w:ascii="Arial" w:eastAsia="宋体" w:hAnsi="Arial" w:cs="Arial"/>
          <w:sz w:val="24"/>
          <w:szCs w:val="24"/>
        </w:rPr>
        <w:t xml:space="preserve">History and organizational study are </w:t>
      </w:r>
      <w:r w:rsidRPr="00AE1FA0">
        <w:rPr>
          <w:rFonts w:ascii="Arial" w:eastAsia="宋体" w:hAnsi="Arial" w:cs="Arial"/>
          <w:sz w:val="24"/>
          <w:szCs w:val="24"/>
        </w:rPr>
        <w:lastRenderedPageBreak/>
        <w:t xml:space="preserve">inseparable, and many scholars have emphasized the historical perspective in their studies for a considerable period. </w:t>
      </w:r>
    </w:p>
    <w:p w:rsidR="00AE1FA0" w:rsidRPr="00AE1FA0" w:rsidRDefault="00AE1FA0" w:rsidP="00AE1FA0">
      <w:pPr>
        <w:widowControl/>
        <w:spacing w:after="160" w:line="360" w:lineRule="auto"/>
        <w:rPr>
          <w:rFonts w:ascii="Arial" w:eastAsia="宋体" w:hAnsi="Arial" w:cs="Arial"/>
          <w:sz w:val="24"/>
          <w:szCs w:val="24"/>
        </w:rPr>
      </w:pPr>
    </w:p>
    <w:p w:rsidR="00AE1FA0" w:rsidRPr="00AE1FA0" w:rsidRDefault="00AE1FA0" w:rsidP="00AE1FA0">
      <w:pPr>
        <w:widowControl/>
        <w:spacing w:after="160" w:line="360" w:lineRule="auto"/>
        <w:rPr>
          <w:rFonts w:ascii="Arial" w:eastAsia="宋体" w:hAnsi="Arial" w:cs="Arial"/>
          <w:sz w:val="24"/>
          <w:szCs w:val="24"/>
        </w:rPr>
      </w:pPr>
      <w:r w:rsidRPr="00AE1FA0">
        <w:rPr>
          <w:rFonts w:ascii="Arial" w:eastAsia="宋体" w:hAnsi="Arial" w:cs="Arial"/>
          <w:sz w:val="24"/>
          <w:szCs w:val="24"/>
        </w:rPr>
        <w:t xml:space="preserve">However, along with the professionalization of organizational study and preference for scientific methods, interest in history has gradually vanished (Kieser, 1994; Üsdiken and Kieser, 2004).  Yet there are many exceptions still and management theorists have taken more interest in historical implications when sociologists began to apply historical methods in their studies, such as Michel Foucault, whose work attract many scholars to historical research in the field of organization studies (Booth and Rowlinson, 2006). Moreover, many scholars have attempted to incorporate historical reflections and methods in their research. Practitioner-based cultural researchers now examine corporate culture using historical methods. For instance, Deal and Kennedy (2000: 4) claimed that “good companies understand it is from history that the symbolic glue congeals to hold a group of people together”. Apart from this, history is essential in the organizational memory field, in which organizational decisions-making is believed to be associated with organizational history. Researchers who focus on organizational memory perceive and treat either individual or collective memory as something that can be retrieved and employed to serve managerial needs (Booth and Rowlinson, 2006). Foster </w:t>
      </w:r>
      <w:r w:rsidRPr="00AE1FA0">
        <w:rPr>
          <w:rFonts w:ascii="Arial" w:eastAsia="宋体" w:hAnsi="Arial" w:cs="Arial"/>
          <w:i/>
          <w:sz w:val="24"/>
          <w:szCs w:val="24"/>
        </w:rPr>
        <w:t>et al.</w:t>
      </w:r>
      <w:r w:rsidRPr="00AE1FA0">
        <w:rPr>
          <w:rFonts w:ascii="Arial" w:eastAsia="宋体" w:hAnsi="Arial" w:cs="Arial"/>
          <w:sz w:val="24"/>
          <w:szCs w:val="24"/>
        </w:rPr>
        <w:t xml:space="preserve"> (2011) also showed how corporate history can be a resource for identity and competitive advantage, which should be exploited managers to formulate their strategies. </w:t>
      </w:r>
    </w:p>
    <w:p w:rsidR="00AE1FA0" w:rsidRPr="00AE1FA0" w:rsidRDefault="00AE1FA0" w:rsidP="00AE1FA0">
      <w:pPr>
        <w:widowControl/>
        <w:spacing w:after="160" w:line="360" w:lineRule="auto"/>
        <w:rPr>
          <w:rFonts w:ascii="Arial" w:eastAsia="宋体" w:hAnsi="Arial" w:cs="Arial"/>
          <w:sz w:val="24"/>
          <w:szCs w:val="24"/>
        </w:rPr>
      </w:pPr>
    </w:p>
    <w:p w:rsidR="00AE1FA0" w:rsidRPr="00AE1FA0" w:rsidRDefault="00AE1FA0" w:rsidP="00AE1FA0">
      <w:pPr>
        <w:widowControl/>
        <w:spacing w:after="160" w:line="360" w:lineRule="auto"/>
        <w:rPr>
          <w:rFonts w:ascii="Arial" w:eastAsia="宋体" w:hAnsi="Arial" w:cs="Arial"/>
          <w:sz w:val="24"/>
          <w:szCs w:val="24"/>
        </w:rPr>
      </w:pPr>
      <w:r w:rsidRPr="00AE1FA0">
        <w:rPr>
          <w:rFonts w:ascii="Arial" w:eastAsia="宋体" w:hAnsi="Arial" w:cs="Arial"/>
          <w:sz w:val="24"/>
          <w:szCs w:val="24"/>
        </w:rPr>
        <w:t xml:space="preserve">There are some similar assumptions behind previous empirical studies discussed. First, they all regard history or memory as manageable objects. This suggests that they assume that organizational history can be restored or revitalized completely and correctly. The other assumption is that organizational history is useful and should be studied to serve the interest of the present. That is, that history is there to act as references for present situations – which is risky and contentious. The potential reason for these assumptions might be the dominance of scientific and positivism orientation in both organizational studies and historical studies. For instance, Üsdiken and Kieser (2004: 321) said that “the scientific slant ... has come to dominate that field since the 1960s”. In fact, positivism has been prevalent for a long time and is still </w:t>
      </w:r>
      <w:r w:rsidRPr="00AE1FA0">
        <w:rPr>
          <w:rFonts w:ascii="Arial" w:eastAsia="宋体" w:hAnsi="Arial" w:cs="Arial"/>
          <w:sz w:val="24"/>
          <w:szCs w:val="24"/>
        </w:rPr>
        <w:lastRenderedPageBreak/>
        <w:t>dominant in historical study. However, one should be cautious: positivism is only one of many schools and stances. Tosh (2009) explicated that different school theorists would have divergent understandings about the nature of historical evidences and sources.</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As previously indicated, organizational studies and management have been largely emphasised on the functionalist tradition, which is like the current historical field. However, new orientations in historical studies have also emerged to avoid the underlying reductionism and are believed to be aligned with the rise of the critical management school because of concerns that management studies have deviated from humanistic thinking (Booth and Rowlinson, 2006). Historical turn represents a transformation in organizational studies and has three principle implications for organizational researchers who would adopt a historical perspective. The first implication is that the emphasis should be shifted from science to society in parallel with the linguistic turn; the second is that history is beyond the role as past and context; the third implication is that narratives have greater reflections</w:t>
      </w:r>
      <w:r w:rsidRPr="00AE1FA0">
        <w:rPr>
          <w:rFonts w:ascii="Arial" w:hAnsi="Arial" w:cs="Arial"/>
          <w:sz w:val="24"/>
          <w:szCs w:val="24"/>
        </w:rPr>
        <w:t xml:space="preserve">, which moves the spatial study from holistic to an individualized perspective. </w:t>
      </w:r>
      <w:r w:rsidRPr="00AE1FA0">
        <w:rPr>
          <w:rFonts w:ascii="Arial" w:eastAsia="宋体" w:hAnsi="Arial" w:cs="Arial"/>
          <w:sz w:val="24"/>
          <w:szCs w:val="24"/>
        </w:rPr>
        <w:t xml:space="preserve">(Clark and Rowlinson, 2004). Barrett and Srivastval (1991) identified the historical turn in organization studies with the aim and ambition of challenging and problematizing positivist orientation. Historical turn also questions the trans-historical assumption embedded in positivist-functionalist theories that ignore the past and histories.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Consequently, the historical turn, in juxtaposition with the spatial turn, in organizational studies, have the potential to understand what is going on in organizations and the wider society in a critical but prudent way. Just as Clark and Rowlinson (2004: 334) stressed, “revitalising history in organization studies … can teach us to interpret existing organizational structures not as determined by laws, but as the result of decisions in past choice opportunities”. </w:t>
      </w:r>
      <w:r w:rsidRPr="00AE1FA0">
        <w:rPr>
          <w:rFonts w:ascii="Arial" w:hAnsi="Arial" w:cs="Arial"/>
          <w:sz w:val="24"/>
          <w:szCs w:val="24"/>
        </w:rPr>
        <w:t>T</w:t>
      </w:r>
      <w:r w:rsidRPr="00AE1FA0">
        <w:rPr>
          <w:rFonts w:ascii="Arial" w:eastAsia="宋体" w:hAnsi="Arial" w:cs="Arial"/>
          <w:sz w:val="24"/>
          <w:szCs w:val="24"/>
        </w:rPr>
        <w:t xml:space="preserve">he primary assumption underpinning historical turn is that organizations are social creations evolving and transforming continuously. Therefore, historical theorists tend to focus on how the present evolved from “daily choices and conjectures” (Barrett and Srivastval, 1991: 223). This orientation, therefore, is helpful in explaining how and under what circumstances something is created and produced. History thus is created by many </w:t>
      </w:r>
      <w:r w:rsidRPr="00AE1FA0">
        <w:rPr>
          <w:rFonts w:ascii="Arial" w:eastAsia="宋体" w:hAnsi="Arial" w:cs="Arial"/>
          <w:sz w:val="24"/>
          <w:szCs w:val="24"/>
        </w:rPr>
        <w:lastRenderedPageBreak/>
        <w:t xml:space="preserve">authors and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For instance, in Marxist time, historicity is driven by forces of production and oriented by revolutionary rationality (Lefebvre, 1991). It is possible to retrieve how space was produced in the past from present clues and evidence (Merrifield, 2000). Similarly, the past also provides clues for things have not been created. That is, the seemingly fixed and given background or context becomes malleable and not pre-determined. Thus, histories are intrinsically political if regarded as malleable processes. From this perspective, history is part of the political process where actors and stakeholders aim to input interests into the formation of history. In the organizational context, power lies in the interplay of changes and maintenance. As Gagliardi (1990) portrayed, organizations construct their own cultural image through the process of institutionalization and infusion of value, which lead to specific physical arrangements. In order to maintain the core values and cultural identity, actions and options available for occupants are limited, including actual and symbolic actions.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Therefore, the core values organizations incorporate will impact on the spatial design continuously, from past to future. Moreover, many researchers have concluded that space and building design relates to power intrinsically (Hancock and Spicer, 2011; Clegg and Kornberger, 2006). In fact, power exerts influences right from the design of a building and space. It is argued that architecture and power are intermingled. Airports can be a typical example illustrating of how control can be achieved via the delicate design of architecture. Adey (2008) noted that the architecture in an airport was designed to shape capacities for the movements of people. Apart from physical movements, airports also calculate and predict the emotions and feelings of users carefully, to ensure control – the concept of safety and security pervade. When these imperatives were reflected in architectural design, for instance in the security spaces, a closed-wall style was designed to both physically control the movement of passengers and provide affective security. Hernes (2004) argued that every space has unique pattern of power relation, for example, power is exerted by controlling physical structure and boundaries in physical space; in social space, power is achieved via loyalty and cohesion; in mental space, power is wielded by the ability to argue and persuade. In the critical study area, space is far from unaltered and objective and is subjected to interpretations and meanings.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Historical turn has another contribution for studying the spatial practices in organizations, that is, historical perspective claims that history is alive in the present rather than history determining the present (Barrett and Srivastval, 1991). This assumption further criticizes the positivist understanding and changes the way that people perceive and view the world. By adopting the historical turn orientation, the inquiry into organizations or human beings has been conducted from perspectives of those who live in the space rather than treating histories as background. In fact, spatiality is believed to be narratively constructed, where the interpretation of space will depend on the shared memory of people (Decker, 2014). This understanding brings the concept of historicity into the field, suggested by Dilthey (1959) as everything and every activity bearing the stamp of historicity. In other words, although history can be viewed as a product of the past, all actions and interactions carry the past within them. For instance, the presence and use of a space are formed by the histories and habituations, but conversely and simultaneously, the present will reform the histories. Moreover, Elden (2004) argued that Lefebvre emphasized the historicity of space and spatial experience. </w:t>
      </w:r>
    </w:p>
    <w:p w:rsidR="00AE1FA0" w:rsidRPr="00AE1FA0" w:rsidRDefault="00AE1FA0" w:rsidP="00AE1FA0">
      <w:pPr>
        <w:spacing w:line="360" w:lineRule="auto"/>
        <w:rPr>
          <w:rFonts w:ascii="Arial" w:eastAsia="宋体" w:hAnsi="Arial" w:cs="Arial"/>
          <w:color w:val="7030A0"/>
          <w:sz w:val="28"/>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32" w:name="_Toc534732362"/>
      <w:r w:rsidRPr="00AE1FA0">
        <w:rPr>
          <w:rFonts w:ascii="Arial" w:eastAsiaTheme="majorEastAsia" w:hAnsi="Arial" w:cs="Arial"/>
          <w:b/>
          <w:color w:val="000000" w:themeColor="text1"/>
          <w:kern w:val="0"/>
          <w:sz w:val="24"/>
          <w:szCs w:val="26"/>
        </w:rPr>
        <w:t>Social past: New Historicism and historicity</w:t>
      </w:r>
      <w:bookmarkEnd w:id="32"/>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Previous discussions about historical turn have emphasized that more than one school of thought in history are available for organizational researchers, and each school provide different ways of analysing and studying organizational history. This section justifies how history can be a social construction by introducing New Historicism orientation and the concept of historicity. Before jumping to New Historicism, however, I want to introduce what traditional Historicism is and how it differentiates from New Historicism. To start with, it should be acknowledged that positivism orientation is still quite predominant in the field of history and is deeply embedded in Historicism. According to Tosh (20</w:t>
      </w:r>
      <w:r w:rsidRPr="00AE1FA0">
        <w:rPr>
          <w:rFonts w:ascii="Arial" w:hAnsi="Arial" w:cs="Arial"/>
          <w:sz w:val="24"/>
          <w:szCs w:val="24"/>
        </w:rPr>
        <w:t>09</w:t>
      </w:r>
      <w:r w:rsidRPr="00AE1FA0">
        <w:rPr>
          <w:rFonts w:ascii="Arial" w:eastAsia="宋体" w:hAnsi="Arial" w:cs="Arial"/>
          <w:sz w:val="24"/>
          <w:szCs w:val="24"/>
        </w:rPr>
        <w:t xml:space="preserve">), this implies the primary duty of historical researchers is to amass factual and objective knowledge about the past. During the process, researchers' beliefs or assumptions are irrelevant and obviated from the collection and interpretation of facts to ensure the objectivity of their findings. Historicism has successfully become the guiding philosophy for most scholarly history </w:t>
      </w:r>
      <w:r w:rsidRPr="00AE1FA0">
        <w:rPr>
          <w:rFonts w:ascii="Arial" w:eastAsia="宋体" w:hAnsi="Arial" w:cs="Arial"/>
          <w:sz w:val="24"/>
          <w:szCs w:val="24"/>
        </w:rPr>
        <w:lastRenderedPageBreak/>
        <w:t>(Hirsch and Stewart, 2005). Historicists under the influence of historicism tend to detach the past from the present, and it is this detachment that is advocated. Historicism assumes that histories are naturalized and belong to the past (Tosh, 20</w:t>
      </w:r>
      <w:r w:rsidRPr="00AE1FA0">
        <w:rPr>
          <w:rFonts w:ascii="Arial" w:hAnsi="Arial" w:cs="Arial"/>
          <w:sz w:val="24"/>
          <w:szCs w:val="24"/>
        </w:rPr>
        <w:t>09</w:t>
      </w:r>
      <w:r w:rsidRPr="00AE1FA0">
        <w:rPr>
          <w:rFonts w:ascii="Arial" w:eastAsia="宋体" w:hAnsi="Arial" w:cs="Arial"/>
          <w:sz w:val="24"/>
          <w:szCs w:val="24"/>
        </w:rPr>
        <w:t xml:space="preserve">).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Historicism was initiated during the movement of Romanticism, and German historian Leopold von Ranke is the leading figure. His much-quoted preface reveals the essence of historicism clearly as “history has had assigned to it the task of judging the past, of instructing the present for the benefit of the ages to come. To such lofty functions this work does not aspire. Its aim is merely to show how things actually were” (Tosh, 20</w:t>
      </w:r>
      <w:r w:rsidRPr="00AE1FA0">
        <w:rPr>
          <w:rFonts w:ascii="Arial" w:hAnsi="Arial" w:cs="Arial"/>
          <w:sz w:val="24"/>
          <w:szCs w:val="24"/>
        </w:rPr>
        <w:t>09</w:t>
      </w:r>
      <w:r w:rsidRPr="00AE1FA0">
        <w:rPr>
          <w:rFonts w:ascii="Arial" w:eastAsia="宋体" w:hAnsi="Arial" w:cs="Arial"/>
          <w:sz w:val="24"/>
          <w:szCs w:val="24"/>
        </w:rPr>
        <w:t xml:space="preserve">: 7). This quote vividly reveals historicism’s claims about how to understand and study history. Scholars who adopt historicism believe that they can restore the right version of history correctly by discovering what happened in the past rather than analysing the history from the perspective of the present. This kind of belief is widespread and deeply embedded in the everyday experience, for instance, during the study of history of a certain period, it is relatively easy to fall into the trap of objective truth and assume that there is one overarching explanation. For instance, in Rowlinson, Hassard and Decker’s (2014) research into historical methodologies, they discovered that the default approach for historians is a form of objectivism, in which history has an independent existence.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However, Historicism is only one approach, and it has faced challenges from more critical understandings. Both Marxism and post-modernism have criticized Historicism in different ways. While Marxism is sceptical and concerned that the ruling class would distort historical records, post-modernists have provided two important perspectives for understanding organizational history. In this thesis, I have paid </w:t>
      </w:r>
      <w:proofErr w:type="gramStart"/>
      <w:r w:rsidRPr="00AE1FA0">
        <w:rPr>
          <w:rFonts w:ascii="Arial" w:eastAsia="宋体" w:hAnsi="Arial" w:cs="Arial"/>
          <w:sz w:val="24"/>
          <w:szCs w:val="24"/>
        </w:rPr>
        <w:t>particular attention</w:t>
      </w:r>
      <w:proofErr w:type="gramEnd"/>
      <w:r w:rsidRPr="00AE1FA0">
        <w:rPr>
          <w:rFonts w:ascii="Arial" w:eastAsia="宋体" w:hAnsi="Arial" w:cs="Arial"/>
          <w:sz w:val="24"/>
          <w:szCs w:val="24"/>
        </w:rPr>
        <w:t xml:space="preserve"> to post-modernism conceptualization of history because this is consistent with how I conceptualize organizational space as a social construction. One way to understand history from a post-modernism perspective is that historical writing is a type of literary production, which is restricted by its genre. The other is that history is seen as a “vector of political positions” whose use of language is “ideologically tainted” (Tosh, 20</w:t>
      </w:r>
      <w:r w:rsidRPr="00AE1FA0">
        <w:rPr>
          <w:rFonts w:ascii="Arial" w:hAnsi="Arial" w:cs="Arial"/>
          <w:sz w:val="24"/>
          <w:szCs w:val="24"/>
        </w:rPr>
        <w:t>09</w:t>
      </w:r>
      <w:r w:rsidRPr="00AE1FA0">
        <w:rPr>
          <w:rFonts w:ascii="Arial" w:eastAsia="宋体" w:hAnsi="Arial" w:cs="Arial"/>
          <w:sz w:val="24"/>
          <w:szCs w:val="24"/>
        </w:rPr>
        <w:t xml:space="preserve">: 199). Therefore, as previously stated, historians are selectors whose choice of source, language, writing style, and standpoints are all shaped and influenced by themselves and their society. Since the 1980s, with the </w:t>
      </w:r>
      <w:r w:rsidRPr="00AE1FA0">
        <w:rPr>
          <w:rFonts w:ascii="Arial" w:eastAsia="宋体" w:hAnsi="Arial" w:cs="Arial"/>
          <w:sz w:val="24"/>
          <w:szCs w:val="24"/>
        </w:rPr>
        <w:lastRenderedPageBreak/>
        <w:t xml:space="preserve">impact of some new historicists, like Stephen Greenblatt and Louis Montrose, New Historicism rose as a new trend and orientation towards how history can be studied. Among these new historicists, it is the work of Stephen Greenblatt, who suggested that New Historicism should be separated from traditional historicism that it became a new movement (Hohendahl, 1992; Pieters, 2000). These new historicists argued that traditional historicism advocated the quasi-positivist belief in objectivity, which was no longer compatible with more the recent trend in understanding organizations and the wider social world (Pieters, 2000). Therefore, as Newton (1988: 89) proposed, the fundamental assumption of New Historicism is problematizing “the trans-historical and universal human essence and that human subjectivity is constructed by cultural codes”. Moreover, that objectivity in language and experience are also problematized.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Yet, when related to organization studies, the question needs to be asked what New Historicism is and what are the implications of it? One of the essential contributions of New Historicism is the theoretical richness and flexibility it can offer. Ve</w:t>
      </w:r>
      <w:r w:rsidRPr="00AE1FA0">
        <w:rPr>
          <w:rFonts w:ascii="Arial" w:hAnsi="Arial" w:cs="Arial"/>
          <w:sz w:val="24"/>
          <w:szCs w:val="24"/>
        </w:rPr>
        <w:t>e</w:t>
      </w:r>
      <w:r w:rsidRPr="00AE1FA0">
        <w:rPr>
          <w:rFonts w:ascii="Arial" w:eastAsia="宋体" w:hAnsi="Arial" w:cs="Arial"/>
          <w:sz w:val="24"/>
          <w:szCs w:val="24"/>
        </w:rPr>
        <w:t>ser (</w:t>
      </w:r>
      <w:r w:rsidRPr="00AE1FA0">
        <w:rPr>
          <w:rFonts w:ascii="Arial" w:hAnsi="Arial" w:cs="Arial"/>
          <w:sz w:val="24"/>
          <w:szCs w:val="24"/>
        </w:rPr>
        <w:t>2013</w:t>
      </w:r>
      <w:r w:rsidRPr="00AE1FA0">
        <w:rPr>
          <w:rFonts w:ascii="Arial" w:eastAsia="宋体" w:hAnsi="Arial" w:cs="Arial"/>
          <w:sz w:val="24"/>
          <w:szCs w:val="24"/>
        </w:rPr>
        <w:t xml:space="preserve">: ix) argued that “it has given scholars new opportunities to cross the boundaries separating history, anthropology, art, politics, literature, and economics”. Consequently, by incorporating the orientation of New Historicism, we would have more flexibility and freedom into the queries related politics, power, art, and history. In the case of organizational space, this orientation is particularly beneficial in the way that New Historicism has the potential to answer new questions rather than providing new answers to traditional ones. Contrary to traditional historicism, New Historicism positions literary analysis in the centre of analysis and attempts to answer new questions (Vesser, 1989).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By acknowledging this difference, it is plausible to suggest that New Historicism encourages new ways of thinking about history and shifts interest to wider areas. Vesser (1989) further argued that New Historicism criticized traditional historicism because it tends to adopt totalizing methods – Tillyard might read one speech of Shakespeare’s as exemplifying the views of every Elizabethan. This method assumes that there is a total or single underpinning that can explain various historical representations in a certain period. However, this is criticized as myopic, a view supported by Hohendahl (1992: 90) who summarized that New Historicism challenged the “underlying notion of subjectivity and totality”. Pieters (2000) said that </w:t>
      </w:r>
      <w:r w:rsidRPr="00AE1FA0">
        <w:rPr>
          <w:rFonts w:ascii="Arial" w:eastAsia="宋体" w:hAnsi="Arial" w:cs="Arial"/>
          <w:sz w:val="24"/>
          <w:szCs w:val="24"/>
        </w:rPr>
        <w:lastRenderedPageBreak/>
        <w:t xml:space="preserve">traditional historicist would reduce history into a single entity, ignoring divergent and dissonant voices. </w:t>
      </w:r>
      <w:proofErr w:type="gramStart"/>
      <w:r w:rsidRPr="00AE1FA0">
        <w:rPr>
          <w:rFonts w:ascii="Arial" w:eastAsia="宋体" w:hAnsi="Arial" w:cs="Arial"/>
          <w:sz w:val="24"/>
          <w:szCs w:val="24"/>
        </w:rPr>
        <w:t>In reality, historical</w:t>
      </w:r>
      <w:proofErr w:type="gramEnd"/>
      <w:r w:rsidRPr="00AE1FA0">
        <w:rPr>
          <w:rFonts w:ascii="Arial" w:eastAsia="宋体" w:hAnsi="Arial" w:cs="Arial"/>
          <w:sz w:val="24"/>
          <w:szCs w:val="24"/>
        </w:rPr>
        <w:t xml:space="preserve"> activities are messily shaped by cultural and social events and infinite possibilities of interpretations can emerge, which certainly cannot be reduced to and explained from a single viewpoint. Thus, another difference between traditional and New Historicism is that history is treated as the history of possibilities, in which single voices and interpretations are as valid as the collective views (Gallagher and Greenblatt, 2000). For instance, ‘Victorian’ emerged in this research and became a main theme of this thesis. This is not a deliberate decision made from my theoretical assumption of organizational space in history, instead, it emerged as a key word chosen and used by research participants when describing Founder’s Building in its historical context. In Chapter Five, I extrapolated the reason might be because ‘Victorian’ is a word bridging organizational space and history together and discuss in detail how ‘Victorian’ is used discursively. However, what this example reveals is the power of multiple voices encouraged by New Historicism and the potential of New Historicism conceptualizing history as social constructions.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widowControl/>
        <w:spacing w:after="160" w:line="360" w:lineRule="auto"/>
        <w:rPr>
          <w:rFonts w:ascii="Arial" w:hAnsi="Arial" w:cs="Arial"/>
          <w:kern w:val="0"/>
          <w:sz w:val="24"/>
          <w:szCs w:val="28"/>
        </w:rPr>
      </w:pPr>
      <w:r w:rsidRPr="00AE1FA0">
        <w:rPr>
          <w:rFonts w:ascii="Arial" w:eastAsia="宋体" w:hAnsi="Arial" w:cs="Arial"/>
          <w:sz w:val="24"/>
          <w:szCs w:val="24"/>
        </w:rPr>
        <w:t>If New Historicism acknowledges the subjectivity of language and experience in studying history, it is historicity that enables discovery of the intersection between past and present</w:t>
      </w:r>
      <w:r w:rsidRPr="00AE1FA0">
        <w:rPr>
          <w:rFonts w:ascii="Arial" w:hAnsi="Arial" w:cs="Arial"/>
          <w:kern w:val="0"/>
          <w:sz w:val="24"/>
          <w:szCs w:val="28"/>
        </w:rPr>
        <w:t xml:space="preserve">; and the history of the present is better illustrated by the concept of historicity. Historicity is defined as the process of people behaving under the constraints of social ideologies and making sense of the past. It is dynamic, connecting past, present and future without assuming histories as repositories of how events happened (Hirsch and Stewart, 2005: 262). </w:t>
      </w:r>
      <w:r w:rsidRPr="00AE1FA0">
        <w:rPr>
          <w:rFonts w:ascii="Arial" w:eastAsia="宋体" w:hAnsi="Arial" w:cs="Arial"/>
          <w:sz w:val="24"/>
          <w:szCs w:val="24"/>
        </w:rPr>
        <w:t xml:space="preserve">Historicity is a concept that emphasises on how the contexts evolve and influence the present status, which indicates its possibility in researching the way organizational space changes and evolves. Hernes (2000) stressed that historicity </w:t>
      </w:r>
      <w:proofErr w:type="gramStart"/>
      <w:r w:rsidRPr="00AE1FA0">
        <w:rPr>
          <w:rFonts w:ascii="Arial" w:eastAsia="宋体" w:hAnsi="Arial" w:cs="Arial"/>
          <w:sz w:val="24"/>
          <w:szCs w:val="24"/>
        </w:rPr>
        <w:t>is based on the assumption</w:t>
      </w:r>
      <w:proofErr w:type="gramEnd"/>
      <w:r w:rsidRPr="00AE1FA0">
        <w:rPr>
          <w:rFonts w:ascii="Arial" w:eastAsia="宋体" w:hAnsi="Arial" w:cs="Arial"/>
          <w:sz w:val="24"/>
          <w:szCs w:val="24"/>
        </w:rPr>
        <w:t xml:space="preserve"> that people, events and interactions create imprints and these imprints remain over time, which might have impact on the present. That is, the current organizational space embodies the histories of their history. By employing the concept of historicity, the significance of the histories of organizational space can be revealed. The most useful and relevant nature of historicity is that it concerns the ongoing production of pasts and presents, where histories are no longer treated as background or contexts. This belief has attempted to provide an alternative reading of history apart from historicism. What historicity reveals is the historical legacy of the social past, that is, how the </w:t>
      </w:r>
      <w:r w:rsidRPr="00AE1FA0">
        <w:rPr>
          <w:rFonts w:ascii="Arial" w:eastAsia="宋体" w:hAnsi="Arial" w:cs="Arial"/>
          <w:sz w:val="24"/>
          <w:szCs w:val="24"/>
        </w:rPr>
        <w:lastRenderedPageBreak/>
        <w:t>social past is inscribed in what people experience and how they make sense (Hirsch and Stewart, 2005).</w:t>
      </w:r>
    </w:p>
    <w:p w:rsidR="00AE1FA0" w:rsidRPr="00AE1FA0" w:rsidRDefault="00AE1FA0" w:rsidP="00AE1FA0">
      <w:pPr>
        <w:widowControl/>
        <w:spacing w:after="160" w:line="360" w:lineRule="auto"/>
        <w:rPr>
          <w:rFonts w:ascii="Arial" w:hAnsi="Arial" w:cs="Arial"/>
          <w:kern w:val="0"/>
          <w:sz w:val="24"/>
          <w:szCs w:val="28"/>
        </w:rPr>
      </w:pPr>
    </w:p>
    <w:p w:rsidR="00AE1FA0" w:rsidRPr="00AE1FA0" w:rsidRDefault="00AE1FA0" w:rsidP="00AE1FA0">
      <w:pPr>
        <w:widowControl/>
        <w:spacing w:after="160" w:line="360" w:lineRule="auto"/>
        <w:rPr>
          <w:rFonts w:ascii="Arial" w:hAnsi="Arial" w:cs="Arial"/>
          <w:kern w:val="0"/>
          <w:sz w:val="24"/>
          <w:szCs w:val="28"/>
        </w:rPr>
      </w:pPr>
      <w:proofErr w:type="gramStart"/>
      <w:r w:rsidRPr="00AE1FA0">
        <w:rPr>
          <w:rFonts w:ascii="Arial" w:hAnsi="Arial" w:cs="Arial"/>
          <w:kern w:val="0"/>
          <w:sz w:val="24"/>
          <w:szCs w:val="28"/>
        </w:rPr>
        <w:t>In essence, New</w:t>
      </w:r>
      <w:proofErr w:type="gramEnd"/>
      <w:r w:rsidRPr="00AE1FA0">
        <w:rPr>
          <w:rFonts w:ascii="Arial" w:hAnsi="Arial" w:cs="Arial"/>
          <w:kern w:val="0"/>
          <w:sz w:val="24"/>
          <w:szCs w:val="28"/>
        </w:rPr>
        <w:t xml:space="preserve"> Historicism and traditional historicism differ in the way that history is perceived. While traditional historicism slants towards the objectivity of history as an unproblematic given, New Historicism demonstrates the “malleability, contingency and contested nature of the category of literary” constantly (Colebrook, 1997: 2). It is this belief that motivates the analysis of ‘Victorian’ as a discursive analytical term. What is more, on the analytical level, if considering the relationship between the literary and history, New Historicism focuses on how the text or literary functions rather than their meanings. Colebrook (1997: 207) stressed additionally that the functions of text can be different in different situations, which positions the connections between researchers and the field as significant and brings the belief that “the history of New Historicism is the history of present…and active creation of own critical circumstances”.</w:t>
      </w:r>
    </w:p>
    <w:p w:rsidR="00AE1FA0" w:rsidRPr="00AE1FA0" w:rsidRDefault="00AE1FA0" w:rsidP="00AE1FA0">
      <w:pPr>
        <w:widowControl/>
        <w:spacing w:after="160" w:line="360" w:lineRule="auto"/>
        <w:rPr>
          <w:rFonts w:ascii="Arial" w:hAnsi="Arial" w:cs="Arial"/>
          <w:kern w:val="0"/>
          <w:sz w:val="24"/>
          <w:szCs w:val="28"/>
        </w:rPr>
      </w:pPr>
    </w:p>
    <w:p w:rsidR="00AE1FA0" w:rsidRPr="00AE1FA0" w:rsidRDefault="00AE1FA0" w:rsidP="00AE1FA0">
      <w:pPr>
        <w:widowControl/>
        <w:spacing w:after="160" w:line="360" w:lineRule="auto"/>
        <w:rPr>
          <w:rFonts w:ascii="Arial" w:hAnsi="Arial" w:cs="Arial"/>
          <w:kern w:val="0"/>
          <w:sz w:val="24"/>
          <w:szCs w:val="28"/>
        </w:rPr>
      </w:pPr>
      <w:r w:rsidRPr="00AE1FA0">
        <w:rPr>
          <w:rFonts w:ascii="Arial" w:hAnsi="Arial" w:cs="Arial"/>
          <w:kern w:val="0"/>
          <w:sz w:val="24"/>
          <w:szCs w:val="28"/>
        </w:rPr>
        <w:t xml:space="preserve">Newton (1988) argued that history is a tale of many voices and forms of power, and New Historicism enables the uncovering of these difference voices and stories. </w:t>
      </w:r>
      <w:r w:rsidRPr="00AE1FA0">
        <w:rPr>
          <w:rFonts w:ascii="Arial" w:eastAsia="宋体" w:hAnsi="Arial" w:cs="Arial"/>
          <w:sz w:val="24"/>
          <w:szCs w:val="24"/>
        </w:rPr>
        <w:t xml:space="preserve">In terms of how New Historicism can influence the study of organizational space, the discursive use of ‘Victorian’ exemplifies how a seemingly objective historical term can be used discursively when associated with understanding of organizational space. The reason I mention ‘Victorian’ here is because empirically it is one of the key findings, denoting how history works as passage of time rather than a dead past; and, of course, will apply to other terms in the same way. </w:t>
      </w:r>
      <w:r w:rsidRPr="00AE1FA0">
        <w:rPr>
          <w:rFonts w:ascii="Arial" w:hAnsi="Arial" w:cs="Arial"/>
          <w:kern w:val="0"/>
          <w:sz w:val="24"/>
          <w:szCs w:val="28"/>
        </w:rPr>
        <w:t>Discursive resources guide interpreting experiences and construction of conceptions, defined as a concept or an expression drawn from practices and explains actions (</w:t>
      </w:r>
      <w:r w:rsidRPr="00AE1FA0">
        <w:rPr>
          <w:rFonts w:ascii="Arial" w:eastAsia="宋体" w:hAnsi="Arial" w:cs="Arial"/>
          <w:sz w:val="24"/>
          <w:szCs w:val="24"/>
        </w:rPr>
        <w:t>Alvesson and Willmott, 2002; Fournier, 1999; Fairclough, 1992; Kuhn and Nelson, 2002</w:t>
      </w:r>
      <w:r w:rsidRPr="00AE1FA0">
        <w:rPr>
          <w:rFonts w:ascii="Arial" w:hAnsi="Arial" w:cs="Arial"/>
          <w:kern w:val="0"/>
          <w:sz w:val="24"/>
          <w:szCs w:val="28"/>
        </w:rPr>
        <w:t xml:space="preserve">). In this thesis, as will be discussed in Chapter Five, ‘Victorian’ is a discursive resource and is used to explain past or present actions by people. We will see in the empirical discussion that people conceptualize, perceive and make sense of ‘Victorian’ in different ways. The choice of ‘Victorian’ as the focus for analyses is because on one hand it is a key theme recurring in empirical material; on the other hand, the reason is that ‘Victorian’ is a </w:t>
      </w:r>
      <w:r w:rsidRPr="00AE1FA0">
        <w:rPr>
          <w:rFonts w:ascii="Arial" w:hAnsi="Arial" w:cs="Arial"/>
          <w:kern w:val="0"/>
          <w:sz w:val="24"/>
          <w:szCs w:val="28"/>
        </w:rPr>
        <w:lastRenderedPageBreak/>
        <w:t xml:space="preserve">term that bridges space and time. That is, when referring to ‘Victorian’, first thoughts emerge often include ‘Victorian’ era and ‘Victorian’ architecture. </w:t>
      </w:r>
    </w:p>
    <w:p w:rsidR="00AE1FA0" w:rsidRPr="00AE1FA0" w:rsidRDefault="00AE1FA0" w:rsidP="00AE1FA0">
      <w:pPr>
        <w:widowControl/>
        <w:spacing w:after="160" w:line="360" w:lineRule="auto"/>
        <w:rPr>
          <w:rFonts w:ascii="Arial" w:hAnsi="Arial" w:cs="Arial"/>
          <w:kern w:val="0"/>
          <w:sz w:val="24"/>
          <w:szCs w:val="28"/>
        </w:rPr>
      </w:pPr>
    </w:p>
    <w:p w:rsidR="00AE1FA0" w:rsidRPr="00AE1FA0" w:rsidRDefault="00AE1FA0" w:rsidP="00AE1FA0">
      <w:pPr>
        <w:widowControl/>
        <w:spacing w:after="160" w:line="360" w:lineRule="auto"/>
        <w:rPr>
          <w:rFonts w:ascii="Arial" w:hAnsi="Arial" w:cs="Arial"/>
          <w:kern w:val="0"/>
          <w:sz w:val="24"/>
          <w:szCs w:val="28"/>
        </w:rPr>
      </w:pPr>
      <w:r w:rsidRPr="00AE1FA0">
        <w:rPr>
          <w:rFonts w:ascii="Arial" w:hAnsi="Arial" w:cs="Arial"/>
          <w:kern w:val="0"/>
          <w:sz w:val="24"/>
          <w:szCs w:val="28"/>
        </w:rPr>
        <w:t xml:space="preserve">In Chapter Five I will discuss how ‘Victorian’ is understood, used, and experienced through analysis of the changing meanings of ‘Victorian’.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Previous sections have built on the understandings of embedding the historical approach into studying space and explained the potential capacity of historicity in studying organizational space through the example of ‘Victorian’ as a discursive term. It can be summarized that historical orientation can fulfil two requirements: one is to conceptualize process as an evolving process; the other is to incorporate historical insights. The final section of this chapter will look at the specific methods of studying space in historical perspective.</w:t>
      </w:r>
    </w:p>
    <w:p w:rsidR="00AE1FA0" w:rsidRPr="00AE1FA0" w:rsidRDefault="00AE1FA0" w:rsidP="00AE1FA0">
      <w:pPr>
        <w:spacing w:line="360" w:lineRule="auto"/>
        <w:rPr>
          <w:rFonts w:ascii="Arial" w:hAnsi="Arial" w:cs="Arial"/>
          <w:sz w:val="28"/>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33" w:name="_Toc534732363"/>
      <w:r w:rsidRPr="00AE1FA0">
        <w:rPr>
          <w:rFonts w:ascii="Arial" w:eastAsiaTheme="majorEastAsia" w:hAnsi="Arial" w:cs="Arial"/>
          <w:b/>
          <w:color w:val="000000" w:themeColor="text1"/>
          <w:kern w:val="0"/>
          <w:sz w:val="24"/>
          <w:szCs w:val="26"/>
        </w:rPr>
        <w:t>Space is a social product: Lefebvre’s work and contributions</w:t>
      </w:r>
      <w:bookmarkEnd w:id="33"/>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I suggest in the introductory chapter that Lefebvre’s theories and spatial framework is proposed as the theoretical framework for my research. Here I want to further demonstrate how and why. Based on previous investigations of organizational space and history, along with process theory, the theoretical framework needed is one that acknowledges the dynamism of social construction of space as well as organizations, simultaneously acknowledging the importance of history. Based on these, Henri Lefebvre’s theoretical framework-spatial triad is chosen for my thesis, yet it should be emphasized that Lefebvre is not the first and only one to approach organizational space as a social and historical product. However, my research benefits from adopting Lefebvre’s framework in several ways, which are being attentive to historical reflections and to uncover the historicity of space. This following section is organized in the following way: first of all I will introduce Lefebvre’s theories and framework, and empirical case studies based on his theories; then I will move on to their benefits as well as general critiques of them; finally I emphasize my interpretations of Lefebvre’s theories of space and the way I applied his theories and framework to this research </w:t>
      </w:r>
      <w:r w:rsidRPr="00AE1FA0">
        <w:rPr>
          <w:rFonts w:ascii="Arial" w:eastAsia="宋体" w:hAnsi="Arial" w:cs="Arial"/>
          <w:sz w:val="24"/>
          <w:szCs w:val="24"/>
        </w:rPr>
        <w:lastRenderedPageBreak/>
        <w:t xml:space="preserve">project specifically. </w:t>
      </w: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 </w:t>
      </w:r>
    </w:p>
    <w:p w:rsidR="00AE1FA0" w:rsidRPr="00AE1FA0" w:rsidRDefault="00AE1FA0" w:rsidP="00AE1FA0">
      <w:pPr>
        <w:spacing w:line="360" w:lineRule="auto"/>
        <w:rPr>
          <w:rFonts w:ascii="Arial" w:eastAsia="宋体" w:hAnsi="Arial" w:cs="Arial"/>
          <w:i/>
          <w:sz w:val="24"/>
          <w:szCs w:val="24"/>
        </w:rPr>
      </w:pPr>
      <w:r w:rsidRPr="00AE1FA0">
        <w:rPr>
          <w:rFonts w:ascii="Arial" w:eastAsia="宋体" w:hAnsi="Arial" w:cs="Arial"/>
          <w:sz w:val="24"/>
          <w:szCs w:val="24"/>
        </w:rPr>
        <w:t xml:space="preserve">To begin with, Lefebvre’s famous book, The </w:t>
      </w:r>
      <w:r w:rsidRPr="00AE1FA0">
        <w:rPr>
          <w:rFonts w:ascii="Arial" w:eastAsia="宋体" w:hAnsi="Arial" w:cs="Arial"/>
          <w:i/>
          <w:sz w:val="24"/>
          <w:szCs w:val="24"/>
        </w:rPr>
        <w:t xml:space="preserve">Production of Space, </w:t>
      </w:r>
      <w:r w:rsidRPr="00AE1FA0">
        <w:rPr>
          <w:rFonts w:ascii="Arial" w:eastAsia="宋体" w:hAnsi="Arial" w:cs="Arial"/>
          <w:sz w:val="24"/>
          <w:szCs w:val="24"/>
        </w:rPr>
        <w:t>signals the rise of spatial turn, and many empirical works based on Lefebvrian theories were subsequently carried out. In his book, Lefebvre revolutionized the definition of space, which changed interest from space itself to its construction process. The fundamental assumption of Lefebvrian work is that “space is a social product” (Lefebvre, 1991). With this assumption, Lefebvrian theories shift the spatial study from “things in space” to the “actual production of space” (Merrifield, 2000: 172). Lefebvre’s work is significant in borrowing Marxist conception of production. Where Marx’s analyses of space differ from others is the materialization of power relations. For instance, Taylor and Spicer (2007) summarized how newly formulated space in the mid-19</w:t>
      </w:r>
      <w:r w:rsidRPr="00AE1FA0">
        <w:rPr>
          <w:rFonts w:ascii="Arial" w:eastAsia="宋体" w:hAnsi="Arial" w:cs="Arial"/>
          <w:sz w:val="24"/>
          <w:szCs w:val="24"/>
          <w:vertAlign w:val="superscript"/>
        </w:rPr>
        <w:t>th</w:t>
      </w:r>
      <w:r w:rsidRPr="00AE1FA0">
        <w:rPr>
          <w:rFonts w:ascii="Arial" w:eastAsia="宋体" w:hAnsi="Arial" w:cs="Arial"/>
          <w:sz w:val="24"/>
          <w:szCs w:val="24"/>
        </w:rPr>
        <w:t xml:space="preserve"> century in the United Kingdom, factories were theorized by Marx as spaces for surveillance and control. Thus, Marxian perspective of space is more inclined to the ‘space as materialization of social relations’, as discussed in the previous section, which suggests it is still conceptualizing space as a separable dimension from organizations and the wider social world. Lefebvre’s theorization adopted Marxian theory of materialization of social relations but re-emphasized the importance of lived experience and time. Gottdiener (1993: 130) summarized that “space was both a material product of social relations (the concrete) and a manifestation of relations, a relation itself (the abstract)”.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color w:val="FF0000"/>
          <w:sz w:val="24"/>
          <w:szCs w:val="24"/>
        </w:rPr>
      </w:pPr>
      <w:r w:rsidRPr="00AE1FA0">
        <w:rPr>
          <w:rFonts w:ascii="Arial" w:eastAsia="宋体" w:hAnsi="Arial" w:cs="Arial"/>
          <w:sz w:val="24"/>
          <w:szCs w:val="24"/>
        </w:rPr>
        <w:t xml:space="preserve">Hence both the concrete physicality and the abstract social constructions can be uncovered, based on Lefebvre’s theories. His work is attractive because he integrates various types of spaces into a comprehensive theoretical framework. Consequently, his unitary theory is potential to delve into the inner dynamics beyond the observable appearance (Prigge, 2008). That is, Lefebvre’s framework of space is helpful to integrate multiple relatively abstract concepts in social science, such as gender and power.  Perhaps just as Pedersen (2006: 184) endorsed, “the conceptualization of the production of space is driven by ambition to relate the abstract theory of power to concrete problematization of the mundane”. If adopting a Lefebvrian approach for organizational space, politics is perpetuated. Lefebvrian approach to space has the benefits of incorporating historical insights in spatial analysis. </w:t>
      </w:r>
      <w:proofErr w:type="gramStart"/>
      <w:r w:rsidRPr="00AE1FA0">
        <w:rPr>
          <w:rFonts w:ascii="Arial" w:eastAsia="宋体" w:hAnsi="Arial" w:cs="Arial"/>
          <w:i/>
          <w:sz w:val="24"/>
          <w:szCs w:val="24"/>
        </w:rPr>
        <w:t>Production of Space</w:t>
      </w:r>
      <w:r w:rsidRPr="00AE1FA0">
        <w:rPr>
          <w:rFonts w:ascii="Arial" w:eastAsia="宋体" w:hAnsi="Arial" w:cs="Arial"/>
          <w:sz w:val="24"/>
          <w:szCs w:val="24"/>
        </w:rPr>
        <w:t>,</w:t>
      </w:r>
      <w:proofErr w:type="gramEnd"/>
      <w:r w:rsidRPr="00AE1FA0">
        <w:rPr>
          <w:rFonts w:ascii="Arial" w:eastAsia="宋体" w:hAnsi="Arial" w:cs="Arial"/>
          <w:sz w:val="24"/>
          <w:szCs w:val="24"/>
        </w:rPr>
        <w:t xml:space="preserve"> is itself an historical, philosophical, semiotic and Marxist work (Gottdiener, 1993).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With the assumption that space is constantly shaped and moulded in history, new answers to new questions gradually emerged with the attention drawn to the historical perspective of space.  There has been some empirical research founded on Lefebvre’s theorization of space, for example, Stewart (1995) said that a more thorough understanding of politics in space is imperative. He perceived space as analogous to knowledge in that power is dispersed via space and legitimized by its location within space. This is because space is implicit in the development of any strategy or decision. Like Foucault’s understanding of power, Lefebvre also emphasized the importance of the human body in power. Lefebvre (1991) explored the history of human bodies to understand the nature of control. He argued that the abstract space is the logic of modern power, which implied “tacit agreement and connotative discourses”. These discourses and agreements would generate consensus and conventions about people’s behaviour. For example, how you should behave in a café or in a library differs dramatically and these divergent conventions have already been embedded in their space. However, from Foucault’s famous quote “where there is power, there is resistance” (Foucault, 1978</w:t>
      </w:r>
      <w:r w:rsidRPr="00AE1FA0">
        <w:rPr>
          <w:rFonts w:ascii="Arial" w:hAnsi="Arial" w:cs="Arial"/>
          <w:sz w:val="24"/>
          <w:szCs w:val="24"/>
        </w:rPr>
        <w:t>: 95-96</w:t>
      </w:r>
      <w:r w:rsidRPr="00AE1FA0">
        <w:rPr>
          <w:rFonts w:ascii="Arial" w:eastAsia="宋体" w:hAnsi="Arial" w:cs="Arial"/>
          <w:sz w:val="24"/>
          <w:szCs w:val="24"/>
        </w:rPr>
        <w:t xml:space="preserve">), the embedded discourses or consensus would encounter resistance simultaneously. Stewart (1995) argued that the ability to produce space rather than simply conceiving space enables the resistance. This understanding was based on Lefebvre’s theorization of space as a product of the human body, perception and conception, instead of as a physical imposition upon the body.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Moreover, Lefebvre built his work around the inner dynamics of space by tracing how space is produced. </w:t>
      </w:r>
      <w:proofErr w:type="gramStart"/>
      <w:r w:rsidRPr="00AE1FA0">
        <w:rPr>
          <w:rFonts w:ascii="Arial" w:eastAsia="宋体" w:hAnsi="Arial" w:cs="Arial"/>
          <w:sz w:val="24"/>
          <w:szCs w:val="24"/>
        </w:rPr>
        <w:t>For the reason that</w:t>
      </w:r>
      <w:proofErr w:type="gramEnd"/>
      <w:r w:rsidRPr="00AE1FA0">
        <w:rPr>
          <w:rFonts w:ascii="Arial" w:eastAsia="宋体" w:hAnsi="Arial" w:cs="Arial"/>
          <w:sz w:val="24"/>
          <w:szCs w:val="24"/>
        </w:rPr>
        <w:t xml:space="preserve"> the space is viewed as a dynamic entity, the complexity of Lefebvre’s theories aims to bypass reductionism (Gottdiener, 1993). This critique on reductionism is a representation of the spatial turn in organization studies. The renaissance of Lefebvre’s theories also signals the emergence of spatial turn (Kipfer </w:t>
      </w:r>
      <w:r w:rsidRPr="00AE1FA0">
        <w:rPr>
          <w:rFonts w:ascii="Arial" w:eastAsia="宋体" w:hAnsi="Arial" w:cs="Arial"/>
          <w:i/>
          <w:sz w:val="24"/>
          <w:szCs w:val="24"/>
        </w:rPr>
        <w:t>et al.</w:t>
      </w:r>
      <w:r w:rsidRPr="00AE1FA0">
        <w:rPr>
          <w:rFonts w:ascii="Arial" w:eastAsia="宋体" w:hAnsi="Arial" w:cs="Arial"/>
          <w:sz w:val="24"/>
          <w:szCs w:val="24"/>
        </w:rPr>
        <w:t>, 2008)</w:t>
      </w:r>
      <w:r w:rsidRPr="00AE1FA0">
        <w:rPr>
          <w:rFonts w:ascii="Arial" w:hAnsi="Arial" w:cs="Arial"/>
          <w:sz w:val="24"/>
          <w:szCs w:val="24"/>
        </w:rPr>
        <w:t>.</w:t>
      </w:r>
      <w:r w:rsidRPr="00AE1FA0">
        <w:rPr>
          <w:rFonts w:ascii="Arial" w:eastAsia="宋体" w:hAnsi="Arial" w:cs="Arial"/>
          <w:sz w:val="24"/>
          <w:szCs w:val="24"/>
        </w:rPr>
        <w:t xml:space="preserve"> One potential explanation for this trend might be Lefebvre’s work, especially </w:t>
      </w:r>
      <w:r w:rsidRPr="00AE1FA0">
        <w:rPr>
          <w:rFonts w:ascii="Arial" w:eastAsia="宋体" w:hAnsi="Arial" w:cs="Arial"/>
          <w:i/>
          <w:sz w:val="24"/>
          <w:szCs w:val="24"/>
        </w:rPr>
        <w:t>The Production of Space,</w:t>
      </w:r>
      <w:r w:rsidRPr="00AE1FA0">
        <w:rPr>
          <w:rFonts w:ascii="Arial" w:eastAsia="宋体" w:hAnsi="Arial" w:cs="Arial"/>
          <w:sz w:val="24"/>
          <w:szCs w:val="24"/>
        </w:rPr>
        <w:t xml:space="preserve"> which systematically integrates different categories of space in a unitary framework, enabling the analysis of organizational space at different levels. Like other postmodern understandings, Lefebvre’s work challenges the idea that space is constituted as a void with various contents, instead, “social space is not a thing among other things…rather, it subsumes things produced. </w:t>
      </w:r>
      <w:r w:rsidRPr="00AE1FA0">
        <w:rPr>
          <w:rFonts w:ascii="Arial" w:eastAsia="宋体" w:hAnsi="Arial" w:cs="Arial"/>
          <w:sz w:val="24"/>
          <w:szCs w:val="24"/>
        </w:rPr>
        <w:lastRenderedPageBreak/>
        <w:t xml:space="preserve">It is the outcome of past actions” (Lefebvre, 1991: 73).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This quote represents the core of Lefebvre’s work in which the integrity of the framework is essential and signifies the historical imprints. Moreover, this approach also accords with the recursive view of organizational space, where the emphasis is moved to the process of how it emerges, evolves and transforms. Hernes, Bakken and Olsen (2006) argued that organizational space exists through the production and reproduction of employing the recursive view of organizations. Apart from the emphasis on political implications, Lefebvre’s work on space is more sophisticated if viewed as an overarching orientation. To start with, Lefebvre approached his spatial analysis from life-long projects of urbanization and how space evolved (Merrifield, 1993).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A case in point, </w:t>
      </w:r>
      <w:hyperlink r:id="rId11" w:history="1">
        <w:r w:rsidRPr="00AE1FA0">
          <w:rPr>
            <w:rFonts w:ascii="Arial" w:eastAsia="宋体" w:hAnsi="Arial" w:cs="Arial"/>
            <w:kern w:val="0"/>
            <w:sz w:val="24"/>
            <w:szCs w:val="24"/>
          </w:rPr>
          <w:t>Löw</w:t>
        </w:r>
      </w:hyperlink>
      <w:r w:rsidRPr="00AE1FA0">
        <w:rPr>
          <w:rFonts w:ascii="Arial" w:eastAsia="宋体" w:hAnsi="Arial" w:cs="Arial"/>
          <w:sz w:val="24"/>
          <w:szCs w:val="24"/>
        </w:rPr>
        <w:t xml:space="preserve"> (2006: 124) discovered that studying organizational space as a long-term project is a powerful tool to reveal “material and representational injustice”. As the shift towards a process view of organizational space, it is essential that the attention to “objects inside a space” should be changed in parallel to “actual production of space” (Merrifield, 1993: 523). This is because the production of space and the reproduction and transformation of society are inextricably connected, where participants are both objects and subjects whose thoughts and actions are involved in the production and evolution of organizational space (Pred, 1985). Consequently, the emphasis on studying organizational space moves to the evolution of production of space, where inhabitants’ interactions are also sources. In fact, Lefebvre synthesises his theories through the historical analysis of how spatial experience changed over time (Gieseking </w:t>
      </w:r>
      <w:r w:rsidRPr="00AE1FA0">
        <w:rPr>
          <w:rFonts w:ascii="Arial" w:eastAsia="宋体" w:hAnsi="Arial" w:cs="Arial"/>
          <w:i/>
          <w:sz w:val="24"/>
          <w:szCs w:val="24"/>
        </w:rPr>
        <w:t>et al.</w:t>
      </w:r>
      <w:r w:rsidRPr="00AE1FA0">
        <w:rPr>
          <w:rFonts w:ascii="Arial" w:eastAsia="宋体" w:hAnsi="Arial" w:cs="Arial"/>
          <w:sz w:val="24"/>
          <w:szCs w:val="24"/>
        </w:rPr>
        <w:t xml:space="preserve">, 2014). Although the social conditions underpinning the changes are the focus, it also </w:t>
      </w:r>
      <w:proofErr w:type="gramStart"/>
      <w:r w:rsidRPr="00AE1FA0">
        <w:rPr>
          <w:rFonts w:ascii="Arial" w:eastAsia="宋体" w:hAnsi="Arial" w:cs="Arial"/>
          <w:sz w:val="24"/>
          <w:szCs w:val="24"/>
        </w:rPr>
        <w:t>can be seen as</w:t>
      </w:r>
      <w:proofErr w:type="gramEnd"/>
      <w:r w:rsidRPr="00AE1FA0">
        <w:rPr>
          <w:rFonts w:ascii="Arial" w:eastAsia="宋体" w:hAnsi="Arial" w:cs="Arial"/>
          <w:sz w:val="24"/>
          <w:szCs w:val="24"/>
        </w:rPr>
        <w:t xml:space="preserve"> historical research trying to uncover changes about how we experience space and time.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Additionally, while organizational space shapes actions and interactions, it is also reshaped by actions and interactions; in fact, once a space is produced, it can only be reproduced by actions and interactions. This is proposed by Lefebvre (1991: 85) as “space is at once a precondition and a result of social superstructures”. Organizational space does not exist independently in a society but is produced (Kipfer et al, 2008). This supposition indicates that understandings about a </w:t>
      </w:r>
      <w:proofErr w:type="gramStart"/>
      <w:r w:rsidRPr="00AE1FA0">
        <w:rPr>
          <w:rFonts w:ascii="Arial" w:eastAsia="宋体" w:hAnsi="Arial" w:cs="Arial"/>
          <w:sz w:val="24"/>
          <w:szCs w:val="24"/>
        </w:rPr>
        <w:t xml:space="preserve">particular </w:t>
      </w:r>
      <w:r w:rsidRPr="00AE1FA0">
        <w:rPr>
          <w:rFonts w:ascii="Arial" w:eastAsia="宋体" w:hAnsi="Arial" w:cs="Arial"/>
          <w:sz w:val="24"/>
          <w:szCs w:val="24"/>
        </w:rPr>
        <w:lastRenderedPageBreak/>
        <w:t>space</w:t>
      </w:r>
      <w:proofErr w:type="gramEnd"/>
      <w:r w:rsidRPr="00AE1FA0">
        <w:rPr>
          <w:rFonts w:ascii="Arial" w:eastAsia="宋体" w:hAnsi="Arial" w:cs="Arial"/>
          <w:sz w:val="24"/>
          <w:szCs w:val="24"/>
        </w:rPr>
        <w:t xml:space="preserve"> are bounded by social reality and are only knowable in a specific social group or society. Under this recursive view and Lefebvrian approach, the </w:t>
      </w:r>
      <w:r w:rsidRPr="00AE1FA0">
        <w:rPr>
          <w:rFonts w:ascii="Arial" w:hAnsi="Arial" w:cs="Arial"/>
          <w:sz w:val="24"/>
          <w:szCs w:val="24"/>
        </w:rPr>
        <w:t xml:space="preserve">primary </w:t>
      </w:r>
      <w:r w:rsidRPr="00AE1FA0">
        <w:rPr>
          <w:rFonts w:ascii="Arial" w:eastAsia="宋体" w:hAnsi="Arial" w:cs="Arial"/>
          <w:sz w:val="24"/>
          <w:szCs w:val="24"/>
        </w:rPr>
        <w:t xml:space="preserve">objectives of studying organizational space becomes to explore how it has been (re)produced and whether any changes emerge during the production/reproduction process. This is achievable because it provides a chance to engage with ‘organizations and the processes of organizations’ in a way that is more intuitive than the ordinary approaches emphasising only one singular aspect (Watkins, 2005). </w:t>
      </w:r>
      <w:bookmarkStart w:id="34" w:name="_Hlk535119151"/>
      <w:r w:rsidRPr="00AE1FA0">
        <w:rPr>
          <w:rFonts w:ascii="Arial" w:eastAsia="宋体" w:hAnsi="Arial" w:cs="Arial"/>
          <w:sz w:val="24"/>
          <w:szCs w:val="24"/>
        </w:rPr>
        <w:t>At the same time, once space is produced, we are dealing with history.</w:t>
      </w:r>
      <w:bookmarkEnd w:id="34"/>
      <w:r w:rsidRPr="00AE1FA0">
        <w:rPr>
          <w:rFonts w:ascii="Arial" w:eastAsia="宋体" w:hAnsi="Arial" w:cs="Arial"/>
          <w:sz w:val="24"/>
          <w:szCs w:val="24"/>
        </w:rPr>
        <w:t xml:space="preserve"> According to Lefebvre (1991), the reason is that space and time are social constructions constructed by multiple actors in specific time period. Hence it is questionable to assume space and time as pure, </w:t>
      </w:r>
      <w:r w:rsidRPr="00AE1FA0">
        <w:rPr>
          <w:rFonts w:ascii="Arial" w:eastAsia="宋体" w:hAnsi="Arial" w:cs="Arial"/>
          <w:i/>
          <w:sz w:val="24"/>
          <w:szCs w:val="24"/>
        </w:rPr>
        <w:t>a priori</w:t>
      </w:r>
      <w:r w:rsidRPr="00AE1FA0">
        <w:rPr>
          <w:rFonts w:ascii="Arial" w:eastAsia="宋体" w:hAnsi="Arial" w:cs="Arial"/>
          <w:sz w:val="24"/>
          <w:szCs w:val="24"/>
        </w:rPr>
        <w:t xml:space="preserve"> concepts (Schmid, 2008).</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However, it should be clarified that, apart from this critical reading, there are other readings that reflect different assumptions of space and society. Specifically, as relevant in the Lefebvrian tradition, Marxist</w:t>
      </w:r>
      <w:r w:rsidRPr="00AE1FA0">
        <w:rPr>
          <w:rFonts w:ascii="Arial" w:eastAsia="宋体" w:hAnsi="Arial" w:cs="Arial"/>
          <w:sz w:val="24"/>
          <w:szCs w:val="24"/>
          <w:vertAlign w:val="superscript"/>
        </w:rPr>
        <w:t xml:space="preserve"> </w:t>
      </w:r>
      <w:r w:rsidRPr="00AE1FA0">
        <w:rPr>
          <w:rFonts w:ascii="Arial" w:eastAsia="宋体" w:hAnsi="Arial" w:cs="Arial"/>
          <w:sz w:val="24"/>
          <w:szCs w:val="24"/>
        </w:rPr>
        <w:t xml:space="preserve">readings and interpretations were popular and appeared to be dominant when Lefebvre and his theories first introduced organisation studies (Gottdiener, 1993). Before Lefebvre’s work was introduced to English-speaking academics, he </w:t>
      </w:r>
      <w:proofErr w:type="gramStart"/>
      <w:r w:rsidRPr="00AE1FA0">
        <w:rPr>
          <w:rFonts w:ascii="Arial" w:eastAsia="宋体" w:hAnsi="Arial" w:cs="Arial"/>
          <w:sz w:val="24"/>
          <w:szCs w:val="24"/>
        </w:rPr>
        <w:t>was seen as</w:t>
      </w:r>
      <w:proofErr w:type="gramEnd"/>
      <w:r w:rsidRPr="00AE1FA0">
        <w:rPr>
          <w:rFonts w:ascii="Arial" w:eastAsia="宋体" w:hAnsi="Arial" w:cs="Arial"/>
          <w:sz w:val="24"/>
          <w:szCs w:val="24"/>
        </w:rPr>
        <w:t xml:space="preserve"> a pioneer Marxist in urbanisation in France. It was since </w:t>
      </w:r>
      <w:r w:rsidRPr="00AE1FA0">
        <w:rPr>
          <w:rFonts w:ascii="Arial" w:eastAsia="宋体" w:hAnsi="Arial" w:cs="Arial"/>
          <w:i/>
          <w:sz w:val="24"/>
          <w:szCs w:val="24"/>
        </w:rPr>
        <w:t>The Production of Space</w:t>
      </w:r>
      <w:r w:rsidRPr="00AE1FA0">
        <w:rPr>
          <w:rFonts w:ascii="Arial" w:eastAsia="宋体" w:hAnsi="Arial" w:cs="Arial"/>
          <w:sz w:val="24"/>
          <w:szCs w:val="24"/>
        </w:rPr>
        <w:t xml:space="preserve"> was translated and published that it attracted the attention of not only geographers but also social scientists in English-speaking countries. Yet, in the early stage, most of his work was interpreted widely in the Marxist tradition; that is, urbanisation and power in the city (Goonewardena et al., 2008). David Harvey and Edward Soja are two pioneers who applied Lefebvrie’s work to the organisational context with a Marxist focus. In his widely-cited paper, Harvey (1990) introduced the concept of space and time as social constructions, in which he referred to Lefebvre’s work (1974) and argued that constructions and reconstructions of space are the primary means for the survival of capitalism in the twentieth century. It is therefore clear that his research is Marxism-oriented inherently and, indeed, in this paper, Harvey (1990) explores the changing cultural and political dimensions of space through adopting a historical approach </w:t>
      </w:r>
      <w:proofErr w:type="gramStart"/>
      <w:r w:rsidRPr="00AE1FA0">
        <w:rPr>
          <w:rFonts w:ascii="Arial" w:eastAsia="宋体" w:hAnsi="Arial" w:cs="Arial"/>
          <w:sz w:val="24"/>
          <w:szCs w:val="24"/>
        </w:rPr>
        <w:t>similar to</w:t>
      </w:r>
      <w:proofErr w:type="gramEnd"/>
      <w:r w:rsidRPr="00AE1FA0">
        <w:rPr>
          <w:rFonts w:ascii="Arial" w:eastAsia="宋体" w:hAnsi="Arial" w:cs="Arial"/>
          <w:sz w:val="24"/>
          <w:szCs w:val="24"/>
        </w:rPr>
        <w:t xml:space="preserve"> the Lefebvrian approach. Under this trend, the readings of the Lefebvrian theories emphasise political and power relations as well social change. Taking the example of aesthetic study, Harvey (1990) was primarily interested in how different forms of space facilitate the processes of social changes. Here, the key </w:t>
      </w:r>
      <w:r w:rsidRPr="00AE1FA0">
        <w:rPr>
          <w:rFonts w:ascii="Arial" w:eastAsia="宋体" w:hAnsi="Arial" w:cs="Arial"/>
          <w:sz w:val="24"/>
          <w:szCs w:val="24"/>
        </w:rPr>
        <w:lastRenderedPageBreak/>
        <w:t xml:space="preserve">phrase is ‘social change’, and the concept of space becomes a site in which social change is enacted or, put more simply, where social change becomes more observable. Following this tradition, many empirical studies have emerged, aiming to explore the political commitment of a specific space and what kind of space is promoted by specific social groups. Examples include urbanisation, the transformation of landscape in cities, and radical changes in space for society.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Edward Soja adopted a different angle in applying Lefebvre’s theories, In the 1980s, he began to engage critically with wider social theories when applying Lefebvrian theories. He shifted his focus from the urban political economy to everyday life and lived space. His influential book, </w:t>
      </w:r>
      <w:r w:rsidRPr="00AE1FA0">
        <w:rPr>
          <w:rFonts w:ascii="Arial" w:eastAsia="宋体" w:hAnsi="Arial" w:cs="Arial"/>
          <w:i/>
          <w:sz w:val="24"/>
          <w:szCs w:val="24"/>
        </w:rPr>
        <w:t>Postmodern Geographies</w:t>
      </w:r>
      <w:r w:rsidRPr="00AE1FA0">
        <w:rPr>
          <w:rFonts w:ascii="Arial" w:eastAsia="宋体" w:hAnsi="Arial" w:cs="Arial"/>
          <w:sz w:val="24"/>
          <w:szCs w:val="24"/>
        </w:rPr>
        <w:t xml:space="preserve">, summarised how his reading of the Lefebvrian theories differed from that of others. Specifically, ‘he readily acknowledged Lefebvre’s continental philosophical heritage and political pedigree, noting a flexible, open, cautionary, eclectic Marxism influenced by Hegel’ (Goonewardena et al., 2008: 3). What this implied is a dramatic shift in research interest from a more overarching process to individualised experience, so many empirical researches on daily experience and encounters with space have emerged, apart from urbanisation. This was achieved through reasserting a spatialised ontology in space study, and Soja wrote at length, reflecting on the different ontologies of spatiality and tracing back how the Western philosophies intrinsically separated time from space (Soja, 1989). One of the implications of Soja’s work for this thesis is that I approached the conceptualisation of space by following a similar tradition. In section 2.1., I discussed how the accepted conceptualisations of space evolve and change at different </w:t>
      </w:r>
      <w:proofErr w:type="gramStart"/>
      <w:r w:rsidRPr="00AE1FA0">
        <w:rPr>
          <w:rFonts w:ascii="Arial" w:eastAsia="宋体" w:hAnsi="Arial" w:cs="Arial"/>
          <w:sz w:val="24"/>
          <w:szCs w:val="24"/>
        </w:rPr>
        <w:t>times, and</w:t>
      </w:r>
      <w:proofErr w:type="gramEnd"/>
      <w:r w:rsidRPr="00AE1FA0">
        <w:rPr>
          <w:rFonts w:ascii="Arial" w:eastAsia="宋体" w:hAnsi="Arial" w:cs="Arial"/>
          <w:sz w:val="24"/>
          <w:szCs w:val="24"/>
        </w:rPr>
        <w:t xml:space="preserve"> categorised three types of conceptualisations based on the fundamental ontologies of space. Therefore, one of the contributions of Soja’s work on Lefebvre is that space is no longer conceptualised by considering Marxist ontology, which </w:t>
      </w:r>
      <w:proofErr w:type="gramStart"/>
      <w:r w:rsidRPr="00AE1FA0">
        <w:rPr>
          <w:rFonts w:ascii="Arial" w:eastAsia="宋体" w:hAnsi="Arial" w:cs="Arial"/>
          <w:sz w:val="24"/>
          <w:szCs w:val="24"/>
        </w:rPr>
        <w:t>opens up</w:t>
      </w:r>
      <w:proofErr w:type="gramEnd"/>
      <w:r w:rsidRPr="00AE1FA0">
        <w:rPr>
          <w:rFonts w:ascii="Arial" w:eastAsia="宋体" w:hAnsi="Arial" w:cs="Arial"/>
          <w:sz w:val="24"/>
          <w:szCs w:val="24"/>
        </w:rPr>
        <w:t xml:space="preserve"> an opportunity for researchers in different philosophical positions to apply Lefebvrian theories.</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This philosophical shift indeed leads to another trend in reading Lefebvrian theories, which was identified by Goonewardena et al. (2008) as the third constellation. The pioneers in this field are Kristin Ross and Andy Merrifield. Certain commonalities are shared by all. Paying attention to Lefebvre’s overall orientation and historical approach is the first similarity that they share; the second commonality is that they all </w:t>
      </w:r>
      <w:r w:rsidRPr="00AE1FA0">
        <w:rPr>
          <w:rFonts w:ascii="Arial" w:eastAsia="宋体" w:hAnsi="Arial" w:cs="Arial"/>
          <w:sz w:val="24"/>
          <w:szCs w:val="24"/>
        </w:rPr>
        <w:lastRenderedPageBreak/>
        <w:t xml:space="preserve">try to avoid dogmatic readings of Lefebvre (Goonewardena et al. (2008). For instance, Ross (1998) introduced the feminist perspective into space study, which is missing from Lefebvre’s original works. Feminist research therefore is ‘fused organically’ with urban and spatial studies and enables more critical investigation (Goonewardena et al., 2008: 12). This is further illustrated and confirmed by Merrifield’s (1996) work, in which he used public space as the research object and analysed how different groups might be excluded from public space and how public space is designed for specific groups. Here, the excluded groups can be women, disabled people, or homeless people. What this </w:t>
      </w:r>
      <w:proofErr w:type="gramStart"/>
      <w:r w:rsidRPr="00AE1FA0">
        <w:rPr>
          <w:rFonts w:ascii="Arial" w:eastAsia="宋体" w:hAnsi="Arial" w:cs="Arial"/>
          <w:sz w:val="24"/>
          <w:szCs w:val="24"/>
        </w:rPr>
        <w:t>opens up</w:t>
      </w:r>
      <w:proofErr w:type="gramEnd"/>
      <w:r w:rsidRPr="00AE1FA0">
        <w:rPr>
          <w:rFonts w:ascii="Arial" w:eastAsia="宋体" w:hAnsi="Arial" w:cs="Arial"/>
          <w:sz w:val="24"/>
          <w:szCs w:val="24"/>
        </w:rPr>
        <w:t xml:space="preserve"> is the ability to think about experience in space. Thus, occupants are no longer seen as passive recipients who all experience space in the same way. On the contrary, </w:t>
      </w:r>
      <w:proofErr w:type="gramStart"/>
      <w:r w:rsidRPr="00AE1FA0">
        <w:rPr>
          <w:rFonts w:ascii="Arial" w:eastAsia="宋体" w:hAnsi="Arial" w:cs="Arial"/>
          <w:sz w:val="24"/>
          <w:szCs w:val="24"/>
        </w:rPr>
        <w:t>each individual’s</w:t>
      </w:r>
      <w:proofErr w:type="gramEnd"/>
      <w:r w:rsidRPr="00AE1FA0">
        <w:rPr>
          <w:rFonts w:ascii="Arial" w:eastAsia="宋体" w:hAnsi="Arial" w:cs="Arial"/>
          <w:sz w:val="24"/>
          <w:szCs w:val="24"/>
        </w:rPr>
        <w:t xml:space="preserve"> experience with space is unique and private in nature. The holistic view of experience in space is seen as inappropriate.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Another important contribution that they strive to achieve is to treat Lefebvre’s theories as a departure (Goonewardena et al., 2008). This suggests a different pathway when applying Lefebvrian theories and what becomes essential is to incorporate different theories into the contemporary contexts beyond Lefebvre’s theories. In this vein, my thesis is also part of this third constellation of reading Lefebvre, in which the aim is not only about what Lefebvre said and did, but more about how I interpret and incorporate Lefebvrian theories into different theoretical frameworks and thoughts. Specifically, I emphasise historical orientation as well as process theory. This specific interpretive angle is probable because of the recognition of this trend, and it is through this third movement that it becomes possible to reach beyond Lefebvre and his philosophical position. What becomes more relevant to this thesis is that it makes it possible for me to re-conceptualise key concepts such as space, temporality, history etc. Merrifield (1993) worked on reconciling different assumptions of Lefebvrian theories through engaging with the ontological nature of space. In this paper, he suggested that the reading of Lefebvre’s theories, especially his triad, should be approached as capturing the moments of space, i.e. ‘phenomenological, perceptual and material’ (Merrifield, 1993: 527). Therefore, it is worth noticing that Lefebvre’s theories or triad are no longer seen as a unitary framework, but more like a philosophical orientation of how space should be conceptualised and approached.</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lastRenderedPageBreak/>
        <w:t xml:space="preserve">It should be noted that different researchers interpret Lefebvrian theories, including his triad, in varying ways, which indeed suggests the dynamic of his theories on a practical level. As discussed in section 2.2, I interpret Dale and Burrell’s (2008) reading of organisational space as being more inclined to the materialisation of social and political power. This can be seen more clearly in their interpretations of Lefebvre’s triad. For instance, they defined lived space as ‘the social creation of space so that signs, images and symbols are made material’ (Dale and Burrell, 2008: 10) so, again, the materialisation of power is positioned in the essence of the analysis; for instance, they used examples like furniture as symbols of power and status, and family photographs in offices as resistance to power. </w:t>
      </w:r>
      <w:proofErr w:type="gramStart"/>
      <w:r w:rsidRPr="00AE1FA0">
        <w:rPr>
          <w:rFonts w:ascii="Arial" w:eastAsia="宋体" w:hAnsi="Arial" w:cs="Arial"/>
          <w:sz w:val="24"/>
          <w:szCs w:val="24"/>
        </w:rPr>
        <w:t>All of</w:t>
      </w:r>
      <w:proofErr w:type="gramEnd"/>
      <w:r w:rsidRPr="00AE1FA0">
        <w:rPr>
          <w:rFonts w:ascii="Arial" w:eastAsia="宋体" w:hAnsi="Arial" w:cs="Arial"/>
          <w:sz w:val="24"/>
          <w:szCs w:val="24"/>
        </w:rPr>
        <w:t xml:space="preserve"> these examples indicate their readings of space, especially the Lefebvrian analyses of space that are largely dominated by this material and power conceptualisation. Conceived space, also, is defined and interpreted in the same way, concentrated on power relations. In fact, Dale and Burrell (2008) characterised conceived as organised space. As noted in the first section of this chapter, conceptualising space as the materialisation of power relations only represents one possible option, </w:t>
      </w:r>
      <w:proofErr w:type="gramStart"/>
      <w:r w:rsidRPr="00AE1FA0">
        <w:rPr>
          <w:rFonts w:ascii="Arial" w:eastAsia="宋体" w:hAnsi="Arial" w:cs="Arial"/>
          <w:sz w:val="24"/>
          <w:szCs w:val="24"/>
        </w:rPr>
        <w:t>and also</w:t>
      </w:r>
      <w:proofErr w:type="gramEnd"/>
      <w:r w:rsidRPr="00AE1FA0">
        <w:rPr>
          <w:rFonts w:ascii="Arial" w:eastAsia="宋体" w:hAnsi="Arial" w:cs="Arial"/>
          <w:sz w:val="24"/>
          <w:szCs w:val="24"/>
        </w:rPr>
        <w:t xml:space="preserve"> suffers from an inherent limitation with regard to capturing the dynamics in the day-to-day experience in space. Also, it risks fall in the narrative that there is a definite causality between space and power relations. In the organisational context, power has </w:t>
      </w:r>
      <w:proofErr w:type="gramStart"/>
      <w:r w:rsidRPr="00AE1FA0">
        <w:rPr>
          <w:rFonts w:ascii="Arial" w:eastAsia="宋体" w:hAnsi="Arial" w:cs="Arial"/>
          <w:sz w:val="24"/>
          <w:szCs w:val="24"/>
        </w:rPr>
        <w:t>been seen as</w:t>
      </w:r>
      <w:proofErr w:type="gramEnd"/>
      <w:r w:rsidRPr="00AE1FA0">
        <w:rPr>
          <w:rFonts w:ascii="Arial" w:eastAsia="宋体" w:hAnsi="Arial" w:cs="Arial"/>
          <w:sz w:val="24"/>
          <w:szCs w:val="24"/>
        </w:rPr>
        <w:t xml:space="preserve"> constituted of spatial and material reality, while power is theorised as being exercised through spatial organisation. In most cases, spatial organisation means the organisation or management of physical space (Clegg and Kornberger, 2006). This falls under the assumption that space should be conceptualised as physical distance.</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Here, Dale and Burrell’s work represents a more critical reading and interpretation of how space should be conceptualised and analysed. The emphasis is positioned on how social and material interplay in the production process of space. That is, what Dale and Burrell (2008: 8) focused on are two aspects of the materiality of space: ‘physicality’ and ‘imaginary’. In relation to this thesis, the first implication to consider is the reassertion of the importance of aesthetics in organisational space. Organisational aesthetics is relatively marginalised in organisation studies and indeed gradually becomes a new trend along with the spatial turn. Wasserman and Frenkel (2010), for instance, used Lefebvrian theories to stress the importance of organisational aesthetics in identity formation. A detailed discussion of this empirical </w:t>
      </w:r>
      <w:r w:rsidRPr="00AE1FA0">
        <w:rPr>
          <w:rFonts w:ascii="Arial" w:eastAsia="宋体" w:hAnsi="Arial" w:cs="Arial"/>
          <w:sz w:val="24"/>
          <w:szCs w:val="24"/>
        </w:rPr>
        <w:lastRenderedPageBreak/>
        <w:t xml:space="preserve">case can be found in a later section. However, what I wish to emphasise at this point is that Dale and Burrell’s (2008) work also forms part of this reassertion of materiality in organisational studies. This reassertion offers the potential for understanding how organisational identity as well individual identity could be shaped and, although it is not the </w:t>
      </w:r>
      <w:proofErr w:type="gramStart"/>
      <w:r w:rsidRPr="00AE1FA0">
        <w:rPr>
          <w:rFonts w:ascii="Arial" w:eastAsia="宋体" w:hAnsi="Arial" w:cs="Arial"/>
          <w:sz w:val="24"/>
          <w:szCs w:val="24"/>
        </w:rPr>
        <w:t>main focus</w:t>
      </w:r>
      <w:proofErr w:type="gramEnd"/>
      <w:r w:rsidRPr="00AE1FA0">
        <w:rPr>
          <w:rFonts w:ascii="Arial" w:eastAsia="宋体" w:hAnsi="Arial" w:cs="Arial"/>
          <w:sz w:val="24"/>
          <w:szCs w:val="24"/>
        </w:rPr>
        <w:t xml:space="preserve"> of this thesis, identity is addressed as an essential pathway for future research.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color w:val="7030A0"/>
          <w:sz w:val="28"/>
          <w:szCs w:val="24"/>
        </w:rPr>
      </w:pPr>
      <w:r w:rsidRPr="00AE1FA0">
        <w:rPr>
          <w:rFonts w:ascii="Arial" w:eastAsia="宋体" w:hAnsi="Arial" w:cs="Arial"/>
          <w:sz w:val="24"/>
          <w:szCs w:val="24"/>
        </w:rPr>
        <w:t xml:space="preserve">If we take a closer look at studies on aesthetics within organisations, it is </w:t>
      </w:r>
      <w:proofErr w:type="gramStart"/>
      <w:r w:rsidRPr="00AE1FA0">
        <w:rPr>
          <w:rFonts w:ascii="Arial" w:eastAsia="宋体" w:hAnsi="Arial" w:cs="Arial"/>
          <w:sz w:val="24"/>
          <w:szCs w:val="24"/>
        </w:rPr>
        <w:t>fairly clear</w:t>
      </w:r>
      <w:proofErr w:type="gramEnd"/>
      <w:r w:rsidRPr="00AE1FA0">
        <w:rPr>
          <w:rFonts w:ascii="Arial" w:eastAsia="宋体" w:hAnsi="Arial" w:cs="Arial"/>
          <w:sz w:val="24"/>
          <w:szCs w:val="24"/>
        </w:rPr>
        <w:t xml:space="preserve"> that most empirical studies on aesthetics assume that organisational space reflects the materialisation of power. To take another example, Van Marrewijk (2011) explored the aesthetic experiences of employees in a designed organisational space through an ethnographic approach. In this empirical study, he introduced the concept of servicescape in order to conceptualise aesthetic experience as consisting of environmental dimensions (such as noise and music), space design and furnishing, and sign and symbols. This conceptualisation is deeply-rooted in the tradition that spatial design influences the behaviour of consumers since consumers give meanings to symbols and spatial designs (Van Marrewijk, 2011). Here, employees are also seen as the consumers of organisational space and aesthetic experience are indeed transformed into something to consume and interpret. This also explains well why the research emphasis is placed on observable factors or physical arrangements. For instance, aesthetic evidence is collected and categorised into design proxemics, décor, and design gesture. On one hand, this research works as a good example showcasing the analytical potential of the assumption of Dale and Burrell (2008) and how conceptualising space as the materialisation of power can lead to a specific route for research, in which material and physical objects are emphasised. On the other hand, this also reflects the possible limitation associated with overlooking the lived experience of people. For instance, in this research, where employees are the research participants, there is little discussion of how they interpret and experience aesthetic space; instead, they are relatively passive and responsive to physical signs.</w:t>
      </w: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35" w:name="_Toc534732364"/>
      <w:r w:rsidRPr="00AE1FA0">
        <w:rPr>
          <w:rFonts w:ascii="Arial" w:eastAsiaTheme="majorEastAsia" w:hAnsi="Arial" w:cs="Arial"/>
          <w:b/>
          <w:color w:val="000000" w:themeColor="text1"/>
          <w:kern w:val="0"/>
          <w:sz w:val="24"/>
          <w:szCs w:val="26"/>
        </w:rPr>
        <w:t>Theorizing organizational space: Lefebvre’s triad</w:t>
      </w:r>
      <w:bookmarkEnd w:id="35"/>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Spatial triad is the most popular and widespread theoretical framework for scholars applying Lefebvre’s theories. It is a unitary framework that ties different </w:t>
      </w:r>
      <w:r w:rsidRPr="00AE1FA0">
        <w:rPr>
          <w:rFonts w:ascii="Arial" w:eastAsia="宋体" w:hAnsi="Arial" w:cs="Arial"/>
          <w:kern w:val="0"/>
          <w:sz w:val="24"/>
          <w:szCs w:val="24"/>
        </w:rPr>
        <w:lastRenderedPageBreak/>
        <w:t xml:space="preserve">conceptualizations of space together. Lefebvre defined his spatial triad thus: if something can be perceived, then semiotic abstraction can be conceived, and as a medium through which inhabitants can interact in that space (lived space) (Lefebvre, 1991; Gottdiener, 1993). Lefebvre’s development of this triad has proposed an alternative approach to organizational analysis that considers the mental, social and physical space in an integrated way. By employing this triad, it is possible to study organizational space as a condensation of the organization, and it is spatial triad that enables one to grasp the importance of space in organizations. Emphasized by Gottdiener (1993), this triad showcases the complexity of social space at all levels. The triad depicts the physicality of space, abstract social relations and experiences at the same time. Thus, social relations are spatial relations, vice versa.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Though this triad is designed as triple relations, Lefebvre (1991) warned that it would lose all its force if perceived as an abstract model, i.e. as a model to separate and categorize space. Its explanatory power lies in its dynamics. In fact, all of Lefebvre’s theories aims to minimize reductionism and to destabilize understandings of space. Conceived-perceived-lived triad is derived from French phenomenology, and Lefebvre’s theorization of this triad is a development based on French phenomenologists, such as Bachelard and Merleau-Ponty. However, where Lefebvre’s triad differentiates is how he emphasized the process rather than the subjects, i.e. process of social production of conception, perception, and experience (</w:t>
      </w:r>
      <w:r w:rsidRPr="00AE1FA0">
        <w:rPr>
          <w:rFonts w:ascii="Arial" w:eastAsia="宋体" w:hAnsi="Arial" w:cs="Arial"/>
          <w:sz w:val="24"/>
          <w:szCs w:val="24"/>
        </w:rPr>
        <w:t>Schmid, 2008</w:t>
      </w:r>
      <w:r w:rsidRPr="00AE1FA0">
        <w:rPr>
          <w:rFonts w:ascii="Arial" w:eastAsia="宋体" w:hAnsi="Arial" w:cs="Arial"/>
          <w:kern w:val="0"/>
          <w:sz w:val="24"/>
          <w:szCs w:val="24"/>
        </w:rPr>
        <w:t xml:space="preserve">).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Since these concepts are central to my analysis, I will quote at length to define them: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spacing w:line="360" w:lineRule="auto"/>
        <w:ind w:left="374"/>
        <w:rPr>
          <w:rFonts w:ascii="Arial" w:eastAsia="宋体" w:hAnsi="Arial" w:cs="Arial"/>
          <w:sz w:val="24"/>
          <w:szCs w:val="24"/>
        </w:rPr>
      </w:pPr>
      <w:r w:rsidRPr="00AE1FA0">
        <w:rPr>
          <w:rFonts w:ascii="Arial" w:eastAsia="宋体" w:hAnsi="Arial" w:cs="Arial"/>
          <w:sz w:val="24"/>
          <w:szCs w:val="24"/>
        </w:rPr>
        <w:t>“Perceived space: Space has perceivable aspect that can be grasped by the senses. This perception constitutes an integral component of every social practice. It comprises everything that presents itself to the senses; not only seeing but hearing, smelling, touching, tasting. This sensuously perceptible aspect of space directly relates to the materiality of the ‘elements’ that constitutes space.</w:t>
      </w:r>
    </w:p>
    <w:p w:rsidR="00AE1FA0" w:rsidRPr="00AE1FA0" w:rsidRDefault="00AE1FA0" w:rsidP="00AE1FA0">
      <w:pPr>
        <w:spacing w:line="360" w:lineRule="auto"/>
        <w:ind w:left="374"/>
        <w:rPr>
          <w:rFonts w:ascii="Arial" w:eastAsia="宋体" w:hAnsi="Arial" w:cs="Arial"/>
          <w:sz w:val="24"/>
          <w:szCs w:val="24"/>
        </w:rPr>
      </w:pPr>
    </w:p>
    <w:p w:rsidR="00AE1FA0" w:rsidRPr="00AE1FA0" w:rsidRDefault="00AE1FA0" w:rsidP="00AE1FA0">
      <w:pPr>
        <w:spacing w:line="360" w:lineRule="auto"/>
        <w:ind w:left="374"/>
        <w:rPr>
          <w:rFonts w:ascii="Arial" w:eastAsia="宋体" w:hAnsi="Arial" w:cs="Arial"/>
          <w:sz w:val="24"/>
          <w:szCs w:val="24"/>
        </w:rPr>
      </w:pPr>
      <w:r w:rsidRPr="00AE1FA0">
        <w:rPr>
          <w:rFonts w:ascii="Arial" w:eastAsia="宋体" w:hAnsi="Arial" w:cs="Arial"/>
          <w:sz w:val="24"/>
          <w:szCs w:val="24"/>
        </w:rPr>
        <w:lastRenderedPageBreak/>
        <w:t>“Conceived space: Space cannot be perceived as such without having been conceived in thought previously. Bringing together the elements to form a ‘whole’ that is then considered or denoted as space presumes an act of thought that is linked to the production of knowledge.</w:t>
      </w:r>
    </w:p>
    <w:p w:rsidR="00AE1FA0" w:rsidRPr="00AE1FA0" w:rsidRDefault="00AE1FA0" w:rsidP="00AE1FA0">
      <w:pPr>
        <w:spacing w:line="360" w:lineRule="auto"/>
        <w:ind w:left="374"/>
        <w:rPr>
          <w:rFonts w:ascii="Arial" w:eastAsia="宋体" w:hAnsi="Arial" w:cs="Arial"/>
          <w:sz w:val="24"/>
          <w:szCs w:val="24"/>
        </w:rPr>
      </w:pPr>
    </w:p>
    <w:p w:rsidR="00AE1FA0" w:rsidRPr="00AE1FA0" w:rsidRDefault="00AE1FA0" w:rsidP="00AE1FA0">
      <w:pPr>
        <w:spacing w:line="360" w:lineRule="auto"/>
        <w:ind w:left="374"/>
        <w:rPr>
          <w:rFonts w:ascii="Arial" w:eastAsia="宋体" w:hAnsi="Arial" w:cs="Arial"/>
          <w:sz w:val="24"/>
          <w:szCs w:val="24"/>
        </w:rPr>
      </w:pPr>
      <w:r w:rsidRPr="00AE1FA0">
        <w:rPr>
          <w:rFonts w:ascii="Arial" w:eastAsia="宋体" w:hAnsi="Arial" w:cs="Arial"/>
          <w:sz w:val="24"/>
          <w:szCs w:val="24"/>
        </w:rPr>
        <w:t>“Lived space: This dimension denotes the world as it is experienced by human beings in the practice of their everyday life. On this point Lefebvre is unequivocal; the lived, practice does not let itself be exhausted through theoretical analysis.”  (Schmid, 2008: 39-40; Lefebvre, 1991)</w:t>
      </w:r>
    </w:p>
    <w:p w:rsidR="00AE1FA0" w:rsidRPr="00AE1FA0" w:rsidRDefault="00AE1FA0" w:rsidP="00AE1FA0">
      <w:pPr>
        <w:spacing w:line="360" w:lineRule="auto"/>
        <w:ind w:left="374"/>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From these definitions, even though this triad should not be approached as an abstract framework, it indeed sheds some light on how to analyse space, and many researchers have attempted to use the triad in empirical fields. For instance, Kingma (2008) applied Lefebvre’s triad in the study of a Dutch casino. The research claimed that the spatial strategy in casinos is one the central organizational and management strategies, where the definition of gambling as an entertainment as a discourse inherently influences the spatial strategy.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In order to discover the social construction of gambling as entertainment, the spatial strategy was studied in the conceived, perceived and lived space. Conceived space represented the ways in which gambling was officially presented in public (i.e. advertising). Specifically, the discourse on the Dutch casino continuously promotes gambling as an entertainment. People may encounter the casino, as a perceived space, intuitively admire it and enter, or ignore it. Along with the definition of gambling differing in perceptions, the perceived space of the casino might change accordingly. For instance, it matters significantly how casinos </w:t>
      </w:r>
      <w:proofErr w:type="gramStart"/>
      <w:r w:rsidRPr="00AE1FA0">
        <w:rPr>
          <w:rFonts w:ascii="Arial" w:eastAsia="宋体" w:hAnsi="Arial" w:cs="Arial"/>
          <w:sz w:val="24"/>
          <w:szCs w:val="24"/>
        </w:rPr>
        <w:t>are located in</w:t>
      </w:r>
      <w:proofErr w:type="gramEnd"/>
      <w:r w:rsidRPr="00AE1FA0">
        <w:rPr>
          <w:rFonts w:ascii="Arial" w:eastAsia="宋体" w:hAnsi="Arial" w:cs="Arial"/>
          <w:sz w:val="24"/>
          <w:szCs w:val="24"/>
        </w:rPr>
        <w:t xml:space="preserve"> urban space. Lived space is the total engagement of gamblers, customers and casino personnel, and their interpretations of gambling and casinos in general.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It is relatively clear that Lefebvre’s theoretical framework has the potential to achieve a comprehensive analysis of the complicated concept. For example, in this case, discourse of gambling is abstract and difficult to analyse its relationship with the organizational space, but by utilizing Lefebvre’s triad as a unitary model, it is possible to study both the spatial strategy and the construction of discourse as a process. </w:t>
      </w:r>
      <w:r w:rsidRPr="00AE1FA0">
        <w:rPr>
          <w:rFonts w:ascii="Arial" w:eastAsia="宋体" w:hAnsi="Arial" w:cs="Arial"/>
          <w:sz w:val="24"/>
          <w:szCs w:val="24"/>
        </w:rPr>
        <w:lastRenderedPageBreak/>
        <w:t xml:space="preserve">Consequently, it is insufficient to study the present condition of the organizational space but necessary to trace back its evolution in history. In this case, Kingma analysed the spatial strategy of the casino as a </w:t>
      </w:r>
      <w:proofErr w:type="gramStart"/>
      <w:r w:rsidRPr="00AE1FA0">
        <w:rPr>
          <w:rFonts w:ascii="Arial" w:eastAsia="宋体" w:hAnsi="Arial" w:cs="Arial"/>
          <w:sz w:val="24"/>
          <w:szCs w:val="24"/>
        </w:rPr>
        <w:t>process, and</w:t>
      </w:r>
      <w:proofErr w:type="gramEnd"/>
      <w:r w:rsidRPr="00AE1FA0">
        <w:rPr>
          <w:rFonts w:ascii="Arial" w:eastAsia="宋体" w:hAnsi="Arial" w:cs="Arial"/>
          <w:sz w:val="24"/>
          <w:szCs w:val="24"/>
        </w:rPr>
        <w:t xml:space="preserve"> compared this with other casinos to build a macro-level of understanding of how spatial strategy evolved. The reason is that the discourse on gambling also gradually shifted, from illegal activity to an entertainment. Therefore, this case also proves that organizational space cannot be studied without the consideration of historical and temporal conditions. </w:t>
      </w:r>
    </w:p>
    <w:p w:rsidR="00AE1FA0" w:rsidRPr="00AE1FA0" w:rsidRDefault="00AE1FA0" w:rsidP="00AE1FA0">
      <w:pPr>
        <w:widowControl/>
        <w:spacing w:after="160" w:line="360" w:lineRule="auto"/>
        <w:rPr>
          <w:rFonts w:ascii="Arial" w:eastAsia="宋体" w:hAnsi="Arial" w:cs="Arial"/>
          <w:kern w:val="0"/>
          <w:sz w:val="22"/>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From the previous discussion about Lefebvre’s theoretical triad, it can be summarized that his approach is quite different from most current discussions on organizational spatial analysis. To be more specific, the focus of the analysis has been shifted from the single perspective to a more comprehensive level. According to Lefebvre (1991), space can be analysed in relation to conceived, perceived and lived space, and each of them are interlinking and connected. A case in point is Wasserman and Frenkel’s (2010) empirical work on aesthetics as part of the organizational culture of Israel’s Ministry of Foreign Affairs.  In their paper, they applied the conceived-perceived-lived triad to this building; aesthetics was therefore analysed on the conceived, perceived and lived space level. In this work, both the collection and analysis processes of the three dimensions are integrated. Perceived space was studied in the way that conceived space was translated into the physical space and everyday practices (movement, interpersonal interactions, body language and so on). As in lived space, aesthetics was both a control mechanism and a field of resistance enacted by perceived space.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While the conceive-perceived-lived triad is used for this thesis and is therefore discussed at length, there is another version of Lefebvre’s triad. Lefebvre proposes another triad to amplify its explanatory power, which further demonstrates the dynamics of his triad. He suggested that space is a spatial practice (an externalized environment), a representation of space (a conceptual model used to direct practices), and a space of representation (the lived social relation of users to the environment). These two sets of triads are interconnected. If conceived-perceived-lived triad is enlightened by phenomenological literature, this triad is conceptual on the spatial level (Schmid, 2008). To be more specific, spatial practice embraces “production and </w:t>
      </w:r>
      <w:r w:rsidRPr="00AE1FA0">
        <w:rPr>
          <w:rFonts w:ascii="Arial" w:eastAsia="宋体" w:hAnsi="Arial" w:cs="Arial"/>
          <w:sz w:val="24"/>
          <w:szCs w:val="24"/>
        </w:rPr>
        <w:lastRenderedPageBreak/>
        <w:t xml:space="preserve">reproduction, and the particular locations and spatial sets characteristics of each social formation”; representations of space are “tied to the relations of production and to the order which those relations impose, and hence to knowledge, to signs, to codes, and to frontal relations”; and representational spaces embody “complex symbolism, sometimes coded, sometimes not, linked to the clandestine or underground side of social life” (Lefebvre, 1991: 33; Beebe, Davis and Gleadle, 2012). Gieseking </w:t>
      </w:r>
      <w:r w:rsidRPr="00AE1FA0">
        <w:rPr>
          <w:rFonts w:ascii="Arial" w:eastAsia="宋体" w:hAnsi="Arial" w:cs="Arial"/>
          <w:i/>
          <w:sz w:val="24"/>
          <w:szCs w:val="24"/>
        </w:rPr>
        <w:t>et al.</w:t>
      </w:r>
      <w:r w:rsidRPr="00AE1FA0">
        <w:rPr>
          <w:rFonts w:ascii="Arial" w:eastAsia="宋体" w:hAnsi="Arial" w:cs="Arial"/>
          <w:sz w:val="24"/>
          <w:szCs w:val="24"/>
        </w:rPr>
        <w:t xml:space="preserve"> (2014) suggested that spatial practices can be perceived in everyday actions and in everyday space; representations of space are how space is conceived by designers and architects and seeks to change the lives lived by people. From Lefebvre’s theorization of this triad, organizational space includes a multitude of intersections, and each pillar of </w:t>
      </w:r>
      <w:r w:rsidRPr="00AE1FA0">
        <w:rPr>
          <w:rFonts w:ascii="Arial" w:hAnsi="Arial" w:cs="Arial"/>
          <w:sz w:val="24"/>
          <w:szCs w:val="24"/>
        </w:rPr>
        <w:t>his</w:t>
      </w:r>
      <w:r w:rsidRPr="00AE1FA0">
        <w:rPr>
          <w:rFonts w:ascii="Arial" w:eastAsia="宋体" w:hAnsi="Arial" w:cs="Arial"/>
          <w:sz w:val="24"/>
          <w:szCs w:val="24"/>
        </w:rPr>
        <w:t xml:space="preserve"> triad signifies and represents different modes of intersections. </w:t>
      </w:r>
    </w:p>
    <w:p w:rsidR="00AE1FA0" w:rsidRPr="00AE1FA0" w:rsidRDefault="00AE1FA0" w:rsidP="00AE1FA0">
      <w:pPr>
        <w:spacing w:line="360" w:lineRule="auto"/>
        <w:rPr>
          <w:rFonts w:ascii="Arial" w:eastAsia="宋体" w:hAnsi="Arial" w:cs="Arial"/>
          <w:sz w:val="28"/>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36" w:name="_Toc534732365"/>
      <w:r w:rsidRPr="00AE1FA0">
        <w:rPr>
          <w:rFonts w:ascii="Arial" w:eastAsiaTheme="majorEastAsia" w:hAnsi="Arial" w:cs="Arial"/>
          <w:b/>
          <w:color w:val="000000" w:themeColor="text1"/>
          <w:kern w:val="0"/>
          <w:sz w:val="24"/>
          <w:szCs w:val="26"/>
        </w:rPr>
        <w:t>Applying Lefebvrian theories: Advantages and challenges</w:t>
      </w:r>
      <w:bookmarkEnd w:id="36"/>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First, as Lefebvre stated (1991), his conceived-perceived-lived triad can offer a more insightful and richer analysis of organizations. But how this can be achieved?</w:t>
      </w:r>
      <w:r w:rsidRPr="00AE1FA0">
        <w:rPr>
          <w:rFonts w:ascii="Arial" w:eastAsia="宋体" w:hAnsi="Arial" w:cs="Arial"/>
          <w:sz w:val="24"/>
          <w:szCs w:val="24"/>
        </w:rPr>
        <w:t xml:space="preserve">　</w:t>
      </w:r>
      <w:r w:rsidRPr="00AE1FA0">
        <w:rPr>
          <w:rFonts w:ascii="Arial" w:eastAsia="宋体" w:hAnsi="Arial" w:cs="Arial"/>
          <w:sz w:val="24"/>
          <w:szCs w:val="24"/>
        </w:rPr>
        <w:t xml:space="preserve">Wasserman took this further by arguing (2011) that multiple levels of intersections can be unravelled if adopting the triad: conceived space centres on the architectural discourse and dissemination of architectural ideas; lived space emphasizes the meanings of the context from analysing interpretations; perceived space deals with the more concrete perspectives, like colour, shapes and the organization of space. Therefore, unlike other frameworks comprising only one type of spatial analysis, Lefebvre’s framework has the advantage of achieving a more comprehensive understanding. At the same time, this triad shares assumptions of Lefebvre’s theorization of space and organization in the way that researchers can become more attentive to the construction process and history of the research sites. On the one hand, conceived-perceived-lived space provides a better conceptualization of space as a process instead of a stable background. As I discussed in previous sections, this characteristic is what differentiates Lefebvre’s thoughts from others, and is what differentiates spatial turn from others.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Apart from giving up the orthodox conceptualization of space, Lefebvre’s work also stressed that space is historical in its nature because it does not exist universally. </w:t>
      </w:r>
      <w:r w:rsidRPr="00AE1FA0">
        <w:rPr>
          <w:rFonts w:ascii="Arial" w:eastAsia="宋体" w:hAnsi="Arial" w:cs="Arial"/>
          <w:sz w:val="24"/>
          <w:szCs w:val="24"/>
        </w:rPr>
        <w:lastRenderedPageBreak/>
        <w:t xml:space="preserve">Lefebvre (1991) argued that if space is produced, it is </w:t>
      </w:r>
      <w:proofErr w:type="gramStart"/>
      <w:r w:rsidRPr="00AE1FA0">
        <w:rPr>
          <w:rFonts w:ascii="Arial" w:eastAsia="宋体" w:hAnsi="Arial" w:cs="Arial"/>
          <w:sz w:val="24"/>
          <w:szCs w:val="24"/>
        </w:rPr>
        <w:t>historical by all means</w:t>
      </w:r>
      <w:proofErr w:type="gramEnd"/>
      <w:r w:rsidRPr="00AE1FA0">
        <w:rPr>
          <w:rFonts w:ascii="Arial" w:eastAsia="宋体" w:hAnsi="Arial" w:cs="Arial"/>
          <w:sz w:val="24"/>
          <w:szCs w:val="24"/>
        </w:rPr>
        <w:t xml:space="preserve">. To be specific, space is </w:t>
      </w:r>
      <w:r w:rsidRPr="00AE1FA0">
        <w:rPr>
          <w:rFonts w:ascii="Arial" w:hAnsi="Arial" w:cs="Arial"/>
          <w:sz w:val="24"/>
          <w:szCs w:val="24"/>
        </w:rPr>
        <w:t xml:space="preserve">not the </w:t>
      </w:r>
      <w:proofErr w:type="gramStart"/>
      <w:r w:rsidRPr="00AE1FA0">
        <w:rPr>
          <w:rFonts w:ascii="Arial" w:hAnsi="Arial" w:cs="Arial"/>
          <w:sz w:val="24"/>
          <w:szCs w:val="24"/>
        </w:rPr>
        <w:t>end product</w:t>
      </w:r>
      <w:proofErr w:type="gramEnd"/>
      <w:r w:rsidRPr="00AE1FA0">
        <w:rPr>
          <w:rFonts w:ascii="Arial" w:hAnsi="Arial" w:cs="Arial"/>
          <w:sz w:val="24"/>
          <w:szCs w:val="24"/>
        </w:rPr>
        <w:t xml:space="preserve"> of historical events; instead, Lefebvre</w:t>
      </w:r>
      <w:r w:rsidRPr="00AE1FA0">
        <w:rPr>
          <w:rFonts w:ascii="Arial" w:eastAsia="宋体" w:hAnsi="Arial" w:cs="Arial"/>
          <w:sz w:val="24"/>
          <w:szCs w:val="24"/>
        </w:rPr>
        <w:t xml:space="preserve"> stated that forces of production (labour, organization of labour, and technology and knowledge) and relations of production participate in the production and reproduction of space. For instance, Lefebvre (1991) illustrated that a change of space is realized through the changing mode of production and the characteristics of the relations of production. This implication is emphasized by Lefebvre as of the highest theoretical importance </w:t>
      </w:r>
      <w:proofErr w:type="gramStart"/>
      <w:r w:rsidRPr="00AE1FA0">
        <w:rPr>
          <w:rFonts w:ascii="Arial" w:eastAsia="宋体" w:hAnsi="Arial" w:cs="Arial"/>
          <w:sz w:val="24"/>
          <w:szCs w:val="24"/>
        </w:rPr>
        <w:t>for the reason that</w:t>
      </w:r>
      <w:proofErr w:type="gramEnd"/>
      <w:r w:rsidRPr="00AE1FA0">
        <w:rPr>
          <w:rFonts w:ascii="Arial" w:eastAsia="宋体" w:hAnsi="Arial" w:cs="Arial"/>
          <w:sz w:val="24"/>
          <w:szCs w:val="24"/>
        </w:rPr>
        <w:t xml:space="preserve">, as the concept of production is historical, space should also be understood in an historical way. To be more specific, Lefebvre (1991: 48) suggested that the study of space should not be constrained by special moments but needed to be extended to global and the macro-level: “the modes of production as generalities covering specific societies with their particular histories and institutions”. Translating this into organizational world, what should be paid attention to is not only space or the history of the space itself, but also the history and evolution process of the wider social world.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Lefebvre’s triad also reflects power and politics perspectives. For instance, Kingma (2008) added that while conceived space is relevant to power issues in an organization, lived space is particularly helpful for the analysis of alternative meanings of organizational space. The development is based on the attempt to uncover and unravel the complexities of the lived experience in an organizational space (Watkins, 2005). Wasserman (2011: 23), who linked Lefebvre’s triad to the organizational context, extended this, saying that conceived space is the “discourse of planning and conceptualisation of space by architects and managers”; perceived space is the architectural discourse transformed into artefacts and actions; lived space is the interpretations of the space. Lived space will be influenced by conceived and perceived space. Yet it should be highlighted that inhabitants of space always reserve a certain level of autonomy, and it is through lived space that resistance or appropriation emerge (Zhang and Spicer, 2008).</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Nevertheless, challenges remain in applying Lefebvre’s triad and theories to organization studies. As in all other interdisciplinary studies, it is complicated to mingle two schools of thought with different foundations, in this case, geography and organization studies. This research aims to apply geographical theoretical tools to the </w:t>
      </w:r>
      <w:r w:rsidRPr="00AE1FA0">
        <w:rPr>
          <w:rFonts w:ascii="Arial" w:eastAsia="宋体" w:hAnsi="Arial" w:cs="Arial"/>
          <w:sz w:val="24"/>
          <w:szCs w:val="24"/>
        </w:rPr>
        <w:lastRenderedPageBreak/>
        <w:t xml:space="preserve">organizational setting, the first challenge being whether geographical methodology is compatible with organization studies. This research is in an advantageous position because after 25 years’ development, the use of geographical theories in organization studies are now widely accepted. Lefebvre’s theorization of space indeed is one of the most popular trends in organizational studies. Nevertheless, though Lefebvre’s idea of ‘production of space’ has become the cornerstone for social geography and many empirical works support this view, it also faces criticism. The most widely cited critique is that Lefebvre failed to develop a comprehensive framework to the process of how space is produced. That is, while Lefebvre emphasized the importance of viewing the production of space as interwoven with social production, he ignored the methods of how to discover production of space from daily lived experiences (Unwin, 2000).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I regard this incompletion of framework as an opportunity for researchers with different backgrounds and research interests. The conceived-perceived-lived triad is indeed a highly creative and dynamic approach, which is applicable to varying situations and settings. As I have mentioned, the explanatory power of the triad lies in its dynamics. Another general critique is related to Marxian thought – that Lefebvre minimized the power of subject and overstated the power of production of the social world (Stanek, 2008). My response to this is that in this thesis, I interpreted Lefebvre’s theories as guiding a switch of thought from conceptualizing organizational space as noun to verb, that is, from organizational space to spatialized experience and organization. Hence the solution can be introducing process theory as a philosophy to understand organizations and society; it is therefore possible to approach organizational space and experiences of people as interacted. On one hand, Lefebvre’s theories draw attention to the production process of space and experiences; on the other hand, process theory enables emphasizing the process of how people experience and interpret space and society. </w:t>
      </w:r>
    </w:p>
    <w:p w:rsidR="00AE1FA0" w:rsidRPr="00AE1FA0" w:rsidRDefault="00AE1FA0" w:rsidP="00AE1FA0">
      <w:pPr>
        <w:spacing w:line="360" w:lineRule="auto"/>
        <w:rPr>
          <w:rFonts w:ascii="Arial" w:eastAsia="宋体" w:hAnsi="Arial" w:cs="Arial"/>
          <w:color w:val="7030A0"/>
          <w:sz w:val="24"/>
          <w:szCs w:val="24"/>
        </w:rPr>
      </w:pPr>
    </w:p>
    <w:p w:rsidR="00AE1FA0" w:rsidRPr="00AE1FA0" w:rsidRDefault="00AE1FA0" w:rsidP="00AE1FA0">
      <w:pPr>
        <w:keepNext/>
        <w:keepLines/>
        <w:widowControl/>
        <w:spacing w:before="40" w:line="360" w:lineRule="auto"/>
        <w:jc w:val="left"/>
        <w:outlineLvl w:val="1"/>
        <w:rPr>
          <w:rFonts w:ascii="Arial" w:eastAsiaTheme="majorEastAsia" w:hAnsi="Arial" w:cs="Arial"/>
          <w:b/>
          <w:color w:val="000000" w:themeColor="text1"/>
          <w:kern w:val="0"/>
          <w:sz w:val="24"/>
          <w:szCs w:val="26"/>
        </w:rPr>
      </w:pPr>
      <w:bookmarkStart w:id="37" w:name="_Toc534732366"/>
      <w:r w:rsidRPr="00AE1FA0">
        <w:rPr>
          <w:rFonts w:ascii="Arial" w:eastAsiaTheme="majorEastAsia" w:hAnsi="Arial" w:cs="Arial"/>
          <w:b/>
          <w:color w:val="000000" w:themeColor="text1"/>
          <w:kern w:val="0"/>
          <w:sz w:val="24"/>
          <w:szCs w:val="26"/>
        </w:rPr>
        <w:t>Chapter Conclusion</w:t>
      </w:r>
      <w:bookmarkEnd w:id="37"/>
    </w:p>
    <w:p w:rsidR="00AE1FA0" w:rsidRPr="00AE1FA0" w:rsidRDefault="00AE1FA0" w:rsidP="00AE1FA0">
      <w:pPr>
        <w:widowControl/>
        <w:spacing w:after="160" w:line="360" w:lineRule="auto"/>
        <w:rPr>
          <w:rFonts w:ascii="Arial" w:hAnsi="Arial" w:cs="Arial"/>
          <w:kern w:val="0"/>
          <w:sz w:val="24"/>
        </w:rPr>
      </w:pPr>
    </w:p>
    <w:p w:rsidR="00AE1FA0" w:rsidRPr="00AE1FA0" w:rsidRDefault="00AE1FA0" w:rsidP="00AE1FA0">
      <w:pPr>
        <w:widowControl/>
        <w:spacing w:after="160" w:line="360" w:lineRule="auto"/>
        <w:rPr>
          <w:rFonts w:ascii="Arial" w:hAnsi="Arial" w:cs="Arial"/>
          <w:sz w:val="24"/>
          <w:szCs w:val="24"/>
          <w:shd w:val="clear" w:color="auto" w:fill="FFFFFF"/>
        </w:rPr>
      </w:pPr>
      <w:r w:rsidRPr="00AE1FA0">
        <w:rPr>
          <w:rFonts w:ascii="Arial" w:hAnsi="Arial" w:cs="Arial"/>
          <w:sz w:val="24"/>
          <w:szCs w:val="24"/>
          <w:shd w:val="clear" w:color="auto" w:fill="FFFFFF"/>
        </w:rPr>
        <w:t xml:space="preserve">The aim of this chapter has been to explain the importance of conceptualizing organizational space as well as organizations as processes in history. I pursued this </w:t>
      </w:r>
      <w:r w:rsidRPr="00AE1FA0">
        <w:rPr>
          <w:rFonts w:ascii="Arial" w:hAnsi="Arial" w:cs="Arial"/>
          <w:sz w:val="24"/>
          <w:szCs w:val="24"/>
          <w:shd w:val="clear" w:color="auto" w:fill="FFFFFF"/>
        </w:rPr>
        <w:lastRenderedPageBreak/>
        <w:t xml:space="preserve">from three perspectives. I firstly differentiated assumptions of organizational space as process of experiences and interactions from the traditional entity assumption. I secondly approached organizational space from the angle of strong process view, that is, how underpinning assumptions of organizations could change ways of conceptualizing space. This then led my discussions towards historical turn and the risk of overlooking histories in organizations and society. Lefebvre’s theorization of space and his triad was the third part of this chapter. I analysed how Lefebvrian theories can be insightful to understand organizational space in history and indicated possible approaches to apply Lefebvrian thoughts to organization studies. All discussions in this chapter form a comprehensive review of relevant literatures to indicate different choices and pathways to study organizational space.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hint="eastAsia"/>
          <w:kern w:val="0"/>
          <w:sz w:val="24"/>
          <w:szCs w:val="24"/>
        </w:rPr>
      </w:pPr>
    </w:p>
    <w:p w:rsidR="00AE1FA0" w:rsidRPr="00AE1FA0" w:rsidRDefault="00AE1FA0" w:rsidP="00AE1FA0">
      <w:pPr>
        <w:keepNext/>
        <w:keepLines/>
        <w:widowControl/>
        <w:spacing w:before="240" w:line="360" w:lineRule="auto"/>
        <w:jc w:val="center"/>
        <w:outlineLvl w:val="0"/>
        <w:rPr>
          <w:rFonts w:ascii="Arial" w:eastAsiaTheme="majorEastAsia" w:hAnsi="Arial" w:cs="Arial"/>
          <w:color w:val="000000" w:themeColor="text1"/>
          <w:kern w:val="0"/>
          <w:sz w:val="32"/>
          <w:szCs w:val="32"/>
        </w:rPr>
      </w:pPr>
      <w:bookmarkStart w:id="38" w:name="_Toc534732367"/>
      <w:r w:rsidRPr="00AE1FA0">
        <w:rPr>
          <w:rFonts w:ascii="Arial" w:eastAsiaTheme="majorEastAsia" w:hAnsi="Arial" w:cs="Arial"/>
          <w:color w:val="000000" w:themeColor="text1"/>
          <w:kern w:val="0"/>
          <w:sz w:val="32"/>
          <w:szCs w:val="32"/>
        </w:rPr>
        <w:lastRenderedPageBreak/>
        <w:t>Chapter Three</w:t>
      </w:r>
      <w:bookmarkEnd w:id="38"/>
    </w:p>
    <w:p w:rsidR="00AE1FA0" w:rsidRPr="00AE1FA0" w:rsidRDefault="00AE1FA0" w:rsidP="00AE1FA0">
      <w:pPr>
        <w:widowControl/>
        <w:spacing w:after="160" w:line="360" w:lineRule="auto"/>
        <w:jc w:val="left"/>
        <w:rPr>
          <w:rFonts w:ascii="Arial" w:hAnsi="Arial" w:cs="Arial"/>
          <w:color w:val="000000" w:themeColor="text1"/>
          <w:kern w:val="0"/>
          <w:sz w:val="32"/>
          <w:szCs w:val="32"/>
        </w:rPr>
      </w:pPr>
      <w:r w:rsidRPr="00AE1FA0">
        <w:rPr>
          <w:rFonts w:ascii="Arial" w:hAnsi="Arial" w:cs="Arial"/>
          <w:color w:val="000000" w:themeColor="text1"/>
          <w:kern w:val="0"/>
          <w:sz w:val="32"/>
          <w:szCs w:val="32"/>
        </w:rPr>
        <w:t>Methodology and empirical case</w:t>
      </w:r>
    </w:p>
    <w:p w:rsidR="00AE1FA0" w:rsidRPr="00AE1FA0" w:rsidRDefault="00AE1FA0" w:rsidP="00AE1FA0">
      <w:pPr>
        <w:widowControl/>
        <w:spacing w:after="160" w:line="360" w:lineRule="auto"/>
        <w:jc w:val="left"/>
        <w:rPr>
          <w:rFonts w:ascii="Arial" w:hAnsi="Arial" w:cs="Arial"/>
          <w:color w:val="000000" w:themeColor="text1"/>
          <w:kern w:val="0"/>
          <w:sz w:val="32"/>
          <w:szCs w:val="32"/>
        </w:rPr>
      </w:pPr>
    </w:p>
    <w:p w:rsidR="00AE1FA0" w:rsidRPr="00AE1FA0" w:rsidRDefault="00AE1FA0" w:rsidP="00AE1FA0">
      <w:pPr>
        <w:keepNext/>
        <w:keepLines/>
        <w:widowControl/>
        <w:spacing w:before="40" w:line="360" w:lineRule="auto"/>
        <w:jc w:val="left"/>
        <w:outlineLvl w:val="1"/>
        <w:rPr>
          <w:rFonts w:ascii="Arial" w:eastAsiaTheme="majorEastAsia" w:hAnsi="Arial" w:cs="Arial"/>
          <w:b/>
          <w:color w:val="000000" w:themeColor="text1"/>
          <w:kern w:val="0"/>
          <w:sz w:val="24"/>
          <w:szCs w:val="26"/>
        </w:rPr>
      </w:pPr>
      <w:bookmarkStart w:id="39" w:name="_Toc534732368"/>
      <w:r w:rsidRPr="00AE1FA0">
        <w:rPr>
          <w:rFonts w:ascii="Arial" w:eastAsiaTheme="majorEastAsia" w:hAnsi="Arial" w:cs="Arial"/>
          <w:b/>
          <w:color w:val="000000" w:themeColor="text1"/>
          <w:kern w:val="0"/>
          <w:sz w:val="24"/>
          <w:szCs w:val="26"/>
        </w:rPr>
        <w:t>Chapter Introduction</w:t>
      </w:r>
      <w:bookmarkEnd w:id="39"/>
    </w:p>
    <w:p w:rsidR="00AE1FA0" w:rsidRPr="00AE1FA0" w:rsidRDefault="00AE1FA0" w:rsidP="00AE1FA0">
      <w:pPr>
        <w:widowControl/>
        <w:spacing w:after="160" w:line="259" w:lineRule="auto"/>
        <w:jc w:val="left"/>
        <w:rPr>
          <w:rFonts w:ascii="Arial" w:hAnsi="Arial" w:cs="Arial"/>
          <w:kern w:val="0"/>
          <w:sz w:val="22"/>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The purpose of this chapter is to describe and justify the methodological choice and research design of this thesis. In this chapter, the first task is to frame research questions based on reflections on discussions of relevant literature and identify possible research interests. The second section of this chapter addresses the philosophical choice underpinning this research, which both frame research questions and shape. I thirdly move to research design, which I define as a twin-track strategy. Within this section, I discuss how this twin-track strategy was constructed in Founder’s Building, how archival materials were collected, and how semi-structured interviews were conducted. The next section is about how empirical evidence was analysed. Like research design, a twin-track approach was applied to the analyses process as well. Then I offer a reflection on how I wrote this research reflexively. The key issue this section deals with is how to become a reflexive researcher. The final section of this chapter demonstrates ethical considerations and I reflect on some ethical dilemmas I encountered during research in Founder’s Building. </w:t>
      </w:r>
    </w:p>
    <w:p w:rsidR="00AE1FA0" w:rsidRPr="00AE1FA0" w:rsidRDefault="00AE1FA0" w:rsidP="00AE1FA0">
      <w:pPr>
        <w:spacing w:line="360" w:lineRule="auto"/>
        <w:rPr>
          <w:rFonts w:ascii="Arial" w:hAnsi="Arial" w:cs="Arial"/>
          <w:sz w:val="24"/>
          <w:szCs w:val="24"/>
          <w:shd w:val="clear" w:color="auto" w:fill="FFFFFF"/>
        </w:rPr>
      </w:pPr>
    </w:p>
    <w:p w:rsidR="00AE1FA0" w:rsidRPr="00AE1FA0" w:rsidRDefault="00AE1FA0" w:rsidP="00AE1FA0">
      <w:pPr>
        <w:keepNext/>
        <w:keepLines/>
        <w:widowControl/>
        <w:numPr>
          <w:ilvl w:val="0"/>
          <w:numId w:val="35"/>
        </w:numPr>
        <w:spacing w:before="40" w:after="160" w:line="360" w:lineRule="auto"/>
        <w:jc w:val="left"/>
        <w:outlineLvl w:val="1"/>
        <w:rPr>
          <w:rFonts w:ascii="Arial" w:eastAsiaTheme="majorEastAsia" w:hAnsi="Arial" w:cs="Arial"/>
          <w:vanish/>
          <w:color w:val="365F91" w:themeColor="accent1" w:themeShade="BF"/>
          <w:kern w:val="0"/>
          <w:sz w:val="26"/>
          <w:szCs w:val="26"/>
        </w:rPr>
      </w:pPr>
      <w:bookmarkStart w:id="40" w:name="_Toc514757808"/>
      <w:bookmarkStart w:id="41" w:name="_Toc534732369"/>
      <w:bookmarkEnd w:id="40"/>
      <w:bookmarkEnd w:id="41"/>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42" w:name="_Toc534732370"/>
      <w:r w:rsidRPr="00AE1FA0">
        <w:rPr>
          <w:rFonts w:ascii="Arial" w:eastAsiaTheme="majorEastAsia" w:hAnsi="Arial" w:cs="Arial"/>
          <w:b/>
          <w:color w:val="000000" w:themeColor="text1"/>
          <w:kern w:val="0"/>
          <w:sz w:val="24"/>
          <w:szCs w:val="26"/>
        </w:rPr>
        <w:t>Framing research questions</w:t>
      </w:r>
      <w:bookmarkEnd w:id="42"/>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8"/>
        </w:rPr>
      </w:pPr>
      <w:r w:rsidRPr="00AE1FA0">
        <w:rPr>
          <w:rFonts w:ascii="Arial" w:hAnsi="Arial" w:cs="Arial"/>
          <w:kern w:val="0"/>
          <w:sz w:val="24"/>
        </w:rPr>
        <w:t xml:space="preserve">Before proceeding to reflections of methodological choices of this thesis, I want to restate research questions my research aims to deal with. This thesis is designed to answer the question how past is still present in organizational space, just as the title indicates. Yet this question can be disassembled into a list of further questions that enable understanding of this field. Specifically, the first specific questions I attempted to answer is how organization is spatialized and historicized. In the previous chapter, I reviewed different schools of thoughts and argued the risk of overlooking process view in terms of understanding organizations and space, thus when reflecting upon the empirical case, the first question to answer is whether it is plausible to theorize </w:t>
      </w:r>
      <w:r w:rsidRPr="00AE1FA0">
        <w:rPr>
          <w:rFonts w:ascii="Arial" w:hAnsi="Arial" w:cs="Arial"/>
          <w:kern w:val="0"/>
          <w:sz w:val="24"/>
        </w:rPr>
        <w:lastRenderedPageBreak/>
        <w:t>organizational space as becoming processes. The second question is how to study organizational space if conceptualizing organizations as spatialized processes. It should be noted that this is not just a question of the research method. What I planned to address was how to reconcile theories from differ disciplines, in this case, history, organization studies and geography. It is from potential reconciliation of these varying theoretical conceptualizations that it became clear how to study organizations and space under the influence of process theories. Once these two questions were answered, the next question was about the interrelationship of past, present and future for an organization. Though I address this question by focusing on organizational space, yet I do not conceptualize organizational space as a separate part of organization, instead, I pursue them as integrated and interrelated. These three questions gradually move attention from organizations to organizational space, and then return to organizations. Through answering these questions, what become explicit would be how past and present of organizational space are interacting if the past is always present.</w:t>
      </w:r>
      <w:r w:rsidRPr="00AE1FA0">
        <w:rPr>
          <w:rFonts w:ascii="Arial" w:hAnsi="Arial" w:cs="Arial"/>
          <w:kern w:val="0"/>
          <w:sz w:val="28"/>
        </w:rPr>
        <w:t xml:space="preserve"> </w:t>
      </w:r>
    </w:p>
    <w:p w:rsidR="00AE1FA0" w:rsidRPr="00AE1FA0" w:rsidRDefault="00AE1FA0" w:rsidP="00AE1FA0">
      <w:pPr>
        <w:widowControl/>
        <w:spacing w:after="160" w:line="360" w:lineRule="auto"/>
        <w:rPr>
          <w:rFonts w:ascii="Arial" w:hAnsi="Arial" w:cs="Arial"/>
          <w:kern w:val="0"/>
          <w:sz w:val="28"/>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As already stated in the introductory chapter, this research is based on an empirical case, from which all empirical evidence was collected. Founder’s Building of Royal Holloway, University of London (RHUL) was the research site for my research. Founder’s Building is the main building of RHUL, previously known as Royal Holloway College (RHC). Detailed discussions of Founder’s Building will be presented in the later chapters where I analyse empirical evidence, but first I want to introduce some background to Founder’s Building and RHUL, as well as key themes showcasing different facets of Founder’s Building that are interwoven into the history of RHUL.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RHC was founded by Thomas Holloway, a ‘Victorian’ financier, and Founder’s Building was the first building opened in 1886. It is situated in the south-west of Egham. Founder’s Building was designed by architect William Henry Crossland, under the supervision of Thomas Holloway, in the style of the Chateau de Chambord in the Loire Valley in France. The choice of the Gothic Revival style was determined after the architect travelled to and researched the Chateau de Chambord jointly with </w:t>
      </w:r>
      <w:r w:rsidRPr="00AE1FA0">
        <w:rPr>
          <w:rFonts w:ascii="Arial" w:hAnsi="Arial" w:cs="Arial"/>
          <w:sz w:val="24"/>
          <w:szCs w:val="24"/>
        </w:rPr>
        <w:lastRenderedPageBreak/>
        <w:t>Thomas Holloway and his wife, Jane. RHUL to provide higher education only for women. It is recorded in the original College Rules and Regulations that ‘The College is founded by the advice of the Founder’s wife to afford the best education suitable for women of middle and upper classes’ (RHC/1/1/4, Archives, Royal Holloway, University of London, 1912)</w:t>
      </w:r>
      <w:r w:rsidRPr="00AE1FA0">
        <w:rPr>
          <w:rFonts w:ascii="Arial" w:hAnsi="Arial" w:cs="Arial"/>
          <w:sz w:val="24"/>
          <w:szCs w:val="24"/>
          <w:vertAlign w:val="superscript"/>
        </w:rPr>
        <w:footnoteReference w:id="3"/>
      </w:r>
      <w:r w:rsidRPr="00AE1FA0">
        <w:rPr>
          <w:rFonts w:ascii="Arial" w:hAnsi="Arial" w:cs="Arial"/>
          <w:sz w:val="24"/>
          <w:szCs w:val="24"/>
        </w:rPr>
        <w:t>. This excerpt explains the fundamental nature of Founder’s Building as conceptualized as an educational space for women. Similar discussions were also present in Williams’ (1993), where he credited Jan Holloway, the wife of Thomas Holloway, with determining Founder’s Building as a women college exclusively. Thus, the first key theme of Founder’s Building was to be femininity. The meaning of femininity varies in different times, yet in the stage of early foundation, femininity represented ‘Victorian’ values and norms for women. Thorough discussions about ‘Victorian’ values and femininity will be found in Chapter Five, where I regard ‘Victorian’ as a discursive term. As mentioned, Founder’s Building was designed and built with the primary aim of attracting women students, hence the ‘Victorian’ style of furniture was feminine as is easy to observe. A study of the impression of Founder’s Building (Hamlett, 2006), noted that the light-coloured furnishings and delicate colour of the decoration and fittings in East Wing Common Room (Image 2) spoke of femininity.</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color w:val="00B050"/>
          <w:sz w:val="28"/>
          <w:szCs w:val="24"/>
        </w:rPr>
      </w:pPr>
    </w:p>
    <w:p w:rsidR="00AE1FA0" w:rsidRPr="00AE1FA0" w:rsidRDefault="00AE1FA0" w:rsidP="00AE1FA0">
      <w:pPr>
        <w:widowControl/>
        <w:spacing w:after="160" w:line="360" w:lineRule="auto"/>
        <w:rPr>
          <w:rFonts w:ascii="Arial" w:hAnsi="Arial" w:cs="Arial"/>
          <w:color w:val="00B050"/>
          <w:kern w:val="0"/>
          <w:sz w:val="28"/>
        </w:rPr>
      </w:pPr>
      <w:r w:rsidRPr="00AE1FA0">
        <w:rPr>
          <w:rFonts w:ascii="Arial" w:hAnsi="Arial" w:cs="Arial"/>
          <w:noProof/>
          <w:color w:val="00B050"/>
          <w:kern w:val="0"/>
          <w:sz w:val="28"/>
          <w:lang w:eastAsia="en-GB"/>
        </w:rPr>
        <w:lastRenderedPageBreak/>
        <w:drawing>
          <wp:inline distT="0" distB="0" distL="0" distR="0" wp14:anchorId="49017AC3" wp14:editId="58CF77C9">
            <wp:extent cx="5466522" cy="3143250"/>
            <wp:effectExtent l="0" t="0" r="1270" b="0"/>
            <wp:docPr id="15" name="Picture 15" descr="Y:\eastwingcommonroom,1928-rhcph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stwingcommonroom,1928-rhcph28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3901" cy="3158993"/>
                    </a:xfrm>
                    <a:prstGeom prst="rect">
                      <a:avLst/>
                    </a:prstGeom>
                    <a:noFill/>
                    <a:ln>
                      <a:noFill/>
                    </a:ln>
                  </pic:spPr>
                </pic:pic>
              </a:graphicData>
            </a:graphic>
          </wp:inline>
        </w:drawing>
      </w:r>
    </w:p>
    <w:p w:rsidR="00AE1FA0" w:rsidRPr="00AE1FA0" w:rsidRDefault="00AE1FA0" w:rsidP="00AE1FA0">
      <w:pPr>
        <w:widowControl/>
        <w:spacing w:after="160" w:line="360" w:lineRule="auto"/>
        <w:rPr>
          <w:rFonts w:ascii="Arial" w:hAnsi="Arial" w:cs="Arial"/>
          <w:color w:val="00B050"/>
          <w:kern w:val="0"/>
          <w:sz w:val="28"/>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Image 2: East Wing Common Room, 1928</w:t>
      </w:r>
      <w:r w:rsidRPr="00AE1FA0">
        <w:rPr>
          <w:rFonts w:ascii="Arial" w:hAnsi="Arial" w:cs="Arial"/>
          <w:sz w:val="24"/>
          <w:szCs w:val="24"/>
          <w:vertAlign w:val="superscript"/>
        </w:rPr>
        <w:footnoteReference w:id="4"/>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color w:val="00B050"/>
          <w:sz w:val="28"/>
          <w:szCs w:val="24"/>
        </w:rPr>
      </w:pPr>
      <w:r w:rsidRPr="00AE1FA0">
        <w:rPr>
          <w:rFonts w:ascii="Arial" w:hAnsi="Arial" w:cs="Arial"/>
          <w:sz w:val="24"/>
          <w:szCs w:val="24"/>
        </w:rPr>
        <w:t xml:space="preserve">Femininity embedded in Founder’s Building had more influential effects besides those easy-to-observe features. In the initial planning stage, Founder’s Building was designed as a self-contained community with varying amenities to be relatively self-sufficient. These considerations all reflect a ‘Victorian’ understanding of femininity that shaped collegial life of women students in RHC. This is partly due to the concern for their safety, which led to RHC being </w:t>
      </w:r>
      <w:proofErr w:type="gramStart"/>
      <w:r w:rsidRPr="00AE1FA0">
        <w:rPr>
          <w:rFonts w:ascii="Arial" w:hAnsi="Arial" w:cs="Arial"/>
          <w:sz w:val="24"/>
          <w:szCs w:val="24"/>
        </w:rPr>
        <w:t>similar to</w:t>
      </w:r>
      <w:proofErr w:type="gramEnd"/>
      <w:r w:rsidRPr="00AE1FA0">
        <w:rPr>
          <w:rFonts w:ascii="Arial" w:hAnsi="Arial" w:cs="Arial"/>
          <w:sz w:val="24"/>
          <w:szCs w:val="24"/>
        </w:rPr>
        <w:t xml:space="preserve"> a boarding school in terms (College archives website, 2015). RHC remained a women’s college until 1945, when the first male postgraduate was admitted. When the college became co-educational in all different courses (Royal Holloway Timeline, 2015) in 1965 and the first 101 male undergraduates arrived, they did not live in Founder’s Building but in Kingswood, some distance away. </w:t>
      </w:r>
      <w:r w:rsidRPr="00AE1FA0">
        <w:rPr>
          <w:rFonts w:ascii="Arial" w:hAnsi="Arial" w:cs="Arial"/>
          <w:color w:val="00B050"/>
          <w:sz w:val="28"/>
          <w:szCs w:val="24"/>
        </w:rPr>
        <w:t xml:space="preserve"> </w:t>
      </w:r>
    </w:p>
    <w:p w:rsidR="00AE1FA0" w:rsidRPr="00AE1FA0" w:rsidRDefault="00AE1FA0" w:rsidP="00AE1FA0">
      <w:pPr>
        <w:spacing w:line="360" w:lineRule="auto"/>
        <w:rPr>
          <w:rFonts w:ascii="Arial" w:hAnsi="Arial" w:cs="Arial"/>
          <w:color w:val="00B050"/>
          <w:sz w:val="22"/>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rPr>
        <w:t xml:space="preserve">The idea of safety and protection underpinning the concept of ‘Victorian’ femininity led to another key characteristic of Founder’s Building: as an enclosed space it had to be multi-functional. This notion of multi-functionality is still present as a spatial legacy we inherited. Now, Founder’s Building is a base camp for students </w:t>
      </w:r>
      <w:r w:rsidRPr="00AE1FA0">
        <w:rPr>
          <w:rFonts w:ascii="Arial" w:hAnsi="Arial" w:cs="Arial"/>
          <w:sz w:val="24"/>
          <w:szCs w:val="24"/>
        </w:rPr>
        <w:t xml:space="preserve">and staff that caters </w:t>
      </w:r>
      <w:r w:rsidRPr="00AE1FA0">
        <w:rPr>
          <w:rFonts w:ascii="Arial" w:hAnsi="Arial" w:cs="Arial"/>
          <w:sz w:val="24"/>
          <w:szCs w:val="24"/>
        </w:rPr>
        <w:lastRenderedPageBreak/>
        <w:t xml:space="preserve">for various functions and services. At present, Founder’s Building accommodates some academic staff (from the Department of Politics and International Relations, Department of Classics and the School of Management), Picture Gallery, Chapel, Dining hall, Founder’s Library, and first year undergraduate students. If considering the main functions of these different spaces, little has changed. But apart from the functional perspectives, the way how the space is perceived and used has changed a little. In the Dining hall, for instance, food is now self-service, not served by maids; in the Library books are now borrowed via electronic devices, not hand-written cards. Such changed motivate the development or redesign of space. For example, senior students used to select their dinner partners from among first-year undergraduates at the beginning of the term. Similar traditions such as the afternoon tea party, Founder’s Garden party and daily Chapel service, have vanished now. The development of the space and the way the space is used mutually influence each other.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Taken together this brief introduction of Founder’s Building and research questions listed, the specific questions to ask in this thesis are as follows: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i/>
          <w:sz w:val="24"/>
          <w:szCs w:val="24"/>
        </w:rPr>
      </w:pPr>
      <w:r w:rsidRPr="00AE1FA0">
        <w:rPr>
          <w:rFonts w:ascii="Arial" w:hAnsi="Arial" w:cs="Arial"/>
          <w:i/>
          <w:sz w:val="24"/>
          <w:szCs w:val="24"/>
        </w:rPr>
        <w:t>-How has Founder’s Building been historicized?</w:t>
      </w:r>
    </w:p>
    <w:p w:rsidR="00AE1FA0" w:rsidRPr="00AE1FA0" w:rsidRDefault="00AE1FA0" w:rsidP="00AE1FA0">
      <w:pPr>
        <w:spacing w:line="360" w:lineRule="auto"/>
        <w:rPr>
          <w:rFonts w:ascii="Arial" w:hAnsi="Arial" w:cs="Arial"/>
          <w:i/>
          <w:sz w:val="24"/>
          <w:szCs w:val="24"/>
        </w:rPr>
      </w:pPr>
      <w:r w:rsidRPr="00AE1FA0">
        <w:rPr>
          <w:rFonts w:ascii="Arial" w:hAnsi="Arial" w:cs="Arial"/>
          <w:i/>
          <w:sz w:val="24"/>
          <w:szCs w:val="24"/>
        </w:rPr>
        <w:t>-How has RHUL has spatialized under the influence of Founder’s Building?</w:t>
      </w:r>
    </w:p>
    <w:p w:rsidR="00AE1FA0" w:rsidRPr="00AE1FA0" w:rsidRDefault="00AE1FA0" w:rsidP="00AE1FA0">
      <w:pPr>
        <w:spacing w:line="360" w:lineRule="auto"/>
        <w:rPr>
          <w:rFonts w:ascii="Arial" w:hAnsi="Arial" w:cs="Arial"/>
          <w:i/>
          <w:sz w:val="24"/>
          <w:szCs w:val="24"/>
        </w:rPr>
      </w:pPr>
      <w:r w:rsidRPr="00AE1FA0">
        <w:rPr>
          <w:rFonts w:ascii="Arial" w:hAnsi="Arial" w:cs="Arial"/>
          <w:i/>
          <w:sz w:val="24"/>
          <w:szCs w:val="24"/>
        </w:rPr>
        <w:t xml:space="preserve">-How </w:t>
      </w:r>
      <w:proofErr w:type="gramStart"/>
      <w:r w:rsidRPr="00AE1FA0">
        <w:rPr>
          <w:rFonts w:ascii="Arial" w:hAnsi="Arial" w:cs="Arial"/>
          <w:i/>
          <w:sz w:val="24"/>
          <w:szCs w:val="24"/>
        </w:rPr>
        <w:t>do</w:t>
      </w:r>
      <w:proofErr w:type="gramEnd"/>
      <w:r w:rsidRPr="00AE1FA0">
        <w:rPr>
          <w:rFonts w:ascii="Arial" w:hAnsi="Arial" w:cs="Arial"/>
          <w:i/>
          <w:sz w:val="24"/>
          <w:szCs w:val="24"/>
        </w:rPr>
        <w:t xml:space="preserve"> the past, present and future of Founder’s Building and RHUL interact with each other Building of RHUL?</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Before proceeding to types of empirical materials in need to answer these questions, I would like to first justify the rationale behind this selection of Founder’s Building as the empirical case; why and how Founder’s Building was a probable site to unravel these research interests and questions. In order to explore how organizations are spatialized and historicized, the choice of the empirical site should fulfil at least two requirements: one is that it is a relatively independent space within an organization; the other is that it has long history to retrospect the past and to study the present. Founder’s Building, the original building of RHUL, officially opened by Her Majesty Queen Victoria, was chosen as the empirical site primarily because it fulfilled these two requirements. And the college archive in RHUL, in which abundant textual and visual materials are available, was another inherent advantage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Additionally, Founder’s Building was selected based on more sophisticated considerations. </w:t>
      </w:r>
      <w:proofErr w:type="gramStart"/>
      <w:r w:rsidRPr="00AE1FA0">
        <w:rPr>
          <w:rFonts w:ascii="Arial" w:hAnsi="Arial" w:cs="Arial"/>
          <w:sz w:val="24"/>
          <w:szCs w:val="24"/>
        </w:rPr>
        <w:t>First of all</w:t>
      </w:r>
      <w:proofErr w:type="gramEnd"/>
      <w:r w:rsidRPr="00AE1FA0">
        <w:rPr>
          <w:rFonts w:ascii="Arial" w:hAnsi="Arial" w:cs="Arial"/>
          <w:sz w:val="24"/>
          <w:szCs w:val="24"/>
        </w:rPr>
        <w:t xml:space="preserve">, as the original building with the longest history, Founder’s Building has the incontestable advantage of comparing the past and the present. I am not suggesting that historical explorations of organizational space can only be achieved through studying buildings with a long history; even new buildings with a relatively short history can be worth investigating. However, as a thesis with a research interest in searching for the evolution process of organizational space, Founder’s Building Wass an advantageous choice. It is not only the building with the longest history in RHUL, it is also perceived as the iconic building. For instance, it is visually presented in every corner in the college: websites, gift shops, publicities, etc. By contrast, none of the other buildings have the same level of exposure. This has been reflected in the college archive: archival materials related to Founder’s Building are much more abundant, both in quantity and quality. As an iconic building, Founder’s Building is </w:t>
      </w:r>
      <w:proofErr w:type="gramStart"/>
      <w:r w:rsidRPr="00AE1FA0">
        <w:rPr>
          <w:rFonts w:ascii="Arial" w:hAnsi="Arial" w:cs="Arial"/>
          <w:sz w:val="24"/>
          <w:szCs w:val="24"/>
        </w:rPr>
        <w:t>similar to</w:t>
      </w:r>
      <w:proofErr w:type="gramEnd"/>
      <w:r w:rsidRPr="00AE1FA0">
        <w:rPr>
          <w:rFonts w:ascii="Arial" w:hAnsi="Arial" w:cs="Arial"/>
          <w:sz w:val="24"/>
          <w:szCs w:val="24"/>
        </w:rPr>
        <w:t xml:space="preserve"> a corporate headquarter and can be seen as the epitome of the evolution process of the organization: RHUL. Decker (2014) recognized that landmark buildings are powerful representations and signifiers for both individual and collective memories. Consequently, by choosing Founder’s Building as the empirical site, it was possible to trace and compare empirical material in different time periods – and possibly, to uncover what has been changed or retained. </w:t>
      </w:r>
    </w:p>
    <w:p w:rsidR="00AE1FA0" w:rsidRPr="00AE1FA0" w:rsidRDefault="00AE1FA0" w:rsidP="00AE1FA0">
      <w:pPr>
        <w:spacing w:line="360" w:lineRule="auto"/>
        <w:rPr>
          <w:rFonts w:ascii="Arial" w:hAnsi="Arial" w:cs="Arial"/>
          <w:sz w:val="28"/>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43" w:name="_Toc534732371"/>
      <w:r w:rsidRPr="00AE1FA0">
        <w:rPr>
          <w:rFonts w:ascii="Arial" w:eastAsiaTheme="majorEastAsia" w:hAnsi="Arial" w:cs="Arial"/>
          <w:b/>
          <w:color w:val="000000" w:themeColor="text1"/>
          <w:kern w:val="0"/>
          <w:sz w:val="24"/>
          <w:szCs w:val="26"/>
        </w:rPr>
        <w:t>Phenomenology: A philosophical movement to lived experience</w:t>
      </w:r>
      <w:bookmarkEnd w:id="43"/>
      <w:r w:rsidRPr="00AE1FA0">
        <w:rPr>
          <w:rFonts w:ascii="Arial" w:eastAsiaTheme="majorEastAsia" w:hAnsi="Arial" w:cs="Arial"/>
          <w:b/>
          <w:color w:val="000000" w:themeColor="text1"/>
          <w:kern w:val="0"/>
          <w:sz w:val="24"/>
          <w:szCs w:val="26"/>
        </w:rPr>
        <w:t xml:space="preserve"> </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4"/>
        </w:rPr>
      </w:pPr>
      <w:r w:rsidRPr="00AE1FA0">
        <w:rPr>
          <w:rFonts w:ascii="Arial" w:hAnsi="Arial" w:cs="Arial"/>
          <w:kern w:val="0"/>
          <w:sz w:val="24"/>
        </w:rPr>
        <w:t xml:space="preserve">This section aims to investigate the implications of the philosophical position I subscribed to during the research process and how this stance influenced the whole design and analysis of Founder’s Building case. To start with, the first task is to define my philosophical position, which is phenomenology. Defining phenomenology can be a complicated task; in the field of organization studies specifically, it has been conceptualized as a research method, a philosophical position and an analytical approach. In the case of Founder’s Building, I perceived phenomenology as more inclined to a specific type of philosophy, yet with the assumption that a phenomenological position would indeed affect the research method as well as </w:t>
      </w:r>
      <w:r w:rsidRPr="00AE1FA0">
        <w:rPr>
          <w:rFonts w:ascii="Arial" w:hAnsi="Arial" w:cs="Arial"/>
          <w:kern w:val="0"/>
          <w:sz w:val="24"/>
        </w:rPr>
        <w:lastRenderedPageBreak/>
        <w:t xml:space="preserve">analytical approaches. In Merleau-Ponty’s (1962) famous writing, </w:t>
      </w:r>
      <w:r w:rsidRPr="00AE1FA0">
        <w:rPr>
          <w:rFonts w:ascii="Arial" w:hAnsi="Arial" w:cs="Arial"/>
          <w:i/>
          <w:kern w:val="0"/>
          <w:sz w:val="24"/>
        </w:rPr>
        <w:t>Phenomenology of Perception</w:t>
      </w:r>
      <w:r w:rsidRPr="00AE1FA0">
        <w:rPr>
          <w:rFonts w:ascii="Arial" w:hAnsi="Arial" w:cs="Arial"/>
          <w:kern w:val="0"/>
          <w:sz w:val="24"/>
        </w:rPr>
        <w:t>, phenomenology was conceptualized as a philosophy with the aim of discovering the essences of phenomena through analysing core meanings of individual’s experience. A more straightforward definition of phenomenology is Grbich’s (2012): a method to discover meanings of experiences. Indeed, the heart of phenomenological study lies in interpretations. Gill (2014: 119) stressed that “</w:t>
      </w:r>
      <w:r w:rsidRPr="00AE1FA0">
        <w:rPr>
          <w:rFonts w:ascii="Arial" w:hAnsi="Arial" w:cs="Arial"/>
          <w:sz w:val="24"/>
          <w:szCs w:val="24"/>
        </w:rPr>
        <w:t>interpretation is not a choice but an integral aspect of research</w:t>
      </w:r>
      <w:r w:rsidRPr="00AE1FA0">
        <w:rPr>
          <w:rFonts w:ascii="Arial" w:hAnsi="Arial" w:cs="Arial"/>
          <w:kern w:val="0"/>
          <w:sz w:val="24"/>
        </w:rPr>
        <w:t xml:space="preserve">” for any phenomenological research. Thus, the most implication for framing Founder’s Building as a phenomenological case study is that phenomenology makes salient the importance of experience and interpretations. This is congruent with my conceptualization of organizational space, which enables shifting the research focus from organizational space to experiences in organizational space. </w:t>
      </w:r>
    </w:p>
    <w:p w:rsidR="00AE1FA0" w:rsidRPr="00AE1FA0" w:rsidRDefault="00AE1FA0" w:rsidP="00AE1FA0">
      <w:pPr>
        <w:widowControl/>
        <w:spacing w:after="160" w:line="360" w:lineRule="auto"/>
        <w:rPr>
          <w:rFonts w:ascii="Arial" w:hAnsi="Arial" w:cs="Arial"/>
          <w:kern w:val="0"/>
          <w:sz w:val="24"/>
        </w:rPr>
      </w:pPr>
    </w:p>
    <w:p w:rsidR="00AE1FA0" w:rsidRPr="00AE1FA0" w:rsidRDefault="00AE1FA0" w:rsidP="00AE1FA0">
      <w:pPr>
        <w:widowControl/>
        <w:spacing w:after="160" w:line="360" w:lineRule="auto"/>
        <w:rPr>
          <w:rFonts w:ascii="Arial" w:hAnsi="Arial" w:cs="Arial"/>
          <w:kern w:val="0"/>
          <w:sz w:val="24"/>
        </w:rPr>
      </w:pPr>
      <w:r w:rsidRPr="00AE1FA0">
        <w:rPr>
          <w:rFonts w:ascii="Arial" w:hAnsi="Arial" w:cs="Arial"/>
          <w:kern w:val="0"/>
          <w:sz w:val="24"/>
        </w:rPr>
        <w:t xml:space="preserve">Finlay (2009) further elaborated that it is necessary to turn the research into a hermeneutic and interpretive perspective if investigating lived experience. Heidegger introduced this hermeneutic turn into phenomenology studies with the emphasis on interpretations as well as the historically and culturally shaped context (Gill, 2014). If applying this to Founder’s Building case, it is not difficult to see how this is consistent with the research objectives, that is, to uncover a phenomenon, how organizational space is historicized from interpreting conceptions, perceptions and experiences of Founder’s Building as socially constructed.  </w:t>
      </w:r>
      <w:r w:rsidRPr="00AE1FA0">
        <w:rPr>
          <w:rFonts w:ascii="Arial" w:hAnsi="Arial" w:cs="Arial"/>
          <w:sz w:val="24"/>
          <w:szCs w:val="24"/>
        </w:rPr>
        <w:t xml:space="preserve">As a qualitative research method, besides emphasis on interpretation, phenomenological case study is also distinguished by its focus on ‘holistic treatment of phenomenon’. That is, in order to understand the phenomena, analysis of the wider contexts is necessary, such as temporal, spatial, historical, social, political and personal (Stake, 1995). This characteristic is congruent with the assumption of this research about organizational space as a socially and historically constructed existence. </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Moreover, phenomenology is essential to justify the decision of using Founder’s Building as a single case. A single case is often criticised, for instance, as argued by Hartley (2004), that it is a challenge to disentangle what is unique for the chosen case and what is common to other organizations. If considering the research question as </w:t>
      </w:r>
      <w:r w:rsidRPr="00AE1FA0">
        <w:rPr>
          <w:rFonts w:ascii="Arial" w:hAnsi="Arial" w:cs="Arial"/>
          <w:sz w:val="24"/>
          <w:szCs w:val="24"/>
        </w:rPr>
        <w:lastRenderedPageBreak/>
        <w:t xml:space="preserve">specific phenomenon, the case of Founder’s Building is unique in a way that the phenomenon to be researched is idiosyncratic. This explains why a single case study is adopted: understanding other cases in a similar situation to Founder’s Building’s is neither the aim of this research nor the objective of a phenomenological case study. On the contrary, the individuality and subjectivity are primary. Just as Stake (1995: 16) summarized, in qualitative case study, “we seek greater understanding of the case. We want to appreciate the uniqueness and complexity of the case, its embeddedness and interaction with its context.” </w:t>
      </w:r>
      <w:proofErr w:type="gramStart"/>
      <w:r w:rsidRPr="00AE1FA0">
        <w:rPr>
          <w:rFonts w:ascii="Arial" w:hAnsi="Arial" w:cs="Arial"/>
          <w:sz w:val="24"/>
          <w:szCs w:val="24"/>
        </w:rPr>
        <w:t>In reality, hermeneutics</w:t>
      </w:r>
      <w:proofErr w:type="gramEnd"/>
      <w:r w:rsidRPr="00AE1FA0">
        <w:rPr>
          <w:rFonts w:ascii="Arial" w:hAnsi="Arial" w:cs="Arial"/>
          <w:sz w:val="24"/>
          <w:szCs w:val="24"/>
        </w:rPr>
        <w:t xml:space="preserve"> perceives prejudices or prior knowledge as an integral part of human understanding. The assumption behind this is that knowledge generated is time-bound and context-dependent; the causality is multiple and simultaneous shaping; the relationship between researchers and the participants is interactive and co-operative (Shankar and Patterson, 2001). In practice, phenomenologists believe that knowledge resides in “the way people interpret and make sense of the world”, which accentuates the ‘fluidity’ of knowledge, implying knowledge is constructed in interactions between researchers and the researched (Grbich, 2012: 8). Thus, it is assumed that realities are inseparable from interpretations of the researchers and the researched groups: that is, the boundary between researchers and the researched is ambiguous (Grbich, 2012).</w:t>
      </w:r>
    </w:p>
    <w:p w:rsidR="00AE1FA0" w:rsidRPr="00AE1FA0" w:rsidRDefault="00AE1FA0" w:rsidP="00AE1FA0">
      <w:pPr>
        <w:widowControl/>
        <w:spacing w:after="160" w:line="360" w:lineRule="auto"/>
        <w:rPr>
          <w:rFonts w:ascii="Arial" w:hAnsi="Arial" w:cs="Arial"/>
          <w:kern w:val="0"/>
          <w:sz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kern w:val="0"/>
          <w:sz w:val="24"/>
        </w:rPr>
        <w:t xml:space="preserve">In terms of how phenomenological philosophy shaped my research design, the concept of hermeneutics is helpful. Kafle (2013) argued that once turned into hermeneutics approach, phenomenological case studies then can only be apprehended through “stories we tell of experiences”. Therefore methodologically, reality was conceptualized as subjective dependent on divergent situations and choices in the case of Founder’s Building. The next question is how had this influenced my interpretations of Founder’s Building? First implication is that the design of research aimed to discover subjective experience of individuals or groups. For instance, from digging into personal reminiscences in the college archive or stories told during the interviewing process, it was possible to approach experiences or interpretations from the perspective of research participants. The second implication is that hermeneutic phenomenological case study is attentive to rich textual descriptions (Kafle, 2013). This is supported by the general trend of linguistic </w:t>
      </w:r>
      <w:r w:rsidRPr="00AE1FA0">
        <w:rPr>
          <w:rFonts w:ascii="Arial" w:hAnsi="Arial" w:cs="Arial"/>
          <w:kern w:val="0"/>
          <w:sz w:val="24"/>
        </w:rPr>
        <w:lastRenderedPageBreak/>
        <w:t xml:space="preserve">turn in social science. </w:t>
      </w:r>
      <w:r w:rsidRPr="00AE1FA0">
        <w:rPr>
          <w:rFonts w:ascii="Arial" w:hAnsi="Arial" w:cs="Arial"/>
          <w:sz w:val="24"/>
          <w:szCs w:val="24"/>
        </w:rPr>
        <w:t xml:space="preserve">Alvesson and Kärreman (2000) said that linguistic turn is one of the profound trends in the social science and organization theories. </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The linguistic turn is not a new concept and is embedded widely in contemporary organizational studies. For example, Alvesson and Kärreman (2000: 137) argued that the debates on postmodernism has “brought the power, capacities and the complexities of language to the forefront of academic debate”.  All these share the similar assumption towards how organizational space and history should be understood and studied, influenced heavily by linguistic turn. </w:t>
      </w:r>
      <w:r w:rsidRPr="00AE1FA0">
        <w:rPr>
          <w:rFonts w:ascii="Arial" w:hAnsi="Arial" w:cs="Arial"/>
          <w:kern w:val="0"/>
          <w:sz w:val="24"/>
        </w:rPr>
        <w:t>L</w:t>
      </w:r>
      <w:r w:rsidRPr="00AE1FA0">
        <w:rPr>
          <w:rFonts w:ascii="Arial" w:hAnsi="Arial" w:cs="Arial"/>
          <w:sz w:val="24"/>
          <w:szCs w:val="24"/>
        </w:rPr>
        <w:t xml:space="preserve">inguistic turn challenges the privilege of the “single and absolute representations of reality, both present and past” (Durepos, Mills and Weatherbee, 2012: 270). What this presupposition makes salient is that interpretive and phenomenological stances are privileged. The rationale behind linguistic turn is that it perceives the past as produced and manifested by people who study the history-historians; thus, historians’ ideological assumptions and methodological preferences would shape the history because the past cannot be restored and recaptured. History from this perspective always resides in the interpretations of the past (Jenkins, 1991). </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It is the linguistic turn that ties these different positions together. To be more specific, New Historicism, discussed in the previous chapter, is shaped by the linguistic turn that focuses on the functions of the text and literature (Colebrook, 1995). The emergence of linguistic turn is one of motivators for the rise of the New Historicism trend. They share the same interest in the language. Linguistic turn also influences the writing of the history as it reflects the emphasis of the language in society. As Wagner (2003) stressed, any historical textual evidence is not in positivist sense, but the contemporary interpretation. This indeed opens the third implication of phenomenological philosophy that historicity is one of the most fundamental concepts (Myers, 2016). This indicates how a hermeneutic phenomenological case study is ultimately an historical study. In considering Founder’s Building, this philosophical approach is the underpinning foundation to study its past as well as its present. Here, Wachterhauser (1986: 6) neatly elaborated the interrelationship between historicity and the hermeneutic approach just as the following: “Who we are is a function of the </w:t>
      </w:r>
      <w:r w:rsidRPr="00AE1FA0">
        <w:rPr>
          <w:rFonts w:ascii="Arial" w:hAnsi="Arial" w:cs="Arial"/>
          <w:sz w:val="24"/>
          <w:szCs w:val="24"/>
        </w:rPr>
        <w:lastRenderedPageBreak/>
        <w:t>historical circumstances and community that we find ourselves in, the historical language we speak, the historically evolving habits and practice we appropriate, the temporally conditioned choices we make…In short, hermeneutics defends the ontological claim that human beings are their history.”</w:t>
      </w:r>
      <w:r w:rsidRPr="00AE1FA0">
        <w:rPr>
          <w:rFonts w:ascii="Arial" w:hAnsi="Arial" w:cs="Arial"/>
          <w:i/>
          <w:sz w:val="24"/>
          <w:szCs w:val="24"/>
        </w:rPr>
        <w:t xml:space="preserve"> </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Despite the potential of a hermeneutic phenomenological case study to bring an alternative and deeper insights to the study of phenomena in organization studies, nevertheless, only a relatively small number of researchers have adopted this philosophical approach. Therefore, the aim of this section has been to showcase the possibility of hermeneutic phenomenology to strengthen the conceptualizations of organizational space and historicism. The next section will concentrate on overall analytical strategy of empirical materials collected in Founder’s Building and RHUL, and how this philosophical choice influenced on it.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44" w:name="_Toc534732372"/>
      <w:r w:rsidRPr="00AE1FA0">
        <w:rPr>
          <w:rFonts w:ascii="Arial" w:eastAsiaTheme="majorEastAsia" w:hAnsi="Arial" w:cs="Arial"/>
          <w:b/>
          <w:color w:val="000000" w:themeColor="text1"/>
          <w:kern w:val="0"/>
          <w:sz w:val="24"/>
          <w:szCs w:val="26"/>
        </w:rPr>
        <w:t>Research design: A case study of Founder’s Building</w:t>
      </w:r>
      <w:bookmarkEnd w:id="44"/>
      <w:r w:rsidRPr="00AE1FA0">
        <w:rPr>
          <w:rFonts w:ascii="Arial" w:eastAsiaTheme="majorEastAsia" w:hAnsi="Arial" w:cs="Arial"/>
          <w:b/>
          <w:color w:val="000000" w:themeColor="text1"/>
          <w:kern w:val="0"/>
          <w:sz w:val="24"/>
          <w:szCs w:val="26"/>
        </w:rPr>
        <w:t xml:space="preserve"> </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This section plans to articulate the way this case study was designed. The first aspect to highlight is that this case study of Founder’s Building should be approached from a historical perspective, for the reason specified in the previous chapter: that study of space is a study of history. In fact, one of the contributions of this thesis lies in the way the organizational space was conceptualized as a product of history and the social world in the case of Founder’s Building. This thesis therefore makes salient how Founder’s Building was conceptualized and experienced as becoming processes. Having clarified this, two types of empirical evidences were collected: empirical evidences depicting what happened in the history of Founder’s Building and RHUL and empirical evidences demonstrating how Founder’s Building is experienced in the present. Thus, archival material and interviewing were chosen as the collection methods. Lefebvre’s theoretical triad was introduced as a guidance to search for specific aspects.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In the case of Founder’s Building, conceived space could be defined as the design and planning of the building, where the focus was the discourse of planning </w:t>
      </w:r>
      <w:r w:rsidRPr="00AE1FA0">
        <w:rPr>
          <w:rFonts w:ascii="Arial" w:hAnsi="Arial" w:cs="Arial"/>
          <w:sz w:val="24"/>
          <w:szCs w:val="24"/>
        </w:rPr>
        <w:lastRenderedPageBreak/>
        <w:t xml:space="preserve">conceptualized by the architect and founder. Relevant evidence could be extracted from the original architect’s planning and reminiscences, and the founder’s reminiscence, which are in the archive. Moreover, as the design or planning of the space is an evolving process, interviewing with estate managers or others who make the decisions was going to be helpful. Perceived space would cover those concrete perspectives including colour, shapes and the organization of the space. The present perceived space could be easily observed while the historical perceived space could be discovered from photographs and descriptions in the archive. Though it should be noted that past perceived and conceived space also exists in the present and indeed various spatial legacies and traditions have been discovered. The possible interpretation to this can be explained by the integration of conceived, perceived and lived space, which was discussed in Chapter Two. Lived space in Founder’s Building would be personal interpretations and experiences of conceived and perceived space. Like perceived space, interpretations could be collected from interviews, whereas historical interpretations could be found in the archive, such as reminiscences, newspapers, minutes of meetings, etc.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Though here I introduced conceived, perceived and lived space as separate, yet it should be clarified that both theoretically and empirically they are intermingled and impossible to separate. Here, Lefebvre’ triad worked as the first clue to initiate the searching for relevant materials. Another aspect should be underscored is that in the case of Founder’s Building, there is no specific moment of when the search for empirical evidence initiated. For instance, as a member of RHUL, my first impression of Founder’s Building formed a part of the research and influenced the following collection process. Although many of these can be impressionistic, they are valuable and have contributed to the research even before getting access to the site.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Once collection of empirical materials started, identification of gatekeepers became the first task.  Due to the choice of the twin-track framework was deployed two types of gatekeepers were identified. For access to college archive, archivists were the gatekeepers. As specified, RHUL has its own college archive, which made </w:t>
      </w:r>
      <w:proofErr w:type="gramStart"/>
      <w:r w:rsidRPr="00AE1FA0">
        <w:rPr>
          <w:rFonts w:ascii="Arial" w:hAnsi="Arial" w:cs="Arial"/>
          <w:sz w:val="24"/>
          <w:szCs w:val="24"/>
        </w:rPr>
        <w:t>the majority of</w:t>
      </w:r>
      <w:proofErr w:type="gramEnd"/>
      <w:r w:rsidRPr="00AE1FA0">
        <w:rPr>
          <w:rFonts w:ascii="Arial" w:hAnsi="Arial" w:cs="Arial"/>
          <w:sz w:val="24"/>
          <w:szCs w:val="24"/>
        </w:rPr>
        <w:t xml:space="preserve"> the archival materials easily accessible. I established contact with the archivists through email correspondence first and then arranged a meeting with one of them. In that meeting, I discussed issues like the direction of my research, types of </w:t>
      </w:r>
      <w:r w:rsidRPr="00AE1FA0">
        <w:rPr>
          <w:rFonts w:ascii="Arial" w:hAnsi="Arial" w:cs="Arial"/>
          <w:sz w:val="24"/>
          <w:szCs w:val="24"/>
        </w:rPr>
        <w:lastRenderedPageBreak/>
        <w:t xml:space="preserve">materials needed, and the potential length of research I would need in the archive. It should be noted that this was not a one-way communication. On the contrary, this pre-entry meeting with the archivist became a two-way communication, which helped establish the foundation of the research scope and coverage. In addition, I was reminded by the archivist that additional materials from outside archives might be relevant. This further helped me to understand the scope and range of the college </w:t>
      </w:r>
      <w:proofErr w:type="gramStart"/>
      <w:r w:rsidRPr="00AE1FA0">
        <w:rPr>
          <w:rFonts w:ascii="Arial" w:hAnsi="Arial" w:cs="Arial"/>
          <w:sz w:val="24"/>
          <w:szCs w:val="24"/>
        </w:rPr>
        <w:t>archive as a whole</w:t>
      </w:r>
      <w:proofErr w:type="gramEnd"/>
      <w:r w:rsidRPr="00AE1FA0">
        <w:rPr>
          <w:rFonts w:ascii="Arial" w:hAnsi="Arial" w:cs="Arial"/>
          <w:sz w:val="24"/>
          <w:szCs w:val="24"/>
        </w:rPr>
        <w:t xml:space="preserve">. As for interviewing, identifying gatekeepers and establishing contacts were much more complicated because of the wide range of possible participants. I will further reflect in detail about gatekeepers I contacted in the section of interviewing, </w:t>
      </w:r>
      <w:proofErr w:type="gramStart"/>
      <w:r w:rsidRPr="00AE1FA0">
        <w:rPr>
          <w:rFonts w:ascii="Arial" w:hAnsi="Arial" w:cs="Arial"/>
          <w:sz w:val="24"/>
          <w:szCs w:val="24"/>
        </w:rPr>
        <w:t>but generally speaking, for</w:t>
      </w:r>
      <w:proofErr w:type="gramEnd"/>
      <w:r w:rsidRPr="00AE1FA0">
        <w:rPr>
          <w:rFonts w:ascii="Arial" w:hAnsi="Arial" w:cs="Arial"/>
          <w:sz w:val="24"/>
          <w:szCs w:val="24"/>
        </w:rPr>
        <w:t xml:space="preserve"> staff working in Founder’s Building, the strategy was to obtain permission from the managerial/supervisory staff. For student residents, I discussed permission issues with the administrative staff first and obtained consent from student participants directly. A detailed summary of empirical materials collected for this thesis is provided in Appendix 3, consisting of both interviewing and archival materials.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In the next section, I will commence with the expansion of the research design into the specific strategy of collecting empirical evidence. This will then lead to the evaluation of various techniques and their contributions to this research. </w:t>
      </w:r>
    </w:p>
    <w:p w:rsidR="00AE1FA0" w:rsidRPr="00AE1FA0" w:rsidRDefault="00AE1FA0" w:rsidP="00AE1FA0">
      <w:pPr>
        <w:spacing w:line="360" w:lineRule="auto"/>
        <w:rPr>
          <w:rFonts w:ascii="Arial" w:hAnsi="Arial" w:cs="Arial"/>
          <w:sz w:val="28"/>
          <w:szCs w:val="24"/>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2"/>
          <w:szCs w:val="24"/>
        </w:rPr>
      </w:pPr>
      <w:bookmarkStart w:id="45" w:name="_Toc534732373"/>
      <w:r w:rsidRPr="00AE1FA0">
        <w:rPr>
          <w:rFonts w:ascii="Arial" w:eastAsiaTheme="majorEastAsia" w:hAnsi="Arial" w:cs="Arial"/>
          <w:b/>
          <w:color w:val="000000" w:themeColor="text1"/>
          <w:kern w:val="0"/>
          <w:sz w:val="24"/>
          <w:szCs w:val="24"/>
        </w:rPr>
        <w:t>3.3.1.</w:t>
      </w:r>
      <w:r w:rsidRPr="00AE1FA0">
        <w:rPr>
          <w:rFonts w:ascii="Arial" w:eastAsiaTheme="majorEastAsia" w:hAnsi="Arial" w:cs="Arial"/>
          <w:color w:val="000000" w:themeColor="text1"/>
          <w:kern w:val="0"/>
          <w:sz w:val="24"/>
          <w:szCs w:val="24"/>
        </w:rPr>
        <w:t xml:space="preserve"> </w:t>
      </w:r>
      <w:r w:rsidRPr="00AE1FA0">
        <w:rPr>
          <w:rFonts w:ascii="Arial" w:eastAsiaTheme="majorEastAsia" w:hAnsi="Arial" w:cs="Arial"/>
          <w:b/>
          <w:color w:val="000000" w:themeColor="text1"/>
          <w:kern w:val="0"/>
          <w:sz w:val="22"/>
          <w:szCs w:val="24"/>
        </w:rPr>
        <w:t>A twin-track approach</w:t>
      </w:r>
      <w:bookmarkEnd w:id="45"/>
      <w:r w:rsidRPr="00AE1FA0">
        <w:rPr>
          <w:rFonts w:ascii="Arial" w:eastAsiaTheme="majorEastAsia" w:hAnsi="Arial" w:cs="Arial"/>
          <w:b/>
          <w:color w:val="000000" w:themeColor="text1"/>
          <w:kern w:val="0"/>
          <w:sz w:val="22"/>
          <w:szCs w:val="24"/>
        </w:rPr>
        <w:t xml:space="preserve"> </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sz w:val="24"/>
          <w:szCs w:val="24"/>
        </w:rPr>
        <w:t>Following from the justification of the methodological assumption as interpretive and research method as phenomenological case study, this section will highlight the specific approaches to the stage of collecting empirical evidence. Drawing on the previous discussion on implications of phenomenology on Founder’s Building, two approaches have identified as necessary for collecting empirical evidence: interviewing and archival been materials. Indeed, the originality of this research lies in the intersection between the past and present</w:t>
      </w:r>
      <w:proofErr w:type="gramStart"/>
      <w:r w:rsidRPr="00AE1FA0">
        <w:rPr>
          <w:rFonts w:ascii="Arial" w:hAnsi="Arial" w:cs="Arial"/>
          <w:sz w:val="24"/>
          <w:szCs w:val="24"/>
        </w:rPr>
        <w:t>, in particular, how</w:t>
      </w:r>
      <w:proofErr w:type="gramEnd"/>
      <w:r w:rsidRPr="00AE1FA0">
        <w:rPr>
          <w:rFonts w:ascii="Arial" w:hAnsi="Arial" w:cs="Arial"/>
          <w:sz w:val="24"/>
          <w:szCs w:val="24"/>
        </w:rPr>
        <w:t xml:space="preserve"> historical imprints</w:t>
      </w:r>
      <w:r w:rsidRPr="00AE1FA0">
        <w:rPr>
          <w:rFonts w:ascii="Arial" w:hAnsi="Arial" w:cs="Arial"/>
          <w:kern w:val="0"/>
          <w:sz w:val="24"/>
          <w:szCs w:val="24"/>
        </w:rPr>
        <w:t xml:space="preserve"> had been inscribed on the present</w:t>
      </w:r>
      <w:r w:rsidRPr="00AE1FA0">
        <w:rPr>
          <w:rFonts w:ascii="Arial" w:hAnsi="Arial" w:cs="Arial"/>
          <w:sz w:val="24"/>
          <w:szCs w:val="24"/>
        </w:rPr>
        <w:t xml:space="preserve">. On the methodological </w:t>
      </w:r>
      <w:r w:rsidRPr="00AE1FA0">
        <w:rPr>
          <w:rFonts w:ascii="Arial" w:hAnsi="Arial" w:cs="Arial"/>
          <w:kern w:val="0"/>
          <w:sz w:val="24"/>
          <w:szCs w:val="24"/>
        </w:rPr>
        <w:t xml:space="preserve">level, a </w:t>
      </w:r>
      <w:r w:rsidRPr="00AE1FA0">
        <w:rPr>
          <w:rFonts w:ascii="Arial" w:hAnsi="Arial" w:cs="Arial"/>
          <w:sz w:val="24"/>
          <w:szCs w:val="24"/>
        </w:rPr>
        <w:t>twin-track strategy</w:t>
      </w:r>
      <w:r w:rsidRPr="00AE1FA0">
        <w:rPr>
          <w:rFonts w:ascii="Arial" w:hAnsi="Arial" w:cs="Arial"/>
          <w:kern w:val="0"/>
          <w:sz w:val="24"/>
          <w:szCs w:val="24"/>
        </w:rPr>
        <w:t xml:space="preserve"> was introduced as the guiding approach to scrutinize Founder’s Building case and discover empirical evidence. I collected two types of empirical materials, which were</w:t>
      </w:r>
      <w:r w:rsidRPr="00AE1FA0">
        <w:rPr>
          <w:rFonts w:ascii="Arial" w:hAnsi="Arial" w:cs="Arial"/>
          <w:sz w:val="24"/>
          <w:szCs w:val="24"/>
        </w:rPr>
        <w:t xml:space="preserve"> archival </w:t>
      </w:r>
      <w:r w:rsidRPr="00AE1FA0">
        <w:rPr>
          <w:rFonts w:ascii="Arial" w:hAnsi="Arial" w:cs="Arial"/>
          <w:kern w:val="0"/>
          <w:sz w:val="24"/>
          <w:szCs w:val="24"/>
        </w:rPr>
        <w:t>materials</w:t>
      </w:r>
      <w:r w:rsidRPr="00AE1FA0">
        <w:rPr>
          <w:rFonts w:ascii="Arial" w:hAnsi="Arial" w:cs="Arial"/>
          <w:sz w:val="24"/>
          <w:szCs w:val="24"/>
        </w:rPr>
        <w:t xml:space="preserve"> and interviewing </w:t>
      </w:r>
      <w:r w:rsidRPr="00AE1FA0">
        <w:rPr>
          <w:rFonts w:ascii="Arial" w:hAnsi="Arial" w:cs="Arial"/>
          <w:kern w:val="0"/>
          <w:sz w:val="24"/>
          <w:szCs w:val="24"/>
        </w:rPr>
        <w:t>materials</w:t>
      </w:r>
      <w:r w:rsidRPr="00AE1FA0">
        <w:rPr>
          <w:rFonts w:ascii="Arial" w:hAnsi="Arial" w:cs="Arial"/>
          <w:sz w:val="24"/>
          <w:szCs w:val="24"/>
        </w:rPr>
        <w:t xml:space="preserve">. Here archival </w:t>
      </w:r>
      <w:r w:rsidRPr="00AE1FA0">
        <w:rPr>
          <w:rFonts w:ascii="Arial" w:hAnsi="Arial" w:cs="Arial"/>
          <w:kern w:val="0"/>
          <w:sz w:val="24"/>
          <w:szCs w:val="24"/>
        </w:rPr>
        <w:t xml:space="preserve">materials were collected </w:t>
      </w:r>
      <w:r w:rsidRPr="00AE1FA0">
        <w:rPr>
          <w:rFonts w:ascii="Arial" w:hAnsi="Arial" w:cs="Arial"/>
          <w:kern w:val="0"/>
          <w:sz w:val="24"/>
          <w:szCs w:val="24"/>
        </w:rPr>
        <w:lastRenderedPageBreak/>
        <w:t>to</w:t>
      </w:r>
      <w:r w:rsidRPr="00AE1FA0">
        <w:rPr>
          <w:rFonts w:ascii="Arial" w:hAnsi="Arial" w:cs="Arial"/>
          <w:sz w:val="24"/>
          <w:szCs w:val="24"/>
        </w:rPr>
        <w:t xml:space="preserve"> uncover how meanings around the Founder’s Building</w:t>
      </w:r>
      <w:r w:rsidRPr="00AE1FA0">
        <w:rPr>
          <w:rFonts w:ascii="Arial" w:hAnsi="Arial" w:cs="Arial"/>
          <w:kern w:val="0"/>
          <w:sz w:val="24"/>
          <w:szCs w:val="24"/>
        </w:rPr>
        <w:t xml:space="preserve"> were</w:t>
      </w:r>
      <w:r w:rsidRPr="00AE1FA0">
        <w:rPr>
          <w:rFonts w:ascii="Arial" w:hAnsi="Arial" w:cs="Arial"/>
          <w:sz w:val="24"/>
          <w:szCs w:val="24"/>
        </w:rPr>
        <w:t xml:space="preserve"> constructed over time; interview</w:t>
      </w:r>
      <w:r w:rsidRPr="00AE1FA0">
        <w:rPr>
          <w:rFonts w:ascii="Arial" w:hAnsi="Arial" w:cs="Arial"/>
          <w:kern w:val="0"/>
          <w:sz w:val="24"/>
          <w:szCs w:val="24"/>
        </w:rPr>
        <w:t>ing evidence</w:t>
      </w:r>
      <w:r w:rsidRPr="00AE1FA0">
        <w:rPr>
          <w:rFonts w:ascii="Arial" w:hAnsi="Arial" w:cs="Arial"/>
          <w:sz w:val="24"/>
          <w:szCs w:val="24"/>
        </w:rPr>
        <w:t xml:space="preserve"> </w:t>
      </w:r>
      <w:r w:rsidRPr="00AE1FA0">
        <w:rPr>
          <w:rFonts w:ascii="Arial" w:hAnsi="Arial" w:cs="Arial"/>
          <w:kern w:val="0"/>
          <w:sz w:val="24"/>
          <w:szCs w:val="24"/>
        </w:rPr>
        <w:t>attempted</w:t>
      </w:r>
      <w:r w:rsidRPr="00AE1FA0">
        <w:rPr>
          <w:rFonts w:ascii="Arial" w:hAnsi="Arial" w:cs="Arial"/>
          <w:sz w:val="24"/>
          <w:szCs w:val="24"/>
        </w:rPr>
        <w:t xml:space="preserve"> to discover how</w:t>
      </w:r>
      <w:r w:rsidRPr="00AE1FA0">
        <w:rPr>
          <w:rFonts w:ascii="Arial" w:hAnsi="Arial" w:cs="Arial"/>
          <w:kern w:val="0"/>
          <w:sz w:val="24"/>
          <w:szCs w:val="24"/>
        </w:rPr>
        <w:t xml:space="preserve"> </w:t>
      </w:r>
      <w:r w:rsidRPr="00AE1FA0">
        <w:rPr>
          <w:rFonts w:ascii="Arial" w:hAnsi="Arial" w:cs="Arial"/>
          <w:sz w:val="24"/>
          <w:szCs w:val="24"/>
        </w:rPr>
        <w:t xml:space="preserve">current </w:t>
      </w:r>
      <w:r w:rsidRPr="00AE1FA0">
        <w:rPr>
          <w:rFonts w:ascii="Arial" w:hAnsi="Arial" w:cs="Arial"/>
          <w:kern w:val="0"/>
          <w:sz w:val="24"/>
          <w:szCs w:val="24"/>
        </w:rPr>
        <w:t>residents</w:t>
      </w:r>
      <w:r w:rsidRPr="00AE1FA0">
        <w:rPr>
          <w:rFonts w:ascii="Arial" w:hAnsi="Arial" w:cs="Arial"/>
          <w:sz w:val="24"/>
          <w:szCs w:val="24"/>
        </w:rPr>
        <w:t xml:space="preserve"> interact with the constructed meanings of </w:t>
      </w:r>
      <w:r w:rsidRPr="00AE1FA0">
        <w:rPr>
          <w:rFonts w:ascii="Arial" w:hAnsi="Arial" w:cs="Arial"/>
          <w:kern w:val="0"/>
          <w:sz w:val="24"/>
          <w:szCs w:val="24"/>
        </w:rPr>
        <w:t>Founder’s Building</w:t>
      </w:r>
      <w:r w:rsidRPr="00AE1FA0">
        <w:rPr>
          <w:rFonts w:ascii="Arial" w:hAnsi="Arial" w:cs="Arial"/>
          <w:sz w:val="24"/>
          <w:szCs w:val="24"/>
        </w:rPr>
        <w:t xml:space="preserve">. </w:t>
      </w:r>
      <w:r w:rsidRPr="00AE1FA0">
        <w:rPr>
          <w:rFonts w:ascii="Arial" w:hAnsi="Arial" w:cs="Arial"/>
          <w:kern w:val="0"/>
          <w:sz w:val="24"/>
          <w:szCs w:val="24"/>
        </w:rPr>
        <w:t xml:space="preserve">Before moving towards detailed discussions of how archival and interviewing evidence were discovered, the point to highlight now is the meaning of twin-track approach and the implications it had on influencing methodological choices. This twin-track approach is brought forward to respond to the limitations of empirical studies that focus only on archival material in the field of history studies or interviewing material in the field of organizational space. Therefore, this approach extends the range of research methods for historians and organizational researchers.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To start with, </w:t>
      </w:r>
      <w:r w:rsidRPr="00AE1FA0">
        <w:rPr>
          <w:rFonts w:ascii="Arial" w:hAnsi="Arial" w:cs="Arial"/>
          <w:sz w:val="24"/>
          <w:szCs w:val="24"/>
        </w:rPr>
        <w:t xml:space="preserve">calling it a ‘twin-track’ is not to say that the archive work and interviewing are two standalone components, instead, they are mutually constituted. Although this research </w:t>
      </w:r>
      <w:r w:rsidRPr="00AE1FA0">
        <w:rPr>
          <w:rFonts w:ascii="Arial" w:hAnsi="Arial" w:cs="Arial"/>
          <w:kern w:val="0"/>
          <w:sz w:val="24"/>
          <w:szCs w:val="24"/>
        </w:rPr>
        <w:t>wa</w:t>
      </w:r>
      <w:r w:rsidRPr="00AE1FA0">
        <w:rPr>
          <w:rFonts w:ascii="Arial" w:hAnsi="Arial" w:cs="Arial"/>
          <w:sz w:val="24"/>
          <w:szCs w:val="24"/>
        </w:rPr>
        <w:t xml:space="preserve">s designed </w:t>
      </w:r>
      <w:r w:rsidRPr="00AE1FA0">
        <w:rPr>
          <w:rFonts w:ascii="Arial" w:hAnsi="Arial" w:cs="Arial"/>
          <w:kern w:val="0"/>
          <w:sz w:val="24"/>
          <w:szCs w:val="24"/>
        </w:rPr>
        <w:t xml:space="preserve">initially </w:t>
      </w:r>
      <w:r w:rsidRPr="00AE1FA0">
        <w:rPr>
          <w:rFonts w:ascii="Arial" w:hAnsi="Arial" w:cs="Arial"/>
          <w:sz w:val="24"/>
          <w:szCs w:val="24"/>
        </w:rPr>
        <w:t>in a way that the collection of archival materials w</w:t>
      </w:r>
      <w:r w:rsidRPr="00AE1FA0">
        <w:rPr>
          <w:rFonts w:ascii="Arial" w:hAnsi="Arial" w:cs="Arial"/>
          <w:kern w:val="0"/>
          <w:sz w:val="24"/>
          <w:szCs w:val="24"/>
        </w:rPr>
        <w:t>ould</w:t>
      </w:r>
      <w:r w:rsidRPr="00AE1FA0">
        <w:rPr>
          <w:rFonts w:ascii="Arial" w:hAnsi="Arial" w:cs="Arial"/>
          <w:sz w:val="24"/>
          <w:szCs w:val="24"/>
        </w:rPr>
        <w:t xml:space="preserve"> inspire the </w:t>
      </w:r>
      <w:r w:rsidRPr="00AE1FA0">
        <w:rPr>
          <w:rFonts w:ascii="Arial" w:hAnsi="Arial" w:cs="Arial"/>
          <w:kern w:val="0"/>
          <w:sz w:val="24"/>
          <w:szCs w:val="24"/>
        </w:rPr>
        <w:t xml:space="preserve">questions for the </w:t>
      </w:r>
      <w:r w:rsidRPr="00AE1FA0">
        <w:rPr>
          <w:rFonts w:ascii="Arial" w:hAnsi="Arial" w:cs="Arial"/>
          <w:sz w:val="24"/>
          <w:szCs w:val="24"/>
        </w:rPr>
        <w:t xml:space="preserve">interviewing, </w:t>
      </w:r>
      <w:r w:rsidRPr="00AE1FA0">
        <w:rPr>
          <w:rFonts w:ascii="Arial" w:hAnsi="Arial" w:cs="Arial"/>
          <w:kern w:val="0"/>
          <w:sz w:val="24"/>
          <w:szCs w:val="24"/>
        </w:rPr>
        <w:t xml:space="preserve">with the expectation that </w:t>
      </w:r>
      <w:r w:rsidRPr="00AE1FA0">
        <w:rPr>
          <w:rFonts w:ascii="Arial" w:hAnsi="Arial" w:cs="Arial"/>
          <w:sz w:val="24"/>
          <w:szCs w:val="24"/>
        </w:rPr>
        <w:t>reading interviewing transcripts w</w:t>
      </w:r>
      <w:r w:rsidRPr="00AE1FA0">
        <w:rPr>
          <w:rFonts w:ascii="Arial" w:hAnsi="Arial" w:cs="Arial"/>
          <w:kern w:val="0"/>
          <w:sz w:val="24"/>
          <w:szCs w:val="24"/>
        </w:rPr>
        <w:t>ould</w:t>
      </w:r>
      <w:r w:rsidRPr="00AE1FA0">
        <w:rPr>
          <w:rFonts w:ascii="Arial" w:hAnsi="Arial" w:cs="Arial"/>
          <w:sz w:val="24"/>
          <w:szCs w:val="24"/>
        </w:rPr>
        <w:t xml:space="preserve"> also lead to new themes to discover in the </w:t>
      </w:r>
      <w:r w:rsidRPr="00AE1FA0">
        <w:rPr>
          <w:rFonts w:ascii="Arial" w:hAnsi="Arial" w:cs="Arial"/>
          <w:kern w:val="0"/>
          <w:sz w:val="24"/>
          <w:szCs w:val="24"/>
        </w:rPr>
        <w:t xml:space="preserve">college </w:t>
      </w:r>
      <w:r w:rsidRPr="00AE1FA0">
        <w:rPr>
          <w:rFonts w:ascii="Arial" w:hAnsi="Arial" w:cs="Arial"/>
          <w:sz w:val="24"/>
          <w:szCs w:val="24"/>
        </w:rPr>
        <w:t xml:space="preserve">archive. </w:t>
      </w:r>
      <w:r w:rsidRPr="00AE1FA0">
        <w:rPr>
          <w:rFonts w:ascii="Arial" w:hAnsi="Arial" w:cs="Arial"/>
          <w:kern w:val="0"/>
          <w:sz w:val="24"/>
          <w:szCs w:val="24"/>
        </w:rPr>
        <w:t xml:space="preserve">Therefore, we can see that ‘iterative’ is the first key word of this twin-track strategy. Unlike a traditional linear process, this twin-track resembled more of a recursive loop and multiple evidence existed empirically in terms of this twin-track approach. A case in point, </w:t>
      </w:r>
      <w:r w:rsidRPr="00AE1FA0">
        <w:rPr>
          <w:rFonts w:ascii="Arial" w:hAnsi="Arial" w:cs="Arial"/>
          <w:sz w:val="24"/>
          <w:szCs w:val="24"/>
        </w:rPr>
        <w:t>I did not notice the information about toilet, shower or bath facilities when I read archival documents, but after I heard some complaints about the toilets’ inconvenient location</w:t>
      </w:r>
      <w:r w:rsidRPr="00AE1FA0">
        <w:rPr>
          <w:rFonts w:ascii="Arial" w:hAnsi="Arial" w:cs="Arial"/>
          <w:kern w:val="0"/>
          <w:sz w:val="24"/>
          <w:szCs w:val="24"/>
        </w:rPr>
        <w:t xml:space="preserve"> during the interviewing process</w:t>
      </w:r>
      <w:r w:rsidRPr="00AE1FA0">
        <w:rPr>
          <w:rFonts w:ascii="Arial" w:hAnsi="Arial" w:cs="Arial"/>
          <w:sz w:val="24"/>
          <w:szCs w:val="24"/>
        </w:rPr>
        <w:t xml:space="preserve">, I went back to the </w:t>
      </w:r>
      <w:r w:rsidRPr="00AE1FA0">
        <w:rPr>
          <w:rFonts w:ascii="Arial" w:hAnsi="Arial" w:cs="Arial"/>
          <w:kern w:val="0"/>
          <w:sz w:val="24"/>
          <w:szCs w:val="24"/>
        </w:rPr>
        <w:t>college</w:t>
      </w:r>
      <w:r w:rsidRPr="00AE1FA0">
        <w:rPr>
          <w:rFonts w:ascii="Arial" w:hAnsi="Arial" w:cs="Arial"/>
          <w:sz w:val="24"/>
          <w:szCs w:val="24"/>
        </w:rPr>
        <w:t xml:space="preserve"> archive and found </w:t>
      </w:r>
      <w:r w:rsidRPr="00AE1FA0">
        <w:rPr>
          <w:rFonts w:ascii="Arial" w:hAnsi="Arial" w:cs="Arial"/>
          <w:kern w:val="0"/>
          <w:sz w:val="24"/>
          <w:szCs w:val="24"/>
        </w:rPr>
        <w:t>relevant</w:t>
      </w:r>
      <w:r w:rsidRPr="00AE1FA0">
        <w:rPr>
          <w:rFonts w:ascii="Arial" w:hAnsi="Arial" w:cs="Arial"/>
          <w:sz w:val="24"/>
          <w:szCs w:val="24"/>
        </w:rPr>
        <w:t xml:space="preserve"> writings about the use of hot water in the bathroom in the 1930s, which </w:t>
      </w:r>
      <w:r w:rsidRPr="00AE1FA0">
        <w:rPr>
          <w:rFonts w:ascii="Arial" w:hAnsi="Arial" w:cs="Arial"/>
          <w:kern w:val="0"/>
          <w:sz w:val="24"/>
          <w:szCs w:val="24"/>
        </w:rPr>
        <w:t>was an</w:t>
      </w:r>
      <w:r w:rsidRPr="00AE1FA0">
        <w:rPr>
          <w:rFonts w:ascii="Arial" w:hAnsi="Arial" w:cs="Arial"/>
          <w:sz w:val="24"/>
          <w:szCs w:val="24"/>
        </w:rPr>
        <w:t xml:space="preserve"> interesting point for comparison with the present situation. Conversely, archival work </w:t>
      </w:r>
      <w:r w:rsidRPr="00AE1FA0">
        <w:rPr>
          <w:rFonts w:ascii="Arial" w:hAnsi="Arial" w:cs="Arial"/>
          <w:kern w:val="0"/>
          <w:sz w:val="24"/>
          <w:szCs w:val="24"/>
        </w:rPr>
        <w:t xml:space="preserve">also </w:t>
      </w:r>
      <w:r w:rsidRPr="00AE1FA0">
        <w:rPr>
          <w:rFonts w:ascii="Arial" w:hAnsi="Arial" w:cs="Arial"/>
          <w:sz w:val="24"/>
          <w:szCs w:val="24"/>
        </w:rPr>
        <w:t>shape</w:t>
      </w:r>
      <w:r w:rsidRPr="00AE1FA0">
        <w:rPr>
          <w:rFonts w:ascii="Arial" w:hAnsi="Arial" w:cs="Arial"/>
          <w:kern w:val="0"/>
          <w:sz w:val="24"/>
          <w:szCs w:val="24"/>
        </w:rPr>
        <w:t>d</w:t>
      </w:r>
      <w:r w:rsidRPr="00AE1FA0">
        <w:rPr>
          <w:rFonts w:ascii="Arial" w:hAnsi="Arial" w:cs="Arial"/>
          <w:sz w:val="24"/>
          <w:szCs w:val="24"/>
        </w:rPr>
        <w:t xml:space="preserve"> interviewing</w:t>
      </w:r>
      <w:r w:rsidRPr="00AE1FA0">
        <w:rPr>
          <w:rFonts w:ascii="Arial" w:hAnsi="Arial" w:cs="Arial"/>
          <w:kern w:val="0"/>
          <w:sz w:val="24"/>
          <w:szCs w:val="24"/>
        </w:rPr>
        <w:t>, functioning</w:t>
      </w:r>
      <w:r w:rsidRPr="00AE1FA0">
        <w:rPr>
          <w:rFonts w:ascii="Arial" w:hAnsi="Arial" w:cs="Arial"/>
          <w:sz w:val="24"/>
          <w:szCs w:val="24"/>
        </w:rPr>
        <w:t xml:space="preserve"> </w:t>
      </w:r>
      <w:r w:rsidRPr="00AE1FA0">
        <w:rPr>
          <w:rFonts w:ascii="Arial" w:hAnsi="Arial" w:cs="Arial"/>
          <w:kern w:val="0"/>
          <w:sz w:val="24"/>
          <w:szCs w:val="24"/>
        </w:rPr>
        <w:t>a</w:t>
      </w:r>
      <w:r w:rsidRPr="00AE1FA0">
        <w:rPr>
          <w:rFonts w:ascii="Arial" w:hAnsi="Arial" w:cs="Arial"/>
          <w:sz w:val="24"/>
          <w:szCs w:val="24"/>
        </w:rPr>
        <w:t xml:space="preserve">s the basis for </w:t>
      </w:r>
      <w:r w:rsidRPr="00AE1FA0">
        <w:rPr>
          <w:rFonts w:ascii="Arial" w:hAnsi="Arial" w:cs="Arial"/>
          <w:kern w:val="0"/>
          <w:sz w:val="24"/>
          <w:szCs w:val="24"/>
        </w:rPr>
        <w:t xml:space="preserve">the design of </w:t>
      </w:r>
      <w:r w:rsidRPr="00AE1FA0">
        <w:rPr>
          <w:rFonts w:ascii="Arial" w:hAnsi="Arial" w:cs="Arial"/>
          <w:sz w:val="24"/>
          <w:szCs w:val="24"/>
        </w:rPr>
        <w:t>interviewing questions</w:t>
      </w:r>
      <w:r w:rsidRPr="00AE1FA0">
        <w:rPr>
          <w:rFonts w:ascii="Arial" w:hAnsi="Arial" w:cs="Arial"/>
          <w:kern w:val="0"/>
          <w:sz w:val="24"/>
          <w:szCs w:val="24"/>
        </w:rPr>
        <w:t>.</w:t>
      </w:r>
      <w:r w:rsidRPr="00AE1FA0">
        <w:rPr>
          <w:rFonts w:ascii="Arial" w:hAnsi="Arial" w:cs="Arial"/>
          <w:sz w:val="24"/>
          <w:szCs w:val="24"/>
        </w:rPr>
        <w:t xml:space="preserve"> </w:t>
      </w:r>
      <w:r w:rsidRPr="00AE1FA0">
        <w:rPr>
          <w:rFonts w:ascii="Arial" w:hAnsi="Arial" w:cs="Arial"/>
          <w:kern w:val="0"/>
          <w:sz w:val="24"/>
          <w:szCs w:val="24"/>
        </w:rPr>
        <w:t xml:space="preserve">The other key word is ‘twin’, which indicates the nature of this strategy. As a twin-track, each track of this approach should be equally important and relevant, because what ‘twin’ implies is two things are similar and connected. If ‘iterative’ is seen as the key word denoting how archival and interviewing materials could be connected, ‘twin’ is the key word demonstrating the importance to attribute same weight to both archival and interviewing evidence.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46" w:name="_Toc534732374"/>
      <w:r w:rsidRPr="00AE1FA0">
        <w:rPr>
          <w:rFonts w:ascii="Arial" w:eastAsiaTheme="majorEastAsia" w:hAnsi="Arial" w:cs="Arial"/>
          <w:b/>
          <w:color w:val="000000" w:themeColor="text1"/>
          <w:kern w:val="0"/>
          <w:sz w:val="24"/>
          <w:szCs w:val="24"/>
        </w:rPr>
        <w:lastRenderedPageBreak/>
        <w:t>3.3.2. Archival material</w:t>
      </w:r>
      <w:bookmarkEnd w:id="46"/>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sz w:val="24"/>
          <w:szCs w:val="24"/>
        </w:rPr>
        <w:t>Archiv</w:t>
      </w:r>
      <w:r w:rsidRPr="00AE1FA0">
        <w:rPr>
          <w:rFonts w:ascii="Arial" w:hAnsi="Arial" w:cs="Arial"/>
          <w:kern w:val="0"/>
          <w:sz w:val="24"/>
          <w:szCs w:val="24"/>
        </w:rPr>
        <w:t>e</w:t>
      </w:r>
      <w:r w:rsidRPr="00AE1FA0">
        <w:rPr>
          <w:rFonts w:ascii="Arial" w:hAnsi="Arial" w:cs="Arial"/>
          <w:sz w:val="24"/>
          <w:szCs w:val="24"/>
        </w:rPr>
        <w:t xml:space="preserve"> research is regarded as the bread and butter in the</w:t>
      </w:r>
      <w:r w:rsidRPr="00AE1FA0">
        <w:rPr>
          <w:rFonts w:ascii="Arial" w:hAnsi="Arial" w:cs="Arial"/>
          <w:kern w:val="0"/>
          <w:sz w:val="24"/>
          <w:szCs w:val="24"/>
        </w:rPr>
        <w:t xml:space="preserve"> field of </w:t>
      </w:r>
      <w:r w:rsidRPr="00AE1FA0">
        <w:rPr>
          <w:rFonts w:ascii="Arial" w:hAnsi="Arial" w:cs="Arial"/>
          <w:sz w:val="24"/>
          <w:szCs w:val="24"/>
        </w:rPr>
        <w:t>historic</w:t>
      </w:r>
      <w:r w:rsidRPr="00AE1FA0">
        <w:rPr>
          <w:rFonts w:ascii="Arial" w:hAnsi="Arial" w:cs="Arial"/>
          <w:kern w:val="0"/>
          <w:sz w:val="24"/>
          <w:szCs w:val="24"/>
        </w:rPr>
        <w:t>al</w:t>
      </w:r>
      <w:r w:rsidRPr="00AE1FA0">
        <w:rPr>
          <w:rFonts w:ascii="Arial" w:hAnsi="Arial" w:cs="Arial"/>
          <w:sz w:val="24"/>
          <w:szCs w:val="24"/>
        </w:rPr>
        <w:t xml:space="preserve"> studies, like laboratory experience for the physical scientists (King, 2012).</w:t>
      </w:r>
      <w:r w:rsidRPr="00AE1FA0">
        <w:rPr>
          <w:rFonts w:ascii="Arial" w:hAnsi="Arial" w:cs="Arial"/>
          <w:kern w:val="0"/>
          <w:sz w:val="24"/>
          <w:szCs w:val="24"/>
        </w:rPr>
        <w:t xml:space="preserve"> More importantly,</w:t>
      </w:r>
      <w:r w:rsidRPr="00AE1FA0">
        <w:rPr>
          <w:rFonts w:ascii="Arial" w:hAnsi="Arial" w:cs="Arial"/>
          <w:sz w:val="24"/>
          <w:szCs w:val="24"/>
        </w:rPr>
        <w:t xml:space="preserve"> most historians believe that historic</w:t>
      </w:r>
      <w:r w:rsidRPr="00AE1FA0">
        <w:rPr>
          <w:rFonts w:ascii="Arial" w:hAnsi="Arial" w:cs="Arial"/>
          <w:kern w:val="0"/>
          <w:sz w:val="24"/>
          <w:szCs w:val="24"/>
        </w:rPr>
        <w:t>al</w:t>
      </w:r>
      <w:r w:rsidRPr="00AE1FA0">
        <w:rPr>
          <w:rFonts w:ascii="Arial" w:hAnsi="Arial" w:cs="Arial"/>
          <w:sz w:val="24"/>
          <w:szCs w:val="24"/>
        </w:rPr>
        <w:t xml:space="preserve"> study is to find traces in the past, which can be discovered from archives. (Freshwater, 2003; Moore, 2010). Archives are ideal places for researchers.</w:t>
      </w:r>
      <w:r w:rsidRPr="00AE1FA0">
        <w:rPr>
          <w:rFonts w:ascii="Arial" w:hAnsi="Arial" w:cs="Arial"/>
          <w:kern w:val="0"/>
          <w:sz w:val="24"/>
          <w:szCs w:val="24"/>
        </w:rPr>
        <w:t xml:space="preserve"> </w:t>
      </w:r>
      <w:r w:rsidRPr="00AE1FA0">
        <w:rPr>
          <w:rFonts w:ascii="Arial" w:hAnsi="Arial" w:cs="Arial"/>
          <w:sz w:val="24"/>
          <w:szCs w:val="24"/>
        </w:rPr>
        <w:t>Moore (2010</w:t>
      </w:r>
      <w:r w:rsidRPr="00AE1FA0">
        <w:rPr>
          <w:rFonts w:ascii="Arial" w:hAnsi="Arial" w:cs="Arial"/>
          <w:kern w:val="0"/>
          <w:sz w:val="24"/>
          <w:szCs w:val="24"/>
        </w:rPr>
        <w:t xml:space="preserve">: </w:t>
      </w:r>
      <w:r w:rsidRPr="00AE1FA0">
        <w:rPr>
          <w:rFonts w:ascii="Arial" w:hAnsi="Arial" w:cs="Arial"/>
          <w:sz w:val="24"/>
          <w:szCs w:val="24"/>
        </w:rPr>
        <w:t xml:space="preserve">263) provided </w:t>
      </w:r>
      <w:r w:rsidRPr="00AE1FA0">
        <w:rPr>
          <w:rFonts w:ascii="Arial" w:hAnsi="Arial" w:cs="Arial"/>
          <w:kern w:val="0"/>
          <w:sz w:val="24"/>
          <w:szCs w:val="24"/>
        </w:rPr>
        <w:t>a</w:t>
      </w:r>
      <w:r w:rsidRPr="00AE1FA0">
        <w:rPr>
          <w:rFonts w:ascii="Arial" w:hAnsi="Arial" w:cs="Arial"/>
          <w:sz w:val="24"/>
          <w:szCs w:val="24"/>
        </w:rPr>
        <w:t xml:space="preserve"> definition</w:t>
      </w:r>
      <w:r w:rsidRPr="00AE1FA0">
        <w:rPr>
          <w:rFonts w:ascii="Arial" w:hAnsi="Arial" w:cs="Arial"/>
          <w:kern w:val="0"/>
          <w:sz w:val="24"/>
          <w:szCs w:val="24"/>
        </w:rPr>
        <w:t xml:space="preserve"> for</w:t>
      </w:r>
      <w:r w:rsidRPr="00AE1FA0">
        <w:rPr>
          <w:rFonts w:ascii="Arial" w:hAnsi="Arial" w:cs="Arial"/>
          <w:sz w:val="24"/>
          <w:szCs w:val="24"/>
        </w:rPr>
        <w:t xml:space="preserve"> an archive as “a repository, a place in which materials of historical interest or social significance are stored, presented and ordered”. </w:t>
      </w:r>
      <w:r w:rsidRPr="00AE1FA0">
        <w:rPr>
          <w:rFonts w:ascii="Arial" w:hAnsi="Arial" w:cs="Arial"/>
          <w:kern w:val="0"/>
          <w:sz w:val="24"/>
          <w:szCs w:val="24"/>
        </w:rPr>
        <w:t xml:space="preserve">For historians, epistemological concerns concentrate on the level of the status of evidence and treatment of time (Rowlinson, Hassard and Decker, 2014). Different school of historical thought perceive these in various ways. As compared in Chapter Two, Historicism and New Historicism represent two different assumptions and approaches of these epistemological choices. This thesis was designed and approached based on the understanding of history and the past in the school of New Historicism. </w:t>
      </w:r>
      <w:r w:rsidRPr="00AE1FA0">
        <w:rPr>
          <w:rFonts w:ascii="Arial" w:hAnsi="Arial" w:cs="Arial"/>
          <w:sz w:val="24"/>
          <w:szCs w:val="24"/>
        </w:rPr>
        <w:t xml:space="preserve">In social science disciplines, historical archives also attract growing interest with the rise of historical contextualization theory, especially the New Historicism. </w:t>
      </w:r>
      <w:r w:rsidRPr="00AE1FA0">
        <w:rPr>
          <w:rFonts w:ascii="Arial" w:hAnsi="Arial" w:cs="Arial"/>
          <w:kern w:val="0"/>
          <w:sz w:val="24"/>
          <w:szCs w:val="24"/>
        </w:rPr>
        <w:t xml:space="preserve">However, in the field of organizational studies, archives are extremely under-utilized as a source of empirical materials (Rowlinson, Hassard and Decker, 2014). Although textual and visual materials have long been recognized as part and parcel of organization studies, little empirical and theoretical studies had ever implicitly touched upon how to use archival materials once placed in archives. For this reason, </w:t>
      </w:r>
      <w:r w:rsidRPr="00AE1FA0">
        <w:rPr>
          <w:rFonts w:ascii="Arial" w:eastAsia="宋体" w:hAnsi="Arial" w:cs="Arial"/>
          <w:sz w:val="24"/>
          <w:szCs w:val="24"/>
        </w:rPr>
        <w:t>one of the original methodological contribution</w:t>
      </w:r>
      <w:r w:rsidRPr="00AE1FA0">
        <w:rPr>
          <w:rFonts w:ascii="Arial" w:eastAsia="宋体" w:hAnsi="Arial" w:cs="Arial"/>
          <w:kern w:val="0"/>
          <w:sz w:val="24"/>
          <w:szCs w:val="24"/>
        </w:rPr>
        <w:t xml:space="preserve">s that </w:t>
      </w:r>
      <w:r w:rsidRPr="00AE1FA0">
        <w:rPr>
          <w:rFonts w:ascii="Arial" w:eastAsia="宋体" w:hAnsi="Arial" w:cs="Arial"/>
          <w:sz w:val="24"/>
          <w:szCs w:val="24"/>
        </w:rPr>
        <w:t>this thesis strive</w:t>
      </w:r>
      <w:r w:rsidRPr="00AE1FA0">
        <w:rPr>
          <w:rFonts w:ascii="Arial" w:eastAsia="宋体" w:hAnsi="Arial" w:cs="Arial"/>
          <w:kern w:val="0"/>
          <w:sz w:val="24"/>
          <w:szCs w:val="24"/>
        </w:rPr>
        <w:t>s</w:t>
      </w:r>
      <w:r w:rsidRPr="00AE1FA0">
        <w:rPr>
          <w:rFonts w:ascii="Arial" w:eastAsia="宋体" w:hAnsi="Arial" w:cs="Arial"/>
          <w:sz w:val="24"/>
          <w:szCs w:val="24"/>
        </w:rPr>
        <w:t xml:space="preserve"> to achieve is to incorporate this </w:t>
      </w:r>
      <w:r w:rsidRPr="00AE1FA0">
        <w:rPr>
          <w:rFonts w:ascii="Arial" w:eastAsia="宋体" w:hAnsi="Arial" w:cs="Arial"/>
          <w:kern w:val="0"/>
          <w:sz w:val="24"/>
          <w:szCs w:val="24"/>
        </w:rPr>
        <w:t xml:space="preserve">type of </w:t>
      </w:r>
      <w:r w:rsidRPr="00AE1FA0">
        <w:rPr>
          <w:rFonts w:ascii="Arial" w:eastAsia="宋体" w:hAnsi="Arial" w:cs="Arial"/>
          <w:sz w:val="24"/>
          <w:szCs w:val="24"/>
        </w:rPr>
        <w:t xml:space="preserve">under-utilized material into this study of organizations, and organizational </w:t>
      </w:r>
      <w:proofErr w:type="gramStart"/>
      <w:r w:rsidRPr="00AE1FA0">
        <w:rPr>
          <w:rFonts w:ascii="Arial" w:eastAsia="宋体" w:hAnsi="Arial" w:cs="Arial"/>
          <w:sz w:val="24"/>
          <w:szCs w:val="24"/>
        </w:rPr>
        <w:t>space in particular</w:t>
      </w:r>
      <w:proofErr w:type="gramEnd"/>
      <w:r w:rsidRPr="00AE1FA0">
        <w:rPr>
          <w:rFonts w:ascii="Arial" w:eastAsia="宋体" w:hAnsi="Arial" w:cs="Arial"/>
          <w:sz w:val="24"/>
          <w:szCs w:val="24"/>
        </w:rPr>
        <w:t>.</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sz w:val="24"/>
          <w:szCs w:val="24"/>
        </w:rPr>
        <w:t xml:space="preserve">In the case of Founder’s Building, as the original building of RHUL, the documented archival materials are relatively complete and comprehensive. The earliest relevant document can be dated back to 1887 before the official opening of RHUL; therefore, the amount of the material available can be overwhelming. Unlike other methods, it is unrealistic to specify the population or sampling strategy for the archive. Indeed, as an interpretivist with a phenomenological perspective, I believe that the quality of the material is more important than the quantity. </w:t>
      </w:r>
      <w:r w:rsidRPr="00AE1FA0">
        <w:rPr>
          <w:rFonts w:ascii="Arial" w:hAnsi="Arial" w:cs="Arial"/>
          <w:kern w:val="0"/>
          <w:sz w:val="24"/>
          <w:szCs w:val="24"/>
        </w:rPr>
        <w:t xml:space="preserve">In this case, the aim was to discover </w:t>
      </w:r>
      <w:r w:rsidRPr="00AE1FA0">
        <w:rPr>
          <w:rFonts w:ascii="Arial" w:hAnsi="Arial" w:cs="Arial"/>
          <w:kern w:val="0"/>
          <w:sz w:val="24"/>
          <w:szCs w:val="24"/>
        </w:rPr>
        <w:lastRenderedPageBreak/>
        <w:t>organizational space as a continuing process, which meant that coverage of empirical materials would be a criterion for assessing the quality of them. The coverage ranged from the early conception stage before the official opening of Founder’s Building to the latest opening of Founder’s Court, which totally transformed the configuration of Founder’s Building. It should be clarified that most of these materials were collected from the college archive except for the latest developments, which are too up-to-date to have yet been stored in the college archive; therefore, I collected related publicity materials, both print and online. Detailed time periods that I investigated can be found in the following table that briefly summarized the key moments that shaped and influenced Founder’s Building and RHUL.</w:t>
      </w:r>
    </w:p>
    <w:p w:rsidR="00AE1FA0" w:rsidRPr="00AE1FA0" w:rsidRDefault="00AE1FA0" w:rsidP="00AE1FA0">
      <w:pPr>
        <w:widowControl/>
        <w:spacing w:after="160" w:line="360" w:lineRule="auto"/>
        <w:rPr>
          <w:rFonts w:ascii="Arial" w:hAnsi="Arial" w:cs="Arial"/>
          <w:kern w:val="0"/>
          <w:sz w:val="24"/>
          <w:szCs w:val="24"/>
        </w:rPr>
      </w:pPr>
    </w:p>
    <w:tbl>
      <w:tblPr>
        <w:tblStyle w:val="GridTable1Light"/>
        <w:tblpPr w:leftFromText="180" w:rightFromText="180" w:vertAnchor="text" w:horzAnchor="margin" w:tblpY="166"/>
        <w:tblW w:w="0" w:type="auto"/>
        <w:tblLook w:val="04A0" w:firstRow="1" w:lastRow="0" w:firstColumn="1" w:lastColumn="0" w:noHBand="0" w:noVBand="1"/>
      </w:tblPr>
      <w:tblGrid>
        <w:gridCol w:w="4324"/>
        <w:gridCol w:w="4198"/>
      </w:tblGrid>
      <w:tr w:rsidR="00AE1FA0" w:rsidRPr="00AE1FA0" w:rsidTr="003E6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4" w:type="dxa"/>
          </w:tcPr>
          <w:p w:rsidR="00AE1FA0" w:rsidRPr="00AE1FA0" w:rsidRDefault="00AE1FA0" w:rsidP="00AE1FA0">
            <w:pPr>
              <w:spacing w:after="160" w:line="360" w:lineRule="auto"/>
              <w:rPr>
                <w:rFonts w:ascii="Arial" w:hAnsi="Arial" w:cs="Arial"/>
                <w:sz w:val="24"/>
                <w:szCs w:val="24"/>
              </w:rPr>
            </w:pPr>
            <w:r w:rsidRPr="00AE1FA0">
              <w:rPr>
                <w:rFonts w:ascii="Arial" w:hAnsi="Arial" w:cs="Arial"/>
                <w:sz w:val="24"/>
                <w:szCs w:val="24"/>
              </w:rPr>
              <w:t>Historical moments/transitions</w:t>
            </w:r>
          </w:p>
        </w:tc>
        <w:tc>
          <w:tcPr>
            <w:tcW w:w="4198" w:type="dxa"/>
          </w:tcPr>
          <w:p w:rsidR="00AE1FA0" w:rsidRPr="00AE1FA0" w:rsidRDefault="00AE1FA0" w:rsidP="00AE1FA0">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AE1FA0" w:rsidRPr="00AE1FA0" w:rsidTr="003E6B09">
        <w:tc>
          <w:tcPr>
            <w:cnfStyle w:val="001000000000" w:firstRow="0" w:lastRow="0" w:firstColumn="1" w:lastColumn="0" w:oddVBand="0" w:evenVBand="0" w:oddHBand="0" w:evenHBand="0" w:firstRowFirstColumn="0" w:firstRowLastColumn="0" w:lastRowFirstColumn="0" w:lastRowLastColumn="0"/>
            <w:tcW w:w="4324" w:type="dxa"/>
          </w:tcPr>
          <w:p w:rsidR="00AE1FA0" w:rsidRPr="00AE1FA0" w:rsidRDefault="00AE1FA0" w:rsidP="00AE1FA0">
            <w:pPr>
              <w:widowControl/>
              <w:spacing w:after="160" w:line="360" w:lineRule="auto"/>
              <w:contextualSpacing/>
              <w:rPr>
                <w:rFonts w:ascii="Arial" w:hAnsi="Arial" w:cs="Arial"/>
                <w:sz w:val="24"/>
                <w:szCs w:val="24"/>
              </w:rPr>
            </w:pPr>
            <w:r w:rsidRPr="00AE1FA0">
              <w:rPr>
                <w:rFonts w:ascii="Arial" w:hAnsi="Arial" w:cs="Arial"/>
                <w:sz w:val="24"/>
                <w:szCs w:val="24"/>
              </w:rPr>
              <w:t>The foundation of Founder’s Building before the opening of RHUL (The first brick was laid in 1879)</w:t>
            </w:r>
          </w:p>
        </w:tc>
        <w:tc>
          <w:tcPr>
            <w:tcW w:w="4198" w:type="dxa"/>
          </w:tcPr>
          <w:p w:rsidR="00AE1FA0" w:rsidRPr="00AE1FA0" w:rsidRDefault="00AE1FA0" w:rsidP="00AE1FA0">
            <w:pPr>
              <w:widowControl/>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FA0">
              <w:rPr>
                <w:rFonts w:ascii="Arial" w:hAnsi="Arial" w:cs="Arial"/>
                <w:sz w:val="24"/>
                <w:szCs w:val="24"/>
              </w:rPr>
              <w:t>1. The foundation process is important to understand the conceived space including the dominant architectural discourse and stakeholders’ viewpoints</w:t>
            </w:r>
          </w:p>
          <w:p w:rsidR="00AE1FA0" w:rsidRPr="00AE1FA0" w:rsidRDefault="00AE1FA0" w:rsidP="00AE1FA0">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FA0">
              <w:rPr>
                <w:rFonts w:ascii="Arial" w:hAnsi="Arial" w:cs="Arial"/>
                <w:sz w:val="24"/>
                <w:szCs w:val="24"/>
              </w:rPr>
              <w:t>2. Social norms and values of women education and colleges</w:t>
            </w:r>
          </w:p>
        </w:tc>
      </w:tr>
      <w:tr w:rsidR="00AE1FA0" w:rsidRPr="00AE1FA0" w:rsidTr="003E6B09">
        <w:tc>
          <w:tcPr>
            <w:cnfStyle w:val="001000000000" w:firstRow="0" w:lastRow="0" w:firstColumn="1" w:lastColumn="0" w:oddVBand="0" w:evenVBand="0" w:oddHBand="0" w:evenHBand="0" w:firstRowFirstColumn="0" w:firstRowLastColumn="0" w:lastRowFirstColumn="0" w:lastRowLastColumn="0"/>
            <w:tcW w:w="4324" w:type="dxa"/>
          </w:tcPr>
          <w:p w:rsidR="00AE1FA0" w:rsidRPr="00AE1FA0" w:rsidRDefault="00AE1FA0" w:rsidP="00AE1FA0">
            <w:pPr>
              <w:widowControl/>
              <w:spacing w:after="160" w:line="360" w:lineRule="auto"/>
              <w:contextualSpacing/>
              <w:rPr>
                <w:rFonts w:ascii="Arial" w:hAnsi="Arial" w:cs="Arial"/>
                <w:sz w:val="24"/>
                <w:szCs w:val="24"/>
              </w:rPr>
            </w:pPr>
            <w:r w:rsidRPr="00AE1FA0">
              <w:rPr>
                <w:rFonts w:ascii="Arial" w:hAnsi="Arial" w:cs="Arial"/>
                <w:sz w:val="24"/>
                <w:szCs w:val="24"/>
              </w:rPr>
              <w:t>The first 28 RHUL students enrolled in 1887</w:t>
            </w:r>
          </w:p>
        </w:tc>
        <w:tc>
          <w:tcPr>
            <w:tcW w:w="4198" w:type="dxa"/>
          </w:tcPr>
          <w:p w:rsidR="00AE1FA0" w:rsidRPr="00AE1FA0" w:rsidRDefault="00AE1FA0" w:rsidP="00AE1FA0">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FA0">
              <w:rPr>
                <w:rFonts w:ascii="Arial" w:hAnsi="Arial" w:cs="Arial"/>
                <w:sz w:val="24"/>
                <w:szCs w:val="24"/>
              </w:rPr>
              <w:t xml:space="preserve">1. The collection of the first 28 students’ lived experience also functions as one comparative standard for lived space. </w:t>
            </w:r>
          </w:p>
        </w:tc>
      </w:tr>
      <w:tr w:rsidR="00AE1FA0" w:rsidRPr="00AE1FA0" w:rsidTr="003E6B09">
        <w:tc>
          <w:tcPr>
            <w:cnfStyle w:val="001000000000" w:firstRow="0" w:lastRow="0" w:firstColumn="1" w:lastColumn="0" w:oddVBand="0" w:evenVBand="0" w:oddHBand="0" w:evenHBand="0" w:firstRowFirstColumn="0" w:firstRowLastColumn="0" w:lastRowFirstColumn="0" w:lastRowLastColumn="0"/>
            <w:tcW w:w="4324" w:type="dxa"/>
          </w:tcPr>
          <w:p w:rsidR="00AE1FA0" w:rsidRPr="00AE1FA0" w:rsidRDefault="00AE1FA0" w:rsidP="00AE1FA0">
            <w:pPr>
              <w:widowControl/>
              <w:spacing w:after="160" w:line="360" w:lineRule="auto"/>
              <w:contextualSpacing/>
              <w:rPr>
                <w:rFonts w:ascii="Arial" w:hAnsi="Arial" w:cs="Arial"/>
                <w:sz w:val="24"/>
                <w:szCs w:val="24"/>
              </w:rPr>
            </w:pPr>
            <w:r w:rsidRPr="00AE1FA0">
              <w:rPr>
                <w:rFonts w:ascii="Arial" w:hAnsi="Arial" w:cs="Arial"/>
                <w:sz w:val="24"/>
                <w:szCs w:val="24"/>
              </w:rPr>
              <w:t>RHUL in WW1 and WW2</w:t>
            </w:r>
          </w:p>
        </w:tc>
        <w:tc>
          <w:tcPr>
            <w:tcW w:w="4198" w:type="dxa"/>
          </w:tcPr>
          <w:p w:rsidR="00AE1FA0" w:rsidRPr="00AE1FA0" w:rsidRDefault="00AE1FA0" w:rsidP="00AE1FA0">
            <w:pPr>
              <w:widowControl/>
              <w:numPr>
                <w:ilvl w:val="0"/>
                <w:numId w:val="47"/>
              </w:numPr>
              <w:spacing w:after="160"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FA0">
              <w:rPr>
                <w:rFonts w:ascii="Arial" w:hAnsi="Arial" w:cs="Arial"/>
                <w:sz w:val="24"/>
                <w:szCs w:val="24"/>
              </w:rPr>
              <w:t>These are periods with dramatic changes not only for the students/staff living in the Founder’s Building, but also for general society</w:t>
            </w:r>
          </w:p>
        </w:tc>
      </w:tr>
      <w:tr w:rsidR="00AE1FA0" w:rsidRPr="00AE1FA0" w:rsidTr="003E6B09">
        <w:tc>
          <w:tcPr>
            <w:cnfStyle w:val="001000000000" w:firstRow="0" w:lastRow="0" w:firstColumn="1" w:lastColumn="0" w:oddVBand="0" w:evenVBand="0" w:oddHBand="0" w:evenHBand="0" w:firstRowFirstColumn="0" w:firstRowLastColumn="0" w:lastRowFirstColumn="0" w:lastRowLastColumn="0"/>
            <w:tcW w:w="4324" w:type="dxa"/>
          </w:tcPr>
          <w:p w:rsidR="00AE1FA0" w:rsidRPr="00AE1FA0" w:rsidRDefault="00AE1FA0" w:rsidP="00AE1FA0">
            <w:pPr>
              <w:widowControl/>
              <w:spacing w:after="160" w:line="360" w:lineRule="auto"/>
              <w:contextualSpacing/>
              <w:rPr>
                <w:rFonts w:ascii="Arial" w:hAnsi="Arial" w:cs="Arial"/>
                <w:sz w:val="24"/>
                <w:szCs w:val="24"/>
              </w:rPr>
            </w:pPr>
            <w:r w:rsidRPr="00AE1FA0">
              <w:rPr>
                <w:rFonts w:ascii="Arial" w:hAnsi="Arial" w:cs="Arial"/>
                <w:sz w:val="24"/>
                <w:szCs w:val="24"/>
              </w:rPr>
              <w:t>The first male student (postgraduate) in 1945 in RHUL</w:t>
            </w:r>
          </w:p>
        </w:tc>
        <w:tc>
          <w:tcPr>
            <w:tcW w:w="4198" w:type="dxa"/>
          </w:tcPr>
          <w:p w:rsidR="00AE1FA0" w:rsidRPr="00AE1FA0" w:rsidRDefault="00AE1FA0" w:rsidP="00AE1FA0">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FA0">
              <w:rPr>
                <w:rFonts w:ascii="Arial" w:hAnsi="Arial" w:cs="Arial"/>
                <w:sz w:val="24"/>
                <w:szCs w:val="24"/>
              </w:rPr>
              <w:t>1. This indicates the ‘invasion’ of men in a women space</w:t>
            </w:r>
          </w:p>
          <w:p w:rsidR="00AE1FA0" w:rsidRPr="00AE1FA0" w:rsidRDefault="00AE1FA0" w:rsidP="00AE1FA0">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FA0">
              <w:rPr>
                <w:rFonts w:ascii="Arial" w:hAnsi="Arial" w:cs="Arial"/>
                <w:sz w:val="24"/>
                <w:szCs w:val="24"/>
              </w:rPr>
              <w:lastRenderedPageBreak/>
              <w:t>2. Spatial changes on all levels: conceived space (e.g. newly built space for men); perceived space and lived space</w:t>
            </w:r>
          </w:p>
        </w:tc>
      </w:tr>
      <w:tr w:rsidR="00AE1FA0" w:rsidRPr="00AE1FA0" w:rsidTr="003E6B09">
        <w:tc>
          <w:tcPr>
            <w:cnfStyle w:val="001000000000" w:firstRow="0" w:lastRow="0" w:firstColumn="1" w:lastColumn="0" w:oddVBand="0" w:evenVBand="0" w:oddHBand="0" w:evenHBand="0" w:firstRowFirstColumn="0" w:firstRowLastColumn="0" w:lastRowFirstColumn="0" w:lastRowLastColumn="0"/>
            <w:tcW w:w="4324" w:type="dxa"/>
          </w:tcPr>
          <w:p w:rsidR="00AE1FA0" w:rsidRPr="00AE1FA0" w:rsidRDefault="00AE1FA0" w:rsidP="00AE1FA0">
            <w:pPr>
              <w:widowControl/>
              <w:spacing w:after="160" w:line="360" w:lineRule="auto"/>
              <w:contextualSpacing/>
              <w:rPr>
                <w:rFonts w:ascii="Arial" w:hAnsi="Arial" w:cs="Arial"/>
                <w:sz w:val="24"/>
                <w:szCs w:val="24"/>
              </w:rPr>
            </w:pPr>
            <w:r w:rsidRPr="00AE1FA0">
              <w:rPr>
                <w:rFonts w:ascii="Arial" w:hAnsi="Arial" w:cs="Arial"/>
                <w:sz w:val="24"/>
                <w:szCs w:val="24"/>
              </w:rPr>
              <w:lastRenderedPageBreak/>
              <w:t>RHUL became fully co-educational in 1965</w:t>
            </w:r>
          </w:p>
        </w:tc>
        <w:tc>
          <w:tcPr>
            <w:tcW w:w="4198" w:type="dxa"/>
          </w:tcPr>
          <w:p w:rsidR="00AE1FA0" w:rsidRPr="00AE1FA0" w:rsidRDefault="00AE1FA0" w:rsidP="00AE1FA0">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FA0">
              <w:rPr>
                <w:rFonts w:ascii="Arial" w:hAnsi="Arial" w:cs="Arial"/>
                <w:sz w:val="24"/>
                <w:szCs w:val="24"/>
              </w:rPr>
              <w:t>1. The female ethos of RHUL continued to fade away: contradictions between the conceived space and lived space?</w:t>
            </w:r>
          </w:p>
        </w:tc>
      </w:tr>
      <w:tr w:rsidR="00AE1FA0" w:rsidRPr="00AE1FA0" w:rsidTr="003E6B09">
        <w:tc>
          <w:tcPr>
            <w:cnfStyle w:val="001000000000" w:firstRow="0" w:lastRow="0" w:firstColumn="1" w:lastColumn="0" w:oddVBand="0" w:evenVBand="0" w:oddHBand="0" w:evenHBand="0" w:firstRowFirstColumn="0" w:firstRowLastColumn="0" w:lastRowFirstColumn="0" w:lastRowLastColumn="0"/>
            <w:tcW w:w="4324" w:type="dxa"/>
          </w:tcPr>
          <w:p w:rsidR="00AE1FA0" w:rsidRPr="00AE1FA0" w:rsidRDefault="00AE1FA0" w:rsidP="00AE1FA0">
            <w:pPr>
              <w:widowControl/>
              <w:spacing w:after="160" w:line="360" w:lineRule="auto"/>
              <w:ind w:left="1" w:hanging="1"/>
              <w:contextualSpacing/>
              <w:rPr>
                <w:rFonts w:ascii="Arial" w:hAnsi="Arial" w:cs="Arial"/>
                <w:sz w:val="24"/>
                <w:szCs w:val="24"/>
              </w:rPr>
            </w:pPr>
            <w:r w:rsidRPr="00AE1FA0">
              <w:rPr>
                <w:rFonts w:ascii="Arial" w:hAnsi="Arial" w:cs="Arial"/>
                <w:sz w:val="24"/>
                <w:szCs w:val="24"/>
              </w:rPr>
              <w:t xml:space="preserve">Sale of ‘Victorian’ furniture and refurbishment of student rooms in 2012 </w:t>
            </w:r>
          </w:p>
        </w:tc>
        <w:tc>
          <w:tcPr>
            <w:tcW w:w="4198" w:type="dxa"/>
          </w:tcPr>
          <w:p w:rsidR="00AE1FA0" w:rsidRPr="00AE1FA0" w:rsidRDefault="00AE1FA0" w:rsidP="00AE1FA0">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FA0">
              <w:rPr>
                <w:rFonts w:ascii="Arial" w:hAnsi="Arial" w:cs="Arial"/>
                <w:sz w:val="24"/>
                <w:szCs w:val="24"/>
              </w:rPr>
              <w:t>1. Attitudes towards the history?</w:t>
            </w:r>
          </w:p>
        </w:tc>
      </w:tr>
      <w:tr w:rsidR="00AE1FA0" w:rsidRPr="00AE1FA0" w:rsidTr="003E6B09">
        <w:tc>
          <w:tcPr>
            <w:cnfStyle w:val="001000000000" w:firstRow="0" w:lastRow="0" w:firstColumn="1" w:lastColumn="0" w:oddVBand="0" w:evenVBand="0" w:oddHBand="0" w:evenHBand="0" w:firstRowFirstColumn="0" w:firstRowLastColumn="0" w:lastRowFirstColumn="0" w:lastRowLastColumn="0"/>
            <w:tcW w:w="4324" w:type="dxa"/>
          </w:tcPr>
          <w:p w:rsidR="00AE1FA0" w:rsidRPr="00AE1FA0" w:rsidRDefault="00AE1FA0" w:rsidP="00AE1FA0">
            <w:pPr>
              <w:widowControl/>
              <w:spacing w:after="160" w:line="360" w:lineRule="auto"/>
              <w:ind w:left="1" w:hanging="1"/>
              <w:contextualSpacing/>
              <w:rPr>
                <w:rFonts w:ascii="Arial" w:hAnsi="Arial" w:cs="Arial"/>
                <w:sz w:val="24"/>
                <w:szCs w:val="24"/>
              </w:rPr>
            </w:pPr>
            <w:r w:rsidRPr="00AE1FA0">
              <w:rPr>
                <w:rFonts w:ascii="Arial" w:hAnsi="Arial" w:cs="Arial"/>
                <w:sz w:val="24"/>
                <w:szCs w:val="24"/>
              </w:rPr>
              <w:t xml:space="preserve">Opening of Founder’s Court and Emily Davison building </w:t>
            </w:r>
          </w:p>
        </w:tc>
        <w:tc>
          <w:tcPr>
            <w:tcW w:w="4198" w:type="dxa"/>
          </w:tcPr>
          <w:p w:rsidR="00AE1FA0" w:rsidRPr="00AE1FA0" w:rsidRDefault="00AE1FA0" w:rsidP="00AE1FA0">
            <w:pPr>
              <w:widowControl/>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FA0">
              <w:rPr>
                <w:rFonts w:ascii="Arial" w:hAnsi="Arial" w:cs="Arial"/>
                <w:sz w:val="24"/>
                <w:szCs w:val="24"/>
              </w:rPr>
              <w:t>1. Spatial legacy of Founder’s Building and ‘Victorian’ ethos: a return to ‘Victorian’?</w:t>
            </w:r>
          </w:p>
        </w:tc>
      </w:tr>
    </w:tbl>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Table 1. Timeline of RHUL: Important moments in Founder’s Building</w:t>
      </w:r>
    </w:p>
    <w:p w:rsidR="00AE1FA0" w:rsidRPr="00AE1FA0" w:rsidRDefault="00AE1FA0" w:rsidP="00AE1FA0">
      <w:pPr>
        <w:spacing w:line="360" w:lineRule="auto"/>
        <w:rPr>
          <w:rFonts w:ascii="Arial" w:hAnsi="Arial" w:cs="Arial"/>
          <w:kern w:val="0"/>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kern w:val="0"/>
          <w:sz w:val="24"/>
          <w:szCs w:val="24"/>
        </w:rPr>
        <w:t xml:space="preserve">The first round of archival visits lasted for 6 months before interviewing started; during this stage, my focus was on familiarizing myself with Founder’s Building and RHUL. This could be defined as an immersion stage, during which I read broadly and extensively. In this stage, only a large quantity of materials discovered and analysed could lead to </w:t>
      </w:r>
      <w:proofErr w:type="gramStart"/>
      <w:r w:rsidRPr="00AE1FA0">
        <w:rPr>
          <w:rFonts w:ascii="Arial" w:hAnsi="Arial" w:cs="Arial"/>
          <w:kern w:val="0"/>
          <w:sz w:val="24"/>
          <w:szCs w:val="24"/>
        </w:rPr>
        <w:t>sufficient</w:t>
      </w:r>
      <w:proofErr w:type="gramEnd"/>
      <w:r w:rsidRPr="00AE1FA0">
        <w:rPr>
          <w:rFonts w:ascii="Arial" w:hAnsi="Arial" w:cs="Arial"/>
          <w:kern w:val="0"/>
          <w:sz w:val="24"/>
          <w:szCs w:val="24"/>
        </w:rPr>
        <w:t xml:space="preserve"> immersion with empirical materials. The aim of the immersion stage was to familiarize myself with the range and depth of the relevant empirical materials available in the college archive as well as preparing to move to the next stage, selection and scanning, in which I focused on specific areas that were relevant and meaningful to answer research questions. What was important about these areas was that they became themes for interviewing questions in the later stage. Once finished the stage of selection and scanning, I moved to the next stage, inspection. I define this inspection stage as a complementary process, which included searching for additional empirical evidence emerging from selection and scanning. Just to use an example to illustrate how this worked, I identified that the evolving definition of femininity was closely related to how people interact with Founder’s Building, and during reading reminiscences, a new key word, ‘blue-stocking’, (an academic or </w:t>
      </w:r>
      <w:r w:rsidRPr="00AE1FA0">
        <w:rPr>
          <w:rFonts w:ascii="Arial" w:hAnsi="Arial" w:cs="Arial"/>
          <w:kern w:val="0"/>
          <w:sz w:val="24"/>
          <w:szCs w:val="24"/>
        </w:rPr>
        <w:lastRenderedPageBreak/>
        <w:t>intellectual woman), emerged. Consequently, ‘blue-stocking’ then became the theme for the inspection stage, during which I searched the college archive to discover relevant materials. The second round of archive visits happened after the analysis of the interviewing materials, this round concentrating on new areas of interest that emerged from the interviewing process.</w:t>
      </w:r>
    </w:p>
    <w:p w:rsidR="00AE1FA0" w:rsidRPr="00AE1FA0" w:rsidRDefault="00AE1FA0" w:rsidP="00AE1FA0">
      <w:pPr>
        <w:spacing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During the two rounds of intensive and regular archival visits, I discovered that v</w:t>
      </w:r>
      <w:r w:rsidRPr="00AE1FA0">
        <w:rPr>
          <w:rFonts w:ascii="Arial" w:hAnsi="Arial" w:cs="Arial"/>
          <w:sz w:val="24"/>
          <w:szCs w:val="24"/>
        </w:rPr>
        <w:t xml:space="preserve">isual materials </w:t>
      </w:r>
      <w:r w:rsidRPr="00AE1FA0">
        <w:rPr>
          <w:rFonts w:ascii="Arial" w:hAnsi="Arial" w:cs="Arial"/>
          <w:kern w:val="0"/>
          <w:sz w:val="24"/>
          <w:szCs w:val="24"/>
        </w:rPr>
        <w:t xml:space="preserve">constituted a considerable part of the empirical materials. This was because this is a study of space, and visual materials are essential to explain and to justify. And this is </w:t>
      </w:r>
      <w:r w:rsidRPr="00AE1FA0">
        <w:rPr>
          <w:rFonts w:ascii="Arial" w:hAnsi="Arial" w:cs="Arial"/>
          <w:sz w:val="24"/>
          <w:szCs w:val="24"/>
        </w:rPr>
        <w:t>an increasingly visually orientated world, “the visual media and materials have come to penetrate all manner of communication” (Parker, 2009</w:t>
      </w:r>
      <w:r w:rsidRPr="00AE1FA0">
        <w:rPr>
          <w:rFonts w:ascii="Arial" w:hAnsi="Arial" w:cs="Arial"/>
          <w:kern w:val="0"/>
          <w:sz w:val="24"/>
          <w:szCs w:val="24"/>
        </w:rPr>
        <w:t xml:space="preserve">: </w:t>
      </w:r>
      <w:r w:rsidRPr="00AE1FA0">
        <w:rPr>
          <w:rFonts w:ascii="Arial" w:hAnsi="Arial" w:cs="Arial"/>
          <w:sz w:val="24"/>
          <w:szCs w:val="24"/>
        </w:rPr>
        <w:t>2). According to Buchanan (2001</w:t>
      </w:r>
      <w:r w:rsidRPr="00AE1FA0">
        <w:rPr>
          <w:rFonts w:ascii="Arial" w:hAnsi="Arial" w:cs="Arial"/>
          <w:kern w:val="0"/>
          <w:sz w:val="24"/>
          <w:szCs w:val="24"/>
        </w:rPr>
        <w:t>: 256</w:t>
      </w:r>
      <w:r w:rsidRPr="00AE1FA0">
        <w:rPr>
          <w:rFonts w:ascii="Arial" w:hAnsi="Arial" w:cs="Arial"/>
          <w:sz w:val="24"/>
          <w:szCs w:val="24"/>
        </w:rPr>
        <w:t>), visual materials have the potential to “allow the direct access to phenomena of interest, as they occur”. T</w:t>
      </w:r>
      <w:r w:rsidRPr="00AE1FA0">
        <w:rPr>
          <w:rFonts w:ascii="Arial" w:hAnsi="Arial" w:cs="Arial"/>
          <w:kern w:val="0"/>
          <w:sz w:val="24"/>
          <w:szCs w:val="24"/>
        </w:rPr>
        <w:t xml:space="preserve">hus, </w:t>
      </w:r>
      <w:r w:rsidRPr="00AE1FA0">
        <w:rPr>
          <w:rFonts w:ascii="Arial" w:hAnsi="Arial" w:cs="Arial"/>
          <w:sz w:val="24"/>
          <w:szCs w:val="24"/>
        </w:rPr>
        <w:t xml:space="preserve">visual materials </w:t>
      </w:r>
      <w:r w:rsidRPr="00AE1FA0">
        <w:rPr>
          <w:rFonts w:ascii="Arial" w:hAnsi="Arial" w:cs="Arial"/>
          <w:kern w:val="0"/>
          <w:sz w:val="24"/>
          <w:szCs w:val="24"/>
        </w:rPr>
        <w:t xml:space="preserve">discovered in the college archive </w:t>
      </w:r>
      <w:r w:rsidRPr="00AE1FA0">
        <w:rPr>
          <w:rFonts w:ascii="Arial" w:hAnsi="Arial" w:cs="Arial"/>
          <w:sz w:val="24"/>
          <w:szCs w:val="24"/>
        </w:rPr>
        <w:t xml:space="preserve">added more richness to my research – as did visual materials collected outside the archive. Visual method is a research approach using images in different ways including drawing, photography, video, and Internet pages (Warren, 2009). During the visits to the college archive, abundant visual materials, including photographs and drawings, </w:t>
      </w:r>
      <w:r w:rsidRPr="00AE1FA0">
        <w:rPr>
          <w:rFonts w:ascii="Arial" w:hAnsi="Arial" w:cs="Arial"/>
          <w:kern w:val="0"/>
          <w:sz w:val="24"/>
          <w:szCs w:val="24"/>
        </w:rPr>
        <w:t>were</w:t>
      </w:r>
      <w:r w:rsidRPr="00AE1FA0">
        <w:rPr>
          <w:rFonts w:ascii="Arial" w:hAnsi="Arial" w:cs="Arial"/>
          <w:sz w:val="24"/>
          <w:szCs w:val="24"/>
        </w:rPr>
        <w:t xml:space="preserve"> discovered. Hence it </w:t>
      </w:r>
      <w:r w:rsidRPr="00AE1FA0">
        <w:rPr>
          <w:rFonts w:ascii="Arial" w:hAnsi="Arial" w:cs="Arial"/>
          <w:kern w:val="0"/>
          <w:sz w:val="24"/>
          <w:szCs w:val="24"/>
        </w:rPr>
        <w:t>was</w:t>
      </w:r>
      <w:r w:rsidRPr="00AE1FA0">
        <w:rPr>
          <w:rFonts w:ascii="Arial" w:hAnsi="Arial" w:cs="Arial"/>
          <w:sz w:val="24"/>
          <w:szCs w:val="24"/>
        </w:rPr>
        <w:t xml:space="preserve"> much more straightforward for me, as a researcher, to identify the traces or imprints of the past on the present</w:t>
      </w:r>
      <w:r w:rsidRPr="00AE1FA0">
        <w:rPr>
          <w:rFonts w:ascii="Arial" w:hAnsi="Arial" w:cs="Arial"/>
          <w:kern w:val="0"/>
          <w:sz w:val="24"/>
          <w:szCs w:val="24"/>
        </w:rPr>
        <w:t xml:space="preserve"> of Founder’s Building</w:t>
      </w:r>
      <w:r w:rsidRPr="00AE1FA0">
        <w:rPr>
          <w:rFonts w:ascii="Arial" w:hAnsi="Arial" w:cs="Arial"/>
          <w:sz w:val="24"/>
          <w:szCs w:val="24"/>
        </w:rPr>
        <w:t xml:space="preserve">. </w:t>
      </w:r>
      <w:r w:rsidRPr="00AE1FA0">
        <w:rPr>
          <w:rFonts w:ascii="Arial" w:hAnsi="Arial" w:cs="Arial"/>
          <w:kern w:val="0"/>
          <w:sz w:val="24"/>
          <w:szCs w:val="24"/>
        </w:rPr>
        <w:t>Visual materials (a recognized research method (Warren, 2009)) collected outside the college archive included photographs I took myself, Internet pages and printed publicities.</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47" w:name="_Toc534732375"/>
      <w:r w:rsidRPr="00AE1FA0">
        <w:rPr>
          <w:rFonts w:ascii="Arial" w:eastAsiaTheme="majorEastAsia" w:hAnsi="Arial" w:cs="Arial"/>
          <w:b/>
          <w:color w:val="000000" w:themeColor="text1"/>
          <w:kern w:val="0"/>
          <w:sz w:val="24"/>
          <w:szCs w:val="24"/>
        </w:rPr>
        <w:t>3.3.3. Semi-structured interviewing</w:t>
      </w:r>
      <w:bookmarkEnd w:id="47"/>
      <w:r w:rsidRPr="00AE1FA0">
        <w:rPr>
          <w:rFonts w:ascii="Arial" w:eastAsiaTheme="majorEastAsia" w:hAnsi="Arial" w:cs="Arial"/>
          <w:b/>
          <w:color w:val="000000" w:themeColor="text1"/>
          <w:kern w:val="0"/>
          <w:sz w:val="24"/>
          <w:szCs w:val="24"/>
        </w:rPr>
        <w:t xml:space="preserve"> </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Semi-structured interviewing is a widely applied technique for collecting empirical evidence in any phenomenological case study. Merriam and Tisdell (2015) argued that interviewing is the most appropriate strategy to observe behaviours, feelings and how people make sense of the context. This is congruent with the objective of this thesis to investigate how people interact and make sense of Founder’s Building. Semi-structured interviewing was chosen as the other track within this twin-track approach. Semi-structured interviewing is depicted as outlining topics and themes </w:t>
      </w:r>
      <w:r w:rsidRPr="00AE1FA0">
        <w:rPr>
          <w:rFonts w:ascii="Arial" w:eastAsia="宋体" w:hAnsi="Arial" w:cs="Arial"/>
          <w:sz w:val="24"/>
          <w:szCs w:val="24"/>
        </w:rPr>
        <w:lastRenderedPageBreak/>
        <w:t xml:space="preserve">without the exact sequence and wording (Eriksson and Kovalainen, 2008). Both sequence and wording varying in the process of interviewing, which enables active interaction. This interaction is what differentiates the qualitative semi-structured interviewing from traditional structured interviewing. Just as Bryman and Cassell (2006) wrote, interviewing is not a static, but an active and dynamic process where the meanings are co-constructed by both the interviewers and the interviewees. Semi-structured interviewing, therefore, has the advantage of positioning interviewing as an interaction construction between interviewers and interviewees (Cassell, 2009). This is in accord with my stance as an interpretive researcher. Given the significance of the dynamic nature, the interviewing is shaped by both interviewer and interviewees, who will be influenced by where and who conducts the interviews (Manderson, Bennett and Andajani-Sutjahjo, 2006) – the concept of reflexivity, which I will return to in later sections.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The following section is structured as: selection of interview participants; location of the interviewing; and potential interviewing questions.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Different strategies can be applied to the selection of interviewees. The most appropriate strategy is determined jointly by the research question, sampling strategy, and types of information needed (Cassell, 2009). Considering this study as a phenomenological case study, as Sanders (1982) stressed, quantity of participants should be not confused with quality. That is, knowing how to engage with a relatively small number of participants with in-depth probing is more essential. </w:t>
      </w:r>
      <w:proofErr w:type="gramStart"/>
      <w:r w:rsidRPr="00AE1FA0">
        <w:rPr>
          <w:rFonts w:ascii="Arial" w:eastAsia="宋体" w:hAnsi="Arial" w:cs="Arial"/>
          <w:sz w:val="24"/>
          <w:szCs w:val="24"/>
        </w:rPr>
        <w:t>In reality, too</w:t>
      </w:r>
      <w:proofErr w:type="gramEnd"/>
      <w:r w:rsidRPr="00AE1FA0">
        <w:rPr>
          <w:rFonts w:ascii="Arial" w:eastAsia="宋体" w:hAnsi="Arial" w:cs="Arial"/>
          <w:sz w:val="24"/>
          <w:szCs w:val="24"/>
        </w:rPr>
        <w:t xml:space="preserve"> many participants can be overwhelming. Thus, a large sample strategy aiming at generalization or representativeness is not the objective of this study. This study</w:t>
      </w:r>
      <w:proofErr w:type="gramStart"/>
      <w:r w:rsidRPr="00AE1FA0">
        <w:rPr>
          <w:rFonts w:ascii="Arial" w:eastAsia="宋体" w:hAnsi="Arial" w:cs="Arial"/>
          <w:sz w:val="24"/>
          <w:szCs w:val="24"/>
        </w:rPr>
        <w:t>, in particular, is</w:t>
      </w:r>
      <w:proofErr w:type="gramEnd"/>
      <w:r w:rsidRPr="00AE1FA0">
        <w:rPr>
          <w:rFonts w:ascii="Arial" w:eastAsia="宋体" w:hAnsi="Arial" w:cs="Arial"/>
          <w:sz w:val="24"/>
          <w:szCs w:val="24"/>
        </w:rPr>
        <w:t xml:space="preserve"> based on the strategy suggested by Cassell (2009), who emphasized interviewees should be chosen on the basis that they are informants; and by choosing informants from different perspectives, it is possible to reveal details of aspects of interest.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The selection of aspects of interest in Founder’s Building case were shaped by the first round of discovery in the college archive. For instance, the choice of the Chapel as a space to focus on is since archival records clearly showed the unfolding of its position in the RHUL, and its functions. The Picture Gallery was another example: </w:t>
      </w:r>
      <w:r w:rsidRPr="00AE1FA0">
        <w:rPr>
          <w:rFonts w:ascii="Arial" w:eastAsia="宋体" w:hAnsi="Arial" w:cs="Arial"/>
          <w:sz w:val="24"/>
          <w:szCs w:val="24"/>
        </w:rPr>
        <w:lastRenderedPageBreak/>
        <w:t xml:space="preserve">both its function and the physical layout had changed dramatically compared to its original purpose.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Table 2 vividly shows the potential of the twin-track framework, by which it becomes possible to identify potential interviewing participants. The past-present column reviews the linkage between the archival work and the interviewing. The strategy for selecting interviewing participants was influenced by preliminary findings in the college archive. From Table 2, the choice of informants covered most types of people residing or working in Founder’s Building, yet there was one type of informant that I endeavoured to contact and interview, but my overtures were declined. I had hoped to interview catering staff and cleaners, roughly the equivalent of the maids and servants of the past – about whom there were plenty of documents in the archive. For whatever reason this did not happen. The total number of interview participants is 47: 28 of them are academic staff and 8 of are administrative staff who worked in Founder’s Building; 11 of them are students </w:t>
      </w:r>
      <w:r w:rsidRPr="00AE1FA0">
        <w:rPr>
          <w:rFonts w:ascii="Arial" w:eastAsia="宋体" w:hAnsi="Arial" w:cs="Arial" w:hint="eastAsia"/>
          <w:sz w:val="24"/>
          <w:szCs w:val="24"/>
        </w:rPr>
        <w:t xml:space="preserve">who resided </w:t>
      </w:r>
      <w:r w:rsidRPr="00AE1FA0">
        <w:rPr>
          <w:rFonts w:ascii="Arial" w:eastAsia="宋体" w:hAnsi="Arial" w:cs="Arial"/>
          <w:sz w:val="24"/>
          <w:szCs w:val="24"/>
        </w:rPr>
        <w:t xml:space="preserve">in Founder’s Building. Duration of each interview varied albeit the majority lasted between 40 minutes and one hour.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color w:val="00B050"/>
          <w:sz w:val="28"/>
          <w:szCs w:val="24"/>
        </w:rPr>
      </w:pPr>
    </w:p>
    <w:tbl>
      <w:tblPr>
        <w:tblStyle w:val="TableGrid"/>
        <w:tblpPr w:leftFromText="180" w:rightFromText="180" w:vertAnchor="text" w:horzAnchor="margin" w:tblpY="44"/>
        <w:tblW w:w="8500" w:type="dxa"/>
        <w:tblLook w:val="04A0" w:firstRow="1" w:lastRow="0" w:firstColumn="1" w:lastColumn="0" w:noHBand="0" w:noVBand="1"/>
      </w:tblPr>
      <w:tblGrid>
        <w:gridCol w:w="4093"/>
        <w:gridCol w:w="4407"/>
      </w:tblGrid>
      <w:tr w:rsidR="00AE1FA0" w:rsidRPr="00AE1FA0" w:rsidTr="003E6B09">
        <w:tc>
          <w:tcPr>
            <w:tcW w:w="4093" w:type="dxa"/>
          </w:tcPr>
          <w:p w:rsidR="00AE1FA0" w:rsidRPr="00AE1FA0" w:rsidRDefault="00AE1FA0" w:rsidP="00AE1FA0">
            <w:pPr>
              <w:spacing w:after="160" w:line="360" w:lineRule="auto"/>
              <w:rPr>
                <w:rFonts w:ascii="Arial" w:eastAsia="宋体" w:hAnsi="Arial" w:cs="Arial"/>
                <w:sz w:val="24"/>
                <w:szCs w:val="24"/>
              </w:rPr>
            </w:pPr>
            <w:r w:rsidRPr="00AE1FA0">
              <w:rPr>
                <w:rFonts w:ascii="Arial" w:eastAsia="宋体" w:hAnsi="Arial" w:cs="Arial"/>
                <w:sz w:val="24"/>
                <w:szCs w:val="24"/>
              </w:rPr>
              <w:t>Past [Archival evidence available]</w:t>
            </w:r>
          </w:p>
        </w:tc>
        <w:tc>
          <w:tcPr>
            <w:tcW w:w="4407" w:type="dxa"/>
          </w:tcPr>
          <w:p w:rsidR="00AE1FA0" w:rsidRPr="00AE1FA0" w:rsidRDefault="00AE1FA0" w:rsidP="00AE1FA0">
            <w:pPr>
              <w:spacing w:after="160" w:line="360" w:lineRule="auto"/>
              <w:rPr>
                <w:rFonts w:ascii="Arial" w:eastAsia="宋体" w:hAnsi="Arial" w:cs="Arial"/>
                <w:sz w:val="24"/>
                <w:szCs w:val="24"/>
              </w:rPr>
            </w:pPr>
            <w:r w:rsidRPr="00AE1FA0">
              <w:rPr>
                <w:rFonts w:ascii="Arial" w:eastAsia="宋体" w:hAnsi="Arial" w:cs="Arial"/>
                <w:sz w:val="24"/>
                <w:szCs w:val="24"/>
              </w:rPr>
              <w:t>Present [Present users/Interviewing participants]</w:t>
            </w:r>
          </w:p>
        </w:tc>
      </w:tr>
      <w:tr w:rsidR="00AE1FA0" w:rsidRPr="00AE1FA0" w:rsidTr="003E6B09">
        <w:tc>
          <w:tcPr>
            <w:tcW w:w="4093" w:type="dxa"/>
          </w:tcPr>
          <w:p w:rsidR="00AE1FA0" w:rsidRPr="00AE1FA0" w:rsidRDefault="00AE1FA0" w:rsidP="00AE1FA0">
            <w:pPr>
              <w:spacing w:after="160" w:line="360" w:lineRule="auto"/>
              <w:jc w:val="left"/>
              <w:rPr>
                <w:rFonts w:ascii="Arial" w:eastAsia="宋体" w:hAnsi="Arial" w:cs="Arial"/>
                <w:sz w:val="24"/>
                <w:szCs w:val="24"/>
              </w:rPr>
            </w:pPr>
            <w:r w:rsidRPr="00AE1FA0">
              <w:rPr>
                <w:rFonts w:ascii="Arial" w:eastAsia="宋体" w:hAnsi="Arial" w:cs="Arial"/>
                <w:sz w:val="24"/>
                <w:szCs w:val="24"/>
              </w:rPr>
              <w:t>Academic staff</w:t>
            </w:r>
          </w:p>
        </w:tc>
        <w:tc>
          <w:tcPr>
            <w:tcW w:w="4407" w:type="dxa"/>
          </w:tcPr>
          <w:p w:rsidR="00AE1FA0" w:rsidRPr="00AE1FA0" w:rsidRDefault="00AE1FA0" w:rsidP="00AE1FA0">
            <w:pPr>
              <w:spacing w:after="160" w:line="360" w:lineRule="auto"/>
              <w:rPr>
                <w:rFonts w:ascii="Arial" w:eastAsia="宋体" w:hAnsi="Arial" w:cs="Arial"/>
                <w:sz w:val="24"/>
                <w:szCs w:val="24"/>
              </w:rPr>
            </w:pPr>
            <w:r w:rsidRPr="00AE1FA0">
              <w:rPr>
                <w:rFonts w:ascii="Arial" w:eastAsia="宋体" w:hAnsi="Arial" w:cs="Arial"/>
                <w:sz w:val="24"/>
                <w:szCs w:val="24"/>
              </w:rPr>
              <w:t>Academic staff</w:t>
            </w:r>
          </w:p>
        </w:tc>
      </w:tr>
      <w:tr w:rsidR="00AE1FA0" w:rsidRPr="00AE1FA0" w:rsidTr="003E6B09">
        <w:tc>
          <w:tcPr>
            <w:tcW w:w="4093" w:type="dxa"/>
          </w:tcPr>
          <w:p w:rsidR="00AE1FA0" w:rsidRPr="00AE1FA0" w:rsidRDefault="00AE1FA0" w:rsidP="00AE1FA0">
            <w:pPr>
              <w:spacing w:after="160" w:line="360" w:lineRule="auto"/>
              <w:jc w:val="left"/>
              <w:rPr>
                <w:rFonts w:ascii="Arial" w:eastAsia="宋体" w:hAnsi="Arial" w:cs="Arial"/>
                <w:sz w:val="24"/>
                <w:szCs w:val="24"/>
              </w:rPr>
            </w:pPr>
            <w:r w:rsidRPr="00AE1FA0">
              <w:rPr>
                <w:rFonts w:ascii="Arial" w:eastAsia="宋体" w:hAnsi="Arial" w:cs="Arial"/>
                <w:sz w:val="24"/>
                <w:szCs w:val="24"/>
              </w:rPr>
              <w:t>Library staff</w:t>
            </w:r>
          </w:p>
        </w:tc>
        <w:tc>
          <w:tcPr>
            <w:tcW w:w="4407" w:type="dxa"/>
          </w:tcPr>
          <w:p w:rsidR="00AE1FA0" w:rsidRPr="00AE1FA0" w:rsidRDefault="00AE1FA0" w:rsidP="00AE1FA0">
            <w:pPr>
              <w:spacing w:after="160" w:line="360" w:lineRule="auto"/>
              <w:rPr>
                <w:rFonts w:ascii="Arial" w:eastAsia="宋体" w:hAnsi="Arial" w:cs="Arial"/>
                <w:sz w:val="24"/>
                <w:szCs w:val="24"/>
              </w:rPr>
            </w:pPr>
            <w:r w:rsidRPr="00AE1FA0">
              <w:rPr>
                <w:rFonts w:ascii="Arial" w:eastAsia="宋体" w:hAnsi="Arial" w:cs="Arial"/>
                <w:sz w:val="24"/>
                <w:szCs w:val="24"/>
              </w:rPr>
              <w:t>Library staff</w:t>
            </w:r>
          </w:p>
        </w:tc>
      </w:tr>
      <w:tr w:rsidR="00AE1FA0" w:rsidRPr="00AE1FA0" w:rsidTr="003E6B09">
        <w:tc>
          <w:tcPr>
            <w:tcW w:w="4093" w:type="dxa"/>
          </w:tcPr>
          <w:p w:rsidR="00AE1FA0" w:rsidRPr="00AE1FA0" w:rsidRDefault="00AE1FA0" w:rsidP="00AE1FA0">
            <w:pPr>
              <w:spacing w:after="160" w:line="360" w:lineRule="auto"/>
              <w:jc w:val="left"/>
              <w:rPr>
                <w:rFonts w:ascii="Arial" w:eastAsia="宋体" w:hAnsi="Arial" w:cs="Arial"/>
                <w:sz w:val="24"/>
                <w:szCs w:val="24"/>
              </w:rPr>
            </w:pPr>
            <w:r w:rsidRPr="00AE1FA0">
              <w:rPr>
                <w:rFonts w:ascii="Arial" w:eastAsia="宋体" w:hAnsi="Arial" w:cs="Arial"/>
                <w:sz w:val="24"/>
                <w:szCs w:val="24"/>
              </w:rPr>
              <w:t>Chapel staff</w:t>
            </w:r>
          </w:p>
        </w:tc>
        <w:tc>
          <w:tcPr>
            <w:tcW w:w="4407" w:type="dxa"/>
          </w:tcPr>
          <w:p w:rsidR="00AE1FA0" w:rsidRPr="00AE1FA0" w:rsidRDefault="00AE1FA0" w:rsidP="00AE1FA0">
            <w:pPr>
              <w:spacing w:after="160" w:line="360" w:lineRule="auto"/>
              <w:rPr>
                <w:rFonts w:ascii="Arial" w:eastAsia="宋体" w:hAnsi="Arial" w:cs="Arial"/>
                <w:sz w:val="24"/>
                <w:szCs w:val="24"/>
              </w:rPr>
            </w:pPr>
            <w:r w:rsidRPr="00AE1FA0">
              <w:rPr>
                <w:rFonts w:ascii="Arial" w:eastAsia="宋体" w:hAnsi="Arial" w:cs="Arial"/>
                <w:sz w:val="24"/>
                <w:szCs w:val="24"/>
              </w:rPr>
              <w:t>Chapel staff</w:t>
            </w:r>
          </w:p>
        </w:tc>
      </w:tr>
      <w:tr w:rsidR="00AE1FA0" w:rsidRPr="00AE1FA0" w:rsidTr="003E6B09">
        <w:tc>
          <w:tcPr>
            <w:tcW w:w="4093" w:type="dxa"/>
          </w:tcPr>
          <w:p w:rsidR="00AE1FA0" w:rsidRPr="00AE1FA0" w:rsidRDefault="00AE1FA0" w:rsidP="00AE1FA0">
            <w:pPr>
              <w:spacing w:after="160" w:line="360" w:lineRule="auto"/>
              <w:jc w:val="left"/>
              <w:rPr>
                <w:rFonts w:ascii="Arial" w:eastAsia="宋体" w:hAnsi="Arial" w:cs="Arial"/>
                <w:sz w:val="24"/>
                <w:szCs w:val="24"/>
              </w:rPr>
            </w:pPr>
            <w:r w:rsidRPr="00AE1FA0">
              <w:rPr>
                <w:rFonts w:ascii="Arial" w:eastAsia="宋体" w:hAnsi="Arial" w:cs="Arial"/>
                <w:sz w:val="24"/>
                <w:szCs w:val="24"/>
              </w:rPr>
              <w:t>Picture Gallery staff</w:t>
            </w:r>
          </w:p>
        </w:tc>
        <w:tc>
          <w:tcPr>
            <w:tcW w:w="4407" w:type="dxa"/>
          </w:tcPr>
          <w:p w:rsidR="00AE1FA0" w:rsidRPr="00AE1FA0" w:rsidRDefault="00AE1FA0" w:rsidP="00AE1FA0">
            <w:pPr>
              <w:spacing w:after="160" w:line="360" w:lineRule="auto"/>
              <w:rPr>
                <w:rFonts w:ascii="Arial" w:eastAsia="宋体" w:hAnsi="Arial" w:cs="Arial"/>
                <w:sz w:val="24"/>
                <w:szCs w:val="24"/>
              </w:rPr>
            </w:pPr>
            <w:r w:rsidRPr="00AE1FA0">
              <w:rPr>
                <w:rFonts w:ascii="Arial" w:eastAsia="宋体" w:hAnsi="Arial" w:cs="Arial"/>
                <w:sz w:val="24"/>
                <w:szCs w:val="24"/>
              </w:rPr>
              <w:t>Picture Gallery staff</w:t>
            </w:r>
          </w:p>
        </w:tc>
      </w:tr>
      <w:tr w:rsidR="00AE1FA0" w:rsidRPr="00AE1FA0" w:rsidTr="003E6B09">
        <w:tc>
          <w:tcPr>
            <w:tcW w:w="4093" w:type="dxa"/>
          </w:tcPr>
          <w:p w:rsidR="00AE1FA0" w:rsidRPr="00AE1FA0" w:rsidRDefault="00AE1FA0" w:rsidP="00AE1FA0">
            <w:pPr>
              <w:spacing w:after="160" w:line="360" w:lineRule="auto"/>
              <w:jc w:val="left"/>
              <w:rPr>
                <w:rFonts w:ascii="Arial" w:eastAsia="宋体" w:hAnsi="Arial" w:cs="Arial"/>
                <w:sz w:val="24"/>
                <w:szCs w:val="24"/>
              </w:rPr>
            </w:pPr>
            <w:r w:rsidRPr="00AE1FA0">
              <w:rPr>
                <w:rFonts w:ascii="Arial" w:eastAsia="宋体" w:hAnsi="Arial" w:cs="Arial"/>
                <w:sz w:val="24"/>
                <w:szCs w:val="24"/>
              </w:rPr>
              <w:t>The Founder, the architect and other stakeholders</w:t>
            </w:r>
          </w:p>
        </w:tc>
        <w:tc>
          <w:tcPr>
            <w:tcW w:w="4407" w:type="dxa"/>
          </w:tcPr>
          <w:p w:rsidR="00AE1FA0" w:rsidRPr="00AE1FA0" w:rsidRDefault="00AE1FA0" w:rsidP="00AE1FA0">
            <w:pPr>
              <w:spacing w:after="160" w:line="360" w:lineRule="auto"/>
              <w:rPr>
                <w:rFonts w:ascii="Arial" w:eastAsia="宋体" w:hAnsi="Arial" w:cs="Arial"/>
                <w:sz w:val="24"/>
                <w:szCs w:val="24"/>
              </w:rPr>
            </w:pPr>
            <w:r w:rsidRPr="00AE1FA0">
              <w:rPr>
                <w:rFonts w:ascii="Arial" w:eastAsia="宋体" w:hAnsi="Arial" w:cs="Arial"/>
                <w:sz w:val="24"/>
                <w:szCs w:val="24"/>
              </w:rPr>
              <w:t>Estate directors</w:t>
            </w:r>
          </w:p>
        </w:tc>
      </w:tr>
      <w:tr w:rsidR="00AE1FA0" w:rsidRPr="00AE1FA0" w:rsidTr="003E6B09">
        <w:tc>
          <w:tcPr>
            <w:tcW w:w="4093" w:type="dxa"/>
          </w:tcPr>
          <w:p w:rsidR="00AE1FA0" w:rsidRPr="00AE1FA0" w:rsidRDefault="00AE1FA0" w:rsidP="00AE1FA0">
            <w:pPr>
              <w:spacing w:after="160" w:line="360" w:lineRule="auto"/>
              <w:jc w:val="left"/>
              <w:rPr>
                <w:rFonts w:ascii="Arial" w:eastAsia="宋体" w:hAnsi="Arial" w:cs="Arial"/>
                <w:sz w:val="24"/>
                <w:szCs w:val="24"/>
              </w:rPr>
            </w:pPr>
            <w:r w:rsidRPr="00AE1FA0">
              <w:rPr>
                <w:rFonts w:ascii="Arial" w:eastAsia="宋体" w:hAnsi="Arial" w:cs="Arial"/>
                <w:sz w:val="24"/>
                <w:szCs w:val="24"/>
              </w:rPr>
              <w:t>Student/staff residents</w:t>
            </w:r>
          </w:p>
        </w:tc>
        <w:tc>
          <w:tcPr>
            <w:tcW w:w="4407" w:type="dxa"/>
          </w:tcPr>
          <w:p w:rsidR="00AE1FA0" w:rsidRPr="00AE1FA0" w:rsidRDefault="00AE1FA0" w:rsidP="00AE1FA0">
            <w:pPr>
              <w:spacing w:after="160" w:line="360" w:lineRule="auto"/>
              <w:rPr>
                <w:rFonts w:ascii="Arial" w:eastAsia="宋体" w:hAnsi="Arial" w:cs="Arial"/>
                <w:sz w:val="24"/>
                <w:szCs w:val="24"/>
              </w:rPr>
            </w:pPr>
            <w:r w:rsidRPr="00AE1FA0">
              <w:rPr>
                <w:rFonts w:ascii="Arial" w:eastAsia="宋体" w:hAnsi="Arial" w:cs="Arial"/>
                <w:sz w:val="24"/>
                <w:szCs w:val="24"/>
              </w:rPr>
              <w:t>Student residents</w:t>
            </w:r>
          </w:p>
        </w:tc>
      </w:tr>
    </w:tbl>
    <w:p w:rsidR="00AE1FA0" w:rsidRPr="00AE1FA0" w:rsidRDefault="00AE1FA0" w:rsidP="00AE1FA0">
      <w:pPr>
        <w:spacing w:line="360" w:lineRule="auto"/>
        <w:rPr>
          <w:rFonts w:ascii="Arial" w:eastAsia="宋体" w:hAnsi="Arial" w:cs="Arial"/>
          <w:sz w:val="28"/>
          <w:szCs w:val="24"/>
          <w:u w:val="single"/>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Table 2. A twin-track framework guiding the selection of interviewing participates</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color w:val="00B050"/>
          <w:sz w:val="28"/>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Before moving to the design of interviewing questions, it is necessary to clarify locations for interviewing, for two reasons. The first generic: as Manderson, Bennett and Andajani-Sutjahjo (2006) put it, interviewing is an interactive encounter influenced by the social context. Not only the choice of location, the condition of the location can also impact, like the noise level can discourage personal/intimate narrative. Sin (2003) argued that the choice of interviewing location also represents the power relationship between the interviewees and interviewers. For instance, choice of location made by the interviewer possibly gives the interviewer an advantage over the interviewees. The second reason is more relevant for this case: the location or space is a critical concept for this study. Give this significance, for interviewees with their office located in Founder’s Building, all interviewing happened in their office, the interviewing location becoming both a contextual background for interviewing and part of the empirical evidence itself. Also, by being in the very space the interviewees encounter every day, it appeared to be easier for them to make sense of it and recall related experiences. As for student residents, most interviews took place in the café located in Founder’s Building, but for some I </w:t>
      </w:r>
      <w:proofErr w:type="gramStart"/>
      <w:r w:rsidRPr="00AE1FA0">
        <w:rPr>
          <w:rFonts w:ascii="Arial" w:eastAsia="宋体" w:hAnsi="Arial" w:cs="Arial"/>
          <w:sz w:val="24"/>
          <w:szCs w:val="24"/>
        </w:rPr>
        <w:t>actually sat</w:t>
      </w:r>
      <w:proofErr w:type="gramEnd"/>
      <w:r w:rsidRPr="00AE1FA0">
        <w:rPr>
          <w:rFonts w:ascii="Arial" w:eastAsia="宋体" w:hAnsi="Arial" w:cs="Arial"/>
          <w:sz w:val="24"/>
          <w:szCs w:val="24"/>
        </w:rPr>
        <w:t xml:space="preserve"> on the floor in their corridors. I guess the reason behind these interviewing participants preferring their corridors for being interviewed is that they perceived and experienced the Founder’s Building corridors as public social spaces, just like the café. During interviewing, I was show how corridors became a social space for them, where they could play games, have conversations, and hold small parties. These elements would be missing if interviewing had not happened in this context.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Having specified different locations for the interviewing process, attention is now drawn to the design of interviewing questions. A complete list of guiding interviewing questions can be found in the Appendix. However, both Table 1 and Table 2 have demonstrated how closely interrelated the archival and interviewing evidence are. In fact, the interviewing questions were designed based on the archival findings as well as relevant literature insights. As for the format of the questions, both ‘what’ and ‘why’ questions were asked for this semi-structured interviewing. Also, the objective of the semi-structured interviewing was not yes/no answers but descriptions of “an episode, a linkage, and an explanation” (Cassell, 2009: 231). Therefore, the guideline for </w:t>
      </w:r>
      <w:r w:rsidRPr="00AE1FA0">
        <w:rPr>
          <w:rFonts w:ascii="Arial" w:eastAsia="宋体" w:hAnsi="Arial" w:cs="Arial"/>
          <w:sz w:val="24"/>
          <w:szCs w:val="24"/>
        </w:rPr>
        <w:lastRenderedPageBreak/>
        <w:t xml:space="preserve">formulating questions was to allow flexibility, with effective probes. The </w:t>
      </w:r>
      <w:proofErr w:type="gramStart"/>
      <w:r w:rsidRPr="00AE1FA0">
        <w:rPr>
          <w:rFonts w:ascii="Arial" w:eastAsia="宋体" w:hAnsi="Arial" w:cs="Arial"/>
          <w:sz w:val="24"/>
          <w:szCs w:val="24"/>
        </w:rPr>
        <w:t>ultimate aim</w:t>
      </w:r>
      <w:proofErr w:type="gramEnd"/>
      <w:r w:rsidRPr="00AE1FA0">
        <w:rPr>
          <w:rFonts w:ascii="Arial" w:eastAsia="宋体" w:hAnsi="Arial" w:cs="Arial"/>
          <w:sz w:val="24"/>
          <w:szCs w:val="24"/>
        </w:rPr>
        <w:t xml:space="preserve"> was to evoke good personal reflections and experiences (Stake, 1995). In brief, interviewing questions consisted of four sections: biographical questions to identify background information on participants; their general impressions of Founder’s Building; encounters with their personal space within Founder’s Building; and reflections on Founder’s Building as a historic space. It should be re-emphasized that the interviewing questions asked differed for staff and students because of the divergent nature of their experience in Founder’s Building, yet the general themes </w:t>
      </w:r>
      <w:proofErr w:type="gramStart"/>
      <w:r w:rsidRPr="00AE1FA0">
        <w:rPr>
          <w:rFonts w:ascii="Arial" w:eastAsia="宋体" w:hAnsi="Arial" w:cs="Arial"/>
          <w:sz w:val="24"/>
          <w:szCs w:val="24"/>
        </w:rPr>
        <w:t>were more or less</w:t>
      </w:r>
      <w:proofErr w:type="gramEnd"/>
      <w:r w:rsidRPr="00AE1FA0">
        <w:rPr>
          <w:rFonts w:ascii="Arial" w:eastAsia="宋体" w:hAnsi="Arial" w:cs="Arial"/>
          <w:sz w:val="24"/>
          <w:szCs w:val="24"/>
        </w:rPr>
        <w:t xml:space="preserve"> the same. What should be remembered is that these questions only acted as a general guideline; the actual wording of the questions or the sequence varied in interviewing situations. Before initiating interviews with participants, I had pilot interviews in order to finalize my question lists; as Stake (1995) argued, piloting is an essential process to adjust the wording, tailoring the format, and determining the style of the interviewing.</w:t>
      </w:r>
    </w:p>
    <w:p w:rsidR="00AE1FA0" w:rsidRPr="00AE1FA0" w:rsidRDefault="00AE1FA0" w:rsidP="00AE1FA0">
      <w:pPr>
        <w:spacing w:line="360" w:lineRule="auto"/>
        <w:rPr>
          <w:rFonts w:ascii="Arial" w:hAnsi="Arial" w:cs="Arial"/>
          <w:sz w:val="28"/>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48" w:name="_Toc534732376"/>
      <w:r w:rsidRPr="00AE1FA0">
        <w:rPr>
          <w:rFonts w:ascii="Arial" w:eastAsiaTheme="majorEastAsia" w:hAnsi="Arial" w:cs="Arial"/>
          <w:b/>
          <w:color w:val="000000" w:themeColor="text1"/>
          <w:kern w:val="0"/>
          <w:sz w:val="24"/>
          <w:szCs w:val="26"/>
        </w:rPr>
        <w:t>Reflexive twin-track framework: An overall analytical strategy</w:t>
      </w:r>
      <w:bookmarkEnd w:id="48"/>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It was argued by Stake (1995: 71) that “there is no particular moment when data analysis begins. Analysis is a matter of giving meaning to first impression as well as to final compilations”. What this stressed on is how analyses of empirical evidence in qualitative research could be unstructured, subjective as well as iterative. In the case of Founder’s Building, though it was my intention to study organizational space in the first place, which was partly derived from previous studies in office space for my Master dissertation, my first encounter and impression of Founder’s Building indeed strengthened this intention and formed the foundation for analysis thereafter. Right before I made the decision to study organizational space and Founder’s Building, my first impressions of Founder’s Building were how impressive it was and how impossible to overlook it. Hence these impressions and feelings led to my decision to choose Founder’s Building because it was just too prominent and attractive for me as a researcher. I </w:t>
      </w:r>
      <w:proofErr w:type="gramStart"/>
      <w:r w:rsidRPr="00AE1FA0">
        <w:rPr>
          <w:rFonts w:ascii="Arial" w:hAnsi="Arial" w:cs="Arial"/>
          <w:sz w:val="24"/>
          <w:szCs w:val="24"/>
        </w:rPr>
        <w:t>have to</w:t>
      </w:r>
      <w:proofErr w:type="gramEnd"/>
      <w:r w:rsidRPr="00AE1FA0">
        <w:rPr>
          <w:rFonts w:ascii="Arial" w:hAnsi="Arial" w:cs="Arial"/>
          <w:sz w:val="24"/>
          <w:szCs w:val="24"/>
        </w:rPr>
        <w:t xml:space="preserve"> acknowledge that the choice of Founder’s Building as the case was partly by chance, and if I were in a different institution, it would be unlikely that I would have chosen it.  Nevertheless, this randomness does not diminish the potential of Founder’s Building to understand organizational space in a study of past </w:t>
      </w:r>
      <w:r w:rsidRPr="00AE1FA0">
        <w:rPr>
          <w:rFonts w:ascii="Arial" w:hAnsi="Arial" w:cs="Arial"/>
          <w:sz w:val="24"/>
          <w:szCs w:val="24"/>
        </w:rPr>
        <w:lastRenderedPageBreak/>
        <w:t xml:space="preserve">and present of space.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Indeed, analysis commenced long before the choice of Founder’s Building as the research site. This meant that it would be difficult to disentangle the collection and analysis stages of empirical evidence. For this reason, though I wrote collection and analysis of empirical materials as two separate sections, they are indeed closely linked with each other. This section unfolds as follows. I start with some discussions of overall analytical strategy to set the scene for my analytical approach to Founder’s Building, and then offer a detailed discussion of how archival materials collected in this thesis had been analysed; I then turn to the interviewing materials, i.e. how I analysed the interview transcripts. </w:t>
      </w:r>
    </w:p>
    <w:p w:rsidR="00AE1FA0" w:rsidRPr="00AE1FA0" w:rsidRDefault="00AE1FA0" w:rsidP="00AE1FA0">
      <w:pPr>
        <w:spacing w:line="360" w:lineRule="auto"/>
        <w:jc w:val="left"/>
        <w:rPr>
          <w:rFonts w:ascii="Arial"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hAnsi="Arial" w:cs="Arial"/>
          <w:sz w:val="24"/>
          <w:szCs w:val="24"/>
        </w:rPr>
        <w:t xml:space="preserve">An overall analytical strategy deals with not only how to analyse Founder’s Building case as an integrated existence, but also sheds light on specific analytical choices made for both archival and interviewing evidence. To start with, as discussed in the previous section on the philosophical stance I embraced in this thesis, empirical material was analysed in an interpretive way with the assumption analyses were subjective and value-laden. Interpretation was integral to analytical strategy and as basis for knowledge creation. This guideline was applied to analysis of both archival and interviewing material. Though I separated analyses of archival and interviewing material into two sections, during the actual analyses process they were closely mingled. Both archival and interviewing material was approached and analysed as socially constructed products. </w:t>
      </w:r>
      <w:r w:rsidRPr="00AE1FA0">
        <w:rPr>
          <w:rFonts w:ascii="Arial" w:eastAsia="宋体" w:hAnsi="Arial" w:cs="Arial"/>
          <w:sz w:val="24"/>
          <w:szCs w:val="24"/>
        </w:rPr>
        <w:t>One difference of this twin-track method is that I did not assume that historical empirical evidence is subordinate to current empirical evidence or only as supplementary: they are treated as parallel, with equal importance.</w:t>
      </w:r>
    </w:p>
    <w:p w:rsidR="00AE1FA0" w:rsidRPr="00AE1FA0" w:rsidRDefault="00AE1FA0" w:rsidP="00AE1FA0">
      <w:pPr>
        <w:spacing w:line="360" w:lineRule="auto"/>
        <w:rPr>
          <w:rFonts w:ascii="Arial" w:hAnsi="Arial" w:cs="Arial"/>
          <w:color w:val="00B050"/>
          <w:sz w:val="28"/>
          <w:szCs w:val="24"/>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49" w:name="_Toc534732377"/>
      <w:r w:rsidRPr="00AE1FA0">
        <w:rPr>
          <w:rFonts w:ascii="Arial" w:eastAsiaTheme="majorEastAsia" w:hAnsi="Arial" w:cs="Arial"/>
          <w:b/>
          <w:color w:val="000000" w:themeColor="text1"/>
          <w:kern w:val="0"/>
          <w:sz w:val="24"/>
          <w:szCs w:val="24"/>
        </w:rPr>
        <w:t>3.4.1. Analytical approach of archival materials</w:t>
      </w:r>
      <w:bookmarkEnd w:id="49"/>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hAnsi="Arial" w:cs="Arial"/>
          <w:kern w:val="0"/>
          <w:sz w:val="24"/>
        </w:rPr>
      </w:pPr>
      <w:r w:rsidRPr="00AE1FA0">
        <w:rPr>
          <w:rFonts w:ascii="Arial" w:hAnsi="Arial" w:cs="Arial"/>
          <w:sz w:val="24"/>
          <w:szCs w:val="24"/>
        </w:rPr>
        <w:t xml:space="preserve">Archival materials have their specific characteristics that require different techniques to analyse. Freshwater (2003) discovered that studies based on archives were shaped by traditional positivism orientation for a long time; for instance, Leopold von Ranke, the most influential historian, has shaped understandings of historical research and his principles of historical investigations have had an enduring effect: </w:t>
      </w:r>
      <w:r w:rsidRPr="00AE1FA0">
        <w:rPr>
          <w:rFonts w:ascii="Arial" w:hAnsi="Arial" w:cs="Arial"/>
          <w:sz w:val="24"/>
          <w:szCs w:val="24"/>
        </w:rPr>
        <w:lastRenderedPageBreak/>
        <w:t>objectivity of the historian, close analysis of archives. Based on these principles, until the 1950s, archives were conceptualized as objective, plausible and authentic representations of the past. However, this position has been questioned since the linguistic turn emerged in the 1970s; moreover, along with the rising influence of Foucault’s work on archaeology of knowledge, archives were gradually seen as “a locus of power/knowledge”. This is supported by Mills and Mills (2017: 343), who differentiated between “pragmatic and Foucauldian archives”. Decker (2013) suggested that archives should be “the law of what can be said” rather than the constellations of historical evidence. Since Foucault’s work, it becomes routine to study the governing forces/discourse behind the production, collection, selection and arrangement of the archive. And none of these processes is value-free or truly transparent. (King, 2012; Moore, 2010; Huvila, 2008). Therefore, the archival study turns to the temporal and political activities, requiring researchers to look beyond the mere existence of the available materials and link them to wider context and forces. For instance, Hamilton, Harris and Reid (2012: 9)</w:t>
      </w:r>
      <w:r w:rsidRPr="00AE1FA0">
        <w:rPr>
          <w:rFonts w:ascii="Arial" w:hAnsi="Arial" w:cs="Arial"/>
          <w:kern w:val="0"/>
          <w:sz w:val="24"/>
          <w:vertAlign w:val="superscript"/>
        </w:rPr>
        <w:t xml:space="preserve"> </w:t>
      </w:r>
      <w:r w:rsidRPr="00AE1FA0">
        <w:rPr>
          <w:rFonts w:ascii="Arial" w:hAnsi="Arial" w:cs="Arial"/>
          <w:kern w:val="0"/>
          <w:sz w:val="24"/>
        </w:rPr>
        <w:t xml:space="preserve">emphasized that analysis of archival materials should go beyond just the materials themselves and extend investigations to “conditions and circumstances of preservation of materials, the exclusion of materials from the record, as well as attention to the relations of power underpinning such inclusions and exclusions”.  </w:t>
      </w:r>
    </w:p>
    <w:p w:rsidR="00AE1FA0" w:rsidRPr="00AE1FA0" w:rsidRDefault="00AE1FA0" w:rsidP="00AE1FA0">
      <w:pPr>
        <w:spacing w:line="360" w:lineRule="auto"/>
        <w:rPr>
          <w:rFonts w:ascii="Arial" w:hAnsi="Arial" w:cs="Arial"/>
          <w:kern w:val="0"/>
          <w:sz w:val="24"/>
        </w:rPr>
      </w:pPr>
    </w:p>
    <w:p w:rsidR="00AE1FA0" w:rsidRPr="00AE1FA0" w:rsidRDefault="00AE1FA0" w:rsidP="00AE1FA0">
      <w:pPr>
        <w:spacing w:line="360" w:lineRule="auto"/>
        <w:rPr>
          <w:rFonts w:ascii="Arial" w:hAnsi="Arial" w:cs="Arial"/>
          <w:sz w:val="24"/>
          <w:szCs w:val="24"/>
        </w:rPr>
      </w:pPr>
      <w:r w:rsidRPr="00AE1FA0">
        <w:rPr>
          <w:rFonts w:ascii="Arial" w:hAnsi="Arial" w:cs="Arial"/>
          <w:kern w:val="0"/>
          <w:sz w:val="24"/>
        </w:rPr>
        <w:t xml:space="preserve">Assumption behind this belief is that archival materials are not self-evident but are subject to personal interpretations of researchers and archivists. </w:t>
      </w:r>
      <w:r w:rsidRPr="00AE1FA0">
        <w:rPr>
          <w:rFonts w:ascii="Arial" w:hAnsi="Arial" w:cs="Arial"/>
          <w:sz w:val="24"/>
          <w:szCs w:val="24"/>
        </w:rPr>
        <w:t xml:space="preserve">Therefore, readings of any archival material should be based on the extrapolation from existed materials, as suggested by Freshwater (2003: 739), “any reading of its contents will necessarily be a reinterpretation”. This understanding is supported by Hanlon (2001), who emphasized how historical records could reflect and reproduce social relations at a certain time. As Schwartz and Cook (2002: 1) depicted, “archives have always been about power... Archives have the power to privilege and to marginalise. They can be a tool of hegemony; they can be a tool of resistance.” Thus, understanding of archives has been shifted from description of past to site where power relations are intertwined.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As a researcher with an interpretive orientation, this was my guideline to analyse the archival evidence. In fact, this supposition is congruent with the theoretical framework </w:t>
      </w:r>
      <w:r w:rsidRPr="00AE1FA0">
        <w:rPr>
          <w:rFonts w:ascii="Arial" w:hAnsi="Arial" w:cs="Arial"/>
          <w:sz w:val="24"/>
          <w:szCs w:val="24"/>
        </w:rPr>
        <w:lastRenderedPageBreak/>
        <w:t xml:space="preserve">of this research: spatial configurations are condensations of social relations and interactions. During the analytical process, the first thing to be clarified is that I conceptualized RHUL college archive as a site where different power players exerted influence. On this understanding, during my analyses of archival materials in Founder’s Building, I started to gather information about how the college archive in RHUL is organized and procedures of record keeping by discussing with archivists. I obtained a document written by a previous archivist about the history and timeline of the RHUL archive, which summarized the aim and development of it. Another point that I paid attention to </w:t>
      </w:r>
      <w:proofErr w:type="gramStart"/>
      <w:r w:rsidRPr="00AE1FA0">
        <w:rPr>
          <w:rFonts w:ascii="Arial" w:hAnsi="Arial" w:cs="Arial"/>
          <w:sz w:val="24"/>
          <w:szCs w:val="24"/>
        </w:rPr>
        <w:t>was</w:t>
      </w:r>
      <w:proofErr w:type="gramEnd"/>
      <w:r w:rsidRPr="00AE1FA0">
        <w:rPr>
          <w:rFonts w:ascii="Arial" w:hAnsi="Arial" w:cs="Arial"/>
          <w:sz w:val="24"/>
          <w:szCs w:val="24"/>
        </w:rPr>
        <w:t xml:space="preserve"> the importance to acknowledge archivists’ influential power yielded on archival materials I collected and analysed. This was realized through the choice of what to record and what to discard (Decker, 2013). In this way, the archival records are not perceived as objective, but have been selected and organized based on pre-existing rules or individual interpretations about the value of the content of the materials. Hanlon (2001: 14) </w:t>
      </w:r>
      <w:r w:rsidRPr="00AE1FA0">
        <w:rPr>
          <w:rFonts w:ascii="Arial" w:eastAsia="宋体" w:hAnsi="Arial" w:cs="Arial"/>
          <w:sz w:val="24"/>
          <w:szCs w:val="24"/>
          <w:vertAlign w:val="superscript"/>
        </w:rPr>
        <w:t xml:space="preserve"> </w:t>
      </w:r>
      <w:r w:rsidRPr="00AE1FA0">
        <w:rPr>
          <w:rFonts w:ascii="Arial" w:hAnsi="Arial" w:cs="Arial"/>
          <w:sz w:val="24"/>
          <w:szCs w:val="24"/>
        </w:rPr>
        <w:t xml:space="preserve">further emphasized that archival records “provide a useful additional lens for viewing what does remain and what does survive, illuminating earlier phases of place making and of economic and social restructuring”. This understanding corresponds with Schmid’s conceptualization of space and time. Schmid (2009) argued that space and time are socially produced in the context of a specific social world. Space and time are historical inherently that calls for analysis of social relations, power and conflicts. Only by firstly conceptualizing archival materials as social products would it possible to approach space and time as social and historical production.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Archival materials collected for Founder’s Building case could be categorized as textual and visual materials. Textual materials ranged from newspaper clippings to reminiscences of alumni and previous employees; from personal diaries to prospectuses for prospective students; from architect’s design plans to college regulations. Though they functioned in different ways and explained divergent perspectives of Founder’s Building, the analytical approach shared a similar assumption that they should be approached as subjective to interpretations. Here, I want to use reminiscence of alumni and employees as a case to demonstrate how I analysed textual materials in this thesis. Reminiscences can be defined differently with different emphases.  Cohen and Taylor (1998: 602) discovered that definitions of reminiscence could focus on process; others such as Parker (1995) defined </w:t>
      </w:r>
      <w:r w:rsidRPr="00AE1FA0">
        <w:rPr>
          <w:rFonts w:ascii="Arial" w:hAnsi="Arial" w:cs="Arial"/>
          <w:sz w:val="24"/>
          <w:szCs w:val="24"/>
        </w:rPr>
        <w:lastRenderedPageBreak/>
        <w:t xml:space="preserve">reminiscence as a “selective process in which memories are evoked and reconstructed”; yet others such as Watt (1991), focused on content, defining it as “‘personal memories of a distant past: long term memories of events in which reminiscer “is either a participant or an observer”. What this shed light on my analytical approach to archival materials were that I paid attention not only to the content of reminiscences, but also processes of how they were created and communicated.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In this research, the case of Founder’s Building in RHUL, reminiscences available in the college archive were created and collected in the 1980s by Caroline Bingham.  An alumna of RHUL, she collected reminiscences of alumni and people who had worked in RHUL to write a centenary book for RHUL, depicting life in RHUL in different times (Bingham, 1987). During this process, she identified possible alumni and previous employees and wrote invitation letters to them specifying her purpose. Reminiscences used in this thesis therefore demonstrate how people recalled their personal experience and life in Founder’s Building and RHUL. During the analysis process, reminiscences were not taken at face value, since they were created for a specific purpose, but more importantly, in the knowledge that people tended to wear rose-coloured glasses when they recall their past. This was particularly relevant to this thesis because most alumni were elderly when they wrote their reminiscences, and it is believed that elderly alumni tend to rate their memories more positively than current students (Singer, Rexhaj and Baddeley, 2007).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However, I am not suggesting that this will make these materials less reliable or untrustworthy, but as a reflexive researcher I realize that all materials are collected and stored for specific purposes. Where my interpretation and analysis differ from other research is that I not only wanted to address the content of materials, but also to demonstrate the production process of these materials; this is also part of the analytical strategy of this reflexive research. This strategy was applied to other textual materials as well as the abundant visual materials – photographs and drawings – in the archive.  It was straightforward for me, as a researcher, to identify the traces or imprints of the past by linking the visual materials in the college archive with the present status of Founder’s Building. Like the textual materials, visual materials were treated as value-laden. As an interpretive researcher, I contend that photographs are </w:t>
      </w:r>
      <w:r w:rsidRPr="00AE1FA0">
        <w:rPr>
          <w:rFonts w:ascii="Arial" w:hAnsi="Arial" w:cs="Arial"/>
          <w:sz w:val="24"/>
          <w:szCs w:val="24"/>
        </w:rPr>
        <w:lastRenderedPageBreak/>
        <w:t>not necessarily value-free or objective entities, but subject to varying or contradictory interpretations. Rose (2000) studied the evolving assumptions historians and archivists make towards photographs and argued that assumptions shifted from the “photographs never lie” to “photographs serve interests”. As a result, visual materials should be treated as “prisms that refract what can be seen in a quite particular way”.</w:t>
      </w: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Hence, I approached visual materials as having been constructed by multiple perspectives and interpretations from varying angles. As a researcher, it is necessary to accept the fact that the meanings of photographs are lost once entered the archives. The actual context of the making process and the actual purpose/use of the photograph are lacking (Rose, 2000). Parker (2009) provided some of limitations of photographs: information on what the photographers were trying to convey is usually missing information; and what was discarded and why? In order to understand the problems associated with photographs from the researcher’s point of, Banks and Zeitlyn (2015: 114) suggested several questions to ask when analysing a photograph: photographs, “why does it exist?”, “who created it?” and “what does it attempt to represent?”. In order to analyse visual materials critically, it is essential to accept that they are not objective and value-free. Schwartz (2000: 2) stated that critical writing about photography should form a “constellation of technologically, culturally, and socially constructed practices”. All of this is addressed in later discussion of how I have approached empirical material reflexively in the case of Founder’s Building. For now, as an example of the limitation of photographs in RHUL’s archive, there is nothing showing the bedrooms of early students. For 60 years in Founder’s Building, during which only female students resided there, every student had both her own bedroom and separate study. There are photographs of studies, but not one of a </w:t>
      </w:r>
      <w:proofErr w:type="gramStart"/>
      <w:r w:rsidRPr="00AE1FA0">
        <w:rPr>
          <w:rFonts w:ascii="Arial" w:hAnsi="Arial" w:cs="Arial"/>
          <w:sz w:val="24"/>
          <w:szCs w:val="24"/>
        </w:rPr>
        <w:t>bedrooms</w:t>
      </w:r>
      <w:proofErr w:type="gramEnd"/>
      <w:r w:rsidRPr="00AE1FA0">
        <w:rPr>
          <w:rFonts w:ascii="Arial" w:hAnsi="Arial" w:cs="Arial"/>
          <w:sz w:val="24"/>
          <w:szCs w:val="24"/>
        </w:rPr>
        <w:t>. This can be interpreted as an absence of empirical material, but if taking social influence into account, it can be interpreted that photographing a young woman’s bedroom would have been considered an intrusion into an enclosed, protected and feminine space.</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50" w:name="_Toc534732378"/>
      <w:r w:rsidRPr="00AE1FA0">
        <w:rPr>
          <w:rFonts w:ascii="Arial" w:eastAsiaTheme="majorEastAsia" w:hAnsi="Arial" w:cs="Arial"/>
          <w:b/>
          <w:color w:val="000000" w:themeColor="text1"/>
          <w:kern w:val="0"/>
          <w:sz w:val="24"/>
          <w:szCs w:val="24"/>
        </w:rPr>
        <w:t>3.4.2. Analytical approach of interviewing material</w:t>
      </w:r>
      <w:bookmarkEnd w:id="50"/>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kern w:val="0"/>
          <w:sz w:val="24"/>
          <w:lang w:val="en-US"/>
        </w:rPr>
        <w:lastRenderedPageBreak/>
        <w:t xml:space="preserve">Semi-structured interviewing conducted in this thesis was designed to allow users of Founder’s Building to express their feelings and experience in and about it. Guidelines for analysing interview material were inspired by Denzin’s (2001) writing on how to analyse interview material for phenomenological case studies. In his writing (2005: 25), what I found particularly useful for my methodological approach, is how he framed interviewing as “not a mirror of so-called external world, nor it is a window into the inner life of the person. The interview is a simulacrum a perfectly miniature and coherent world in its own right”. </w:t>
      </w:r>
      <w:r w:rsidRPr="00AE1FA0">
        <w:rPr>
          <w:rFonts w:ascii="Arial" w:hAnsi="Arial" w:cs="Arial"/>
          <w:sz w:val="24"/>
          <w:szCs w:val="24"/>
        </w:rPr>
        <w:t xml:space="preserve">This suggests that interviewing information is contextual, active and situated, which is co-created by both the interviewees and interviewers. </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Like analysing archival material, analysing interviewing material should be coherent to fundamental methodological assumptions. In previous sections of this chapter, I have discussed the philosophical assumption I subscribed to, that phenomenological philosophy regards interpretation as the heart of knowledge. That is, interpretation should not be optional but should be perceived as an integral part of research and knowledge creation. Therefore, the focus of analytical approach for interviewing was also placed on interpretation. Since the emphasis of analysing was shifted from content to interpretation, the coding process differentiated from the traditional style. I used NVivo software as the initial platform to log and store all interviewing transcripts, the reason for using this software being that it enabled both systematic and creative coding. Also, it was more approachable for constant access and safer to store empirical evidence. However, the actual coding appeared to be less systematic and was messy in some way. I logged transcripts as soon as I finished interviewing in order to transcribe them with a fresh memory. During the process, I categorized transcripts by naming them after staff’s job titles or the subject that students studied to maintain anonymity right from the beginning. </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Once all transcription was finished, I started the first round of coding in a more systematic way on four themes: biographical information, three others relating directly to Founder’s Building: impressions, encounters, and reflections on historical space. The emphasis of the first round of analysis lay in searching for recurring expressions </w:t>
      </w:r>
      <w:r w:rsidRPr="00AE1FA0">
        <w:rPr>
          <w:rFonts w:ascii="Arial" w:hAnsi="Arial" w:cs="Arial"/>
          <w:sz w:val="24"/>
          <w:szCs w:val="24"/>
        </w:rPr>
        <w:lastRenderedPageBreak/>
        <w:t xml:space="preserve">and descriptions, which led to new and more specific themes for further exploration. I want to re-emphasise the nature of this research was a twin-track study, which indicated that during the process of analysing interviews and analysing archival material happened simultaneously. New themes that emerged from the interviews were not from interviewing material only, but also co-created by archival material. Hence, I also added archival material into Nvivo with the aim of find overlapping areas or disparities. My analytical strategy of interviewing material should </w:t>
      </w:r>
      <w:proofErr w:type="gramStart"/>
      <w:r w:rsidRPr="00AE1FA0">
        <w:rPr>
          <w:rFonts w:ascii="Arial" w:hAnsi="Arial" w:cs="Arial"/>
          <w:sz w:val="24"/>
          <w:szCs w:val="24"/>
        </w:rPr>
        <w:t>be seen as</w:t>
      </w:r>
      <w:proofErr w:type="gramEnd"/>
      <w:r w:rsidRPr="00AE1FA0">
        <w:rPr>
          <w:rFonts w:ascii="Arial" w:hAnsi="Arial" w:cs="Arial"/>
          <w:sz w:val="24"/>
          <w:szCs w:val="24"/>
        </w:rPr>
        <w:t xml:space="preserve"> a creation of both archival and interviewing material, united by the general theme that I listed above – a natural product of the design process of this twin-track framework. </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As demonstrated in the previous section, I designed themes or areas of interest for archival material discovery and interviewing questions as mutually constitutive, which led to the analytical strategy of them being woven together. Having clarified their integrated relationship, it become clearer why coding and exploration of themes were messy. Consequently, the second round of analysis of the interviewing material emphasized synthesizing material found in RHUL’s archive and the interviewing transcripts. After familiarization with, and immersion in, both types of empirical evidence, I developed three themes for exploration, which were ‘personal encounter with Founder’s Building’, ‘Founder’s Building as a “Victorian” space’ and ‘Founder’s Building as an historic space’. As later chapters discussing empirical findings will show, these three newly generated themes that formed the foundation for empirical findings of Founder’s Building. </w:t>
      </w:r>
    </w:p>
    <w:p w:rsidR="00AE1FA0" w:rsidRPr="00AE1FA0" w:rsidRDefault="00AE1FA0" w:rsidP="00AE1FA0">
      <w:pPr>
        <w:widowControl/>
        <w:spacing w:after="160"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sz w:val="24"/>
          <w:szCs w:val="24"/>
        </w:rPr>
      </w:pPr>
      <w:r w:rsidRPr="00AE1FA0">
        <w:rPr>
          <w:rFonts w:ascii="Arial" w:hAnsi="Arial" w:cs="Arial"/>
          <w:sz w:val="24"/>
          <w:szCs w:val="24"/>
        </w:rPr>
        <w:t xml:space="preserve">Unlike regarding interview transcripts as resource reflecting the reality, Seale (1998) argued that interviewing should be treated as topics constructed by both parties. In this way, transcripts from interviews cannot be used without caution. This is congruent with the nature of this research as reflexive research. Definition and detailed discussions of reflexivity can be found in a later section. For now, I want to highlight the interpretation process that emerged from the analytical stage. Interpretation was framed as bi-directional, that is, as a researcher, I was not the only person who was entitled to interpret. What this reflexive framework enabled as well as encouraged was a two-way interpretation process. What this suggested in the case of </w:t>
      </w:r>
      <w:r w:rsidRPr="00AE1FA0">
        <w:rPr>
          <w:rFonts w:ascii="Arial" w:hAnsi="Arial" w:cs="Arial"/>
          <w:sz w:val="24"/>
          <w:szCs w:val="24"/>
        </w:rPr>
        <w:lastRenderedPageBreak/>
        <w:t xml:space="preserve">Founder’s Building was that knowledge created from interviewing material should be a co-product of participants and researcher. I discuss how to analyse interviewing material reflexively in a later section on reflexivity, but here I want to highlight how I interpreted interviewing material reflexively by giving an example from the empirical case. The example arose when I asked interviewees about their feelings and experience in Founder’s Building as a ‘Victorian’ space. During interviewing, instead of asking participants questions based on my definition of ‘Victorian’, I chose to ask them to define their understanding of ‘Victorian’, and further, to clarify their personal definitions by asking for detailed descriptions and examples. This process on one hand indicated how conducting interviews was reflexive, and on the other hand enabled analysis of the interviewing material reflexively. </w:t>
      </w:r>
    </w:p>
    <w:p w:rsidR="00AE1FA0" w:rsidRPr="00AE1FA0" w:rsidRDefault="00AE1FA0" w:rsidP="00AE1FA0">
      <w:pPr>
        <w:widowControl/>
        <w:spacing w:after="160" w:line="360" w:lineRule="auto"/>
        <w:jc w:val="left"/>
        <w:rPr>
          <w:rFonts w:ascii="Arial" w:hAnsi="Arial" w:cs="Arial"/>
          <w:sz w:val="24"/>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51" w:name="_Toc534732379"/>
      <w:r w:rsidRPr="00AE1FA0">
        <w:rPr>
          <w:rFonts w:ascii="Arial" w:eastAsiaTheme="majorEastAsia" w:hAnsi="Arial" w:cs="Arial"/>
          <w:b/>
          <w:color w:val="000000" w:themeColor="text1"/>
          <w:kern w:val="0"/>
          <w:sz w:val="24"/>
          <w:szCs w:val="26"/>
        </w:rPr>
        <w:t>Ethical considerations: Being an insider and outsider</w:t>
      </w:r>
      <w:bookmarkEnd w:id="51"/>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Reflections on the ethical considerations is unavoidable for any researcher, especially for with an interpretive orientation. As a researcher who needs to interact with people, the personal involvement will affect the findings inevitably (Van Maanen, 2011; Silverman, 2007). However, as the ethical considerations are closely linked with the personal reflections and disseminates in every corner of the research, it is rather difficult to manage without some systemic guidelines. Here I applied the categorisation created by Guillemin and Gillam (2004: 262), who categorised the ethical issues in a research as procedural ethics and “ethics in practice”. They defined procedural ethics as processes required before entering the field, including seeking approval from committee and obtaining consent from participants; ‘ethics in practice’, on the other hand, cover every perspective in the daily conduct of the research, from storage of evidence to building rapport. Unlike the procedural ethics having much mature standards and guidelines, “ethics in practice” is more related to the dynamics between researchers and the participants.  Therefore, Guillemin and Gillam (2004) provided one potential solution: reflexivity is useful to bridge the procedural ethical issues and everyday practice of social research. I will discuss on reflexivity in next section, but for now, the point I want to stress is that “ethics in practice” would be better achieved with the reflections of personal positions and values. By doing this, it </w:t>
      </w:r>
      <w:r w:rsidRPr="00AE1FA0">
        <w:rPr>
          <w:rFonts w:ascii="Arial" w:hAnsi="Arial" w:cs="Arial"/>
          <w:sz w:val="24"/>
          <w:szCs w:val="24"/>
        </w:rPr>
        <w:lastRenderedPageBreak/>
        <w:t>is possible to construct valuable ethical guidelines to govern the daily ethical dilemmas. Procedural ethics in this research included obtaining ethical approval before commencing the empirical work. Ethical considerations related to consent form covered information including clear clarification towards research aims, participants’ rights, and how the evidence would be collected and will be protected. As for “ethics in practice”, different ethical considerations were monitored for archival materials and interviewing materials. It was straightforward that they differed and required divergent concerns.</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Before moving on to specific ethical considerations, it should be emphasized that “ethics in practice” somehow hinged on my roles as both an insider and outsider during my research. I am an insider of RHUL as a research student and I would experience and interact with Founder’s Building for both personal and research purposes. This on the one hand, was an advantage to build rapport with research participants, ranging from archivists to interviewing participants. I had experienced that student participants invited me to view their room in order to demonstrate how their feelings and experiences. This would be rather difficult to achieve for outsiders. However, being an insider could cause problem like some participants suspected that interviewing was a cover-up for internal performance management. In this case, assuring anonymity is not </w:t>
      </w:r>
      <w:proofErr w:type="gramStart"/>
      <w:r w:rsidRPr="00AE1FA0">
        <w:rPr>
          <w:rFonts w:ascii="Arial" w:hAnsi="Arial" w:cs="Arial"/>
          <w:sz w:val="24"/>
          <w:szCs w:val="24"/>
        </w:rPr>
        <w:t>sufficient</w:t>
      </w:r>
      <w:proofErr w:type="gramEnd"/>
      <w:r w:rsidRPr="00AE1FA0">
        <w:rPr>
          <w:rFonts w:ascii="Arial" w:hAnsi="Arial" w:cs="Arial"/>
          <w:sz w:val="24"/>
          <w:szCs w:val="24"/>
        </w:rPr>
        <w:t xml:space="preserve"> to maintain trust, instead, I chose to spend more time to explain research aims and overall design of this research in order to help them understand the reason why I needed to interview them and why I asked certain questions. This is just one example of how ethics in practice is indeed a subjective existence that needs to be tailored to individual’s expectations.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Certainly, there were some protocols to follow no matter I am an insider or an outsider. In the situation of archive visits, a consent form signed every time if pictures were taken. Then the emphasis of ethics lied in properly referencing and citing both the textual and visual materials used. Any citations or photograph used for publication were consulted with the archivist and permission was obtained in advance.  Although the content archival materials seemed to be less prone to ethical issues in this case, however, use of personal reflections and experiences was unavoidable. In this case, the anonymity was the primary ethical concern. Specifically, I cited archival materials including personal reminiscences or diaries in the way that only background </w:t>
      </w:r>
      <w:r w:rsidRPr="00AE1FA0">
        <w:rPr>
          <w:rFonts w:ascii="Arial" w:hAnsi="Arial" w:cs="Arial"/>
          <w:sz w:val="24"/>
          <w:szCs w:val="24"/>
        </w:rPr>
        <w:lastRenderedPageBreak/>
        <w:t xml:space="preserve">information provided, such as year they were in Founder’s Building and whether they were students or staff.  When conducting interviews, ethical considerations were more related to maintain confidentiality and protect privacy through avoiding any descriptions which could be associated to a specific participant. However, this was not that straightforward during the actual interviewing process in the case of Founder’s Building, especially when the population of the interviewing participant was not large, like the staff working in Founder’s library.  The detailed, personal, and in-depth reflections and experiences will make participants more prone to be identified. Although some techniques like pseudonyms or removing key identifying characteristics were applied, but as Parry and Mauthner (2004) stated, these methods can compromise the integrity and quality of the analysis. Therefore, I chose to explain these potential situations to each participant and ask permissions before signing consent forms.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Also, as an interpretive researcher, I acknowledged that the unbalanced the relationship between interviewees and myself, and respected their capacities conceptualise their ideas. In this case specifically, the unbalanced relationship static: as a member of the RHUL, I interviewed people who are in higher hierarchical position than me, which might change the power dynamic for the interviewing process. However, as an interpretive researcher, it should be noticed that the ultimate authority of knowledge belongs to the participants, and to respect their claims and ideas in order to achieve the authenticity. This understanding has enabled to conduct a reflexive research and to write a reflexive thesis, which can be found in the next section that social construction of meanings and knowledge lies in the heart of reflexivity.</w:t>
      </w:r>
    </w:p>
    <w:p w:rsidR="00AE1FA0" w:rsidRPr="00AE1FA0" w:rsidRDefault="00AE1FA0" w:rsidP="00AE1FA0">
      <w:pPr>
        <w:spacing w:line="360" w:lineRule="auto"/>
        <w:rPr>
          <w:rFonts w:ascii="Arial" w:hAnsi="Arial" w:cs="Arial"/>
          <w:sz w:val="24"/>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52" w:name="_Toc534732380"/>
      <w:r w:rsidRPr="00AE1FA0">
        <w:rPr>
          <w:rFonts w:ascii="Arial" w:eastAsiaTheme="majorEastAsia" w:hAnsi="Arial" w:cs="Arial"/>
          <w:b/>
          <w:color w:val="000000" w:themeColor="text1"/>
          <w:kern w:val="0"/>
          <w:sz w:val="24"/>
          <w:szCs w:val="26"/>
        </w:rPr>
        <w:t>Being a reflexive researcher</w:t>
      </w:r>
      <w:bookmarkEnd w:id="52"/>
    </w:p>
    <w:p w:rsidR="00AE1FA0" w:rsidRPr="00AE1FA0" w:rsidRDefault="00AE1FA0" w:rsidP="00AE1FA0">
      <w:pPr>
        <w:spacing w:line="360" w:lineRule="auto"/>
        <w:rPr>
          <w:rFonts w:ascii="Arial" w:hAnsi="Arial" w:cs="Arial"/>
          <w:kern w:val="0"/>
          <w:sz w:val="22"/>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In the previous section on ethical considerations, I spoke about the concept of ‘reflexivity’ and how it might be useful for this research. This section covers three perspectives to illustrate the question of how to be a reflexive researcher. I will introduce conceptualizations of reflexivity, then I will justify the importance of radical reflexivity and its implications, and, finally, give some critiques of reflexivity in </w:t>
      </w:r>
      <w:r w:rsidRPr="00AE1FA0">
        <w:rPr>
          <w:rFonts w:ascii="Arial" w:hAnsi="Arial" w:cs="Arial"/>
          <w:sz w:val="24"/>
          <w:szCs w:val="24"/>
        </w:rPr>
        <w:lastRenderedPageBreak/>
        <w:t xml:space="preserve">empirical research. </w:t>
      </w:r>
    </w:p>
    <w:p w:rsidR="00AE1FA0" w:rsidRPr="00AE1FA0" w:rsidRDefault="00AE1FA0" w:rsidP="00AE1FA0">
      <w:pPr>
        <w:widowControl/>
        <w:spacing w:after="160" w:line="360" w:lineRule="auto"/>
        <w:jc w:val="left"/>
        <w:rPr>
          <w:rFonts w:ascii="Arial" w:hAnsi="Arial" w:cs="Arial"/>
          <w:kern w:val="0"/>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A reflexive researcher, according to Mason (2017: 6), “should constantly take stock of their actions and their role in the research process and subject these to the same critical scrutiny as the rest of their data.” The reason why reflexivity is essential is that a research is a construction of knowledge where both researchers and participants are engaged in, and where scrutiny and reflection is important. Thus, it is not a single or one-off issue but an active process, where researchers should constantly ask the question “what I know and how do I know” (Guillemin and Gillam, 2004: 274). In fact, these self-reflections are essential parts of phenomenological research and determine the credibility of the research. Indeed, the acknowledgement of research as a co-creation by both researchers and participants is the requirement for interpretive orientation and reflexivity. The co-creation is present in the framing research question, data collection, and selection and interpretation stages. For instance, during the interviewing, researcher and participants conceptualise the topic and produce concomitant identities (Rapley, 2001; Manderson, Bennett and Andajani-Sutjahjo, 2006). Flick (2009) discussed this necessity by arguing that the reflections of researchers’ subjectivity should be emphasized since they will influence the whole process of the research, from the choice of research questions to the analysis of the empirical evidence. That is, feelings, impressions or even irritations can form part and parcel of the empirical evidence. However, besides the personal level of reflexivity on subjective thoughts and feelings, situating the researchers and knowledge within specific institutional and cultural contexts is also necessary (Finlay and Gough, 2003).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What these different definitions aimed to provide is a generic or totalized conceptualization of reflexivity, and therefore lacks the level of distinctiveness. Lynch (2000) categorized reflexivity into mechanical, substantive, methodological, meta-theoretical, interpretive and ethnomethodological reflexivity. Each category consists of various sub-categories; for instance, radical reflexivity belongs to interpretive reflexivity.  Among these, radical-reflexivity is the one I subscribed to in this thesis. Cunliffe (2003) described the aim of radical reflexivity as to both question the true claims of others and to question how researchers make true claims and </w:t>
      </w:r>
      <w:r w:rsidRPr="00AE1FA0">
        <w:rPr>
          <w:rFonts w:ascii="Arial" w:hAnsi="Arial" w:cs="Arial"/>
          <w:sz w:val="24"/>
          <w:szCs w:val="24"/>
        </w:rPr>
        <w:lastRenderedPageBreak/>
        <w:t xml:space="preserve">construct meanings. The rationale is twofold. On the one hand, radical-reflexivity built the foundation of phenomenological work (Prasad, 2002), and therefore would be congruent with the overall research design. On the other hand, radical-reflexivity indeed emerged naturally from my interactions with empirical materials as well as with research participants. Theoretically, </w:t>
      </w:r>
      <w:proofErr w:type="gramStart"/>
      <w:r w:rsidRPr="00AE1FA0">
        <w:rPr>
          <w:rFonts w:ascii="Arial" w:hAnsi="Arial" w:cs="Arial"/>
          <w:sz w:val="24"/>
          <w:szCs w:val="24"/>
        </w:rPr>
        <w:t>similar to</w:t>
      </w:r>
      <w:proofErr w:type="gramEnd"/>
      <w:r w:rsidRPr="00AE1FA0">
        <w:rPr>
          <w:rFonts w:ascii="Arial" w:hAnsi="Arial" w:cs="Arial"/>
          <w:sz w:val="24"/>
          <w:szCs w:val="24"/>
        </w:rPr>
        <w:t xml:space="preserve"> phenomenological research with a hermeneutics orientation, radical-reflexivity looks to how meanings are constructed during the process of searching for reality. This indeed conceptualizes research as a co-construction between researchers and research participants (Cunliffe, 2003). </w:t>
      </w:r>
    </w:p>
    <w:p w:rsidR="00AE1FA0" w:rsidRPr="00AE1FA0" w:rsidRDefault="00AE1FA0" w:rsidP="00AE1FA0">
      <w:pPr>
        <w:widowControl/>
        <w:spacing w:after="160" w:line="360" w:lineRule="auto"/>
        <w:jc w:val="left"/>
        <w:rPr>
          <w:rFonts w:ascii="Arial" w:hAnsi="Arial" w:cs="Arial"/>
          <w:kern w:val="0"/>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With respect to how to become a reflexive researcher and conduct a reflexive research, this thesis exemplified some practical thoughts. First, before the start of empirical study, researchers should “recognize philosophical commitments” (Cunliffe, 2003: 985). What I perceived and applied to the case of Founder’s Building was inspired by this suggestion. Before the start of my empirical study, I reviewed and evaluated the different philosophical choices available. It should be clarified that these philosophical choices were not confined to the methodological perspective but should be extended to the theoretical level. As a thesis on organizational space and history, I evaluated philosophical commitments of studies on organizational space and history respectively, and then moved to searching for a specific theoretical framework that was consistent with the chosen philosophical stance. This process might seem to be less relevant to discussions on methodology, however, they represent the essence of reflexivity that questions the certainty of philosophies. Reflections on possibilities of theories and frameworks encouraged me to move reflexivity from the abstract level of the nature of reality and knowledge and provided more practical implications. However, it is still important to reflect on the level of ontology and epistemology that dealt with realty and knowledge creation. This level of reflection is widely accepted as the core of reflexivity. However, what my thesis attempted to demonstrate was that reflexivity should not remain only on the methodological level: it should participate in the entire process of research.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Another implication of reflexivity on this thesis was that it </w:t>
      </w:r>
      <w:proofErr w:type="gramStart"/>
      <w:r w:rsidRPr="00AE1FA0">
        <w:rPr>
          <w:rFonts w:ascii="Arial" w:hAnsi="Arial" w:cs="Arial"/>
          <w:sz w:val="24"/>
          <w:szCs w:val="24"/>
        </w:rPr>
        <w:t>opened up</w:t>
      </w:r>
      <w:proofErr w:type="gramEnd"/>
      <w:r w:rsidRPr="00AE1FA0">
        <w:rPr>
          <w:rFonts w:ascii="Arial" w:hAnsi="Arial" w:cs="Arial"/>
          <w:sz w:val="24"/>
          <w:szCs w:val="24"/>
        </w:rPr>
        <w:t xml:space="preserve"> possibilities of multiple interpretations by acknowledging the limits of the researcher’s capability to capture reality as social construction. Relevant discussions could be discovered in </w:t>
      </w:r>
      <w:r w:rsidRPr="00AE1FA0">
        <w:rPr>
          <w:rFonts w:ascii="Arial" w:hAnsi="Arial" w:cs="Arial"/>
          <w:sz w:val="24"/>
          <w:szCs w:val="24"/>
        </w:rPr>
        <w:lastRenderedPageBreak/>
        <w:t xml:space="preserve">various perspectives in different stages of research, such as discussions of choices available to analytical strategies; evaluations of possible interpretations of empirical material; justifications of theoretical claims. More discussion of these possibilities will be given in Chapter Six, where I reflect on how I wrote this thesis in a reflexive style. On the practical level, when I analysed empirical evidence discovered in the case of Founder’s Building, I was attentive to the authorship of empirical evidence, that is, to acknowledge that empirical evidence was constructed by each stakeholder during the process of research. For instance, I discussed above how archival material was created by multiple stakeholders, such as archivists, and how I reflected on their influence over my interpretations accordingly. Similar discussions can be found in the section on how to analyse interviewing material, in which I evaluate how to encourage participants in the knowledge creation of interviewing.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Yet, though social constructions of meanings were evident in both archival and interviewing evidence, the level of influence of my participation differed. That is, my positioning in the case of searching and analysing archival material and conducting and analysing interviewing functioned in divergent ways. In brief, compared to the interviewing process, both during conducting or analysing it, my influence was less obvious. Certainly, filters existed when I chose what material to look for and exerted influence with the archivists. But during the interviewing process, there were more filters, such as my body language, my facial reactions, and how I responded to answers given by interviewees. Here, ‘filter’ is used metaphorically to suggest how meanings and knowledge are socially constructed, and how a researcher contribute to this construction process consciously and unconsciously. In fact, perhaps the reason why reflexivity is rarely discussed in archival research is because filters existing in archival material are less observable. Moreover, unlike interviewees, who has been gradually acknowledged as active participants in the knowledge creation process, archival material is still widely perceived as objective and passive.</w:t>
      </w:r>
    </w:p>
    <w:p w:rsidR="00AE1FA0" w:rsidRPr="00AE1FA0" w:rsidRDefault="00AE1FA0" w:rsidP="00AE1FA0">
      <w:pPr>
        <w:spacing w:line="360" w:lineRule="auto"/>
        <w:rPr>
          <w:rFonts w:ascii="Arial" w:hAnsi="Arial" w:cs="Arial"/>
          <w:sz w:val="24"/>
          <w:szCs w:val="24"/>
        </w:rPr>
      </w:pPr>
    </w:p>
    <w:p w:rsidR="00AE1FA0" w:rsidRPr="00AE1FA0" w:rsidRDefault="00AE1FA0" w:rsidP="00AE1FA0">
      <w:pPr>
        <w:spacing w:line="360" w:lineRule="auto"/>
        <w:rPr>
          <w:rFonts w:ascii="Arial" w:hAnsi="Arial" w:cs="Arial"/>
          <w:sz w:val="24"/>
          <w:szCs w:val="24"/>
        </w:rPr>
      </w:pPr>
      <w:r w:rsidRPr="00AE1FA0">
        <w:rPr>
          <w:rFonts w:ascii="Arial" w:hAnsi="Arial" w:cs="Arial"/>
          <w:sz w:val="24"/>
          <w:szCs w:val="24"/>
        </w:rPr>
        <w:t xml:space="preserve">Reflexivity has been criticized as offer little to researchers in general, and the popular debate is whether it so “problematizes the research that it paralyses the researcher” (Cunliffe, 2003: 984). It would be unrealistic to answer by this thesis; however, this thesis exemplified a potential way to apply reflexivity to research empirically. What this thesis had discovered shows that it would be possible to conduct a reflexive study </w:t>
      </w:r>
      <w:r w:rsidRPr="00AE1FA0">
        <w:rPr>
          <w:rFonts w:ascii="Arial" w:hAnsi="Arial" w:cs="Arial"/>
          <w:sz w:val="24"/>
          <w:szCs w:val="24"/>
        </w:rPr>
        <w:lastRenderedPageBreak/>
        <w:t xml:space="preserve">practically. Indeed, the assumption behind the concern that reflexivity could become endless and ‘paralyse’, reflects the belief that the aim of researchers should be to explore an objective existing reality. If shifting this understanding to uncover multiple realities and possibilities, then this reflexivity process indeed would be helpful rather than problematic. In fact, reflexivity itself helped me as a researcher to question the assumption of realities, and this process of questioning had further opened possibilities and interpretations. </w:t>
      </w:r>
    </w:p>
    <w:p w:rsidR="00AE1FA0" w:rsidRPr="00AE1FA0" w:rsidRDefault="00AE1FA0" w:rsidP="00AE1FA0">
      <w:pPr>
        <w:spacing w:line="360" w:lineRule="auto"/>
        <w:rPr>
          <w:rFonts w:ascii="Arial" w:hAnsi="Arial" w:cs="Arial"/>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hint="eastAsia"/>
          <w:kern w:val="0"/>
          <w:sz w:val="24"/>
          <w:szCs w:val="24"/>
        </w:rPr>
      </w:pPr>
    </w:p>
    <w:p w:rsidR="00AE1FA0" w:rsidRPr="00AE1FA0" w:rsidRDefault="00AE1FA0" w:rsidP="00AE1FA0">
      <w:pPr>
        <w:keepNext/>
        <w:keepLines/>
        <w:widowControl/>
        <w:spacing w:before="240" w:line="360" w:lineRule="auto"/>
        <w:jc w:val="center"/>
        <w:outlineLvl w:val="0"/>
        <w:rPr>
          <w:rFonts w:ascii="Arial" w:eastAsiaTheme="majorEastAsia" w:hAnsi="Arial" w:cs="Arial"/>
          <w:color w:val="000000" w:themeColor="text1"/>
          <w:kern w:val="0"/>
          <w:sz w:val="32"/>
          <w:szCs w:val="32"/>
        </w:rPr>
      </w:pPr>
      <w:bookmarkStart w:id="53" w:name="_Toc534732381"/>
      <w:r w:rsidRPr="00AE1FA0">
        <w:rPr>
          <w:rFonts w:ascii="Arial" w:eastAsiaTheme="majorEastAsia" w:hAnsi="Arial" w:cs="Arial"/>
          <w:color w:val="000000" w:themeColor="text1"/>
          <w:kern w:val="0"/>
          <w:sz w:val="32"/>
          <w:szCs w:val="32"/>
        </w:rPr>
        <w:lastRenderedPageBreak/>
        <w:t>Chapter Four</w:t>
      </w:r>
      <w:bookmarkEnd w:id="53"/>
    </w:p>
    <w:p w:rsidR="00AE1FA0" w:rsidRPr="00AE1FA0" w:rsidRDefault="00AE1FA0" w:rsidP="00AE1FA0">
      <w:pPr>
        <w:widowControl/>
        <w:spacing w:after="160" w:line="259" w:lineRule="auto"/>
        <w:jc w:val="left"/>
        <w:rPr>
          <w:rFonts w:ascii="Arial" w:hAnsi="Arial" w:cs="Arial"/>
          <w:color w:val="000000" w:themeColor="text1"/>
          <w:kern w:val="0"/>
          <w:sz w:val="32"/>
        </w:rPr>
      </w:pPr>
      <w:r w:rsidRPr="00AE1FA0">
        <w:rPr>
          <w:rFonts w:ascii="Arial" w:hAnsi="Arial" w:cs="Arial"/>
          <w:color w:val="000000" w:themeColor="text1"/>
          <w:kern w:val="0"/>
          <w:sz w:val="32"/>
        </w:rPr>
        <w:t>Beyond the encounter: Experiencing space over time</w:t>
      </w:r>
    </w:p>
    <w:p w:rsidR="00AE1FA0" w:rsidRPr="00AE1FA0" w:rsidRDefault="00AE1FA0" w:rsidP="00AE1FA0">
      <w:pPr>
        <w:widowControl/>
        <w:spacing w:after="160" w:line="259" w:lineRule="auto"/>
        <w:jc w:val="left"/>
        <w:rPr>
          <w:rFonts w:ascii="Arial" w:hAnsi="Arial" w:cs="Arial"/>
          <w:kern w:val="0"/>
          <w:sz w:val="32"/>
        </w:rPr>
      </w:pPr>
    </w:p>
    <w:p w:rsidR="00AE1FA0" w:rsidRPr="00AE1FA0" w:rsidRDefault="00AE1FA0" w:rsidP="00AE1FA0">
      <w:pPr>
        <w:keepNext/>
        <w:keepLines/>
        <w:widowControl/>
        <w:spacing w:before="40" w:line="360" w:lineRule="auto"/>
        <w:jc w:val="left"/>
        <w:outlineLvl w:val="1"/>
        <w:rPr>
          <w:rFonts w:ascii="Arial" w:eastAsiaTheme="majorEastAsia" w:hAnsi="Arial" w:cs="Arial"/>
          <w:b/>
          <w:color w:val="000000" w:themeColor="text1"/>
          <w:kern w:val="0"/>
          <w:sz w:val="24"/>
          <w:szCs w:val="26"/>
        </w:rPr>
      </w:pPr>
      <w:bookmarkStart w:id="54" w:name="_Toc534732382"/>
      <w:r w:rsidRPr="00AE1FA0">
        <w:rPr>
          <w:rFonts w:ascii="Arial" w:eastAsiaTheme="majorEastAsia" w:hAnsi="Arial" w:cs="Arial"/>
          <w:b/>
          <w:color w:val="000000" w:themeColor="text1"/>
          <w:kern w:val="0"/>
          <w:sz w:val="24"/>
          <w:szCs w:val="26"/>
        </w:rPr>
        <w:t>Chapter Introduction</w:t>
      </w:r>
      <w:bookmarkEnd w:id="54"/>
      <w:r w:rsidRPr="00AE1FA0">
        <w:rPr>
          <w:rFonts w:ascii="Arial" w:eastAsiaTheme="majorEastAsia" w:hAnsi="Arial" w:cs="Arial"/>
          <w:b/>
          <w:color w:val="000000" w:themeColor="text1"/>
          <w:kern w:val="0"/>
          <w:sz w:val="24"/>
          <w:szCs w:val="26"/>
        </w:rPr>
        <w:t xml:space="preserve"> </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The aim of this chapter is to bring experience forward in the discussion of Founder’s Building. Here, the assumption to start with experience instead of conceived or perceived space is due to the understanding of Lefebvre’s triad framework as an integral analytical approach rather than as an abstract model. Thus, what this chapter plans to accomplish is to approach Founder’s Building in terms of how people experience and interact with it; and to integrate processual worldview into the analysis by not only conceptualizing experience in and with space as continuing processes, but also approaching it over time.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In order to achieve the aim of this chapter, I firstly discuss how people in Founder’s Building experienced and are experiencing space under the influence of their interpretations. These discussions are all based on the assumption that space is experienced not as a fixed ‘being’, instead, it is ‘becoming’ continually, that is, people experience the space individually yet shaped by the changing social norms. People experience the space rather than encounter it as passive recipients. Here ‘encounter’ means that the users react and use the space passively according to the way the space is conceived and perceived. ‘Experience’, instead, is used to describe the interactions process between the space and users, where is usually tied to past experiences. As the heading of this chapter suggests, unlike many existed empirical studies on organizational space based on Lefebvre’s triad, I present experience before conception. That means, the analysis of this chapter is not a linear process that from conception to experience. Instead, what this chapter attempts to achieve is to put experience in the centre, and therefore it is possible to grasp how experience evolves over time. What this suggests is that I go back and forth different time periods when analysing the empirical evidence in order to demonstrate the interplay of space and time.</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lastRenderedPageBreak/>
        <w:t xml:space="preserve">The second section of this chapter deals with separate-sphered nature (i.e. male/female) of Founder’s Building. Separate-sphered space is a distinguishing characteristic existing since the conception stage and is still part of daily life of whoever now experiences Founder’s Building. Choosing this feature as an entry point is to demonstrate how different perspectives of Founder’s Building work together and influence how people experience it, that is, on a theoretical level, the dynamics of Lefebvre’s triad, how conceived, perceived and lived space interact with each other. Discussion on Founder’s Building as a separated-sphere starts with the changed meanings of the term and how this reflects on spatial level. Attention then shifts to implications of living in and experiencing Founder’s Building as a separate-sphered space, with the emphasis on how people interpret and act. During this process, I pay </w:t>
      </w:r>
      <w:proofErr w:type="gramStart"/>
      <w:r w:rsidRPr="00AE1FA0">
        <w:rPr>
          <w:rFonts w:ascii="Arial" w:eastAsia="宋体" w:hAnsi="Arial" w:cs="Arial"/>
          <w:sz w:val="24"/>
        </w:rPr>
        <w:t>particular attention</w:t>
      </w:r>
      <w:proofErr w:type="gramEnd"/>
      <w:r w:rsidRPr="00AE1FA0">
        <w:rPr>
          <w:rFonts w:ascii="Arial" w:eastAsia="宋体" w:hAnsi="Arial" w:cs="Arial"/>
          <w:sz w:val="24"/>
        </w:rPr>
        <w:t xml:space="preserve"> to on how Founder’s Building is conceived and perceived apart from how it is lived.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The third section focuses on negotiations and conflicts that happened or are happening in Founder’s Building, derived spontaneously from previous analysis. What differentiates this section from others is how people experienced or experiencing Founder’s Building negotiated or negotiate with rules and regulations determined by conceived and perceived space actively and how they re-appropriated their lived space through re-defining what appropriate behaviours in Founder’s Building are. It should be highlighted that since conceived and perceived space evolve just as lived space, what are perceived as appropriate behaviours and actions change simultaneously under the influence of changing social norms and values.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keepNext/>
        <w:keepLines/>
        <w:widowControl/>
        <w:numPr>
          <w:ilvl w:val="0"/>
          <w:numId w:val="35"/>
        </w:numPr>
        <w:spacing w:before="40" w:after="160" w:line="360" w:lineRule="auto"/>
        <w:jc w:val="left"/>
        <w:outlineLvl w:val="1"/>
        <w:rPr>
          <w:rFonts w:ascii="Arial" w:eastAsiaTheme="majorEastAsia" w:hAnsi="Arial" w:cs="Arial"/>
          <w:vanish/>
          <w:color w:val="365F91" w:themeColor="accent1" w:themeShade="BF"/>
          <w:kern w:val="0"/>
          <w:sz w:val="26"/>
          <w:szCs w:val="26"/>
        </w:rPr>
      </w:pPr>
      <w:bookmarkStart w:id="55" w:name="_Toc514757822"/>
      <w:bookmarkStart w:id="56" w:name="_Toc534732383"/>
      <w:bookmarkEnd w:id="55"/>
      <w:bookmarkEnd w:id="56"/>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57" w:name="_Toc534732384"/>
      <w:r w:rsidRPr="00AE1FA0">
        <w:rPr>
          <w:rFonts w:ascii="Arial" w:eastAsiaTheme="majorEastAsia" w:hAnsi="Arial" w:cs="Arial"/>
          <w:b/>
          <w:color w:val="000000" w:themeColor="text1"/>
          <w:kern w:val="0"/>
          <w:sz w:val="24"/>
          <w:szCs w:val="26"/>
        </w:rPr>
        <w:t>Experiencing Founder’s Building over time</w:t>
      </w:r>
      <w:bookmarkEnd w:id="57"/>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Once shifting understanding of space from encounter to experience, it becomes clearer that the way users of Founder’s Building interact with space is a continuously evolving process. What is more important, this process evolves as users learn from their past experiences and moderate their interactions with space; or space. Some evidence has emerged in Founder’s Building’s case in terms of how this process works, for instance, experience with the Picture Gallery evolves along with changing socializing styles. As a reminder, the Picture Gallery represents the most ornate and </w:t>
      </w:r>
      <w:r w:rsidRPr="00AE1FA0">
        <w:rPr>
          <w:rFonts w:ascii="Arial" w:eastAsia="宋体" w:hAnsi="Arial" w:cs="Arial"/>
          <w:sz w:val="24"/>
          <w:szCs w:val="28"/>
        </w:rPr>
        <w:lastRenderedPageBreak/>
        <w:t>luxurious facet of Founder’s space (Image 3), and it forms as an essential part of social life in RHUL since its conception. It is believed that over £80,000 were paid to acquire 77 Victorian era paintings by Thomas Holloway, and all of painting were donated to RHUL at the time of its founding. Another point to underline about the Picture Gallery is that it is the space that has experienced fewest changes and alterations, especially its physical design and artefacts. (Williams, 1993). Nevertheless, interactions happening here have changed a lot. Picture Gallery was initially conceived as a social space that imitated the social life of upper and middle-class women in ‘Victorian’ times, yet it should be clarified that both conceived and perceived perspectives only represented the idealized image of how Picture Gallery should be experienced. What influenced and even determined it are wider social conditions and norms; Picture Gallery, for instance, was occupied by the students evacuated from Senate House in the University of London after the Blitz in 1940. As a first-year undergraduate student in 1940, recalled:</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At no time in our three years, at RHC, did we see or even glimpse the Picture Gallery. </w:t>
      </w:r>
      <w:r w:rsidRPr="00AE1FA0">
        <w:rPr>
          <w:rFonts w:ascii="Arial" w:eastAsia="宋体" w:hAnsi="Arial" w:cs="Arial"/>
          <w:i/>
          <w:sz w:val="24"/>
          <w:szCs w:val="28"/>
          <w:vertAlign w:val="superscript"/>
        </w:rPr>
        <w:footnoteReference w:id="5"/>
      </w:r>
    </w:p>
    <w:p w:rsidR="00AE1FA0" w:rsidRPr="00AE1FA0" w:rsidRDefault="00AE1FA0" w:rsidP="00AE1FA0">
      <w:pPr>
        <w:spacing w:line="360" w:lineRule="auto"/>
        <w:ind w:left="720"/>
        <w:rPr>
          <w:rFonts w:ascii="Arial" w:eastAsia="宋体" w:hAnsi="Arial" w:cs="Arial"/>
          <w:i/>
          <w:color w:val="00B050"/>
          <w:sz w:val="28"/>
          <w:szCs w:val="28"/>
        </w:rPr>
      </w:pPr>
    </w:p>
    <w:p w:rsidR="00AE1FA0" w:rsidRPr="00AE1FA0" w:rsidRDefault="00AE1FA0" w:rsidP="00AE1FA0">
      <w:pPr>
        <w:spacing w:line="360" w:lineRule="auto"/>
        <w:rPr>
          <w:rFonts w:ascii="Arial" w:eastAsia="宋体" w:hAnsi="Arial" w:cs="Arial"/>
          <w:color w:val="00B050"/>
          <w:sz w:val="28"/>
          <w:szCs w:val="28"/>
        </w:rPr>
      </w:pPr>
      <w:r w:rsidRPr="00AE1FA0">
        <w:rPr>
          <w:rFonts w:ascii="Arial" w:eastAsia="宋体" w:hAnsi="Arial" w:cs="Arial"/>
          <w:noProof/>
          <w:lang w:eastAsia="en-GB"/>
        </w:rPr>
        <w:drawing>
          <wp:inline distT="0" distB="0" distL="0" distR="0" wp14:anchorId="2A3337E8" wp14:editId="09F4899D">
            <wp:extent cx="3876675" cy="29075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2696" cy="2949523"/>
                    </a:xfrm>
                    <a:prstGeom prst="rect">
                      <a:avLst/>
                    </a:prstGeom>
                  </pic:spPr>
                </pic:pic>
              </a:graphicData>
            </a:graphic>
          </wp:inline>
        </w:drawing>
      </w:r>
    </w:p>
    <w:p w:rsidR="00AE1FA0" w:rsidRPr="00AE1FA0" w:rsidRDefault="00AE1FA0" w:rsidP="00AE1FA0">
      <w:pPr>
        <w:spacing w:line="360" w:lineRule="auto"/>
        <w:rPr>
          <w:rFonts w:ascii="Arial" w:eastAsia="宋体" w:hAnsi="Arial" w:cs="Arial"/>
          <w:sz w:val="28"/>
          <w:szCs w:val="28"/>
        </w:rPr>
      </w:pPr>
      <w:r w:rsidRPr="00AE1FA0">
        <w:rPr>
          <w:rFonts w:ascii="Arial" w:eastAsia="宋体" w:hAnsi="Arial" w:cs="Arial"/>
          <w:sz w:val="24"/>
          <w:szCs w:val="28"/>
        </w:rPr>
        <w:t>Image 3: Picture Gallery, RHUL</w:t>
      </w:r>
      <w:r w:rsidRPr="00AE1FA0">
        <w:rPr>
          <w:rFonts w:ascii="Arial" w:eastAsia="宋体" w:hAnsi="Arial" w:cs="Arial"/>
          <w:sz w:val="24"/>
          <w:szCs w:val="28"/>
          <w:vertAlign w:val="superscript"/>
        </w:rPr>
        <w:footnoteReference w:id="6"/>
      </w:r>
    </w:p>
    <w:p w:rsidR="00AE1FA0" w:rsidRPr="00AE1FA0" w:rsidRDefault="00AE1FA0" w:rsidP="00AE1FA0">
      <w:pPr>
        <w:spacing w:line="360" w:lineRule="auto"/>
        <w:rPr>
          <w:rFonts w:ascii="Arial" w:eastAsia="宋体" w:hAnsi="Arial" w:cs="Arial"/>
          <w:color w:val="00B050"/>
          <w:sz w:val="28"/>
          <w:szCs w:val="28"/>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lastRenderedPageBreak/>
        <w:t>During WW2, when the whole country was in turmoil, RHC did not escape it. Spatially, Founder’s Building was experienced by the students as ‘been cut in half’</w:t>
      </w:r>
      <w:r w:rsidRPr="00AE1FA0">
        <w:rPr>
          <w:rFonts w:ascii="Arial" w:eastAsia="宋体" w:hAnsi="Arial" w:cs="Arial"/>
          <w:sz w:val="24"/>
          <w:szCs w:val="24"/>
          <w:vertAlign w:val="superscript"/>
        </w:rPr>
        <w:footnoteReference w:id="7"/>
      </w:r>
      <w:r w:rsidRPr="00AE1FA0">
        <w:rPr>
          <w:rFonts w:ascii="Arial" w:eastAsia="宋体" w:hAnsi="Arial" w:cs="Arial"/>
          <w:sz w:val="24"/>
          <w:szCs w:val="24"/>
        </w:rPr>
        <w:t xml:space="preserve"> in 1941, because the whole East Wing was occupied by the Officer Training School of the Women’s Army. This ‘cut on half’ feeling was further heightened by the changing customs in college life; the wearing gowns in dinner, for instance, virtually disappeared. And Picture Gallery was not experienced as it had been conceived or perceived. In the past, it had been open every day and every student could come and join special events held there. Reminiscences indicate that the curator of Picture Gallery was available in the gallery most of the time; moreover, it then became a tradition for students to have tea together with the curator.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Changing experiencing of Picture Gallery continued: In the 1950s, it was perceived less as a space for the contemplation of paintings, but as space for socializing for both students and staff. In the article called </w:t>
      </w:r>
      <w:r w:rsidRPr="00AE1FA0">
        <w:rPr>
          <w:rFonts w:ascii="Arial" w:eastAsia="宋体" w:hAnsi="Arial" w:cs="Arial"/>
          <w:i/>
          <w:sz w:val="24"/>
          <w:szCs w:val="24"/>
        </w:rPr>
        <w:t>Fresher’s Guide to College Phraseology</w:t>
      </w:r>
      <w:r w:rsidRPr="00AE1FA0">
        <w:rPr>
          <w:rFonts w:ascii="Arial" w:eastAsia="宋体" w:hAnsi="Arial" w:cs="Arial"/>
          <w:i/>
          <w:sz w:val="24"/>
          <w:szCs w:val="24"/>
          <w:vertAlign w:val="superscript"/>
        </w:rPr>
        <w:footnoteReference w:id="8"/>
      </w:r>
      <w:r w:rsidRPr="00AE1FA0">
        <w:rPr>
          <w:rFonts w:ascii="Arial" w:eastAsia="宋体" w:hAnsi="Arial" w:cs="Arial"/>
          <w:sz w:val="24"/>
          <w:szCs w:val="24"/>
        </w:rPr>
        <w:t xml:space="preserve"> in1957, Picture Gallery was defined as ‘A somewhat misleading name, referring to RHC’s largest public room. Used mainly for dances and finals.’ Although this was written humorously, it represented a common view about how this space was interpreted and experienced by students at that time and, indeed, in the 1960s.</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By 2017, by which time the overall number of students had far exceeded its capacity (Founder’s Building was conceived and built originally to cater 200 students and staff) the Picture Gallery was no longer appropriate for any social event for the entire college. Instead, it was now conceived and perceived as the ‘perfect location’ for special events, such as a wedding reception or conference (Picture Gallery, 2017).  But Picture Gallery became a space of learning and research, which was not originally part of Founder’s Building’s conception. Today, as the website of Picture Gallery indicates, learning and research is one important aspect of its use: “</w:t>
      </w:r>
      <w:r w:rsidRPr="00AE1FA0">
        <w:rPr>
          <w:rFonts w:ascii="Arial" w:eastAsia="宋体" w:hAnsi="Arial" w:cs="Arial"/>
          <w:bCs/>
          <w:sz w:val="24"/>
          <w:szCs w:val="24"/>
        </w:rPr>
        <w:t>Our collections and archives provide a rich research resource and we welcome researchers to Royal Holloway</w:t>
      </w:r>
      <w:r w:rsidRPr="00AE1FA0">
        <w:rPr>
          <w:rFonts w:ascii="Arial" w:eastAsia="宋体" w:hAnsi="Arial" w:cs="Arial"/>
          <w:sz w:val="24"/>
          <w:szCs w:val="24"/>
        </w:rPr>
        <w:t xml:space="preserve">”. (Picture Gallery, 2017). Picture Gallery has thus experienced changes from being a part of envisaged college life for women, to socializing space, to space for research. However, it would be wrong to assume old traditions completely vanished when new preferred experiencing emerged; the way </w:t>
      </w:r>
      <w:r w:rsidRPr="00AE1FA0">
        <w:rPr>
          <w:rFonts w:ascii="Arial" w:eastAsia="宋体" w:hAnsi="Arial" w:cs="Arial"/>
          <w:sz w:val="24"/>
          <w:szCs w:val="24"/>
        </w:rPr>
        <w:lastRenderedPageBreak/>
        <w:t xml:space="preserve">that people experience it still carries past imprints with it. </w:t>
      </w:r>
    </w:p>
    <w:p w:rsidR="00AE1FA0" w:rsidRPr="00AE1FA0" w:rsidRDefault="00AE1FA0" w:rsidP="00AE1FA0">
      <w:pPr>
        <w:spacing w:line="360" w:lineRule="auto"/>
        <w:rPr>
          <w:rFonts w:ascii="Arial" w:eastAsia="宋体" w:hAnsi="Arial" w:cs="Arial"/>
          <w:b/>
          <w:bCs/>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Socialization is the reason behind changed experiencing of Picture Gallery. Originally, Founder’s Building and Picture Gallery was conceived for upper and middle-class women, for whom dancing and visits to exhibitions and galleries were the most popular socialising activities. A student in 1950s recalled that dancing in Picture Gallery on Sunday nights was one of the glorious traditions:</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ind w:left="720"/>
        <w:rPr>
          <w:rFonts w:ascii="Arial" w:eastAsia="宋体" w:hAnsi="Arial" w:cs="Arial"/>
          <w:i/>
          <w:sz w:val="24"/>
          <w:szCs w:val="24"/>
        </w:rPr>
      </w:pPr>
      <w:r w:rsidRPr="00AE1FA0">
        <w:rPr>
          <w:rFonts w:ascii="Arial" w:eastAsia="宋体" w:hAnsi="Arial" w:cs="Arial"/>
          <w:i/>
          <w:sz w:val="24"/>
          <w:szCs w:val="24"/>
        </w:rPr>
        <w:t>My memory of Sunday nights was that you could dance in the Picture Gallery to records and the balls were very conventional types, quick steps and waltzs-very traditional. I think we were in a period where they were trying to restore pre-war</w:t>
      </w:r>
      <w:r w:rsidRPr="00AE1FA0">
        <w:rPr>
          <w:rFonts w:ascii="Arial" w:eastAsia="宋体" w:hAnsi="Arial" w:cs="Arial"/>
          <w:i/>
          <w:sz w:val="24"/>
          <w:szCs w:val="24"/>
          <w:vertAlign w:val="superscript"/>
        </w:rPr>
        <w:footnoteReference w:id="9"/>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But a student in 2017 interacts with Picture Gallery in a totally different and rather distant way. Students seldom visit Picture Gallery except for information meetings or public events. This kind of sentiment was found in almost all of interviews in one form or another. For instance, a student being interviewed recalled that:</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ind w:left="720"/>
        <w:rPr>
          <w:rFonts w:ascii="Arial" w:eastAsia="宋体" w:hAnsi="Arial" w:cs="Arial"/>
          <w:i/>
          <w:sz w:val="24"/>
          <w:szCs w:val="24"/>
        </w:rPr>
      </w:pPr>
      <w:r w:rsidRPr="00AE1FA0">
        <w:rPr>
          <w:rFonts w:ascii="Arial" w:eastAsia="宋体" w:hAnsi="Arial" w:cs="Arial"/>
          <w:i/>
          <w:sz w:val="24"/>
          <w:szCs w:val="24"/>
        </w:rPr>
        <w:t xml:space="preserve">I have never been there (Picture Gallery) because I don’t think it opens that much. I have no idea when it opens and when we can visit it.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Not only students’ experiences with Picture Gallery altered, the curator of Picture Gallery experiences it in a different way. Unlike the time when the curator would invite students to have tea in Picture Gallery, now the curator’s office is relatively invisible to students and communications are made preferably to email - the current working practice of the curator and the preferred communication style almost everywhere. As the curator said in interview:</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ind w:left="720"/>
        <w:rPr>
          <w:rFonts w:ascii="Arial" w:eastAsia="宋体" w:hAnsi="Arial" w:cs="Arial"/>
          <w:i/>
          <w:sz w:val="24"/>
          <w:szCs w:val="24"/>
        </w:rPr>
      </w:pPr>
      <w:r w:rsidRPr="00AE1FA0">
        <w:rPr>
          <w:rFonts w:ascii="Arial" w:eastAsia="宋体" w:hAnsi="Arial" w:cs="Arial"/>
          <w:i/>
          <w:sz w:val="24"/>
          <w:szCs w:val="24"/>
        </w:rPr>
        <w:t xml:space="preserve">I think, because this office is far from the Picture Gallery, I don’t go there that often. If the office was next door to it, I would visit it more frequently, and have a different relationship with the artwork. But I think it is OK because we now work in a different way, I don’t have to work with the artwork physically, and I </w:t>
      </w:r>
      <w:r w:rsidRPr="00AE1FA0">
        <w:rPr>
          <w:rFonts w:ascii="Arial" w:eastAsia="宋体" w:hAnsi="Arial" w:cs="Arial"/>
          <w:i/>
          <w:sz w:val="24"/>
          <w:szCs w:val="24"/>
        </w:rPr>
        <w:lastRenderedPageBreak/>
        <w:t xml:space="preserve">spend most of my time with my computer to browser the artwork. </w:t>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The case of Picture Gallery indicates how experiencing with Founder’s Building has changed with the influence of changing social traditions and norms, as well as emergent technologies, the rest of section attempts to emphasize the physical level, that is, how physical objects have been interpreted and how these interpretations have interacted with people’s experiences. I want to start with</w:t>
      </w:r>
      <w:r w:rsidRPr="00AE1FA0">
        <w:rPr>
          <w:rFonts w:ascii="Arial" w:eastAsia="宋体" w:hAnsi="Arial" w:cs="Arial"/>
          <w:i/>
          <w:sz w:val="24"/>
          <w:szCs w:val="24"/>
        </w:rPr>
        <w:t xml:space="preserve"> Fresher’s Guide to College Phraseology</w:t>
      </w:r>
      <w:r w:rsidRPr="00AE1FA0">
        <w:rPr>
          <w:rFonts w:ascii="Arial" w:eastAsia="宋体" w:hAnsi="Arial" w:cs="Arial"/>
          <w:i/>
          <w:sz w:val="24"/>
          <w:szCs w:val="24"/>
          <w:vertAlign w:val="superscript"/>
        </w:rPr>
        <w:t xml:space="preserve"> </w:t>
      </w:r>
      <w:r w:rsidRPr="00AE1FA0">
        <w:rPr>
          <w:rFonts w:ascii="Arial" w:eastAsia="宋体" w:hAnsi="Arial" w:cs="Arial"/>
          <w:sz w:val="24"/>
          <w:szCs w:val="24"/>
        </w:rPr>
        <w:t xml:space="preserve">in 1957 to demonstrate how seemingly objective artefacts of Founder’s Building have been variously interpreted.  In this Guide, what were linked with Founder’s Building spatially were definitions of ‘bulge’ and ‘bay’. The ‘bulge’ was defined as ‘a large room having peculiar contours, inhabited by College hierarchy’, and ‘bay’ as ‘a room with simpler design as bulge, inhabited by lower hierarchy’. (Image 4) </w:t>
      </w:r>
    </w:p>
    <w:p w:rsidR="00AE1FA0" w:rsidRPr="00AE1FA0" w:rsidRDefault="00AE1FA0" w:rsidP="00AE1FA0">
      <w:pPr>
        <w:spacing w:line="360" w:lineRule="auto"/>
        <w:rPr>
          <w:rFonts w:ascii="Arial" w:eastAsia="宋体" w:hAnsi="Arial" w:cs="Arial"/>
          <w:sz w:val="28"/>
          <w:szCs w:val="28"/>
        </w:rPr>
      </w:pPr>
      <w:r w:rsidRPr="00AE1FA0">
        <w:rPr>
          <w:rFonts w:ascii="Arial" w:eastAsia="宋体" w:hAnsi="Arial" w:cs="Arial"/>
          <w:sz w:val="28"/>
          <w:szCs w:val="28"/>
        </w:rPr>
        <w:t xml:space="preserve">   </w:t>
      </w:r>
    </w:p>
    <w:p w:rsidR="00AE1FA0" w:rsidRPr="00AE1FA0" w:rsidRDefault="00AE1FA0" w:rsidP="00AE1FA0">
      <w:pPr>
        <w:spacing w:line="360" w:lineRule="auto"/>
        <w:ind w:left="720"/>
        <w:contextualSpacing/>
        <w:jc w:val="left"/>
        <w:rPr>
          <w:rFonts w:ascii="Arial" w:eastAsia="宋体" w:hAnsi="Arial" w:cs="Arial"/>
          <w:sz w:val="28"/>
          <w:szCs w:val="28"/>
        </w:rPr>
      </w:pPr>
      <w:r w:rsidRPr="00AE1FA0">
        <w:rPr>
          <w:rFonts w:ascii="Arial" w:eastAsia="宋体" w:hAnsi="Arial" w:cs="Arial"/>
          <w:noProof/>
          <w:sz w:val="28"/>
          <w:szCs w:val="28"/>
          <w:lang w:eastAsia="en-GB"/>
        </w:rPr>
        <w:drawing>
          <wp:inline distT="0" distB="0" distL="0" distR="0" wp14:anchorId="055006B5" wp14:editId="6A1E09D8">
            <wp:extent cx="5190429" cy="3895725"/>
            <wp:effectExtent l="0" t="0" r="0" b="0"/>
            <wp:docPr id="28" name="Picture 6" descr="Image resul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1179" cy="3911299"/>
                    </a:xfrm>
                    <a:prstGeom prst="rect">
                      <a:avLst/>
                    </a:prstGeom>
                    <a:noFill/>
                    <a:ln>
                      <a:noFill/>
                    </a:ln>
                  </pic:spPr>
                </pic:pic>
              </a:graphicData>
            </a:graphic>
          </wp:inline>
        </w:drawing>
      </w:r>
    </w:p>
    <w:p w:rsidR="00AE1FA0" w:rsidRPr="00AE1FA0" w:rsidRDefault="00AE1FA0" w:rsidP="00AE1FA0">
      <w:pPr>
        <w:spacing w:line="360" w:lineRule="auto"/>
        <w:ind w:left="720"/>
        <w:contextualSpacing/>
        <w:rPr>
          <w:rFonts w:ascii="Arial" w:eastAsia="宋体" w:hAnsi="Arial" w:cs="Arial"/>
          <w:sz w:val="24"/>
          <w:szCs w:val="28"/>
        </w:rPr>
      </w:pPr>
      <w:r w:rsidRPr="00AE1FA0">
        <w:rPr>
          <w:rFonts w:ascii="Arial" w:eastAsia="宋体" w:hAnsi="Arial" w:cs="Arial"/>
          <w:sz w:val="24"/>
          <w:szCs w:val="28"/>
        </w:rPr>
        <w:t>Image 4: Bulge and Bay-windowed rooms</w:t>
      </w:r>
      <w:r w:rsidRPr="00AE1FA0">
        <w:rPr>
          <w:rFonts w:ascii="Arial" w:eastAsia="宋体" w:hAnsi="Arial" w:cs="Arial"/>
          <w:sz w:val="24"/>
          <w:szCs w:val="28"/>
          <w:vertAlign w:val="superscript"/>
        </w:rPr>
        <w:footnoteReference w:id="10"/>
      </w:r>
      <w:r w:rsidRPr="00AE1FA0">
        <w:rPr>
          <w:rFonts w:ascii="Arial" w:eastAsia="宋体" w:hAnsi="Arial" w:cs="Arial"/>
          <w:sz w:val="24"/>
          <w:szCs w:val="28"/>
        </w:rPr>
        <w:t xml:space="preserve">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It was difficult to comprehend precisely the hierarchy in the RHC, but just in the </w:t>
      </w:r>
      <w:r w:rsidRPr="00AE1FA0">
        <w:rPr>
          <w:rFonts w:ascii="Arial" w:eastAsia="宋体" w:hAnsi="Arial" w:cs="Arial"/>
          <w:sz w:val="24"/>
          <w:szCs w:val="28"/>
        </w:rPr>
        <w:lastRenderedPageBreak/>
        <w:t>context of this document (Image 5), for the students in 1957, the community can be divided into four classes, with Class A the highest in this hierarchy:</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widowControl/>
        <w:numPr>
          <w:ilvl w:val="0"/>
          <w:numId w:val="26"/>
        </w:numPr>
        <w:spacing w:after="160" w:line="360" w:lineRule="auto"/>
        <w:contextualSpacing/>
        <w:jc w:val="left"/>
        <w:rPr>
          <w:rFonts w:ascii="Arial" w:eastAsia="宋体" w:hAnsi="Arial" w:cs="Arial"/>
          <w:i/>
          <w:sz w:val="24"/>
          <w:szCs w:val="28"/>
        </w:rPr>
      </w:pPr>
      <w:r w:rsidRPr="00AE1FA0">
        <w:rPr>
          <w:rFonts w:ascii="Arial" w:eastAsia="宋体" w:hAnsi="Arial" w:cs="Arial"/>
          <w:i/>
          <w:sz w:val="24"/>
          <w:szCs w:val="28"/>
        </w:rPr>
        <w:t>Academic Staff</w:t>
      </w:r>
    </w:p>
    <w:p w:rsidR="00AE1FA0" w:rsidRPr="00AE1FA0" w:rsidRDefault="00AE1FA0" w:rsidP="00AE1FA0">
      <w:pPr>
        <w:widowControl/>
        <w:numPr>
          <w:ilvl w:val="0"/>
          <w:numId w:val="26"/>
        </w:numPr>
        <w:spacing w:after="160" w:line="360" w:lineRule="auto"/>
        <w:contextualSpacing/>
        <w:jc w:val="left"/>
        <w:rPr>
          <w:rFonts w:ascii="Arial" w:eastAsia="宋体" w:hAnsi="Arial" w:cs="Arial"/>
          <w:i/>
          <w:sz w:val="24"/>
          <w:szCs w:val="28"/>
        </w:rPr>
      </w:pPr>
      <w:r w:rsidRPr="00AE1FA0">
        <w:rPr>
          <w:rFonts w:ascii="Arial" w:eastAsia="宋体" w:hAnsi="Arial" w:cs="Arial"/>
          <w:i/>
          <w:sz w:val="24"/>
          <w:szCs w:val="28"/>
        </w:rPr>
        <w:t>Administrative Staff</w:t>
      </w:r>
    </w:p>
    <w:p w:rsidR="00AE1FA0" w:rsidRPr="00AE1FA0" w:rsidRDefault="00AE1FA0" w:rsidP="00AE1FA0">
      <w:pPr>
        <w:widowControl/>
        <w:numPr>
          <w:ilvl w:val="0"/>
          <w:numId w:val="26"/>
        </w:numPr>
        <w:spacing w:after="160" w:line="360" w:lineRule="auto"/>
        <w:contextualSpacing/>
        <w:jc w:val="left"/>
        <w:rPr>
          <w:rFonts w:ascii="Arial" w:eastAsia="宋体" w:hAnsi="Arial" w:cs="Arial"/>
          <w:i/>
          <w:sz w:val="24"/>
          <w:szCs w:val="28"/>
        </w:rPr>
      </w:pPr>
      <w:r w:rsidRPr="00AE1FA0">
        <w:rPr>
          <w:rFonts w:ascii="Arial" w:eastAsia="宋体" w:hAnsi="Arial" w:cs="Arial"/>
          <w:i/>
          <w:sz w:val="24"/>
          <w:szCs w:val="28"/>
        </w:rPr>
        <w:t>Domestic Staff</w:t>
      </w:r>
    </w:p>
    <w:p w:rsidR="00AE1FA0" w:rsidRPr="00AE1FA0" w:rsidRDefault="00AE1FA0" w:rsidP="00AE1FA0">
      <w:pPr>
        <w:widowControl/>
        <w:numPr>
          <w:ilvl w:val="0"/>
          <w:numId w:val="26"/>
        </w:numPr>
        <w:spacing w:after="160" w:line="360" w:lineRule="auto"/>
        <w:contextualSpacing/>
        <w:jc w:val="left"/>
        <w:rPr>
          <w:rFonts w:ascii="Arial" w:eastAsia="宋体" w:hAnsi="Arial" w:cs="Arial"/>
          <w:i/>
          <w:sz w:val="24"/>
          <w:szCs w:val="28"/>
        </w:rPr>
      </w:pPr>
      <w:r w:rsidRPr="00AE1FA0">
        <w:rPr>
          <w:rFonts w:ascii="Arial" w:eastAsia="宋体" w:hAnsi="Arial" w:cs="Arial"/>
          <w:i/>
          <w:sz w:val="24"/>
          <w:szCs w:val="28"/>
        </w:rPr>
        <w:t xml:space="preserve">Students </w:t>
      </w:r>
    </w:p>
    <w:p w:rsidR="00AE1FA0" w:rsidRPr="00AE1FA0" w:rsidRDefault="00AE1FA0" w:rsidP="00AE1FA0">
      <w:pPr>
        <w:spacing w:line="360" w:lineRule="auto"/>
        <w:contextualSpacing/>
        <w:rPr>
          <w:rFonts w:ascii="Arial" w:eastAsia="宋体" w:hAnsi="Arial" w:cs="Arial"/>
          <w:sz w:val="24"/>
          <w:szCs w:val="28"/>
        </w:rPr>
      </w:pPr>
      <w:r w:rsidRPr="00AE1FA0">
        <w:rPr>
          <w:rFonts w:ascii="Arial" w:eastAsia="宋体" w:hAnsi="Arial" w:cs="Arial"/>
          <w:noProof/>
          <w:sz w:val="24"/>
          <w:szCs w:val="28"/>
          <w:lang w:eastAsia="en-GB"/>
        </w:rPr>
        <w:lastRenderedPageBreak/>
        <w:drawing>
          <wp:inline distT="0" distB="0" distL="0" distR="0" wp14:anchorId="1D6C973C" wp14:editId="69F2A49F">
            <wp:extent cx="5731510" cy="7642013"/>
            <wp:effectExtent l="0" t="0" r="0" b="0"/>
            <wp:docPr id="29" name="Picture 29" descr="E:\Archive visits\4-May-2016-WAITING FOR PRINTING\Magazines-printed\IMG_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e visits\4-May-2016-WAITING FOR PRINTING\Magazines-printed\IMG_58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AE1FA0" w:rsidRPr="00AE1FA0" w:rsidRDefault="00AE1FA0" w:rsidP="00AE1FA0">
      <w:pPr>
        <w:spacing w:line="360" w:lineRule="auto"/>
        <w:contextualSpacing/>
        <w:rPr>
          <w:rFonts w:ascii="Arial" w:eastAsia="宋体" w:hAnsi="Arial" w:cs="Arial"/>
          <w:sz w:val="24"/>
          <w:szCs w:val="28"/>
        </w:rPr>
      </w:pPr>
    </w:p>
    <w:p w:rsidR="00AE1FA0" w:rsidRPr="00AE1FA0" w:rsidRDefault="00AE1FA0" w:rsidP="00AE1FA0">
      <w:pPr>
        <w:spacing w:line="360" w:lineRule="auto"/>
        <w:contextualSpacing/>
        <w:rPr>
          <w:rFonts w:ascii="Arial" w:eastAsia="宋体" w:hAnsi="Arial" w:cs="Arial"/>
          <w:sz w:val="24"/>
          <w:szCs w:val="28"/>
        </w:rPr>
      </w:pPr>
      <w:r w:rsidRPr="00AE1FA0">
        <w:rPr>
          <w:rFonts w:ascii="Arial" w:eastAsia="宋体" w:hAnsi="Arial" w:cs="Arial"/>
          <w:sz w:val="24"/>
          <w:szCs w:val="28"/>
        </w:rPr>
        <w:t>Image 5: Fresher’s Guide to College Phraseology, 1957</w:t>
      </w:r>
      <w:r w:rsidRPr="00AE1FA0">
        <w:rPr>
          <w:rFonts w:ascii="Arial" w:eastAsia="宋体" w:hAnsi="Arial" w:cs="Arial"/>
          <w:sz w:val="24"/>
          <w:szCs w:val="28"/>
          <w:vertAlign w:val="superscript"/>
        </w:rPr>
        <w:footnoteReference w:id="11"/>
      </w:r>
    </w:p>
    <w:p w:rsidR="00AE1FA0" w:rsidRPr="00AE1FA0" w:rsidRDefault="00AE1FA0" w:rsidP="00AE1FA0">
      <w:pPr>
        <w:spacing w:line="360" w:lineRule="auto"/>
        <w:contextualSpacing/>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lastRenderedPageBreak/>
        <w:t xml:space="preserve">Therefore, in the eyes of students in 1957, the room allocation was closely linked to which class people belonged to. Specifically, the larger rooms were always allocated to Academic or Administrative staff – the space one person occupied represented the power and hierarchy one belonged to. Thus gradually, the architectural features, ‘bulge’ or ‘bay’ evolved beyond its original meanings. Rooms with bay windows and bulges are one of ‘Victorian’ architectural features and the size of the room is about a half larger than other rooms. When the building was conceived, the bulges and bay windows were less likely to have been associated with power or hierarchy (such an association is not evident in the available archive material) and were simply born out of a desire to create a beautiful building. But the association becomes clear on the perceived level – for instance, maids’ and servants’ rooms were in in the attics and were smaller than </w:t>
      </w:r>
      <w:proofErr w:type="gramStart"/>
      <w:r w:rsidRPr="00AE1FA0">
        <w:rPr>
          <w:rFonts w:ascii="Arial" w:eastAsia="宋体" w:hAnsi="Arial" w:cs="Arial"/>
          <w:sz w:val="24"/>
          <w:szCs w:val="28"/>
        </w:rPr>
        <w:t>students’</w:t>
      </w:r>
      <w:proofErr w:type="gramEnd"/>
      <w:r w:rsidRPr="00AE1FA0">
        <w:rPr>
          <w:rFonts w:ascii="Arial" w:eastAsia="宋体" w:hAnsi="Arial" w:cs="Arial"/>
          <w:sz w:val="24"/>
          <w:szCs w:val="28"/>
        </w:rPr>
        <w:t xml:space="preserve">. Besides this, the larger space in the ‘bulged and bayed’ rooms made it possible for more ornate decoration and better furniture, which was then perceived as more fitting for the highest hierarchy.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Difference in terms of sizes of room had an enduring influence on people’s experience, and these differing experiences between the standard-sized and larger rooms were more obvious since the time of ATS. ATS is the acronym of Auxiliary Territorial Service, the women’s branch of the British Army in WWII, formed in 1938. In 1941, Founder’s East was occupied by ATS officer cadets’ training unit (RHUL Timeline, 2016). After the arrival of ATS, students had to move out of their </w:t>
      </w:r>
      <w:proofErr w:type="gramStart"/>
      <w:r w:rsidRPr="00AE1FA0">
        <w:rPr>
          <w:rFonts w:ascii="Arial" w:eastAsia="宋体" w:hAnsi="Arial" w:cs="Arial"/>
          <w:sz w:val="24"/>
          <w:szCs w:val="28"/>
        </w:rPr>
        <w:t>rooms</w:t>
      </w:r>
      <w:proofErr w:type="gramEnd"/>
      <w:r w:rsidRPr="00AE1FA0">
        <w:rPr>
          <w:rFonts w:ascii="Arial" w:eastAsia="宋体" w:hAnsi="Arial" w:cs="Arial"/>
          <w:sz w:val="24"/>
          <w:szCs w:val="28"/>
        </w:rPr>
        <w:t xml:space="preserve"> and they were re-assigned to rooms in the West Wing. Apart from causing a shortage of available space, the arrival of ATS indeed signalled a key shift for Founder’s Building spatially. It was from that time that the bedroom-study system was transformed into a single bedroom. The bedroom-study model</w:t>
      </w:r>
      <w:r w:rsidRPr="00AE1FA0">
        <w:rPr>
          <w:rFonts w:ascii="Arial" w:eastAsia="宋体" w:hAnsi="Arial" w:cs="Arial"/>
          <w:sz w:val="24"/>
          <w:szCs w:val="28"/>
          <w:vertAlign w:val="superscript"/>
        </w:rPr>
        <w:t>12</w:t>
      </w:r>
      <w:r w:rsidRPr="00AE1FA0">
        <w:rPr>
          <w:rFonts w:ascii="Arial" w:eastAsia="宋体" w:hAnsi="Arial" w:cs="Arial"/>
          <w:sz w:val="24"/>
          <w:szCs w:val="28"/>
        </w:rPr>
        <w:t xml:space="preserve"> had been a tradition embedded in the life of RHC from its foundation (and represented one facet of the typical lifestyle of the upper and middle classes). </w:t>
      </w:r>
      <w:r w:rsidRPr="00AE1FA0" w:rsidDel="00114589">
        <w:rPr>
          <w:rFonts w:ascii="Arial" w:eastAsia="宋体" w:hAnsi="Arial" w:cs="Arial"/>
          <w:sz w:val="24"/>
          <w:szCs w:val="28"/>
          <w:vertAlign w:val="superscript"/>
        </w:rPr>
        <w:t xml:space="preserve"> </w:t>
      </w:r>
      <w:r w:rsidRPr="00AE1FA0">
        <w:rPr>
          <w:rFonts w:ascii="Arial" w:eastAsia="宋体" w:hAnsi="Arial" w:cs="Arial"/>
          <w:sz w:val="24"/>
          <w:szCs w:val="28"/>
        </w:rPr>
        <w:t xml:space="preserve">Rooms were allocated according to Faculty, i.e. Science on the East side and Arts on the West side. This model, which had lasted for almost 60 years, was abandoned in 1940 when half of the Founder’s Building was occupied by the ATS. This fundamental change in Founder’s Building was affected by wider social forces and I will discuss more about it in a later section.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There is a hierarchy even among students. One student in the 1940s ascribed the assignment of some rooms to status: ‘a few privileged people moved automatically </w:t>
      </w:r>
      <w:r w:rsidRPr="00AE1FA0">
        <w:rPr>
          <w:rFonts w:ascii="Arial" w:eastAsia="宋体" w:hAnsi="Arial" w:cs="Arial"/>
          <w:sz w:val="24"/>
          <w:szCs w:val="28"/>
        </w:rPr>
        <w:lastRenderedPageBreak/>
        <w:t xml:space="preserve">into pre-arranged rooms in the last year: president and secretary of the Students’ Union and the Chapel Choir leader had two of the beautiful large-bay-windowed </w:t>
      </w:r>
      <w:proofErr w:type="gramStart"/>
      <w:r w:rsidRPr="00AE1FA0">
        <w:rPr>
          <w:rFonts w:ascii="Arial" w:eastAsia="宋体" w:hAnsi="Arial" w:cs="Arial"/>
          <w:sz w:val="24"/>
          <w:szCs w:val="28"/>
        </w:rPr>
        <w:t>rooms’</w:t>
      </w:r>
      <w:proofErr w:type="gramEnd"/>
      <w:r w:rsidRPr="00AE1FA0">
        <w:rPr>
          <w:rFonts w:ascii="Arial" w:eastAsia="宋体" w:hAnsi="Arial" w:cs="Arial"/>
          <w:sz w:val="24"/>
          <w:szCs w:val="28"/>
        </w:rPr>
        <w:t>.</w:t>
      </w:r>
      <w:r w:rsidRPr="00AE1FA0">
        <w:rPr>
          <w:rFonts w:ascii="Arial" w:eastAsia="宋体" w:hAnsi="Arial" w:cs="Arial"/>
          <w:sz w:val="24"/>
          <w:szCs w:val="28"/>
          <w:vertAlign w:val="superscript"/>
        </w:rPr>
        <w:footnoteReference w:id="12"/>
      </w:r>
      <w:r w:rsidRPr="00AE1FA0">
        <w:rPr>
          <w:rFonts w:ascii="Arial" w:eastAsia="宋体" w:hAnsi="Arial" w:cs="Arial"/>
          <w:sz w:val="24"/>
          <w:szCs w:val="28"/>
        </w:rPr>
        <w:t xml:space="preserve"> </w:t>
      </w:r>
    </w:p>
    <w:p w:rsidR="00AE1FA0" w:rsidRPr="00AE1FA0" w:rsidRDefault="00AE1FA0" w:rsidP="00AE1FA0">
      <w:pPr>
        <w:spacing w:line="360" w:lineRule="auto"/>
        <w:rPr>
          <w:rFonts w:ascii="Arial" w:eastAsia="宋体" w:hAnsi="Arial" w:cs="Arial"/>
          <w:b/>
          <w:sz w:val="24"/>
          <w:szCs w:val="28"/>
        </w:rPr>
      </w:pPr>
    </w:p>
    <w:p w:rsidR="00AE1FA0" w:rsidRPr="00AE1FA0" w:rsidRDefault="00AE1FA0" w:rsidP="00AE1FA0">
      <w:pPr>
        <w:spacing w:line="360" w:lineRule="auto"/>
        <w:rPr>
          <w:rFonts w:ascii="Arial" w:eastAsia="宋体" w:hAnsi="Arial" w:cs="Arial"/>
          <w:b/>
          <w:sz w:val="24"/>
          <w:szCs w:val="28"/>
        </w:rPr>
      </w:pPr>
      <w:r w:rsidRPr="00AE1FA0">
        <w:rPr>
          <w:rFonts w:ascii="Arial" w:eastAsia="宋体" w:hAnsi="Arial" w:cs="Arial"/>
          <w:sz w:val="24"/>
          <w:szCs w:val="28"/>
        </w:rPr>
        <w:t>Today, these larger rooms are still assigned to more senior academics. This can be explained by the learned tradition: the larger rooms were assigned to higher-status people and therefore users of the space experiencing the building now do so as those in the past.</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Additionally, one member of the academic staff explicitly linked the size of office to the organizational hierarchy:</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There is hierarchy in this building, you probably have found out, professors get the rooms with bay windows, mostly, nearly all of them, they work hard, and other people are kicked out for them. There is a hierarchy, and there is a hierarchy between research and teaching staff, in terms of the allocation of space. </w:t>
      </w:r>
    </w:p>
    <w:p w:rsidR="00AE1FA0" w:rsidRPr="00AE1FA0" w:rsidRDefault="00AE1FA0" w:rsidP="00AE1FA0">
      <w:pPr>
        <w:spacing w:before="240" w:line="360" w:lineRule="auto"/>
        <w:rPr>
          <w:rFonts w:ascii="Arial" w:eastAsia="宋体" w:hAnsi="Arial" w:cs="Arial"/>
          <w:b/>
          <w:sz w:val="24"/>
          <w:szCs w:val="28"/>
        </w:rPr>
      </w:pPr>
      <w:r w:rsidRPr="00AE1FA0">
        <w:rPr>
          <w:rFonts w:ascii="Arial" w:eastAsia="宋体" w:hAnsi="Arial" w:cs="Arial"/>
          <w:sz w:val="24"/>
          <w:szCs w:val="28"/>
        </w:rPr>
        <w:t xml:space="preserve">Here we can see one personalized interpretation of a single spatial decision: allocation of space. As the case indicates, this staff member believes that there is a hierarchy in Founder’s Building. This is an interesting expression, though I do not know whether this hierarchy is only valid in Founder’s Building or in the whole university. No matter which it is, this shows the power of personal interpretations and how these interpretations affect people’s mind-set, which then influence how people experience the space. How people experience the space is defined by Lefebvre as the ‘lived space’ and it reveals this exchange process. After 130 years, so many things have been changed in RHUL, such as the case above, the architectural implications of ‘bay’/ ‘bulge’ in Founder’s Building are lost, replaced with the correlation between the size of room and hierarchy. However, this loss is not a one-off, but a process gradually shaped by the users’ experience learned from the past. This process of ‘becoming hierarchical’ is a nice example revealing how the seemingly fixed or taken-for-granted phenomenon can be deconstructed. </w:t>
      </w:r>
    </w:p>
    <w:p w:rsidR="00AE1FA0" w:rsidRPr="00AE1FA0" w:rsidRDefault="00AE1FA0" w:rsidP="00AE1FA0">
      <w:pPr>
        <w:spacing w:before="240" w:line="360" w:lineRule="auto"/>
        <w:rPr>
          <w:rFonts w:ascii="Arial" w:eastAsia="宋体" w:hAnsi="Arial" w:cs="Arial"/>
          <w:sz w:val="24"/>
          <w:szCs w:val="28"/>
        </w:rPr>
      </w:pPr>
      <w:r w:rsidRPr="00AE1FA0">
        <w:rPr>
          <w:rFonts w:ascii="Arial" w:eastAsia="宋体" w:hAnsi="Arial" w:cs="Arial"/>
          <w:sz w:val="24"/>
          <w:szCs w:val="28"/>
        </w:rPr>
        <w:lastRenderedPageBreak/>
        <w:t>Many students today feel that it is unfair that some students can have larger rooms, even though the allocation of rooms is randomly made. For instance, a student said in the interview:</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It is unfair, because we all pay the same fee, I know one of my friends, she has a standard room as well, but hers is like 1.5 of mine. My room is just a tiny one.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8"/>
          <w:szCs w:val="28"/>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4"/>
        </w:rPr>
      </w:pPr>
      <w:bookmarkStart w:id="58" w:name="_Toc534732385"/>
      <w:r w:rsidRPr="00AE1FA0">
        <w:rPr>
          <w:rFonts w:ascii="Arial" w:eastAsiaTheme="majorEastAsia" w:hAnsi="Arial" w:cs="Arial"/>
          <w:b/>
          <w:color w:val="000000" w:themeColor="text1"/>
          <w:kern w:val="0"/>
          <w:sz w:val="24"/>
          <w:szCs w:val="24"/>
        </w:rPr>
        <w:t>Implications behind a separate-sphered space</w:t>
      </w:r>
      <w:bookmarkEnd w:id="58"/>
    </w:p>
    <w:p w:rsidR="00AE1FA0" w:rsidRPr="00AE1FA0" w:rsidRDefault="00AE1FA0" w:rsidP="00AE1FA0">
      <w:pPr>
        <w:widowControl/>
        <w:spacing w:after="160" w:line="259" w:lineRule="auto"/>
        <w:jc w:val="left"/>
        <w:rPr>
          <w:rFonts w:ascii="Arial" w:hAnsi="Arial" w:cs="Arial"/>
          <w:kern w:val="0"/>
          <w:sz w:val="22"/>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59" w:name="_Toc534732386"/>
      <w:r w:rsidRPr="00AE1FA0">
        <w:rPr>
          <w:rFonts w:ascii="Arial" w:eastAsiaTheme="majorEastAsia" w:hAnsi="Arial" w:cs="Arial"/>
          <w:b/>
          <w:color w:val="000000" w:themeColor="text1"/>
          <w:kern w:val="0"/>
          <w:sz w:val="24"/>
          <w:szCs w:val="24"/>
        </w:rPr>
        <w:t>4.2.1. Separate-sphered space and safety</w:t>
      </w:r>
      <w:bookmarkEnd w:id="59"/>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‘Separate-sphere’ was realized through the understanding of gender identity in society, where women were thought to need protection. The notion of ‘separate sphere’, was effectuated through the transformation of this conception to the perception on both the artefact and behavioural level. Founder’s Building was conceived as a separate-sphered space from its foundation – and this tradition still exists in some parts of it. It is worthwhile reflecting on how Founder’s Building become separate-sphered and how people interact with this element. In the early stage, separate-sphere was deeply ingrained on both the conceived and perceived level.  For instance, students could only use the Students’ Entrances and the servants or male workers could only use their own entrances, as could visitors use the Business Entrance. Any violation resulted in disciplinary action, as a student</w:t>
      </w:r>
      <w:r w:rsidRPr="00AE1FA0">
        <w:rPr>
          <w:rFonts w:ascii="Arial" w:eastAsia="宋体" w:hAnsi="Arial" w:cs="Arial"/>
          <w:sz w:val="24"/>
          <w:szCs w:val="28"/>
          <w:vertAlign w:val="superscript"/>
        </w:rPr>
        <w:footnoteReference w:id="13"/>
      </w:r>
      <w:r w:rsidRPr="00AE1FA0">
        <w:rPr>
          <w:rFonts w:ascii="Arial" w:eastAsia="宋体" w:hAnsi="Arial" w:cs="Arial"/>
          <w:sz w:val="24"/>
          <w:szCs w:val="28"/>
        </w:rPr>
        <w:t xml:space="preserve"> in 1910 recalled:</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Boys of the village used to climb </w:t>
      </w:r>
      <w:proofErr w:type="gramStart"/>
      <w:r w:rsidRPr="00AE1FA0">
        <w:rPr>
          <w:rFonts w:ascii="Arial" w:eastAsia="宋体" w:hAnsi="Arial" w:cs="Arial"/>
          <w:i/>
          <w:sz w:val="24"/>
          <w:szCs w:val="28"/>
        </w:rPr>
        <w:t>over</w:t>
      </w:r>
      <w:proofErr w:type="gramEnd"/>
      <w:r w:rsidRPr="00AE1FA0">
        <w:rPr>
          <w:rFonts w:ascii="Arial" w:eastAsia="宋体" w:hAnsi="Arial" w:cs="Arial"/>
          <w:i/>
          <w:sz w:val="24"/>
          <w:szCs w:val="28"/>
        </w:rPr>
        <w:t xml:space="preserve"> and naughty girls used to flirt with them. One girl really flirted with men and she was sent down.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This reflected how Founder’s Building was perceived strictly as a separate-sphered space. The idea of separate-sphere was also achieved on the lived level, mostly through gender segregation. To take one specific example, as recalled by a former </w:t>
      </w:r>
      <w:r w:rsidRPr="00AE1FA0">
        <w:rPr>
          <w:rFonts w:ascii="Arial" w:eastAsia="宋体" w:hAnsi="Arial" w:cs="Arial"/>
          <w:sz w:val="24"/>
          <w:szCs w:val="28"/>
        </w:rPr>
        <w:lastRenderedPageBreak/>
        <w:t>student, until 1927 no male servants (only female maids) were allowed in the dining hall and even after that only the head butler.</w:t>
      </w:r>
      <w:r w:rsidRPr="00AE1FA0">
        <w:rPr>
          <w:rFonts w:ascii="Arial" w:eastAsia="宋体" w:hAnsi="Arial" w:cs="Arial"/>
          <w:sz w:val="24"/>
          <w:szCs w:val="28"/>
          <w:vertAlign w:val="superscript"/>
        </w:rPr>
        <w:footnoteReference w:id="14"/>
      </w:r>
      <w:r w:rsidRPr="00AE1FA0">
        <w:rPr>
          <w:rFonts w:ascii="Arial" w:eastAsia="宋体" w:hAnsi="Arial" w:cs="Arial"/>
          <w:sz w:val="24"/>
          <w:szCs w:val="28"/>
        </w:rPr>
        <w:t xml:space="preserve"> Thus, in addition to the rules for female residents and for maids, there were specific ‘Instructions to Men’ (Image 6 shows the 1914 version) which applied to the many men working in or around the building, such as servants, night watchmen, gardeners and the man who looked after the pigs. Among these instructions, the control of where and when they should enter and leave the building is first in the list. The men should use the Business Entrance or Coal Cellar West, which ensured they had no interaction with the female students who, of course, used the Student’s Entrance. The prohibition on entering the College out of hours was also an attempt to segregate the sexes. However, by no means all these rules were about gender, for example, the prohibition on using work time and the premises for non-College work, although they did regulate the use of space. This also meant that there were strict rules for visitors entering the space and associated perceived spatial attributes, most obviously the main gates and the various entrances around the two quadrangles.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8"/>
          <w:szCs w:val="28"/>
        </w:rPr>
      </w:pPr>
      <w:r w:rsidRPr="00AE1FA0">
        <w:rPr>
          <w:rFonts w:ascii="Arial" w:eastAsia="宋体" w:hAnsi="Arial" w:cs="Arial"/>
          <w:noProof/>
          <w:sz w:val="28"/>
          <w:szCs w:val="28"/>
          <w:lang w:eastAsia="en-GB"/>
        </w:rPr>
        <w:lastRenderedPageBreak/>
        <w:drawing>
          <wp:inline distT="0" distB="0" distL="0" distR="0" wp14:anchorId="1CA26113" wp14:editId="1C72CC4E">
            <wp:extent cx="5731510" cy="789241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9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892415"/>
                    </a:xfrm>
                    <a:prstGeom prst="rect">
                      <a:avLst/>
                    </a:prstGeom>
                  </pic:spPr>
                </pic:pic>
              </a:graphicData>
            </a:graphic>
          </wp:inline>
        </w:drawing>
      </w: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Image 6: Instructions to Men, 1914</w:t>
      </w:r>
      <w:r w:rsidRPr="00AE1FA0">
        <w:rPr>
          <w:rFonts w:ascii="Arial" w:eastAsia="宋体" w:hAnsi="Arial" w:cs="Arial"/>
          <w:sz w:val="24"/>
          <w:szCs w:val="28"/>
          <w:vertAlign w:val="superscript"/>
        </w:rPr>
        <w:footnoteReference w:id="15"/>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宋体" w:hAnsi="Arial" w:cs="Arial"/>
          <w:sz w:val="24"/>
          <w:szCs w:val="28"/>
        </w:rPr>
        <w:lastRenderedPageBreak/>
        <w:t>As an extreme example of male employees’ interaction with Founder’s Building, the pig man who retired in 1945, as a student recalled,</w:t>
      </w:r>
      <w:r w:rsidRPr="00AE1FA0">
        <w:rPr>
          <w:rFonts w:ascii="Arial" w:eastAsia="宋体" w:hAnsi="Arial" w:cs="Arial"/>
          <w:sz w:val="24"/>
          <w:szCs w:val="28"/>
          <w:vertAlign w:val="superscript"/>
        </w:rPr>
        <w:footnoteReference w:id="16"/>
      </w:r>
      <w:r w:rsidRPr="00AE1FA0">
        <w:rPr>
          <w:rFonts w:ascii="Arial" w:eastAsia="宋体" w:hAnsi="Arial" w:cs="Arial"/>
          <w:sz w:val="24"/>
          <w:szCs w:val="28"/>
        </w:rPr>
        <w:t xml:space="preserve"> had never even been inside it. This, of course, needed contextualization. Unlike the servants, gardeners, or engineers, the pig-man did not work inside Founder’s Building.</w:t>
      </w:r>
      <w:r w:rsidRPr="00AE1FA0">
        <w:rPr>
          <w:rFonts w:ascii="Arial" w:eastAsia="Calibri" w:hAnsi="Arial" w:cs="Arial"/>
          <w:sz w:val="24"/>
          <w:szCs w:val="28"/>
          <w:lang w:eastAsia="en-US"/>
        </w:rPr>
        <w:t xml:space="preserve"> What this suggests, however, is that </w:t>
      </w:r>
      <w:r w:rsidRPr="00AE1FA0">
        <w:rPr>
          <w:rFonts w:ascii="Arial" w:eastAsia="宋体" w:hAnsi="Arial" w:cs="Arial"/>
          <w:sz w:val="24"/>
          <w:szCs w:val="28"/>
        </w:rPr>
        <w:t xml:space="preserve">gender was also enacted through the social conception of ‘separate-sphere’; RHC, as a women college, was gender-segregated from the outside world. The idea of protection and separation were highlighted.  </w:t>
      </w:r>
      <w:r w:rsidRPr="00AE1FA0">
        <w:rPr>
          <w:rFonts w:ascii="Arial" w:eastAsia="宋体" w:hAnsi="Arial" w:cs="Arial"/>
          <w:kern w:val="24"/>
          <w:sz w:val="24"/>
          <w:szCs w:val="28"/>
        </w:rPr>
        <w:t xml:space="preserve">If the conception of space embodied various ideas and social norms that the building potentially expressed, the perceived space enacted the building in a </w:t>
      </w:r>
      <w:proofErr w:type="gramStart"/>
      <w:r w:rsidRPr="00AE1FA0">
        <w:rPr>
          <w:rFonts w:ascii="Arial" w:eastAsia="宋体" w:hAnsi="Arial" w:cs="Arial"/>
          <w:kern w:val="24"/>
          <w:sz w:val="24"/>
          <w:szCs w:val="28"/>
        </w:rPr>
        <w:t>particular way</w:t>
      </w:r>
      <w:proofErr w:type="gramEnd"/>
      <w:r w:rsidRPr="00AE1FA0">
        <w:rPr>
          <w:rFonts w:ascii="Arial" w:eastAsia="宋体" w:hAnsi="Arial" w:cs="Arial"/>
          <w:kern w:val="24"/>
          <w:sz w:val="24"/>
          <w:szCs w:val="28"/>
        </w:rPr>
        <w:t xml:space="preserve"> so as to make those potentials manifest (or not). </w:t>
      </w:r>
      <w:r w:rsidRPr="00AE1FA0">
        <w:rPr>
          <w:rFonts w:ascii="Arial" w:eastAsia="宋体" w:hAnsi="Arial" w:cs="Arial"/>
          <w:sz w:val="24"/>
          <w:szCs w:val="28"/>
        </w:rPr>
        <w:t xml:space="preserve">The separate-sphere idea was implemented until WWII, at which time some traditions declined. Before the war, the only men allowed to sleep on the site of Founder’s Building were the night porter and on-duty engineer, but thereafter, when the staff of the Senate House, University of London, were evacuated and moved to RHC, the male staff lived in.  Yet the decline of separation on conceived and perceived levels was not reciprocated on the lived level. </w:t>
      </w:r>
      <w:r w:rsidRPr="00AE1FA0">
        <w:rPr>
          <w:rFonts w:ascii="Arial" w:eastAsia="Calibri" w:hAnsi="Arial" w:cs="Arial"/>
          <w:sz w:val="24"/>
          <w:szCs w:val="28"/>
          <w:lang w:eastAsia="en-US"/>
        </w:rPr>
        <w:t>Indeed, Founder’s Building as a gendered space, was not only deeply ingrained in the experience of the residents of the College, it was still strongly embedded in society. In 1962, three years before the College became co-educational, the Times Educational Supplement</w:t>
      </w:r>
      <w:r w:rsidRPr="00AE1FA0">
        <w:rPr>
          <w:rFonts w:ascii="Arial" w:eastAsia="Calibri" w:hAnsi="Arial" w:cs="Arial"/>
          <w:sz w:val="24"/>
          <w:szCs w:val="28"/>
          <w:vertAlign w:val="superscript"/>
          <w:lang w:eastAsia="en-US"/>
        </w:rPr>
        <w:footnoteReference w:id="17"/>
      </w:r>
      <w:r w:rsidRPr="00AE1FA0">
        <w:rPr>
          <w:rFonts w:ascii="Arial" w:eastAsia="Calibri" w:hAnsi="Arial" w:cs="Arial"/>
          <w:sz w:val="24"/>
          <w:szCs w:val="28"/>
          <w:lang w:eastAsia="en-US"/>
        </w:rPr>
        <w:t xml:space="preserve"> ran an article headlined: ‘Chambord by Thames: Men to Invade Women’s Stronghold’.  Here the transformation of the College was framed as a gendered issue – men were seen as ‘</w:t>
      </w:r>
      <w:proofErr w:type="gramStart"/>
      <w:r w:rsidRPr="00AE1FA0">
        <w:rPr>
          <w:rFonts w:ascii="Arial" w:eastAsia="Calibri" w:hAnsi="Arial" w:cs="Arial"/>
          <w:sz w:val="24"/>
          <w:szCs w:val="28"/>
          <w:lang w:eastAsia="en-US"/>
        </w:rPr>
        <w:t>invaders’</w:t>
      </w:r>
      <w:proofErr w:type="gramEnd"/>
      <w:r w:rsidRPr="00AE1FA0">
        <w:rPr>
          <w:rFonts w:ascii="Arial" w:eastAsia="Calibri" w:hAnsi="Arial" w:cs="Arial"/>
          <w:sz w:val="24"/>
          <w:szCs w:val="28"/>
          <w:lang w:eastAsia="en-US"/>
        </w:rPr>
        <w:t xml:space="preserve">. </w:t>
      </w:r>
      <w:r w:rsidRPr="00AE1FA0">
        <w:rPr>
          <w:rFonts w:ascii="Arial" w:eastAsia="宋体" w:hAnsi="Arial" w:cs="Arial"/>
          <w:sz w:val="24"/>
          <w:szCs w:val="28"/>
        </w:rPr>
        <w:t>Seventeen years earlier, in 1945, a stir was caused when the first male postgraduates arrived:</w:t>
      </w:r>
    </w:p>
    <w:p w:rsidR="00AE1FA0" w:rsidRPr="00AE1FA0" w:rsidRDefault="00AE1FA0" w:rsidP="00AE1FA0">
      <w:pPr>
        <w:spacing w:line="360" w:lineRule="auto"/>
        <w:rPr>
          <w:rFonts w:ascii="Arial" w:eastAsia="Calibri" w:hAnsi="Arial" w:cs="Arial"/>
          <w:sz w:val="24"/>
          <w:szCs w:val="28"/>
          <w:lang w:eastAsia="en-US"/>
        </w:rPr>
      </w:pPr>
    </w:p>
    <w:p w:rsidR="00AE1FA0" w:rsidRPr="00AE1FA0" w:rsidRDefault="00AE1FA0" w:rsidP="00AE1FA0">
      <w:pPr>
        <w:spacing w:line="360" w:lineRule="auto"/>
        <w:ind w:leftChars="100" w:left="210"/>
        <w:rPr>
          <w:rFonts w:ascii="Arial" w:eastAsia="Calibri" w:hAnsi="Arial" w:cs="Arial"/>
          <w:i/>
          <w:sz w:val="24"/>
          <w:szCs w:val="28"/>
          <w:lang w:eastAsia="en-US"/>
        </w:rPr>
      </w:pPr>
      <w:r w:rsidRPr="00AE1FA0">
        <w:rPr>
          <w:rFonts w:ascii="Arial" w:eastAsia="Calibri" w:hAnsi="Arial" w:cs="Arial"/>
          <w:i/>
          <w:sz w:val="24"/>
          <w:szCs w:val="28"/>
          <w:lang w:eastAsia="en-US"/>
        </w:rPr>
        <w:t>I was in a room one day getting ready for lunch, and my next-door neighbour came into my room and she said ‘Look, look, men!’ And there were two or three young men wearing blazers and standing around …and they were obviously waiting to go into lunch. And we thought ‘Gosh you know. I think they must be those post graduates.</w:t>
      </w:r>
      <w:r w:rsidRPr="00AE1FA0">
        <w:rPr>
          <w:rFonts w:ascii="Arial" w:eastAsia="Calibri" w:hAnsi="Arial" w:cs="Arial"/>
          <w:i/>
          <w:sz w:val="24"/>
          <w:szCs w:val="28"/>
          <w:vertAlign w:val="superscript"/>
          <w:lang w:eastAsia="en-US"/>
        </w:rPr>
        <w:footnoteReference w:id="18"/>
      </w:r>
      <w:r w:rsidRPr="00AE1FA0">
        <w:rPr>
          <w:rFonts w:ascii="Arial" w:eastAsia="Calibri" w:hAnsi="Arial" w:cs="Arial"/>
          <w:i/>
          <w:sz w:val="24"/>
          <w:szCs w:val="28"/>
          <w:lang w:eastAsia="en-US"/>
        </w:rPr>
        <w:t xml:space="preserve"> </w:t>
      </w:r>
    </w:p>
    <w:p w:rsidR="00AE1FA0" w:rsidRPr="00AE1FA0" w:rsidRDefault="00AE1FA0" w:rsidP="00AE1FA0">
      <w:pPr>
        <w:spacing w:line="360" w:lineRule="auto"/>
        <w:ind w:leftChars="100" w:left="210"/>
        <w:rPr>
          <w:rFonts w:ascii="Arial" w:eastAsia="Calibri" w:hAnsi="Arial" w:cs="Arial"/>
          <w:i/>
          <w:sz w:val="24"/>
          <w:szCs w:val="28"/>
          <w:lang w:eastAsia="en-US"/>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Calibri" w:hAnsi="Arial" w:cs="Arial"/>
          <w:sz w:val="24"/>
          <w:szCs w:val="28"/>
          <w:lang w:eastAsia="en-US"/>
        </w:rPr>
        <w:t xml:space="preserve">It should be noted was that at that time, male postgraduates only had permission to study instead of living in Founder’s Building: their admission did not extend to </w:t>
      </w:r>
      <w:r w:rsidRPr="00AE1FA0">
        <w:rPr>
          <w:rFonts w:ascii="Arial" w:eastAsia="Calibri" w:hAnsi="Arial" w:cs="Arial"/>
          <w:sz w:val="24"/>
          <w:szCs w:val="28"/>
          <w:lang w:eastAsia="en-US"/>
        </w:rPr>
        <w:lastRenderedPageBreak/>
        <w:t>residency. This remained the case even when RHUL became co-educational in 1965.  The separate-sphere idea changed but was not discarded straight away. Instead of living in Founder’s Building the male students were all resident in the Kingswood building, which is located 1.5 miles away.  This tentative renegotiation of space and gender should be understood in terms of the impetus towards co-education. It should be noted that this happened earlier at RHUL than in the Oxbridge women’s colleges (e.g. Girton was the first in Cambridge to admit men, but not until 1976, and Newnham, Cambridge remains single-sex to this day), and at least part of the reason at RHUL was a concern about the lack of social contacts with men for the female students.</w:t>
      </w:r>
      <w:r w:rsidRPr="00AE1FA0">
        <w:rPr>
          <w:rFonts w:ascii="Arial" w:eastAsia="Calibri" w:hAnsi="Arial" w:cs="Arial"/>
          <w:sz w:val="24"/>
          <w:szCs w:val="28"/>
          <w:vertAlign w:val="superscript"/>
          <w:lang w:eastAsia="en-US"/>
        </w:rPr>
        <w:footnoteReference w:id="19"/>
      </w:r>
      <w:r w:rsidRPr="00AE1FA0">
        <w:rPr>
          <w:rFonts w:ascii="Arial" w:eastAsia="Calibri" w:hAnsi="Arial" w:cs="Arial"/>
          <w:sz w:val="24"/>
          <w:szCs w:val="28"/>
          <w:lang w:eastAsia="en-US"/>
        </w:rPr>
        <w:t xml:space="preserve"> In other words, the social meaning of a segregated space was beginning to shift from desirable to problematic. However, until 1970, students still described the number of male students as ‘a dearth’.</w:t>
      </w:r>
      <w:r w:rsidRPr="00AE1FA0">
        <w:rPr>
          <w:rFonts w:ascii="Arial" w:eastAsia="Calibri" w:hAnsi="Arial" w:cs="Arial"/>
          <w:sz w:val="24"/>
          <w:szCs w:val="28"/>
          <w:vertAlign w:val="superscript"/>
          <w:lang w:eastAsia="en-US"/>
        </w:rPr>
        <w:footnoteReference w:id="20"/>
      </w:r>
      <w:r w:rsidRPr="00AE1FA0">
        <w:rPr>
          <w:rFonts w:ascii="Arial" w:eastAsia="Calibri" w:hAnsi="Arial" w:cs="Arial"/>
          <w:sz w:val="24"/>
          <w:szCs w:val="28"/>
          <w:lang w:eastAsia="en-US"/>
        </w:rPr>
        <w:t xml:space="preserve">   This depended to an extent on students’ subject or year, but the choice the word ‘dearth’ to describe the situation does suggest that the college at that time did not change that much. At that time, the negotiation and re-negotiation were enacted through the interactions with the space. </w:t>
      </w:r>
    </w:p>
    <w:p w:rsidR="00AE1FA0" w:rsidRPr="00AE1FA0" w:rsidRDefault="00AE1FA0" w:rsidP="00AE1FA0">
      <w:pPr>
        <w:spacing w:line="360" w:lineRule="auto"/>
        <w:rPr>
          <w:rFonts w:ascii="Arial" w:eastAsia="Calibri" w:hAnsi="Arial" w:cs="Arial"/>
          <w:sz w:val="24"/>
          <w:szCs w:val="28"/>
          <w:lang w:eastAsia="en-US"/>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Calibri" w:hAnsi="Arial" w:cs="Arial"/>
          <w:sz w:val="24"/>
          <w:szCs w:val="28"/>
          <w:lang w:eastAsia="en-US"/>
        </w:rPr>
        <w:t>It is interesting to highlight that after 130 years of history, Founder’s Building is still segregated by sexes: ‘2</w:t>
      </w:r>
      <w:r w:rsidRPr="00AE1FA0">
        <w:rPr>
          <w:rFonts w:ascii="Arial" w:eastAsia="Calibri" w:hAnsi="Arial" w:cs="Arial"/>
          <w:sz w:val="24"/>
          <w:szCs w:val="28"/>
          <w:vertAlign w:val="superscript"/>
          <w:lang w:eastAsia="en-US"/>
        </w:rPr>
        <w:t>nd</w:t>
      </w:r>
      <w:r w:rsidRPr="00AE1FA0">
        <w:rPr>
          <w:rFonts w:ascii="Arial" w:eastAsia="Calibri" w:hAnsi="Arial" w:cs="Arial"/>
          <w:sz w:val="24"/>
          <w:szCs w:val="28"/>
          <w:lang w:eastAsia="en-US"/>
        </w:rPr>
        <w:t xml:space="preserve"> floor for male students’ residence; 3</w:t>
      </w:r>
      <w:r w:rsidRPr="00AE1FA0">
        <w:rPr>
          <w:rFonts w:ascii="Arial" w:eastAsia="Calibri" w:hAnsi="Arial" w:cs="Arial"/>
          <w:sz w:val="24"/>
          <w:szCs w:val="28"/>
          <w:vertAlign w:val="superscript"/>
          <w:lang w:eastAsia="en-US"/>
        </w:rPr>
        <w:t>rd</w:t>
      </w:r>
      <w:r w:rsidRPr="00AE1FA0">
        <w:rPr>
          <w:rFonts w:ascii="Arial" w:eastAsia="Calibri" w:hAnsi="Arial" w:cs="Arial"/>
          <w:sz w:val="24"/>
          <w:szCs w:val="28"/>
          <w:lang w:eastAsia="en-US"/>
        </w:rPr>
        <w:t xml:space="preserve"> and 4</w:t>
      </w:r>
      <w:r w:rsidRPr="00AE1FA0">
        <w:rPr>
          <w:rFonts w:ascii="Arial" w:eastAsia="Calibri" w:hAnsi="Arial" w:cs="Arial"/>
          <w:sz w:val="24"/>
          <w:szCs w:val="28"/>
          <w:vertAlign w:val="superscript"/>
          <w:lang w:eastAsia="en-US"/>
        </w:rPr>
        <w:t>th</w:t>
      </w:r>
      <w:r w:rsidRPr="00AE1FA0">
        <w:rPr>
          <w:rFonts w:ascii="Arial" w:eastAsia="Calibri" w:hAnsi="Arial" w:cs="Arial"/>
          <w:sz w:val="24"/>
          <w:szCs w:val="28"/>
          <w:lang w:eastAsia="en-US"/>
        </w:rPr>
        <w:t xml:space="preserve"> floors for female students. Regulations are still stricter compared to other residences on the campus: no guest can stay overnight, and visitors need to leave by 11 pm. When I interviewed a member of the security staff, he believed these regulations are not to separate the sexes, rather, are just traditions being embraced. However, a lot of students think otherwise, interpreting the segregation as unreasonable and old-school.  One student interviewed commented:</w:t>
      </w:r>
    </w:p>
    <w:p w:rsidR="00AE1FA0" w:rsidRPr="00AE1FA0" w:rsidRDefault="00AE1FA0" w:rsidP="00AE1FA0">
      <w:pPr>
        <w:spacing w:line="360" w:lineRule="auto"/>
        <w:rPr>
          <w:rFonts w:ascii="Arial" w:eastAsia="Calibri" w:hAnsi="Arial" w:cs="Arial"/>
          <w:i/>
          <w:sz w:val="24"/>
          <w:szCs w:val="28"/>
          <w:lang w:eastAsia="en-US"/>
        </w:rPr>
      </w:pPr>
    </w:p>
    <w:p w:rsidR="00AE1FA0" w:rsidRPr="00AE1FA0" w:rsidRDefault="00AE1FA0" w:rsidP="00AE1FA0">
      <w:pPr>
        <w:spacing w:line="360" w:lineRule="auto"/>
        <w:ind w:left="720"/>
        <w:rPr>
          <w:rFonts w:ascii="Arial" w:eastAsia="Calibri" w:hAnsi="Arial" w:cs="Arial"/>
          <w:i/>
          <w:sz w:val="24"/>
          <w:szCs w:val="28"/>
          <w:lang w:eastAsia="en-US"/>
        </w:rPr>
      </w:pPr>
      <w:r w:rsidRPr="00AE1FA0">
        <w:rPr>
          <w:rFonts w:ascii="Arial" w:eastAsia="Calibri" w:hAnsi="Arial" w:cs="Arial"/>
          <w:i/>
          <w:sz w:val="24"/>
          <w:szCs w:val="28"/>
          <w:lang w:eastAsia="en-US"/>
        </w:rPr>
        <w:t xml:space="preserve">It is like the boarding school, and it just makes no sense to me. I remember one night; a security man came we had a guy in the corridor and one girl felt uncomfortable. Security asked him to leave immediately. It was </w:t>
      </w:r>
      <w:proofErr w:type="gramStart"/>
      <w:r w:rsidRPr="00AE1FA0">
        <w:rPr>
          <w:rFonts w:ascii="Arial" w:eastAsia="Calibri" w:hAnsi="Arial" w:cs="Arial"/>
          <w:i/>
          <w:sz w:val="24"/>
          <w:szCs w:val="28"/>
          <w:lang w:eastAsia="en-US"/>
        </w:rPr>
        <w:t>really weird</w:t>
      </w:r>
      <w:proofErr w:type="gramEnd"/>
      <w:r w:rsidRPr="00AE1FA0">
        <w:rPr>
          <w:rFonts w:ascii="Arial" w:eastAsia="Calibri" w:hAnsi="Arial" w:cs="Arial"/>
          <w:i/>
          <w:sz w:val="24"/>
          <w:szCs w:val="28"/>
          <w:lang w:eastAsia="en-US"/>
        </w:rPr>
        <w:t xml:space="preserve"> when that happened. </w:t>
      </w:r>
    </w:p>
    <w:p w:rsidR="00AE1FA0" w:rsidRPr="00AE1FA0" w:rsidRDefault="00AE1FA0" w:rsidP="00AE1FA0">
      <w:pPr>
        <w:spacing w:line="360" w:lineRule="auto"/>
        <w:rPr>
          <w:rFonts w:ascii="Arial" w:eastAsia="Calibri" w:hAnsi="Arial" w:cs="Arial"/>
          <w:sz w:val="24"/>
          <w:szCs w:val="28"/>
          <w:lang w:eastAsia="en-US"/>
        </w:rPr>
      </w:pPr>
    </w:p>
    <w:p w:rsidR="00AE1FA0" w:rsidRPr="00AE1FA0" w:rsidRDefault="00AE1FA0" w:rsidP="00AE1FA0">
      <w:pPr>
        <w:spacing w:line="360" w:lineRule="auto"/>
        <w:rPr>
          <w:rFonts w:ascii="Arial" w:eastAsia="宋体" w:hAnsi="Arial" w:cs="Arial"/>
          <w:sz w:val="24"/>
          <w:szCs w:val="28"/>
        </w:rPr>
      </w:pPr>
      <w:r w:rsidRPr="00AE1FA0">
        <w:rPr>
          <w:rFonts w:ascii="Arial" w:eastAsia="Calibri" w:hAnsi="Arial" w:cs="Arial"/>
          <w:sz w:val="24"/>
          <w:szCs w:val="28"/>
          <w:lang w:eastAsia="en-US"/>
        </w:rPr>
        <w:t xml:space="preserve">This specific case showed how this student used ‘boarding school’ metaphorically to describe life in Founder’s Building, the stereotypical image of the boarding school </w:t>
      </w:r>
      <w:r w:rsidRPr="00AE1FA0">
        <w:rPr>
          <w:rFonts w:ascii="Arial" w:eastAsia="Calibri" w:hAnsi="Arial" w:cs="Arial"/>
          <w:sz w:val="24"/>
          <w:szCs w:val="28"/>
          <w:lang w:eastAsia="en-US"/>
        </w:rPr>
        <w:lastRenderedPageBreak/>
        <w:t>being rigid routine with strictest rules and regulations. Here the student compared life in RHUL with the boarding school to express her disagreement with this 21</w:t>
      </w:r>
      <w:r w:rsidRPr="00AE1FA0">
        <w:rPr>
          <w:rFonts w:ascii="Arial" w:eastAsia="Calibri" w:hAnsi="Arial" w:cs="Arial"/>
          <w:sz w:val="24"/>
          <w:szCs w:val="28"/>
          <w:vertAlign w:val="superscript"/>
          <w:lang w:eastAsia="en-US"/>
        </w:rPr>
        <w:t>st</w:t>
      </w:r>
      <w:r w:rsidRPr="00AE1FA0">
        <w:rPr>
          <w:rFonts w:ascii="Arial" w:eastAsia="Calibri" w:hAnsi="Arial" w:cs="Arial"/>
          <w:sz w:val="24"/>
          <w:szCs w:val="28"/>
          <w:lang w:eastAsia="en-US"/>
        </w:rPr>
        <w:t xml:space="preserve"> century version of ‘separate-sphere’. Nevertheless, separate-sphere was a fundamental characteristic of Founder’s Building, motivated by the need to ensure the safety of a women college. </w:t>
      </w:r>
      <w:r w:rsidRPr="00AE1FA0">
        <w:rPr>
          <w:rFonts w:ascii="Arial" w:eastAsia="宋体" w:hAnsi="Arial" w:cs="Arial"/>
          <w:sz w:val="24"/>
          <w:szCs w:val="28"/>
        </w:rPr>
        <w:t xml:space="preserve">Safety and separate-sphere are two concepts that exerted influence throughout the entire history of Founder’s Building, governing the spatial arrangement and use of space. It is important to clarify that both safety and separate-sphere are socially-constructed concepts, that is, meanings of safety, for example, differ in different times. When Founder’s Building was conceived, safety was often understood as needing a distant location in the countryside. The comparative remoteness of Founder’s Building did ensure the safety of students during WWII – and during it students in RHC were removed from the impacts of the war. </w:t>
      </w:r>
    </w:p>
    <w:p w:rsidR="00AE1FA0" w:rsidRPr="00AE1FA0" w:rsidRDefault="00AE1FA0" w:rsidP="00AE1FA0">
      <w:pPr>
        <w:spacing w:line="360" w:lineRule="auto"/>
        <w:rPr>
          <w:rFonts w:ascii="Arial" w:eastAsia="宋体" w:hAnsi="Arial" w:cs="Arial"/>
          <w:sz w:val="20"/>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Founder’s Building was set a little distance from London and in a place where little public transport was available. This was part and parcel of the plan for the college ‘to be a women’s university in its own right’. Female students were therefore expected to have minimal contact with the outside world, which was reinforced by this enclosed environment. Founder’s Building was designed as a ‘self-contained community’ with various amenities allowing it to be relatively self-sufficient. The campus equipped with kitchen garden and piggery where the livestock and greens were available for the College’s food supplies. (Image 7). When it comes to the 21</w:t>
      </w:r>
      <w:r w:rsidRPr="00AE1FA0">
        <w:rPr>
          <w:rFonts w:ascii="Arial" w:eastAsia="宋体" w:hAnsi="Arial" w:cs="Arial"/>
          <w:sz w:val="24"/>
          <w:szCs w:val="28"/>
          <w:vertAlign w:val="superscript"/>
        </w:rPr>
        <w:t>st</w:t>
      </w:r>
      <w:r w:rsidRPr="00AE1FA0">
        <w:rPr>
          <w:rFonts w:ascii="Arial" w:eastAsia="宋体" w:hAnsi="Arial" w:cs="Arial"/>
          <w:sz w:val="24"/>
          <w:szCs w:val="28"/>
        </w:rPr>
        <w:t xml:space="preserve"> century, the distant location is rephrased as ‘a close-knit community … and tranquil campus life’ though its safety is still part of that. Yet the emphasis on safety has shifted away from enclosed space to ‘technologically-supported enclosed’, where technologies are stressed, for instance, the CCTVs and swipe-card-access. By comparison with the two excerpts above, what is central here is that ‘a safety college’ is not an objective status, instead, it is a becoming process. A safe campus in the 19</w:t>
      </w:r>
      <w:r w:rsidRPr="00AE1FA0">
        <w:rPr>
          <w:rFonts w:ascii="Arial" w:eastAsia="宋体" w:hAnsi="Arial" w:cs="Arial"/>
          <w:sz w:val="24"/>
          <w:szCs w:val="28"/>
          <w:vertAlign w:val="superscript"/>
        </w:rPr>
        <w:t>th</w:t>
      </w:r>
      <w:r w:rsidRPr="00AE1FA0">
        <w:rPr>
          <w:rFonts w:ascii="Arial" w:eastAsia="宋体" w:hAnsi="Arial" w:cs="Arial"/>
          <w:sz w:val="24"/>
          <w:szCs w:val="28"/>
        </w:rPr>
        <w:t xml:space="preserve"> century dos not have the same meaning for the 21</w:t>
      </w:r>
      <w:r w:rsidRPr="00AE1FA0">
        <w:rPr>
          <w:rFonts w:ascii="Arial" w:eastAsia="宋体" w:hAnsi="Arial" w:cs="Arial"/>
          <w:sz w:val="24"/>
          <w:szCs w:val="28"/>
          <w:vertAlign w:val="superscript"/>
        </w:rPr>
        <w:t>st</w:t>
      </w:r>
      <w:r w:rsidRPr="00AE1FA0">
        <w:rPr>
          <w:rFonts w:ascii="Arial" w:eastAsia="宋体" w:hAnsi="Arial" w:cs="Arial"/>
          <w:sz w:val="24"/>
          <w:szCs w:val="28"/>
        </w:rPr>
        <w:t xml:space="preserve"> century campus.</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contextualSpacing/>
        <w:rPr>
          <w:rFonts w:ascii="Arial" w:eastAsia="宋体" w:hAnsi="Arial" w:cs="Arial"/>
          <w:sz w:val="28"/>
          <w:szCs w:val="28"/>
        </w:rPr>
      </w:pPr>
      <w:r>
        <w:rPr>
          <w:noProof/>
        </w:rPr>
        <w:lastRenderedPageBreak/>
        <w:pict>
          <v:group id="Group 22" o:spid="_x0000_s1026" style="position:absolute;left:0;text-align:left;margin-left:212.25pt;margin-top:82.7pt;width:251.25pt;height:210.55pt;z-index:251659264" coordorigin="5685,3109" coordsize="5025,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">
            <v:oval id="Oval 3" o:spid="_x0000_s1027" style="position:absolute;left:9902;top:3109;width:808;height:240;rotation:-7208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" filled="f" strokecolor="red" strokeweight="1.5pt">
              <v:stroke joinstyle="miter"/>
              <v:path arrowok="t"/>
              <v:textbox>
                <w:txbxContent>
                  <w:p w:rsidR="00AE1FA0" w:rsidRDefault="00AE1FA0" w:rsidP="00AE1FA0">
                    <w:pPr>
                      <w:jc w:val="center"/>
                    </w:pPr>
                  </w:p>
                </w:txbxContent>
              </v:textbox>
            </v:oval>
            <v:oval id="Oval 4" o:spid="_x0000_s1028" style="position:absolute;left:7545;top:3705;width:975;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" filled="f" strokecolor="red" strokeweight="2.25pt">
              <v:stroke joinstyle="miter"/>
              <v:path arrowok="t"/>
              <v:textbox>
                <w:txbxContent>
                  <w:p w:rsidR="00AE1FA0" w:rsidRDefault="00AE1FA0" w:rsidP="00AE1FA0">
                    <w:pPr>
                      <w:jc w:val="center"/>
                    </w:pPr>
                  </w:p>
                </w:txbxContent>
              </v:textbox>
            </v:oval>
            <v:oval id="Oval 5" o:spid="_x0000_s1029" style="position:absolute;left:5685;top:6840;width:1170;height:480;rotation:-8893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" filled="f" strokecolor="red" strokeweight="2.25pt">
              <v:stroke joinstyle="miter"/>
              <v:path arrowok="t"/>
              <v:textbox>
                <w:txbxContent>
                  <w:p w:rsidR="00AE1FA0" w:rsidRDefault="00AE1FA0" w:rsidP="00AE1FA0">
                    <w:pPr>
                      <w:jc w:val="center"/>
                    </w:pPr>
                  </w:p>
                </w:txbxContent>
              </v:textbox>
            </v:oval>
          </v:group>
        </w:pict>
      </w:r>
      <w:r w:rsidRPr="00AE1FA0">
        <w:rPr>
          <w:rFonts w:ascii="Arial" w:eastAsia="宋体" w:hAnsi="Arial" w:cs="Arial"/>
          <w:noProof/>
          <w:sz w:val="28"/>
          <w:szCs w:val="28"/>
          <w:lang w:eastAsia="en-GB"/>
        </w:rPr>
        <w:drawing>
          <wp:inline distT="0" distB="0" distL="0" distR="0" wp14:anchorId="19522A68" wp14:editId="00318D49">
            <wp:extent cx="5730063" cy="4297680"/>
            <wp:effectExtent l="0" t="0" r="4445" b="7620"/>
            <wp:docPr id="31" name="Picture 31" descr="D:\Archive visits\14-05-2015\IMG_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hive visits\14-05-2015\IMG_91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6656" cy="4302625"/>
                    </a:xfrm>
                    <a:prstGeom prst="rect">
                      <a:avLst/>
                    </a:prstGeom>
                    <a:noFill/>
                    <a:ln>
                      <a:noFill/>
                    </a:ln>
                  </pic:spPr>
                </pic:pic>
              </a:graphicData>
            </a:graphic>
          </wp:inline>
        </w:drawing>
      </w:r>
    </w:p>
    <w:p w:rsidR="00AE1FA0" w:rsidRPr="00AE1FA0" w:rsidRDefault="00AE1FA0" w:rsidP="00AE1FA0">
      <w:pPr>
        <w:spacing w:line="360" w:lineRule="auto"/>
        <w:ind w:left="720"/>
        <w:contextualSpacing/>
        <w:rPr>
          <w:rFonts w:ascii="Arial" w:eastAsia="宋体" w:hAnsi="Arial" w:cs="Arial"/>
          <w:sz w:val="24"/>
          <w:szCs w:val="28"/>
        </w:rPr>
      </w:pPr>
      <w:r w:rsidRPr="00AE1FA0">
        <w:rPr>
          <w:rFonts w:ascii="Arial" w:eastAsia="宋体" w:hAnsi="Arial" w:cs="Arial"/>
          <w:sz w:val="24"/>
          <w:szCs w:val="28"/>
        </w:rPr>
        <w:t>Image 7: Map of Royal Holloway College, 1937</w:t>
      </w:r>
      <w:r w:rsidRPr="00AE1FA0">
        <w:rPr>
          <w:rFonts w:ascii="Arial" w:eastAsia="宋体" w:hAnsi="Arial" w:cs="Arial"/>
          <w:sz w:val="24"/>
          <w:szCs w:val="28"/>
          <w:vertAlign w:val="superscript"/>
        </w:rPr>
        <w:footnoteReference w:id="21"/>
      </w:r>
    </w:p>
    <w:p w:rsidR="00AE1FA0" w:rsidRPr="00AE1FA0" w:rsidRDefault="00AE1FA0" w:rsidP="00AE1FA0">
      <w:pPr>
        <w:spacing w:line="360" w:lineRule="auto"/>
        <w:ind w:left="720"/>
        <w:rPr>
          <w:rFonts w:ascii="Arial" w:eastAsia="宋体" w:hAnsi="Arial" w:cs="Arial"/>
          <w:sz w:val="24"/>
          <w:szCs w:val="28"/>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宋体" w:hAnsi="Arial" w:cs="Arial"/>
          <w:sz w:val="24"/>
          <w:szCs w:val="28"/>
        </w:rPr>
        <w:t>Apart from its comparatively distant location, safety in Founder’s Building in its early years was achieved through strict regulation of behaviour, which was determined by the ‘separate sphere’ notion that governed college life until at least until 1960 when the college became co-educational. The College Rules and Regulations</w:t>
      </w:r>
      <w:r w:rsidRPr="00AE1FA0">
        <w:rPr>
          <w:rFonts w:ascii="Arial" w:eastAsia="宋体" w:hAnsi="Arial" w:cs="Arial"/>
          <w:sz w:val="24"/>
          <w:szCs w:val="28"/>
          <w:vertAlign w:val="superscript"/>
        </w:rPr>
        <w:footnoteReference w:id="22"/>
      </w:r>
      <w:r w:rsidRPr="00AE1FA0">
        <w:rPr>
          <w:rFonts w:ascii="Arial" w:eastAsia="宋体" w:hAnsi="Arial" w:cs="Arial"/>
          <w:sz w:val="24"/>
          <w:szCs w:val="28"/>
          <w:vertAlign w:val="superscript"/>
        </w:rPr>
        <w:t xml:space="preserve"> </w:t>
      </w:r>
      <w:r w:rsidRPr="00AE1FA0">
        <w:rPr>
          <w:rFonts w:ascii="Arial" w:eastAsia="宋体" w:hAnsi="Arial" w:cs="Arial"/>
          <w:sz w:val="24"/>
          <w:szCs w:val="28"/>
        </w:rPr>
        <w:t xml:space="preserve">specified that all female students should be resident in the Founder’s Building and that no male teachers or professors could reside there. Thus, a gender paradigm of ‘separate sphere’ is evident in terms of the conceived space.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Even in the present, the feeling of safety is still one important factor for RHUL, and emphasized in the 2016 prospectus for future students:</w:t>
      </w:r>
    </w:p>
    <w:p w:rsidR="00AE1FA0" w:rsidRPr="00AE1FA0" w:rsidRDefault="00AE1FA0" w:rsidP="00AE1FA0">
      <w:pPr>
        <w:spacing w:line="360" w:lineRule="auto"/>
        <w:rPr>
          <w:rFonts w:ascii="Arial" w:eastAsia="宋体" w:hAnsi="Arial" w:cs="Arial"/>
          <w:bCs/>
          <w:sz w:val="24"/>
          <w:szCs w:val="28"/>
        </w:rPr>
      </w:pPr>
    </w:p>
    <w:p w:rsidR="00AE1FA0" w:rsidRPr="00AE1FA0" w:rsidRDefault="00AE1FA0" w:rsidP="00AE1FA0">
      <w:pPr>
        <w:spacing w:line="360" w:lineRule="auto"/>
        <w:ind w:left="720"/>
        <w:rPr>
          <w:rFonts w:ascii="Arial" w:eastAsia="宋体" w:hAnsi="Arial" w:cs="Arial"/>
          <w:bCs/>
          <w:i/>
          <w:sz w:val="24"/>
          <w:szCs w:val="28"/>
        </w:rPr>
      </w:pPr>
      <w:r w:rsidRPr="00AE1FA0">
        <w:rPr>
          <w:rFonts w:ascii="Arial" w:eastAsia="宋体" w:hAnsi="Arial" w:cs="Arial"/>
          <w:bCs/>
          <w:i/>
          <w:sz w:val="24"/>
          <w:szCs w:val="28"/>
        </w:rPr>
        <w:t xml:space="preserve">We have a unique best-of-both-worlds location; a safe, leafy campus in Egham, Surrey - less than 40 minutes by train from central London and just seven </w:t>
      </w:r>
      <w:r w:rsidRPr="00AE1FA0">
        <w:rPr>
          <w:rFonts w:ascii="Arial" w:eastAsia="宋体" w:hAnsi="Arial" w:cs="Arial"/>
          <w:bCs/>
          <w:i/>
          <w:sz w:val="24"/>
          <w:szCs w:val="28"/>
        </w:rPr>
        <w:lastRenderedPageBreak/>
        <w:t xml:space="preserve">miles from Heathrow airport, creating the environment where a close-knit community thrives. </w:t>
      </w:r>
    </w:p>
    <w:p w:rsidR="00AE1FA0" w:rsidRPr="00AE1FA0" w:rsidRDefault="00AE1FA0" w:rsidP="00AE1FA0">
      <w:pPr>
        <w:spacing w:line="360" w:lineRule="auto"/>
        <w:ind w:left="720"/>
        <w:rPr>
          <w:rFonts w:ascii="Arial" w:eastAsia="宋体" w:hAnsi="Arial" w:cs="Arial"/>
          <w:bCs/>
          <w:i/>
          <w:sz w:val="24"/>
          <w:szCs w:val="28"/>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60" w:name="_Toc534732387"/>
      <w:r w:rsidRPr="00AE1FA0">
        <w:rPr>
          <w:rFonts w:ascii="Arial" w:eastAsiaTheme="majorEastAsia" w:hAnsi="Arial" w:cs="Arial"/>
          <w:b/>
          <w:color w:val="000000" w:themeColor="text1"/>
          <w:kern w:val="0"/>
          <w:sz w:val="24"/>
          <w:szCs w:val="24"/>
        </w:rPr>
        <w:t>4.2.2. Separate-sphered space for a Ladies’ College</w:t>
      </w:r>
      <w:bookmarkEnd w:id="60"/>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Founder’s Building was conceived, perceived and lived as a separate-sphered and safe space as a Ladies’ College. The founder of Founder’s Building, Thomas Holloway, spoke of his intentions thus:</w:t>
      </w:r>
    </w:p>
    <w:p w:rsidR="00AE1FA0" w:rsidRPr="00AE1FA0" w:rsidRDefault="00AE1FA0" w:rsidP="00AE1FA0">
      <w:pPr>
        <w:spacing w:line="360" w:lineRule="auto"/>
        <w:ind w:left="720"/>
        <w:contextualSpacing/>
        <w:rPr>
          <w:rFonts w:ascii="Arial" w:eastAsia="宋体" w:hAnsi="Arial" w:cs="Arial"/>
          <w:i/>
          <w:sz w:val="32"/>
          <w:szCs w:val="28"/>
        </w:rPr>
      </w:pPr>
    </w:p>
    <w:p w:rsidR="00AE1FA0" w:rsidRPr="00AE1FA0" w:rsidRDefault="00AE1FA0" w:rsidP="00AE1FA0">
      <w:pPr>
        <w:spacing w:line="360" w:lineRule="auto"/>
        <w:ind w:left="720"/>
        <w:contextualSpacing/>
        <w:rPr>
          <w:rFonts w:ascii="Arial" w:eastAsia="宋体" w:hAnsi="Arial" w:cs="Arial"/>
          <w:sz w:val="24"/>
          <w:szCs w:val="28"/>
        </w:rPr>
      </w:pPr>
      <w:r w:rsidRPr="00AE1FA0">
        <w:rPr>
          <w:rFonts w:ascii="Arial" w:eastAsia="宋体" w:hAnsi="Arial" w:cs="Arial"/>
          <w:i/>
          <w:sz w:val="24"/>
          <w:szCs w:val="28"/>
        </w:rPr>
        <w:t>I feel myself greatly honoured by your presence here today, coming here as you do for the purpose of offering suggestions to me, respecting my scheme for building a Ladies’ College which I propose to do, at a cost and in a manner, that may in some measure to be worthy the acceptance of the nation, to whom I intend to dedicate it. The style of the building I propose shall be the Renaissance of which we see many examples in France. This may be somewhat expensive but for a public building, I do not regret it. This building may thereafter serve as a starting point for someone else to do a great deal better’</w:t>
      </w:r>
      <w:r w:rsidRPr="00AE1FA0">
        <w:rPr>
          <w:rFonts w:ascii="Arial" w:eastAsia="宋体" w:hAnsi="Arial" w:cs="Arial"/>
          <w:sz w:val="24"/>
          <w:szCs w:val="28"/>
          <w:vertAlign w:val="superscript"/>
        </w:rPr>
        <w:footnoteReference w:id="23"/>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The excerpt above was written in the </w:t>
      </w:r>
      <w:r w:rsidRPr="00AE1FA0">
        <w:rPr>
          <w:rFonts w:ascii="Arial" w:eastAsia="宋体" w:hAnsi="Arial" w:cs="Arial"/>
          <w:i/>
          <w:sz w:val="24"/>
          <w:szCs w:val="28"/>
        </w:rPr>
        <w:t>Some small memories as to the origin of Holloway College for Women.</w:t>
      </w:r>
      <w:r w:rsidRPr="00AE1FA0">
        <w:rPr>
          <w:rFonts w:ascii="Arial" w:eastAsia="宋体" w:hAnsi="Arial" w:cs="Arial"/>
          <w:i/>
          <w:sz w:val="24"/>
          <w:szCs w:val="28"/>
          <w:vertAlign w:val="superscript"/>
        </w:rPr>
        <w:footnoteReference w:id="24"/>
      </w:r>
      <w:r w:rsidRPr="00AE1FA0">
        <w:rPr>
          <w:rFonts w:ascii="Arial" w:eastAsia="宋体" w:hAnsi="Arial" w:cs="Arial"/>
          <w:sz w:val="24"/>
          <w:szCs w:val="28"/>
        </w:rPr>
        <w:t xml:space="preserve"> It is a collection of Thomas Holloway’s addresses on meetings with educational experts, local counsellors and newspaper editors between 1874 and 1875. These addresses are first-hand materials that help to understand the foundation process of RHC from the early conception stage and as references for the following design and use of the building. There are several points of interest here, including issues of the non-linear conception process, which I will discuss later. The point I want to highlight first is the concept of ‘Ladies’ College’. ‘Ladies’ College. Here, the word ‘Ladies’ is worth in-depth analysis. From the 1840s, Ladies’ Colleges emerged for upper-middle-class women (Jordan, 1991). Among them, there were colleges “lodged in elegant manors and townhouse in fashionable sections of London and in resort towns such as Brighton and Bath, patronised by the gentry and wealthy </w:t>
      </w:r>
      <w:r w:rsidRPr="00AE1FA0">
        <w:rPr>
          <w:rFonts w:ascii="Arial" w:eastAsia="宋体" w:hAnsi="Arial" w:cs="Arial"/>
          <w:sz w:val="24"/>
          <w:szCs w:val="28"/>
        </w:rPr>
        <w:lastRenderedPageBreak/>
        <w:t>professional people” (Pedersen, 1979:63). Understanding of this sheds light on the social conditions at the time RHC was founded; Founder’s Building not only was gender-exclusive entry, but so were the social classes to which the students belonged - exclusively the upper and middle social classes, especially the upper-middle class. This was explicitly written in the Deed of Foundation and Thomas Holloway’s will: “the college is founded by the advice of the Founder’s wife to afford the best education suitable for women of the upper and middle classes.”</w:t>
      </w:r>
      <w:r w:rsidRPr="00AE1FA0">
        <w:rPr>
          <w:rFonts w:ascii="Arial" w:eastAsia="宋体" w:hAnsi="Arial" w:cs="Arial"/>
          <w:sz w:val="24"/>
          <w:szCs w:val="28"/>
          <w:vertAlign w:val="superscript"/>
        </w:rPr>
        <w:footnoteReference w:id="25"/>
      </w:r>
      <w:r w:rsidRPr="00AE1FA0">
        <w:rPr>
          <w:rFonts w:ascii="Arial" w:eastAsia="宋体" w:hAnsi="Arial" w:cs="Arial"/>
          <w:sz w:val="24"/>
          <w:szCs w:val="28"/>
        </w:rPr>
        <w:t xml:space="preserve"> Hence, for RHC. Women from the upper class were only a minority in the whole society in terms of number, and they lived an easier life, yet education for them was still scarce and was entirely up to their parents’ preference. Even when they had the opportunity, the education was more like the training for good wives and mothers. For instance, Heffer (2013:507) found that Miss Frances Cobbe, one of the Suffragette campaigners, was sent to a school by her father that produced “ornaments of society”; music and dancing were major parts of the curriculum. Higher education for women of the upper class, was not necessary because they were not expected to work. Middle class women, both upper middle and lower middle classes, on the other hand, were more likely to pursue higher education or vocational training to become governesses or teachers (Heffer, 2013). Many RHC students in the earlier days chose the higher education </w:t>
      </w:r>
      <w:proofErr w:type="gramStart"/>
      <w:r w:rsidRPr="00AE1FA0">
        <w:rPr>
          <w:rFonts w:ascii="Arial" w:eastAsia="宋体" w:hAnsi="Arial" w:cs="Arial"/>
          <w:sz w:val="24"/>
          <w:szCs w:val="28"/>
        </w:rPr>
        <w:t>so as to</w:t>
      </w:r>
      <w:proofErr w:type="gramEnd"/>
      <w:r w:rsidRPr="00AE1FA0">
        <w:rPr>
          <w:rFonts w:ascii="Arial" w:eastAsia="宋体" w:hAnsi="Arial" w:cs="Arial"/>
          <w:sz w:val="24"/>
          <w:szCs w:val="28"/>
        </w:rPr>
        <w:t xml:space="preserve"> be able to do this, as reminiscences of earlier alumna show. Here is one example of a student,</w:t>
      </w:r>
      <w:r w:rsidRPr="00AE1FA0">
        <w:rPr>
          <w:rFonts w:ascii="Arial" w:eastAsia="宋体" w:hAnsi="Arial" w:cs="Arial"/>
          <w:sz w:val="24"/>
          <w:szCs w:val="28"/>
          <w:vertAlign w:val="superscript"/>
        </w:rPr>
        <w:footnoteReference w:id="26"/>
      </w:r>
      <w:r w:rsidRPr="00AE1FA0">
        <w:rPr>
          <w:rFonts w:ascii="Arial" w:eastAsia="宋体" w:hAnsi="Arial" w:cs="Arial"/>
          <w:sz w:val="24"/>
          <w:szCs w:val="28"/>
        </w:rPr>
        <w:t xml:space="preserve"> who studied in RHC between 1910 and 1913:</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I intended to be a teacher. I was accepted and got a grant of £30. </w:t>
      </w:r>
    </w:p>
    <w:p w:rsidR="00AE1FA0" w:rsidRPr="00AE1FA0" w:rsidRDefault="00AE1FA0" w:rsidP="00AE1FA0">
      <w:pPr>
        <w:spacing w:line="360" w:lineRule="auto"/>
        <w:ind w:left="720"/>
        <w:rPr>
          <w:rFonts w:ascii="Arial" w:eastAsia="宋体" w:hAnsi="Arial" w:cs="Arial"/>
          <w:i/>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When further asked whether her father approved of her going to RHC, she replied:</w:t>
      </w:r>
    </w:p>
    <w:p w:rsidR="00AE1FA0" w:rsidRPr="00AE1FA0" w:rsidRDefault="00AE1FA0" w:rsidP="00AE1FA0">
      <w:pPr>
        <w:spacing w:line="360" w:lineRule="auto"/>
        <w:ind w:left="720"/>
        <w:rPr>
          <w:rFonts w:ascii="Arial" w:eastAsia="宋体" w:hAnsi="Arial" w:cs="Arial"/>
          <w:i/>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Oh yes, he was very proud of me, he always used to boast about my coming top. His employer helped me at College and told me not to worry about money.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i/>
          <w:sz w:val="24"/>
          <w:szCs w:val="28"/>
        </w:rPr>
      </w:pPr>
      <w:r w:rsidRPr="00AE1FA0">
        <w:rPr>
          <w:rFonts w:ascii="Arial" w:eastAsia="宋体" w:hAnsi="Arial" w:cs="Arial"/>
          <w:sz w:val="24"/>
          <w:szCs w:val="28"/>
        </w:rPr>
        <w:t xml:space="preserve">We can tell from the fact that her father’s employer helped with the money that she was not from the wealthy upper class and had to rely on the grant the college offered. Perhaps just as Mitchell (1996) argued, the middle class grew in importance in the ‘Victorian’ period and they valued education the most (Mitchell, 1996). Indeed, the </w:t>
      </w:r>
      <w:r w:rsidRPr="00AE1FA0">
        <w:rPr>
          <w:rFonts w:ascii="Arial" w:eastAsia="宋体" w:hAnsi="Arial" w:cs="Arial"/>
          <w:sz w:val="24"/>
          <w:szCs w:val="28"/>
        </w:rPr>
        <w:lastRenderedPageBreak/>
        <w:t xml:space="preserve">‘coming top’ description reveals how middle-class families expected their children to achieve the leap up the social ladder through education.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Indeed, most of RHC’s students were from the middle class, mainly upper-middle class, reflecting the social reality of the time, which Thomas Holloway fully understood, though publicly he defined RHC as a ‘Ladies’ College’ – that is, an establishment for the upper classes. The choice of location in the countryside was more than for safety and protection, it was also motivated by the idealized upper-class countryside life. We can see that the physical design and physical details of the interior of RHC met the standard of upper classes expectations. In March 1922, one newspaper</w:t>
      </w:r>
      <w:r w:rsidRPr="00AE1FA0">
        <w:rPr>
          <w:rFonts w:ascii="Arial" w:eastAsia="宋体" w:hAnsi="Arial" w:cs="Arial"/>
          <w:sz w:val="24"/>
          <w:szCs w:val="28"/>
          <w:vertAlign w:val="superscript"/>
        </w:rPr>
        <w:footnoteReference w:id="27"/>
      </w:r>
      <w:r w:rsidRPr="00AE1FA0">
        <w:rPr>
          <w:rFonts w:ascii="Arial" w:eastAsia="宋体" w:hAnsi="Arial" w:cs="Arial"/>
          <w:sz w:val="24"/>
          <w:szCs w:val="28"/>
        </w:rPr>
        <w:t xml:space="preserve"> article described the life in the RHC in March 1922 and defined the students’ studies as luxurious. In that article, a student described the furnishing in detail as “the furniture provided by the college is a luxurious Turkey carpet, pretty curtains, two or three chairs etc.”</w:t>
      </w:r>
      <w:r w:rsidRPr="00AE1FA0">
        <w:rPr>
          <w:rFonts w:ascii="Arial" w:eastAsia="宋体" w:hAnsi="Arial" w:cs="Arial"/>
          <w:sz w:val="24"/>
          <w:szCs w:val="28"/>
          <w:vertAlign w:val="superscript"/>
        </w:rPr>
        <w:t xml:space="preserve"> </w:t>
      </w:r>
      <w:r w:rsidRPr="00AE1FA0">
        <w:rPr>
          <w:rFonts w:ascii="Arial" w:eastAsia="宋体" w:hAnsi="Arial" w:cs="Arial"/>
          <w:sz w:val="24"/>
          <w:szCs w:val="28"/>
          <w:vertAlign w:val="superscript"/>
        </w:rPr>
        <w:footnoteReference w:id="28"/>
      </w:r>
      <w:r w:rsidRPr="00AE1FA0">
        <w:rPr>
          <w:rFonts w:ascii="Arial" w:eastAsia="宋体" w:hAnsi="Arial" w:cs="Arial"/>
          <w:sz w:val="24"/>
          <w:szCs w:val="28"/>
        </w:rPr>
        <w:t xml:space="preserve">  </w:t>
      </w:r>
    </w:p>
    <w:p w:rsidR="00AE1FA0" w:rsidRPr="00AE1FA0" w:rsidRDefault="00AE1FA0" w:rsidP="00AE1FA0">
      <w:pPr>
        <w:spacing w:line="360" w:lineRule="auto"/>
        <w:rPr>
          <w:rFonts w:ascii="Arial" w:eastAsia="宋体" w:hAnsi="Arial" w:cs="Arial"/>
          <w:sz w:val="20"/>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The bedroom-study model mentioned previously was another feature reflecting the influence of social class and indicates Thomas Holloway’s understanding of it.  So, did his encouragement of students to bring their own maids to the college. What is lacking in the college archive is how many students did this and how many had maids provided by the college, which would be a key difference analytically in terms of comprehending college life in RHC. Yet what is crystal clear is that the bedroom-study model and maids formed an important part of life in Founder’s Building</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The tradition of students having maids lasted until WWII and, even though during the war many things became informal and the hierarchy was gradually demolished, during it, as described by a student:</w:t>
      </w:r>
      <w:r w:rsidRPr="00AE1FA0">
        <w:rPr>
          <w:rFonts w:ascii="Arial" w:eastAsia="宋体" w:hAnsi="Arial" w:cs="Arial"/>
          <w:sz w:val="24"/>
          <w:szCs w:val="28"/>
          <w:vertAlign w:val="superscript"/>
        </w:rPr>
        <w:footnoteReference w:id="29"/>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We were waited on by maids. There was an Irish maid who looked after my bedroom – she didn’t think much of me. I remember one time saying to her that my plant had died, I forgot to water it. And she said, “God help the flowers that have to depend on you!” They were certainly not servile domestics – they were </w:t>
      </w:r>
      <w:r w:rsidRPr="00AE1FA0">
        <w:rPr>
          <w:rFonts w:ascii="Arial" w:eastAsia="宋体" w:hAnsi="Arial" w:cs="Arial"/>
          <w:i/>
          <w:sz w:val="24"/>
          <w:szCs w:val="28"/>
        </w:rPr>
        <w:lastRenderedPageBreak/>
        <w:t>very happy with their life. They had a much more exciting life than we did.</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The word ‘servile’ here suggests that, though the relationship and dynamics between student and maids had changed over 50 years, this student had the expectation that there should be a clear hierarchical difference between them. When it came to the 1960s</w:t>
      </w:r>
      <w:r w:rsidRPr="00AE1FA0">
        <w:rPr>
          <w:rFonts w:ascii="Arial" w:eastAsia="宋体" w:hAnsi="Arial" w:cs="Arial"/>
          <w:sz w:val="24"/>
          <w:szCs w:val="28"/>
          <w:vertAlign w:val="superscript"/>
        </w:rPr>
        <w:footnoteReference w:id="30"/>
      </w:r>
      <w:r w:rsidRPr="00AE1FA0">
        <w:rPr>
          <w:rFonts w:ascii="Arial" w:eastAsia="宋体" w:hAnsi="Arial" w:cs="Arial"/>
          <w:sz w:val="24"/>
          <w:szCs w:val="28"/>
        </w:rPr>
        <w:t xml:space="preserve">, terms like maid, servant and butler were terms of the past; all were now ‘domestic staff’. Moreover, students felt that the domestic staff were in a higher up in RHC’s hierarchy than they were!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18"/>
          <w:szCs w:val="20"/>
        </w:rPr>
      </w:pPr>
      <w:r w:rsidRPr="00AE1FA0">
        <w:rPr>
          <w:rFonts w:ascii="Arial" w:eastAsia="宋体" w:hAnsi="Arial" w:cs="Arial"/>
          <w:sz w:val="24"/>
          <w:szCs w:val="28"/>
        </w:rPr>
        <w:t>All these interpretations and feelings belonged to the general trend of growing informality by the mid -20</w:t>
      </w:r>
      <w:r w:rsidRPr="00AE1FA0">
        <w:rPr>
          <w:rFonts w:ascii="Arial" w:eastAsia="宋体" w:hAnsi="Arial" w:cs="Arial"/>
          <w:sz w:val="24"/>
          <w:szCs w:val="28"/>
          <w:vertAlign w:val="superscript"/>
        </w:rPr>
        <w:t>th</w:t>
      </w:r>
      <w:r w:rsidRPr="00AE1FA0">
        <w:rPr>
          <w:rFonts w:ascii="Arial" w:eastAsia="宋体" w:hAnsi="Arial" w:cs="Arial"/>
          <w:sz w:val="24"/>
          <w:szCs w:val="28"/>
        </w:rPr>
        <w:t xml:space="preserve"> century.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This whole section depicts the becoming process of Founder’s Building as a Ladies’ College and explains why ‘separate-sphere’ and ‘safe’ emerged as essential features, echoing the argument I brought forward in the beginning of this chapter, that social norms and values shaped how Founder’s Building was conceived, perceived, as well as lived. </w:t>
      </w:r>
      <w:proofErr w:type="gramStart"/>
      <w:r w:rsidRPr="00AE1FA0">
        <w:rPr>
          <w:rFonts w:ascii="Arial" w:eastAsia="宋体" w:hAnsi="Arial" w:cs="Arial"/>
          <w:sz w:val="24"/>
          <w:szCs w:val="28"/>
        </w:rPr>
        <w:t>For the reason that</w:t>
      </w:r>
      <w:proofErr w:type="gramEnd"/>
      <w:r w:rsidRPr="00AE1FA0">
        <w:rPr>
          <w:rFonts w:ascii="Arial" w:eastAsia="宋体" w:hAnsi="Arial" w:cs="Arial"/>
          <w:sz w:val="24"/>
          <w:szCs w:val="28"/>
        </w:rPr>
        <w:t xml:space="preserve"> these norms and values are evolving and changing constantly, the idealized way of how to conceive and perceive Founder’s Building evolved and changed at the same time. However, unlike conceived and perceived space that are relatively difficult to change, the way how people experience appears to be more adapted to current social norms and values in a synchronized way. Yet what should be clarified is that people do not always act accordingly to how Founder’s Building was conceived and perceived under the influence of social norms or values, instead, they negotiate and resist these norms or values, and these negotiations and this resistance are enacted spatially, which is the next section’s focus: how Founder’s Building become a negotiated space.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61" w:name="_Toc534732388"/>
      <w:r w:rsidRPr="00AE1FA0">
        <w:rPr>
          <w:rFonts w:ascii="Arial" w:eastAsiaTheme="majorEastAsia" w:hAnsi="Arial" w:cs="Arial"/>
          <w:b/>
          <w:color w:val="000000" w:themeColor="text1"/>
          <w:kern w:val="0"/>
          <w:sz w:val="24"/>
          <w:szCs w:val="26"/>
        </w:rPr>
        <w:t>Founder’s Building as a negotiated space</w:t>
      </w:r>
      <w:bookmarkEnd w:id="61"/>
    </w:p>
    <w:p w:rsidR="00AE1FA0" w:rsidRPr="00AE1FA0" w:rsidRDefault="00AE1FA0" w:rsidP="00AE1FA0">
      <w:pPr>
        <w:spacing w:line="360" w:lineRule="auto"/>
        <w:rPr>
          <w:rFonts w:ascii="Arial" w:hAnsi="Arial" w:cs="Arial"/>
          <w:kern w:val="0"/>
          <w:sz w:val="22"/>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宋体" w:hAnsi="Arial" w:cs="Arial"/>
          <w:sz w:val="24"/>
          <w:szCs w:val="28"/>
        </w:rPr>
        <w:t xml:space="preserve">Having analysed social conditioning and expectations about Ladies’ Colleges and how these influenced Founder’s Building, now, it is time to consider the other side of the story. Theoretically, if it is acknowledged that conception of Founder’s Building is </w:t>
      </w:r>
      <w:r w:rsidRPr="00AE1FA0">
        <w:rPr>
          <w:rFonts w:ascii="Arial" w:eastAsia="宋体" w:hAnsi="Arial" w:cs="Arial"/>
          <w:sz w:val="24"/>
          <w:szCs w:val="28"/>
        </w:rPr>
        <w:lastRenderedPageBreak/>
        <w:t>a process passively responding to social norms, then the conception process would be closer to a linear one. Yet the conception process of Founder’s Building appears to be a totally different picture, where negotiations and conflicts emerged. In the previous section, I presented the excerpt of Thomas Holloway’s conception plan and aims of Founder’s Building. Initially, Thomas Holloway preference was for the Renaissance. The architect’s first sketch also indicated “a return to Renaissance”.</w:t>
      </w:r>
      <w:r w:rsidRPr="00AE1FA0">
        <w:rPr>
          <w:rFonts w:ascii="Arial" w:eastAsia="宋体" w:hAnsi="Arial" w:cs="Arial"/>
          <w:sz w:val="24"/>
          <w:szCs w:val="28"/>
          <w:vertAlign w:val="superscript"/>
        </w:rPr>
        <w:footnoteReference w:id="31"/>
      </w:r>
      <w:r w:rsidRPr="00AE1FA0">
        <w:rPr>
          <w:rFonts w:ascii="Arial" w:eastAsia="宋体" w:hAnsi="Arial" w:cs="Arial"/>
          <w:sz w:val="24"/>
          <w:szCs w:val="28"/>
        </w:rPr>
        <w:t xml:space="preserve"> However, in his later retrospective writing of the conception process, he mentioned how Thomas Holloway, under the influence “certain high-educated ladies”, was persuaded to choose “the style in which most of the colleges at Oxford and Cambridge had been built.”</w:t>
      </w:r>
      <w:r w:rsidRPr="00AE1FA0">
        <w:rPr>
          <w:rFonts w:ascii="Arial" w:eastAsia="宋体" w:hAnsi="Arial" w:cs="Arial"/>
          <w:sz w:val="24"/>
          <w:szCs w:val="28"/>
          <w:vertAlign w:val="superscript"/>
        </w:rPr>
        <w:footnoteReference w:id="32"/>
      </w:r>
      <w:r w:rsidRPr="00AE1FA0">
        <w:rPr>
          <w:rFonts w:ascii="Arial" w:eastAsia="宋体" w:hAnsi="Arial" w:cs="Arial"/>
          <w:sz w:val="24"/>
          <w:szCs w:val="28"/>
        </w:rPr>
        <w:t xml:space="preserve"> The architect produced a sketched plan of this Oxbridge design in 1881 in the initial stage; only subsequently it was the Renaissance plan that won with the adoption of the Chateau de Chambord in France as a model.</w:t>
      </w:r>
      <w:r w:rsidRPr="00AE1FA0">
        <w:rPr>
          <w:rFonts w:ascii="Arial" w:eastAsia="Calibri" w:hAnsi="Arial" w:cs="Arial"/>
          <w:sz w:val="24"/>
          <w:szCs w:val="28"/>
          <w:lang w:eastAsia="en-US"/>
        </w:rPr>
        <w:t xml:space="preserve"> </w:t>
      </w:r>
    </w:p>
    <w:p w:rsidR="00AE1FA0" w:rsidRPr="00AE1FA0" w:rsidRDefault="00AE1FA0" w:rsidP="00AE1FA0">
      <w:pPr>
        <w:spacing w:line="360" w:lineRule="auto"/>
        <w:rPr>
          <w:rFonts w:ascii="Arial" w:eastAsia="Calibri" w:hAnsi="Arial" w:cs="Arial"/>
          <w:sz w:val="24"/>
          <w:szCs w:val="28"/>
          <w:lang w:eastAsia="en-US"/>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Calibri" w:hAnsi="Arial" w:cs="Arial"/>
          <w:sz w:val="24"/>
          <w:szCs w:val="28"/>
          <w:lang w:eastAsia="en-US"/>
        </w:rPr>
        <w:t xml:space="preserve">Although the architect attributed this non-linear process to the influence of certain stakeholders, yet the preference to imitate the Oxbridge style was more than personal preference. One plausible explanation of his preference came from the widely-accepted idea that the Oxbridge style was the socially acceptable one to follow for a new women’s colleges. Girton College in Cambridge and Newnham in Oxford were already well established, with the best reputation in women education. Therefore, it was sensible that Thomas Holloway was hesitant about </w:t>
      </w:r>
      <w:r w:rsidRPr="00AE1FA0">
        <w:rPr>
          <w:rFonts w:ascii="Arial" w:eastAsia="Calibri" w:hAnsi="Arial" w:cs="Arial"/>
          <w:i/>
          <w:sz w:val="24"/>
          <w:szCs w:val="28"/>
          <w:lang w:eastAsia="en-US"/>
        </w:rPr>
        <w:t xml:space="preserve">not </w:t>
      </w:r>
      <w:r w:rsidRPr="00AE1FA0">
        <w:rPr>
          <w:rFonts w:ascii="Arial" w:eastAsia="Calibri" w:hAnsi="Arial" w:cs="Arial"/>
          <w:sz w:val="24"/>
          <w:szCs w:val="28"/>
          <w:lang w:eastAsia="en-US"/>
        </w:rPr>
        <w:t>choosing the Oxbridge style. As an entrepreneurial philanthropist who had relatively insufficient knowledge about how to build and run a women college, it was inevitable that he would refer to Girton’s and Newnham’s experiences. Examples include the provision of a Chapel and quadrangles.</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These points nicely indicate how Founder’s Building is socially constructed, and ‘return to Renaissance’ shows how Founder’s Building was conceived beyond the Oxbridge influence. Thomas Holloway came from a very different background than the education pioneers. Specifically, Founder’s Building was built at the time that Girton, Newnham and other women colleges had emerged. Therefore, when RHC was founded, it was less controversial in terms of providing higher education for women, which enabled Thomas Holloway and his architect to face fewer struggles. </w:t>
      </w:r>
      <w:r w:rsidRPr="00AE1FA0">
        <w:rPr>
          <w:rFonts w:ascii="Arial" w:eastAsia="宋体" w:hAnsi="Arial" w:cs="Arial"/>
          <w:sz w:val="24"/>
          <w:szCs w:val="28"/>
        </w:rPr>
        <w:lastRenderedPageBreak/>
        <w:t>For Girton College and Newnham College, the process of their initiation was a process of emancipation, and the emphasis was on winning the right for female students in a male-dominated place. RHC, on the other hand, was built based on the comprehension that women higher education was important, and women colleges should be designed delicately to protect women students. More importantly, at that time, some women colleges had had established their reputation in women’s education and RHC learned from the successful experiences of the like of the Girton College and Bedford College founded in 1849. This allowed Thomas Holloway to focus on the detailed design, as his correspondence with a friend</w:t>
      </w:r>
      <w:r w:rsidRPr="00AE1FA0">
        <w:rPr>
          <w:rFonts w:ascii="Arial" w:eastAsia="宋体" w:hAnsi="Arial" w:cs="Arial"/>
          <w:sz w:val="24"/>
          <w:szCs w:val="28"/>
          <w:vertAlign w:val="superscript"/>
        </w:rPr>
        <w:footnoteReference w:id="33"/>
      </w:r>
      <w:r w:rsidRPr="00AE1FA0">
        <w:rPr>
          <w:rFonts w:ascii="Arial" w:eastAsia="宋体" w:hAnsi="Arial" w:cs="Arial"/>
          <w:sz w:val="24"/>
          <w:szCs w:val="28"/>
        </w:rPr>
        <w:t xml:space="preserve"> whom he consulted “where the best gymnasium for ladies is also swimming baths of the famous schools London”, and “what arrangements are made for practising on the piano”.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After the ‘return to Renaissance’ decision was made, the conception process of Founder’s Building was gradually shaped by various ideas. Thomas Holloway devoted considerable effort to researching and learning how to construct and run a women’s college. In the college archive of RHUL, there is a large collection of booklets and pamphlets about other women colleges. One of the noticeable cases is Vassar College. In the archive, Vassar College, a women’s college in the United States, was a key model for the design. The significance of Vassar College is two-fold in terms of the conceived space. On the one hand, it was a pre-existing residential women’s college – founded in 1861 – and as such could be a legitimate model. On the other hand, and unlike pre-existing Oxbridge women’s colleges, it was founded by a wealthy businessman, Matthew Vassar (Vassar, 2016).  The finalization of Founder’s Building’s design also reveals how it became a design that Thomas Holloway, a philanthropist might endorse. Thus, in Vickery’s (1999: 118) study of women’s colleges in Britain, Founder’s Building is seen to stand out for being a “palatial residence” which is “ornate, exuberant, and luxurious”. It is as if Holloway looked to Vassar as a template not just as a template for a women’s college, but as a template for the kind of women’s college a successful, rich philanthropist would build. The case of Vassar College and other contributions all indicate that the conception of Founder’s Building as a women’s college did not come ‘out of one’s head’ but out of a </w:t>
      </w:r>
      <w:r w:rsidRPr="00AE1FA0">
        <w:rPr>
          <w:rFonts w:ascii="Arial" w:eastAsia="宋体" w:hAnsi="Arial" w:cs="Arial"/>
          <w:sz w:val="24"/>
          <w:szCs w:val="28"/>
        </w:rPr>
        <w:lastRenderedPageBreak/>
        <w:t xml:space="preserve">process of comparison with existing conceptions. </w:t>
      </w:r>
    </w:p>
    <w:p w:rsidR="00AE1FA0" w:rsidRPr="00AE1FA0" w:rsidRDefault="00AE1FA0" w:rsidP="00AE1FA0">
      <w:pPr>
        <w:spacing w:line="360" w:lineRule="auto"/>
        <w:rPr>
          <w:rFonts w:ascii="Arial" w:eastAsia="宋体" w:hAnsi="Arial" w:cs="Arial"/>
          <w:sz w:val="20"/>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In the becoming process of Founder’s Building, struggles and negotiations are always present on the level of lived space. In order to comprehend how negotiations or even resistance enacted on the lived space level, I want to introduce a concept, orderliness, which had governed college life in Founder’s Building, influenced by the nature of it as a separate-sphered space. </w:t>
      </w:r>
      <w:r w:rsidRPr="00AE1FA0">
        <w:rPr>
          <w:rFonts w:ascii="Arial" w:eastAsia="宋体" w:hAnsi="Arial" w:cs="Arial"/>
          <w:bCs/>
          <w:kern w:val="0"/>
          <w:sz w:val="24"/>
          <w:szCs w:val="28"/>
        </w:rPr>
        <w:t>Orderliness</w:t>
      </w:r>
      <w:r w:rsidRPr="00AE1FA0">
        <w:rPr>
          <w:rFonts w:ascii="Arial" w:eastAsia="宋体" w:hAnsi="Arial" w:cs="Arial"/>
          <w:sz w:val="24"/>
          <w:szCs w:val="28"/>
        </w:rPr>
        <w:t xml:space="preserve"> is a social concept interpreted individually and experienced in various ways. Although some described their life as strict, the freedom was there at the same time. A student in 1919-1921 said that “it was liberation for us all and we work with zest.”</w:t>
      </w:r>
      <w:r w:rsidRPr="00AE1FA0">
        <w:rPr>
          <w:rFonts w:ascii="Arial" w:eastAsia="宋体" w:hAnsi="Arial" w:cs="Arial"/>
          <w:sz w:val="24"/>
          <w:szCs w:val="28"/>
          <w:vertAlign w:val="superscript"/>
        </w:rPr>
        <w:footnoteReference w:id="34"/>
      </w:r>
      <w:r w:rsidRPr="00AE1FA0">
        <w:rPr>
          <w:rFonts w:ascii="Arial" w:eastAsia="宋体" w:hAnsi="Arial" w:cs="Arial"/>
          <w:sz w:val="24"/>
          <w:szCs w:val="28"/>
        </w:rPr>
        <w:t xml:space="preserve"> This evaluation might come from the comparison with their lives at home, just as a student described at length in 1935:</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Best of all was the freedom. I didn’t have to ask to go out nor did I have to say where I was going and when I was coming back. </w:t>
      </w:r>
      <w:proofErr w:type="gramStart"/>
      <w:r w:rsidRPr="00AE1FA0">
        <w:rPr>
          <w:rFonts w:ascii="Arial" w:eastAsia="宋体" w:hAnsi="Arial" w:cs="Arial"/>
          <w:i/>
          <w:sz w:val="24"/>
          <w:szCs w:val="28"/>
        </w:rPr>
        <w:t>As long as</w:t>
      </w:r>
      <w:proofErr w:type="gramEnd"/>
      <w:r w:rsidRPr="00AE1FA0">
        <w:rPr>
          <w:rFonts w:ascii="Arial" w:eastAsia="宋体" w:hAnsi="Arial" w:cs="Arial"/>
          <w:i/>
          <w:sz w:val="24"/>
          <w:szCs w:val="28"/>
        </w:rPr>
        <w:t xml:space="preserve"> I kept the rule about being in for evening dinner or getting permission to be out, I could come and go as I wished in my leisure time up to 10:30 p.m., and with notice, I could stay out until 1 a.m.</w:t>
      </w:r>
      <w:r w:rsidRPr="00AE1FA0">
        <w:rPr>
          <w:rFonts w:ascii="Arial" w:eastAsia="宋体" w:hAnsi="Arial" w:cs="Arial"/>
          <w:i/>
          <w:sz w:val="24"/>
          <w:szCs w:val="28"/>
          <w:vertAlign w:val="superscript"/>
        </w:rPr>
        <w:footnoteReference w:id="35"/>
      </w:r>
    </w:p>
    <w:p w:rsidR="00AE1FA0" w:rsidRPr="00AE1FA0" w:rsidRDefault="00AE1FA0" w:rsidP="00AE1FA0">
      <w:pPr>
        <w:spacing w:line="360" w:lineRule="auto"/>
        <w:ind w:left="720"/>
        <w:rPr>
          <w:rFonts w:ascii="Arial" w:eastAsia="宋体" w:hAnsi="Arial" w:cs="Arial"/>
          <w:i/>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As a staff member who worked in RHC between 1908 and 1914 described college life: “daily life began at 8 a.m. for Chapel and it was compulsory for students. The service was always sung. Yet the religious life certainly stirred actively in RHC. On Sundays there was a Church of England service every week at 11:30 a.m. and Free Church service of some kind on alternate Sundays at 10. At 7 p.m., the Principal conducted a short service in Chapel. Both morning and evening the three-part choir sang.”</w:t>
      </w:r>
      <w:r w:rsidRPr="00AE1FA0">
        <w:rPr>
          <w:rFonts w:ascii="Arial" w:eastAsia="宋体" w:hAnsi="Arial" w:cs="Arial"/>
          <w:sz w:val="24"/>
          <w:szCs w:val="28"/>
          <w:vertAlign w:val="superscript"/>
        </w:rPr>
        <w:footnoteReference w:id="36"/>
      </w:r>
    </w:p>
    <w:p w:rsidR="00AE1FA0" w:rsidRPr="00AE1FA0" w:rsidRDefault="00AE1FA0" w:rsidP="00AE1FA0">
      <w:pPr>
        <w:spacing w:line="360" w:lineRule="auto"/>
        <w:rPr>
          <w:rFonts w:ascii="Arial" w:eastAsia="宋体" w:hAnsi="Arial" w:cs="Arial"/>
          <w:sz w:val="24"/>
          <w:szCs w:val="28"/>
          <w:u w:val="single"/>
        </w:rPr>
      </w:pPr>
    </w:p>
    <w:p w:rsidR="00AE1FA0" w:rsidRPr="00AE1FA0" w:rsidRDefault="00AE1FA0" w:rsidP="00AE1FA0">
      <w:pPr>
        <w:spacing w:line="360" w:lineRule="auto"/>
        <w:rPr>
          <w:rFonts w:ascii="Arial" w:eastAsia="宋体" w:hAnsi="Arial" w:cs="Arial"/>
          <w:sz w:val="24"/>
          <w:szCs w:val="28"/>
        </w:rPr>
      </w:pPr>
      <w:proofErr w:type="gramStart"/>
      <w:r w:rsidRPr="00AE1FA0">
        <w:rPr>
          <w:rFonts w:ascii="Arial" w:eastAsia="宋体" w:hAnsi="Arial" w:cs="Arial"/>
          <w:sz w:val="24"/>
          <w:szCs w:val="28"/>
        </w:rPr>
        <w:t>The majority of</w:t>
      </w:r>
      <w:proofErr w:type="gramEnd"/>
      <w:r w:rsidRPr="00AE1FA0">
        <w:rPr>
          <w:rFonts w:ascii="Arial" w:eastAsia="宋体" w:hAnsi="Arial" w:cs="Arial"/>
          <w:sz w:val="24"/>
          <w:szCs w:val="28"/>
        </w:rPr>
        <w:t xml:space="preserve"> alumni, when they recalled their time in the college, usually look back at their time through rose-coloured glasses. So, the orderliness was rather positive: “I loved the place and its orderliness life, I never found the restrictions irksome.”</w:t>
      </w:r>
      <w:r w:rsidRPr="00AE1FA0">
        <w:rPr>
          <w:rFonts w:ascii="Arial" w:eastAsia="宋体" w:hAnsi="Arial" w:cs="Arial"/>
          <w:b/>
          <w:bCs/>
          <w:sz w:val="24"/>
          <w:szCs w:val="28"/>
        </w:rPr>
        <w:t xml:space="preserve"> </w:t>
      </w:r>
      <w:r w:rsidRPr="00AE1FA0">
        <w:rPr>
          <w:rFonts w:ascii="Arial" w:eastAsia="宋体" w:hAnsi="Arial" w:cs="Arial"/>
          <w:bCs/>
          <w:sz w:val="24"/>
          <w:szCs w:val="28"/>
        </w:rPr>
        <w:t>However, the social mutability of what ‘freedom’ and ‘restrictions’ are plays an important role. If we evaluate the strictness or orderliness based on the present values and expectations, the seemingly strict rules could have meant a massive freedom to students.</w:t>
      </w:r>
      <w:r w:rsidRPr="00AE1FA0">
        <w:rPr>
          <w:rFonts w:ascii="Arial" w:eastAsia="宋体" w:hAnsi="Arial" w:cs="Arial"/>
          <w:sz w:val="24"/>
          <w:szCs w:val="28"/>
        </w:rPr>
        <w:t xml:space="preserve"> For instance, although from a present-day perspective the </w:t>
      </w:r>
      <w:r w:rsidRPr="00AE1FA0">
        <w:rPr>
          <w:rFonts w:ascii="Arial" w:eastAsia="宋体" w:hAnsi="Arial" w:cs="Arial"/>
          <w:sz w:val="24"/>
          <w:szCs w:val="28"/>
        </w:rPr>
        <w:lastRenderedPageBreak/>
        <w:t>gender segregation seems very restrictive it is not necessarily the case that it was experienced as such, especially by comparison with what the female students had been used to in their schools and families. As the same 1950s’ student recalled:</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Here we were in a very privileged position … an enclosed environment</w:t>
      </w:r>
    </w:p>
    <w:p w:rsidR="00AE1FA0" w:rsidRPr="00AE1FA0" w:rsidRDefault="00AE1FA0" w:rsidP="00AE1FA0">
      <w:pPr>
        <w:spacing w:line="360" w:lineRule="auto"/>
        <w:ind w:left="720"/>
        <w:rPr>
          <w:rFonts w:ascii="Arial" w:eastAsia="宋体" w:hAnsi="Arial" w:cs="Arial"/>
          <w:sz w:val="24"/>
          <w:szCs w:val="28"/>
        </w:rPr>
      </w:pPr>
      <w:r w:rsidRPr="00AE1FA0">
        <w:rPr>
          <w:rFonts w:ascii="Arial" w:eastAsia="宋体" w:hAnsi="Arial" w:cs="Arial"/>
          <w:i/>
          <w:sz w:val="24"/>
          <w:szCs w:val="28"/>
        </w:rPr>
        <w:t>that’s true … but it was much more liberated, you met with men, if you went and used the Student’s Union in London … or you took part in some sort of inter-collegiate things in London.</w:t>
      </w:r>
      <w:r w:rsidRPr="00AE1FA0">
        <w:rPr>
          <w:rFonts w:ascii="Arial" w:eastAsia="宋体" w:hAnsi="Arial" w:cs="Arial"/>
          <w:sz w:val="24"/>
          <w:szCs w:val="28"/>
          <w:vertAlign w:val="superscript"/>
        </w:rPr>
        <w:footnoteReference w:id="37"/>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This is important to understand, both in terms of the social mutability of what ‘freedom’ and ‘restriction’ mean but also in terms of the distinction of conceived and lived space. For whereas the space was conceived of as separate from both men and, relatedly, London, for students like this one the experience narrated is in terms of the possibility of meeting men, and in London.</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Calibri" w:hAnsi="Arial" w:cs="Arial"/>
          <w:kern w:val="24"/>
          <w:sz w:val="24"/>
          <w:szCs w:val="28"/>
          <w:lang w:eastAsia="ja-JP"/>
        </w:rPr>
      </w:pPr>
      <w:r w:rsidRPr="00AE1FA0">
        <w:rPr>
          <w:rFonts w:ascii="Arial" w:eastAsia="宋体" w:hAnsi="Arial" w:cs="Arial"/>
          <w:sz w:val="24"/>
          <w:szCs w:val="28"/>
        </w:rPr>
        <w:t xml:space="preserve">Another concept to introduce is gender-segregation, which vividly reveals how users of Founder’s Building negotiated with and resisted conceived and perceived space in different time periods. As explained in the previous section, gender-segregation is a product of the separate-sphered nature of Founder’s Building as a women college, and it was realized in every facet of college life. To take an example of the tunnel underneath Founder’s Building, I want to demonstrate how space could be interpreted and negotiated actively rather than passively following regulations and traditions. </w:t>
      </w:r>
      <w:r w:rsidRPr="00AE1FA0">
        <w:rPr>
          <w:rFonts w:ascii="Arial" w:eastAsia="宋体" w:hAnsi="Arial" w:cs="Arial"/>
          <w:kern w:val="24"/>
          <w:sz w:val="24"/>
          <w:szCs w:val="28"/>
          <w:lang w:eastAsia="ja-JP"/>
        </w:rPr>
        <w:t xml:space="preserve">This tunnel was for the workers and their carts, so the young women living in Founder’s Building might have never seen the workmen who worked in the same space. Their activities and existence were designed as relatively invisible. In particular, the existence and use of the tunnel is a nice example of multiple interpretations of conception. </w:t>
      </w:r>
      <w:r w:rsidRPr="00AE1FA0">
        <w:rPr>
          <w:rFonts w:ascii="Arial" w:eastAsia="Calibri" w:hAnsi="Arial" w:cs="Arial"/>
          <w:kern w:val="24"/>
          <w:sz w:val="24"/>
          <w:szCs w:val="28"/>
          <w:lang w:eastAsia="ja-JP"/>
        </w:rPr>
        <w:t xml:space="preserve">The tunnel, leading to a boiler house, which was created so that the </w:t>
      </w:r>
      <w:bookmarkStart w:id="62" w:name="_Hlk535069977"/>
      <w:r w:rsidRPr="00AE1FA0">
        <w:rPr>
          <w:rFonts w:ascii="Arial" w:eastAsia="Calibri" w:hAnsi="Arial" w:cs="Arial"/>
          <w:kern w:val="24"/>
          <w:sz w:val="24"/>
          <w:szCs w:val="28"/>
          <w:lang w:eastAsia="ja-JP"/>
        </w:rPr>
        <w:t xml:space="preserve">“delicate sensibilities of the girls would not be upset by the sight of men servants and their carts” </w:t>
      </w:r>
      <w:r w:rsidRPr="00AE1FA0">
        <w:rPr>
          <w:rFonts w:ascii="Arial" w:eastAsia="宋体" w:hAnsi="Arial" w:cs="Arial"/>
          <w:kern w:val="24"/>
          <w:sz w:val="24"/>
          <w:szCs w:val="28"/>
        </w:rPr>
        <w:t>(RHUL Archive, 2016)</w:t>
      </w:r>
      <w:r w:rsidRPr="00AE1FA0">
        <w:rPr>
          <w:rFonts w:ascii="Arial" w:eastAsia="Calibri" w:hAnsi="Arial" w:cs="Arial"/>
          <w:kern w:val="24"/>
          <w:sz w:val="24"/>
          <w:szCs w:val="28"/>
          <w:lang w:eastAsia="ja-JP"/>
        </w:rPr>
        <w:t>.</w:t>
      </w:r>
      <w:bookmarkEnd w:id="62"/>
      <w:r w:rsidRPr="00AE1FA0">
        <w:rPr>
          <w:rFonts w:ascii="Arial" w:eastAsia="Calibri" w:hAnsi="Arial" w:cs="Arial"/>
          <w:kern w:val="24"/>
          <w:sz w:val="24"/>
          <w:szCs w:val="28"/>
          <w:lang w:eastAsia="ja-JP"/>
        </w:rPr>
        <w:t xml:space="preserve"> Yet, at least apocryphally, this tunnel was used by students and maids to hide male visitors and, more certainly, to bypass the strict rules and regulations, as recalled by a maid</w:t>
      </w:r>
      <w:r w:rsidRPr="00AE1FA0">
        <w:rPr>
          <w:rFonts w:ascii="Arial" w:eastAsia="Calibri" w:hAnsi="Arial" w:cs="Arial"/>
          <w:kern w:val="24"/>
          <w:sz w:val="24"/>
          <w:szCs w:val="28"/>
          <w:vertAlign w:val="superscript"/>
          <w:lang w:eastAsia="ja-JP"/>
        </w:rPr>
        <w:footnoteReference w:id="38"/>
      </w:r>
      <w:r w:rsidRPr="00AE1FA0">
        <w:rPr>
          <w:rFonts w:ascii="Arial" w:eastAsia="Calibri" w:hAnsi="Arial" w:cs="Arial"/>
          <w:kern w:val="24"/>
          <w:sz w:val="24"/>
          <w:szCs w:val="28"/>
          <w:lang w:eastAsia="ja-JP"/>
        </w:rPr>
        <w:t xml:space="preserve"> in the 1940s:</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Calibri" w:hAnsi="Arial" w:cs="Arial"/>
          <w:i/>
          <w:iCs/>
          <w:kern w:val="24"/>
          <w:sz w:val="24"/>
          <w:szCs w:val="28"/>
          <w:lang w:eastAsia="ja-JP"/>
        </w:rPr>
      </w:pPr>
      <w:r w:rsidRPr="00AE1FA0">
        <w:rPr>
          <w:rFonts w:ascii="Arial" w:eastAsia="Calibri" w:hAnsi="Arial" w:cs="Arial"/>
          <w:i/>
          <w:iCs/>
          <w:kern w:val="24"/>
          <w:sz w:val="24"/>
          <w:szCs w:val="28"/>
          <w:lang w:eastAsia="ja-JP"/>
        </w:rPr>
        <w:lastRenderedPageBreak/>
        <w:t>On another night we had all been out to Staines. And the boiler house man said that he would leave the gate open and this tunnel was on a 3-minute time switch, so we would get down with the light on, run up the tunnel and you could come up the tunnel on the East Side.</w:t>
      </w:r>
    </w:p>
    <w:p w:rsidR="00AE1FA0" w:rsidRPr="00AE1FA0" w:rsidRDefault="00AE1FA0" w:rsidP="00AE1FA0">
      <w:pPr>
        <w:spacing w:line="360" w:lineRule="auto"/>
        <w:ind w:left="720"/>
        <w:rPr>
          <w:rFonts w:ascii="Arial" w:eastAsia="Times New Roman" w:hAnsi="Arial" w:cs="Arial"/>
          <w:sz w:val="24"/>
          <w:szCs w:val="28"/>
          <w:lang w:eastAsia="ja-JP"/>
        </w:rPr>
      </w:pPr>
    </w:p>
    <w:p w:rsidR="00AE1FA0" w:rsidRPr="00AE1FA0" w:rsidRDefault="00AE1FA0" w:rsidP="00AE1FA0">
      <w:pPr>
        <w:spacing w:line="360" w:lineRule="auto"/>
        <w:rPr>
          <w:rFonts w:ascii="Arial" w:eastAsia="Calibri" w:hAnsi="Arial" w:cs="Arial"/>
          <w:kern w:val="24"/>
          <w:sz w:val="24"/>
          <w:szCs w:val="28"/>
          <w:lang w:eastAsia="ja-JP"/>
        </w:rPr>
      </w:pPr>
      <w:r w:rsidRPr="00AE1FA0">
        <w:rPr>
          <w:rFonts w:ascii="Arial" w:eastAsia="Calibri" w:hAnsi="Arial" w:cs="Arial"/>
          <w:kern w:val="24"/>
          <w:sz w:val="24"/>
          <w:szCs w:val="28"/>
          <w:lang w:eastAsia="ja-JP"/>
        </w:rPr>
        <w:t xml:space="preserve">These kinds of resistances to gender segregation even extended in some cases to violations of the overnight rules for male guests, as a </w:t>
      </w:r>
      <w:r w:rsidRPr="00AE1FA0">
        <w:rPr>
          <w:rFonts w:ascii="Arial" w:eastAsia="宋体" w:hAnsi="Arial" w:cs="Arial"/>
          <w:kern w:val="24"/>
          <w:sz w:val="24"/>
          <w:szCs w:val="28"/>
        </w:rPr>
        <w:t>maid</w:t>
      </w:r>
      <w:r w:rsidRPr="00AE1FA0">
        <w:rPr>
          <w:rFonts w:ascii="Arial" w:eastAsia="Calibri" w:hAnsi="Arial" w:cs="Arial"/>
          <w:kern w:val="24"/>
          <w:sz w:val="24"/>
          <w:szCs w:val="28"/>
          <w:vertAlign w:val="superscript"/>
          <w:lang w:eastAsia="ja-JP"/>
        </w:rPr>
        <w:footnoteReference w:id="39"/>
      </w:r>
      <w:r w:rsidRPr="00AE1FA0">
        <w:rPr>
          <w:rFonts w:ascii="Arial" w:eastAsia="Calibri" w:hAnsi="Arial" w:cs="Arial"/>
          <w:kern w:val="24"/>
          <w:sz w:val="24"/>
          <w:szCs w:val="28"/>
          <w:lang w:eastAsia="ja-JP"/>
        </w:rPr>
        <w:t xml:space="preserve"> in the 1950s found:</w:t>
      </w:r>
    </w:p>
    <w:p w:rsidR="00AE1FA0" w:rsidRPr="00AE1FA0" w:rsidRDefault="00AE1FA0" w:rsidP="00AE1FA0">
      <w:pPr>
        <w:spacing w:line="360" w:lineRule="auto"/>
        <w:rPr>
          <w:rFonts w:ascii="Arial" w:eastAsia="宋体" w:hAnsi="Arial" w:cs="Arial"/>
          <w:kern w:val="24"/>
          <w:sz w:val="24"/>
          <w:szCs w:val="28"/>
        </w:rPr>
      </w:pPr>
    </w:p>
    <w:p w:rsidR="00AE1FA0" w:rsidRPr="00AE1FA0" w:rsidRDefault="00AE1FA0" w:rsidP="00AE1FA0">
      <w:pPr>
        <w:spacing w:line="360" w:lineRule="auto"/>
        <w:ind w:leftChars="100" w:left="210"/>
        <w:rPr>
          <w:rFonts w:ascii="Arial" w:eastAsia="宋体" w:hAnsi="Arial" w:cs="Arial"/>
          <w:i/>
          <w:sz w:val="24"/>
          <w:szCs w:val="28"/>
        </w:rPr>
      </w:pPr>
      <w:r w:rsidRPr="00AE1FA0">
        <w:rPr>
          <w:rFonts w:ascii="Arial" w:eastAsia="Times New Roman" w:hAnsi="Arial" w:cs="Arial"/>
          <w:i/>
          <w:sz w:val="24"/>
          <w:szCs w:val="28"/>
          <w:lang w:eastAsia="ja-JP"/>
        </w:rPr>
        <w:t>If you had a boyfriend up in your room you had to have a chaperone, you were never supposed to be in the room with your chap. But obviously I couldn’t have asked one of my friends, they wouldn’t have come in. So, we used to hide them all in West 5, because it was only stores. I would jump into bed, fully clothed, and put the sheet up around me, and when they knocked on the door they would come in and say “Goodnight” and check to see that you were in bed. Then we used to go up and bring our boyfriends down into the sitting room. It was just one big happy crowd.</w:t>
      </w:r>
    </w:p>
    <w:p w:rsidR="00AE1FA0" w:rsidRPr="00AE1FA0" w:rsidRDefault="00AE1FA0" w:rsidP="00AE1FA0">
      <w:pPr>
        <w:spacing w:line="360" w:lineRule="auto"/>
        <w:ind w:leftChars="100" w:left="210"/>
        <w:rPr>
          <w:rFonts w:ascii="Arial" w:eastAsia="宋体" w:hAnsi="Arial" w:cs="Arial"/>
          <w:i/>
          <w:kern w:val="24"/>
          <w:sz w:val="24"/>
          <w:szCs w:val="28"/>
        </w:rPr>
      </w:pPr>
      <w:r w:rsidRPr="00AE1FA0">
        <w:rPr>
          <w:rFonts w:ascii="Arial" w:eastAsia="Calibri" w:hAnsi="Arial" w:cs="Arial"/>
          <w:i/>
          <w:kern w:val="24"/>
          <w:sz w:val="24"/>
          <w:szCs w:val="28"/>
          <w:lang w:eastAsia="ja-JP"/>
        </w:rPr>
        <w:t> </w:t>
      </w:r>
    </w:p>
    <w:p w:rsidR="00AE1FA0" w:rsidRPr="00AE1FA0" w:rsidRDefault="00AE1FA0" w:rsidP="00AE1FA0">
      <w:pPr>
        <w:spacing w:line="360" w:lineRule="auto"/>
        <w:rPr>
          <w:rFonts w:ascii="Arial" w:eastAsia="宋体" w:hAnsi="Arial" w:cs="Arial"/>
          <w:kern w:val="24"/>
          <w:sz w:val="24"/>
          <w:szCs w:val="28"/>
        </w:rPr>
      </w:pPr>
      <w:r w:rsidRPr="00AE1FA0">
        <w:rPr>
          <w:rFonts w:ascii="Arial" w:eastAsia="宋体" w:hAnsi="Arial" w:cs="Arial"/>
          <w:kern w:val="24"/>
          <w:sz w:val="24"/>
          <w:szCs w:val="28"/>
        </w:rPr>
        <w:t>Yet, again, similar to other traditions in the RHC, when it came to WWII, it became less strict and more informal, and women’s ‘delicate sensibilities’, in so far as they still existed had to give way to the interests of the collective – the tunnel experienced a massive change functionally, from a men-exclusive space to an air-raid shelter for the whole college. This was described by a butler</w:t>
      </w:r>
      <w:r w:rsidRPr="00AE1FA0">
        <w:rPr>
          <w:rFonts w:ascii="Arial" w:eastAsia="宋体" w:hAnsi="Arial" w:cs="Arial"/>
          <w:kern w:val="24"/>
          <w:sz w:val="24"/>
          <w:szCs w:val="28"/>
          <w:vertAlign w:val="superscript"/>
        </w:rPr>
        <w:footnoteReference w:id="40"/>
      </w:r>
      <w:r w:rsidRPr="00AE1FA0">
        <w:rPr>
          <w:rFonts w:ascii="Arial" w:eastAsia="宋体" w:hAnsi="Arial" w:cs="Arial"/>
          <w:kern w:val="24"/>
          <w:sz w:val="24"/>
          <w:szCs w:val="28"/>
        </w:rPr>
        <w:t xml:space="preserve"> vividly of how everyone evacuated to the tunnel:</w:t>
      </w:r>
    </w:p>
    <w:p w:rsidR="00AE1FA0" w:rsidRPr="00AE1FA0" w:rsidRDefault="00AE1FA0" w:rsidP="00AE1FA0">
      <w:pPr>
        <w:spacing w:line="360" w:lineRule="auto"/>
        <w:ind w:left="720"/>
        <w:rPr>
          <w:rFonts w:ascii="Arial" w:eastAsia="宋体" w:hAnsi="Arial" w:cs="Arial"/>
          <w:sz w:val="24"/>
          <w:szCs w:val="28"/>
        </w:rPr>
      </w:pPr>
      <w:r w:rsidRPr="00AE1FA0">
        <w:rPr>
          <w:rFonts w:ascii="Arial" w:eastAsia="宋体" w:hAnsi="Arial" w:cs="Arial"/>
          <w:kern w:val="24"/>
          <w:sz w:val="24"/>
          <w:szCs w:val="28"/>
        </w:rPr>
        <w:br/>
      </w:r>
      <w:r w:rsidRPr="00AE1FA0">
        <w:rPr>
          <w:rFonts w:ascii="Arial" w:eastAsia="Calibri" w:hAnsi="Arial" w:cs="Arial"/>
          <w:i/>
          <w:iCs/>
          <w:kern w:val="24"/>
          <w:sz w:val="24"/>
          <w:szCs w:val="28"/>
          <w:lang w:eastAsia="ja-JP"/>
        </w:rPr>
        <w:t xml:space="preserve">Also, we had to get the tunnel ready-they made an air-raid shelter of the tunnel. And of course, at the beginning of the War if a siren went then everybody went straight into the tunnel.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After WWII, gender segregation weakened gradually and continued after 1945 when the first male postgraduates were admitted to the college, though they did not reside in Founder’s Building. Even 20 years later the separate-sphere was not entirely discarded: male students still did not reside in the Founder’s Building, but gender </w:t>
      </w:r>
      <w:r w:rsidRPr="00AE1FA0">
        <w:rPr>
          <w:rFonts w:ascii="Arial" w:eastAsia="宋体" w:hAnsi="Arial" w:cs="Arial"/>
          <w:sz w:val="24"/>
          <w:szCs w:val="28"/>
        </w:rPr>
        <w:lastRenderedPageBreak/>
        <w:t>segregation was clearly less strict that before. For instance, a male student</w:t>
      </w:r>
      <w:r w:rsidRPr="00AE1FA0">
        <w:rPr>
          <w:rFonts w:ascii="Arial" w:eastAsia="宋体" w:hAnsi="Arial" w:cs="Arial"/>
          <w:sz w:val="24"/>
          <w:szCs w:val="28"/>
          <w:vertAlign w:val="superscript"/>
        </w:rPr>
        <w:footnoteReference w:id="41"/>
      </w:r>
      <w:r w:rsidRPr="00AE1FA0">
        <w:rPr>
          <w:rFonts w:ascii="Arial" w:eastAsia="宋体" w:hAnsi="Arial" w:cs="Arial"/>
          <w:sz w:val="24"/>
          <w:szCs w:val="28"/>
        </w:rPr>
        <w:t xml:space="preserve"> studying in 1965 talked about the ‘no male guest after 10:30 p.m.’ rule in a fun way:</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Chars="300" w:left="630"/>
        <w:rPr>
          <w:rFonts w:ascii="Arial" w:eastAsia="宋体" w:hAnsi="Arial" w:cs="Arial"/>
          <w:b/>
          <w:bCs/>
          <w:sz w:val="24"/>
          <w:szCs w:val="28"/>
        </w:rPr>
      </w:pPr>
      <w:r w:rsidRPr="00AE1FA0">
        <w:rPr>
          <w:rFonts w:ascii="Arial" w:eastAsia="宋体" w:hAnsi="Arial" w:cs="Arial"/>
          <w:i/>
          <w:sz w:val="24"/>
          <w:szCs w:val="28"/>
        </w:rPr>
        <w:t xml:space="preserve">One of the things we were told jolly quickly was that we all had to be OUT of girls’ rooms by 9.30 to begin with. Then it was 10.30. But it was </w:t>
      </w:r>
      <w:proofErr w:type="gramStart"/>
      <w:r w:rsidRPr="00AE1FA0">
        <w:rPr>
          <w:rFonts w:ascii="Arial" w:eastAsia="宋体" w:hAnsi="Arial" w:cs="Arial"/>
          <w:i/>
          <w:sz w:val="24"/>
          <w:szCs w:val="28"/>
        </w:rPr>
        <w:t>definitely impressed</w:t>
      </w:r>
      <w:proofErr w:type="gramEnd"/>
      <w:r w:rsidRPr="00AE1FA0">
        <w:rPr>
          <w:rFonts w:ascii="Arial" w:eastAsia="宋体" w:hAnsi="Arial" w:cs="Arial"/>
          <w:i/>
          <w:sz w:val="24"/>
          <w:szCs w:val="28"/>
        </w:rPr>
        <w:t xml:space="preserve"> on us that any male caught within the College precincts after that hour would be fairly well dealt with. So, of course, naturally to some it was a challenge to get away with remaining over one night undetected. Well, Robert Pearce did that – or he said he did, and all the evidence seemed to point to it!</w:t>
      </w:r>
      <w:r w:rsidRPr="00AE1FA0">
        <w:rPr>
          <w:rFonts w:ascii="Arial" w:eastAsia="宋体" w:hAnsi="Arial" w:cs="Arial"/>
          <w:b/>
          <w:bCs/>
          <w:sz w:val="24"/>
          <w:szCs w:val="28"/>
        </w:rPr>
        <w:t xml:space="preserve"> </w:t>
      </w:r>
    </w:p>
    <w:p w:rsidR="00AE1FA0" w:rsidRPr="00AE1FA0" w:rsidRDefault="00AE1FA0" w:rsidP="00AE1FA0">
      <w:pPr>
        <w:spacing w:line="360" w:lineRule="auto"/>
        <w:ind w:leftChars="100" w:left="210"/>
        <w:rPr>
          <w:rFonts w:ascii="Arial" w:eastAsia="Calibri" w:hAnsi="Arial" w:cs="Arial"/>
          <w:sz w:val="24"/>
          <w:szCs w:val="28"/>
          <w:lang w:eastAsia="en-US"/>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It should be clarified that negotiations and resistance are an ongoing process and this process is not exclusively timed to dramatic changes in Founder’s Building. For instance, the restoration project of the Large and Small Boardrooms in 1991 is a good example, exemplifying an ongoing negotiation of past and present. The boardrooms are located within the Founder’s Building and its restoration was to meet modern requirements as a conference and social space. But most of its ‘Victorian’ features were retained (Image 8):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sz w:val="24"/>
          <w:szCs w:val="28"/>
        </w:rPr>
      </w:pPr>
      <w:r w:rsidRPr="00AE1FA0">
        <w:rPr>
          <w:rFonts w:ascii="Arial" w:eastAsia="宋体" w:hAnsi="Arial" w:cs="Arial"/>
          <w:i/>
          <w:sz w:val="24"/>
          <w:szCs w:val="28"/>
        </w:rPr>
        <w:t>The Large and Small Board Rooms have now been refurbished and restored to their former Victorian glory. The lighting of the Board Rooms is an essential element in their character; with the advice of the consultants, the original brass wall-brackets and gas lighting have been carefully restored, but converted for electric lights, while the pendant lights have been given appropriate new half-bowl fitting. These very fine period rooms have thus been totally restored, retaining their original Victorian character, to bring them into services again both as Board Rooms and as an essential element in the new Victorian Art Centre, which is now such a valuable addition to the College.</w:t>
      </w:r>
      <w:r w:rsidRPr="00AE1FA0">
        <w:rPr>
          <w:rFonts w:ascii="Arial" w:eastAsia="宋体" w:hAnsi="Arial" w:cs="Arial"/>
          <w:i/>
          <w:sz w:val="24"/>
          <w:szCs w:val="28"/>
          <w:vertAlign w:val="superscript"/>
        </w:rPr>
        <w:footnoteReference w:id="42"/>
      </w:r>
      <w:r w:rsidRPr="00AE1FA0">
        <w:rPr>
          <w:rFonts w:ascii="Arial" w:eastAsia="宋体" w:hAnsi="Arial" w:cs="Arial"/>
          <w:i/>
          <w:sz w:val="24"/>
          <w:szCs w:val="28"/>
        </w:rPr>
        <w:t xml:space="preserve">     </w:t>
      </w:r>
    </w:p>
    <w:p w:rsidR="00AE1FA0" w:rsidRPr="00AE1FA0" w:rsidRDefault="00AE1FA0" w:rsidP="00AE1FA0">
      <w:pPr>
        <w:spacing w:line="360" w:lineRule="auto"/>
        <w:rPr>
          <w:rFonts w:ascii="Arial" w:eastAsia="宋体" w:hAnsi="Arial" w:cs="Arial"/>
          <w:color w:val="00B050"/>
          <w:sz w:val="28"/>
          <w:szCs w:val="28"/>
        </w:rPr>
      </w:pPr>
    </w:p>
    <w:p w:rsidR="00AE1FA0" w:rsidRPr="00AE1FA0" w:rsidRDefault="00AE1FA0" w:rsidP="00AE1FA0">
      <w:pPr>
        <w:spacing w:line="360" w:lineRule="auto"/>
        <w:rPr>
          <w:rFonts w:ascii="Arial" w:eastAsia="宋体" w:hAnsi="Arial" w:cs="Arial"/>
          <w:sz w:val="28"/>
          <w:szCs w:val="28"/>
        </w:rPr>
      </w:pPr>
      <w:r w:rsidRPr="00AE1FA0">
        <w:rPr>
          <w:rFonts w:ascii="Arial" w:eastAsia="宋体" w:hAnsi="Arial" w:cs="Arial"/>
          <w:noProof/>
          <w:sz w:val="28"/>
          <w:szCs w:val="28"/>
          <w:lang w:eastAsia="en-GB"/>
        </w:rPr>
        <w:lastRenderedPageBreak/>
        <w:drawing>
          <wp:inline distT="0" distB="0" distL="0" distR="0" wp14:anchorId="0805D129" wp14:editId="6235C8BE">
            <wp:extent cx="5731510" cy="3821007"/>
            <wp:effectExtent l="0" t="0" r="0" b="0"/>
            <wp:docPr id="32" name="Picture 32" descr="Large and Small Board Rooms at Royal Holloway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and Small Board Rooms at Royal Holloway #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Image 8: Large Boardroom, Founder’s Building</w:t>
      </w:r>
      <w:r w:rsidRPr="00AE1FA0">
        <w:rPr>
          <w:rFonts w:ascii="Arial" w:eastAsia="宋体" w:hAnsi="Arial" w:cs="Arial"/>
          <w:sz w:val="24"/>
          <w:szCs w:val="28"/>
          <w:vertAlign w:val="superscript"/>
        </w:rPr>
        <w:footnoteReference w:id="43"/>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Though the boardrooms look </w:t>
      </w:r>
      <w:proofErr w:type="gramStart"/>
      <w:r w:rsidRPr="00AE1FA0">
        <w:rPr>
          <w:rFonts w:ascii="Arial" w:eastAsia="宋体" w:hAnsi="Arial" w:cs="Arial"/>
          <w:sz w:val="24"/>
          <w:szCs w:val="28"/>
        </w:rPr>
        <w:t>similar to</w:t>
      </w:r>
      <w:proofErr w:type="gramEnd"/>
      <w:r w:rsidRPr="00AE1FA0">
        <w:rPr>
          <w:rFonts w:ascii="Arial" w:eastAsia="宋体" w:hAnsi="Arial" w:cs="Arial"/>
          <w:sz w:val="24"/>
          <w:szCs w:val="28"/>
        </w:rPr>
        <w:t xml:space="preserve"> how they were 100 years ago, the way people interact and experience it have changed dramatically. Changes are </w:t>
      </w:r>
      <w:proofErr w:type="gramStart"/>
      <w:r w:rsidRPr="00AE1FA0">
        <w:rPr>
          <w:rFonts w:ascii="Arial" w:eastAsia="宋体" w:hAnsi="Arial" w:cs="Arial"/>
          <w:sz w:val="24"/>
          <w:szCs w:val="28"/>
        </w:rPr>
        <w:t>similar to</w:t>
      </w:r>
      <w:proofErr w:type="gramEnd"/>
      <w:r w:rsidRPr="00AE1FA0">
        <w:rPr>
          <w:rFonts w:ascii="Arial" w:eastAsia="宋体" w:hAnsi="Arial" w:cs="Arial"/>
          <w:sz w:val="24"/>
          <w:szCs w:val="28"/>
        </w:rPr>
        <w:t xml:space="preserve"> the case of Picture Gallery, only it is used less frequently by students. Before, students could have tea parties or drawing lessons in these spaces, which are now exclusively for meetings or conference purpose, and are no longer a feature adding to the students’ experience. </w:t>
      </w:r>
    </w:p>
    <w:p w:rsidR="00AE1FA0" w:rsidRPr="00AE1FA0" w:rsidRDefault="00AE1FA0" w:rsidP="00AE1FA0">
      <w:pPr>
        <w:spacing w:line="360" w:lineRule="auto"/>
        <w:rPr>
          <w:rFonts w:ascii="Arial" w:eastAsia="宋体" w:hAnsi="Arial" w:cs="Arial"/>
          <w:color w:val="00B050"/>
          <w:sz w:val="28"/>
          <w:szCs w:val="28"/>
        </w:rPr>
      </w:pPr>
    </w:p>
    <w:p w:rsidR="00AE1FA0" w:rsidRPr="00AE1FA0" w:rsidRDefault="00AE1FA0" w:rsidP="00AE1FA0">
      <w:pPr>
        <w:keepNext/>
        <w:keepLines/>
        <w:widowControl/>
        <w:spacing w:before="40" w:line="360" w:lineRule="auto"/>
        <w:jc w:val="left"/>
        <w:outlineLvl w:val="1"/>
        <w:rPr>
          <w:rFonts w:ascii="Arial" w:eastAsiaTheme="majorEastAsia" w:hAnsi="Arial" w:cs="Arial"/>
          <w:b/>
          <w:color w:val="000000" w:themeColor="text1"/>
          <w:kern w:val="0"/>
          <w:sz w:val="24"/>
          <w:szCs w:val="26"/>
        </w:rPr>
      </w:pPr>
      <w:bookmarkStart w:id="63" w:name="_Toc534732389"/>
      <w:r w:rsidRPr="00AE1FA0">
        <w:rPr>
          <w:rFonts w:ascii="Arial" w:eastAsiaTheme="majorEastAsia" w:hAnsi="Arial" w:cs="Arial"/>
          <w:b/>
          <w:color w:val="000000" w:themeColor="text1"/>
          <w:kern w:val="0"/>
          <w:sz w:val="24"/>
          <w:szCs w:val="26"/>
        </w:rPr>
        <w:t>Chapter Conclusion</w:t>
      </w:r>
      <w:bookmarkEnd w:id="63"/>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The aim of this chapter has been to discuss how people experienced and experience Founder’s Building, and what has influenced their experiences. I started by articulating the argument that Founder’s Building is experienced as a becoming process and this process is shaped by social changes. Two detailed cases, Picture Gallery and the size of bedrooms were analysed in order to grasp the importance of experiencing space and how experiencing could be subjective to social norms and </w:t>
      </w:r>
      <w:r w:rsidRPr="00AE1FA0">
        <w:rPr>
          <w:rFonts w:ascii="Arial" w:eastAsia="宋体" w:hAnsi="Arial" w:cs="Arial"/>
          <w:sz w:val="24"/>
        </w:rPr>
        <w:lastRenderedPageBreak/>
        <w:t xml:space="preserve">values. The second section focused on a different facet of Founder’s Building, in which it was conceptualized as a separate-sphered space. This section aimed to showcase the dynamics of Lefebvre’s triad on the empirical level, that is, how closely interactions were conceived, perceived, and lived space in the case of Founder’s Building. Two interwoven concepts were analysed in this section, which were safety and Ladies Colleges, in order to depict how people, interpret spatial characteristics in Founder’s Building, and act. The third section of this chapter naturally emerged from previous two and paid attention to negotiations and conflicts that happened in Founder’s Building. In this section, I firstly used empirical materials of how Founder’s Building was conceived in Renaissance style to indicate negotiations on the conceived level. Then I moved to perceived and lived levels, where I discussed how orderliness and gender-segregation become embedded in the regulated college life; and how people negotiated with and resisted these regulations.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hint="eastAsia"/>
          <w:sz w:val="24"/>
        </w:rPr>
      </w:pPr>
    </w:p>
    <w:p w:rsidR="00AE1FA0" w:rsidRPr="00AE1FA0" w:rsidRDefault="00AE1FA0" w:rsidP="00AE1FA0">
      <w:pPr>
        <w:keepNext/>
        <w:keepLines/>
        <w:widowControl/>
        <w:spacing w:before="240" w:line="360" w:lineRule="auto"/>
        <w:jc w:val="center"/>
        <w:outlineLvl w:val="0"/>
        <w:rPr>
          <w:rFonts w:ascii="Arial" w:eastAsiaTheme="majorEastAsia" w:hAnsi="Arial" w:cs="Arial"/>
          <w:color w:val="000000" w:themeColor="text1"/>
          <w:kern w:val="0"/>
          <w:sz w:val="32"/>
          <w:szCs w:val="32"/>
        </w:rPr>
      </w:pPr>
      <w:bookmarkStart w:id="64" w:name="_Toc534732390"/>
      <w:r w:rsidRPr="00AE1FA0">
        <w:rPr>
          <w:rFonts w:ascii="Arial" w:eastAsiaTheme="majorEastAsia" w:hAnsi="Arial" w:cs="Arial"/>
          <w:color w:val="000000" w:themeColor="text1"/>
          <w:kern w:val="0"/>
          <w:sz w:val="32"/>
          <w:szCs w:val="32"/>
        </w:rPr>
        <w:lastRenderedPageBreak/>
        <w:t>Chapter Five</w:t>
      </w:r>
      <w:bookmarkEnd w:id="64"/>
    </w:p>
    <w:p w:rsidR="00AE1FA0" w:rsidRPr="00AE1FA0" w:rsidRDefault="00AE1FA0" w:rsidP="00AE1FA0">
      <w:pPr>
        <w:widowControl/>
        <w:spacing w:after="160" w:line="259" w:lineRule="auto"/>
        <w:jc w:val="left"/>
        <w:rPr>
          <w:rFonts w:ascii="Arial" w:hAnsi="Arial" w:cs="Arial"/>
          <w:color w:val="000000" w:themeColor="text1"/>
          <w:kern w:val="0"/>
          <w:sz w:val="32"/>
        </w:rPr>
      </w:pPr>
      <w:r w:rsidRPr="00AE1FA0">
        <w:rPr>
          <w:rFonts w:ascii="Arial" w:hAnsi="Arial" w:cs="Arial"/>
          <w:color w:val="000000" w:themeColor="text1"/>
          <w:kern w:val="0"/>
          <w:sz w:val="32"/>
        </w:rPr>
        <w:t>Linking space and history: The significance of the term ‘Victorian’</w:t>
      </w:r>
    </w:p>
    <w:p w:rsidR="00AE1FA0" w:rsidRPr="00AE1FA0" w:rsidRDefault="00AE1FA0" w:rsidP="00AE1FA0">
      <w:pPr>
        <w:widowControl/>
        <w:spacing w:after="160" w:line="259" w:lineRule="auto"/>
        <w:jc w:val="left"/>
        <w:rPr>
          <w:rFonts w:ascii="Arial" w:hAnsi="Arial" w:cs="Arial"/>
          <w:kern w:val="0"/>
          <w:sz w:val="32"/>
        </w:rPr>
      </w:pPr>
    </w:p>
    <w:p w:rsidR="00AE1FA0" w:rsidRPr="00AE1FA0" w:rsidRDefault="00AE1FA0" w:rsidP="00AE1FA0">
      <w:pPr>
        <w:keepNext/>
        <w:keepLines/>
        <w:widowControl/>
        <w:spacing w:before="40" w:line="360" w:lineRule="auto"/>
        <w:jc w:val="left"/>
        <w:outlineLvl w:val="1"/>
        <w:rPr>
          <w:rFonts w:ascii="Arial" w:eastAsiaTheme="majorEastAsia" w:hAnsi="Arial" w:cs="Arial"/>
          <w:b/>
          <w:color w:val="000000" w:themeColor="text1"/>
          <w:kern w:val="0"/>
          <w:sz w:val="24"/>
          <w:szCs w:val="26"/>
        </w:rPr>
      </w:pPr>
      <w:bookmarkStart w:id="65" w:name="_Toc534732391"/>
      <w:r w:rsidRPr="00AE1FA0">
        <w:rPr>
          <w:rFonts w:ascii="Arial" w:eastAsiaTheme="majorEastAsia" w:hAnsi="Arial" w:cs="Arial"/>
          <w:b/>
          <w:color w:val="000000" w:themeColor="text1"/>
          <w:kern w:val="0"/>
          <w:sz w:val="24"/>
          <w:szCs w:val="26"/>
        </w:rPr>
        <w:t>Chapter Introduction</w:t>
      </w:r>
      <w:bookmarkEnd w:id="65"/>
    </w:p>
    <w:p w:rsidR="00AE1FA0" w:rsidRPr="00AE1FA0" w:rsidRDefault="00AE1FA0" w:rsidP="00AE1FA0">
      <w:pPr>
        <w:spacing w:line="360" w:lineRule="auto"/>
        <w:rPr>
          <w:rFonts w:ascii="Arial" w:hAnsi="Arial" w:cs="Arial"/>
          <w:kern w:val="0"/>
          <w:sz w:val="22"/>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This chapter focuses on the other side of story in the case of Founder’s Building: if the past is still present as previously revealed, which specific aspects of past in history are still present and what the reasons for their continued existence? I have identified two essential perspectives that existed and are still prevalent in Founder’s Building and RHUL: ‘Victorian’ and ‘historic’. Repeatedly, I found these terms recurring in empirical material. </w:t>
      </w:r>
      <w:r w:rsidRPr="00AE1FA0">
        <w:rPr>
          <w:rFonts w:ascii="Arial" w:eastAsia="宋体" w:hAnsi="Arial" w:cs="Arial"/>
          <w:sz w:val="32"/>
        </w:rPr>
        <w:t xml:space="preserve"> </w:t>
      </w:r>
      <w:r w:rsidRPr="00AE1FA0">
        <w:rPr>
          <w:rFonts w:ascii="Arial" w:eastAsia="宋体" w:hAnsi="Arial" w:cs="Arial"/>
          <w:sz w:val="24"/>
        </w:rPr>
        <w:t>‘Victorian’ as a discursive term with an interpretive flexibility in history and in the present</w:t>
      </w:r>
      <w:r w:rsidRPr="00AE1FA0">
        <w:rPr>
          <w:rFonts w:ascii="Arial" w:eastAsia="宋体" w:hAnsi="Arial" w:cs="Arial"/>
          <w:sz w:val="24"/>
          <w:szCs w:val="28"/>
        </w:rPr>
        <w:t xml:space="preserve">; more importantly, ‘Victorian’ is a term that naturally bridges space and time and therefore can demonstrate how closely interconnected they are. In this thesis, the implications of ‘Victorian’ are twofold: on the spatial perspective, this implies Founder’s Building is a ‘Victorian’ space; on the temporal perspective, Founder’s Building encapsulates a high period of ‘Victorian’. It was opened in 1886 as the main building of RHC, and in that late period of ‘Victorian’, the building itself represented the global power Britain had as the most powerful country in the world. The prosperity of architectural projects was also one way showing the Britain’s success. Just as Hall (2015: 162) said, “it is remarkable that ‘Victorian’ has such a widely accepted meaning and it continues to hold a peculiar place in popular perceptions”. </w:t>
      </w:r>
      <w:r w:rsidRPr="00AE1FA0">
        <w:rPr>
          <w:rFonts w:ascii="Arial" w:eastAsia="宋体" w:hAnsi="Arial" w:cs="Arial"/>
          <w:sz w:val="24"/>
        </w:rPr>
        <w:t xml:space="preserve">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I will start by analysing and justifying meanings of ‘Victorian’ and value embedded in it. The key thing is that its meanings and embedded values are not fixed, but a fluid process. The first section pays attention to the becoming process of Founder’s Building as a ‘Victorian’ space. In this section, I firstly </w:t>
      </w:r>
      <w:r w:rsidRPr="00AE1FA0">
        <w:rPr>
          <w:rFonts w:ascii="Arial" w:eastAsia="宋体" w:hAnsi="Arial" w:cs="Arial"/>
          <w:sz w:val="24"/>
          <w:szCs w:val="28"/>
        </w:rPr>
        <w:t xml:space="preserve">focus on how ‘Victorian’ continues to be a key discursive term, the process through which the reality of ‘Victorian’ comes into being. The second part addresses how users, both past and present, of Founder’s Building have negotiated with meanings of ‘Victorian’ and how this influences their experiences of Founder’s Building. </w:t>
      </w:r>
      <w:r w:rsidRPr="00AE1FA0">
        <w:rPr>
          <w:rFonts w:ascii="Arial" w:eastAsia="宋体" w:hAnsi="Arial" w:cs="Arial"/>
          <w:sz w:val="24"/>
        </w:rPr>
        <w:t xml:space="preserve">The focus of the second section lies in in how Founder’s Building gradually become a ‘Victorian’ space. </w:t>
      </w:r>
      <w:r w:rsidRPr="00AE1FA0">
        <w:rPr>
          <w:rFonts w:ascii="Arial" w:eastAsia="宋体" w:hAnsi="Arial" w:cs="Arial"/>
          <w:sz w:val="24"/>
        </w:rPr>
        <w:lastRenderedPageBreak/>
        <w:t xml:space="preserve">Particularly, I discuss firstly how ‘Victorian’ was interpreted and justified in the conception stage. Then I move towards how different users experience Founder’s Building as a ‘Victorian’ space, with the emphasis on how users in different times have interpreted ‘Victorian’ and have experienced ‘Victorian’ life in Founder’s Building. The third section in this chapter contributes to another perspective: how ‘Victorian’ is still present in Founder’s Building. I summarize two types of motivation behind this by introducing the concept of historic space. In the first sub-section, I discuss how ‘Victorian’ is still present in Founder’s Building through becoming a historic space, and in the other sub-section focus on the power of physicality and how its persistency equally enabled Founder’s Building to become a historic ‘Victorian’ space.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keepNext/>
        <w:keepLines/>
        <w:widowControl/>
        <w:numPr>
          <w:ilvl w:val="0"/>
          <w:numId w:val="35"/>
        </w:numPr>
        <w:spacing w:before="40" w:after="160" w:line="360" w:lineRule="auto"/>
        <w:jc w:val="left"/>
        <w:outlineLvl w:val="1"/>
        <w:rPr>
          <w:rFonts w:ascii="Arial" w:eastAsiaTheme="majorEastAsia" w:hAnsi="Arial" w:cs="Arial"/>
          <w:vanish/>
          <w:color w:val="365F91" w:themeColor="accent1" w:themeShade="BF"/>
          <w:kern w:val="0"/>
          <w:sz w:val="26"/>
          <w:szCs w:val="26"/>
        </w:rPr>
      </w:pPr>
      <w:bookmarkStart w:id="66" w:name="_Toc514757831"/>
      <w:bookmarkStart w:id="67" w:name="_Toc534732392"/>
      <w:bookmarkEnd w:id="66"/>
      <w:bookmarkEnd w:id="67"/>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68" w:name="_Toc534732393"/>
      <w:r w:rsidRPr="00AE1FA0">
        <w:rPr>
          <w:rFonts w:ascii="Arial" w:eastAsiaTheme="majorEastAsia" w:hAnsi="Arial" w:cs="Arial"/>
          <w:b/>
          <w:color w:val="000000" w:themeColor="text1"/>
          <w:kern w:val="0"/>
          <w:sz w:val="24"/>
          <w:szCs w:val="26"/>
        </w:rPr>
        <w:t>‘Victorian’ as a key discursive term</w:t>
      </w:r>
      <w:bookmarkEnd w:id="68"/>
      <w:r w:rsidRPr="00AE1FA0">
        <w:rPr>
          <w:rFonts w:ascii="Arial" w:eastAsiaTheme="majorEastAsia" w:hAnsi="Arial" w:cs="Arial"/>
          <w:b/>
          <w:color w:val="000000" w:themeColor="text1"/>
          <w:kern w:val="0"/>
          <w:sz w:val="24"/>
          <w:szCs w:val="26"/>
        </w:rPr>
        <w:t xml:space="preserve"> </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Before proceeding to how Founder’s Building became a ‘Victorian’ space, I want to clarify that for most people the general impression of the ‘Victorian’ period is based on the time period from 1850 to the end of the 19</w:t>
      </w:r>
      <w:r w:rsidRPr="00AE1FA0">
        <w:rPr>
          <w:rFonts w:ascii="Arial" w:eastAsia="宋体" w:hAnsi="Arial" w:cs="Arial"/>
          <w:sz w:val="24"/>
          <w:szCs w:val="28"/>
          <w:vertAlign w:val="superscript"/>
        </w:rPr>
        <w:t>th</w:t>
      </w:r>
      <w:r w:rsidRPr="00AE1FA0">
        <w:rPr>
          <w:rFonts w:ascii="Arial" w:eastAsia="宋体" w:hAnsi="Arial" w:cs="Arial"/>
          <w:sz w:val="24"/>
          <w:szCs w:val="28"/>
        </w:rPr>
        <w:t xml:space="preserve"> century, when Britain enjoyed ‘domestic stability, progress, and growing prosperity’ (Mitchell, 1996: 8). The underlying assumption underpinning the analysis of this chapter is best summarized by Wilson (2003: 1), who articulated that “the Victorians are still with us, because the world they created is still there, though changed”. What this implies is that the space, the buildings the Victorians created, are still there, though changed. However, the key question is how ‘Victorian’ becomes a powerful and even dominant term when interpreting Founder’s Building.</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In the culture of contemporary Britain, ‘Victorian’ continues to be used to speak of a past that the British are sometimes anxious to escape. As Hall (2015: 160) further argued, “’Victorian’ as a pejorative term has often served to vindicate the modernity, rationality, enlightenment, and lack of hypocrisy of persons in the present”. Foucault defined this as repressive hypothesis, which is the widely accepted belief that sexuality and open discussion of sex was repressed during 17</w:t>
      </w:r>
      <w:r w:rsidRPr="00AE1FA0">
        <w:rPr>
          <w:rFonts w:ascii="Arial" w:eastAsia="宋体" w:hAnsi="Arial" w:cs="Arial"/>
          <w:sz w:val="24"/>
          <w:szCs w:val="28"/>
          <w:vertAlign w:val="superscript"/>
        </w:rPr>
        <w:t xml:space="preserve">th, </w:t>
      </w:r>
      <w:r w:rsidRPr="00AE1FA0">
        <w:rPr>
          <w:rFonts w:ascii="Arial" w:eastAsia="宋体" w:hAnsi="Arial" w:cs="Arial"/>
          <w:sz w:val="24"/>
          <w:szCs w:val="28"/>
        </w:rPr>
        <w:t>18</w:t>
      </w:r>
      <w:r w:rsidRPr="00AE1FA0">
        <w:rPr>
          <w:rFonts w:ascii="Arial" w:eastAsia="宋体" w:hAnsi="Arial" w:cs="Arial"/>
          <w:sz w:val="24"/>
          <w:szCs w:val="28"/>
          <w:vertAlign w:val="superscript"/>
        </w:rPr>
        <w:t>th</w:t>
      </w:r>
      <w:r w:rsidRPr="00AE1FA0">
        <w:rPr>
          <w:rFonts w:ascii="Arial" w:eastAsia="宋体" w:hAnsi="Arial" w:cs="Arial"/>
          <w:sz w:val="24"/>
          <w:szCs w:val="28"/>
        </w:rPr>
        <w:t>, 19</w:t>
      </w:r>
      <w:r w:rsidRPr="00AE1FA0">
        <w:rPr>
          <w:rFonts w:ascii="Arial" w:eastAsia="宋体" w:hAnsi="Arial" w:cs="Arial"/>
          <w:sz w:val="24"/>
          <w:szCs w:val="28"/>
          <w:vertAlign w:val="superscript"/>
        </w:rPr>
        <w:t>th</w:t>
      </w:r>
      <w:r w:rsidRPr="00AE1FA0">
        <w:rPr>
          <w:rFonts w:ascii="Arial" w:eastAsia="宋体" w:hAnsi="Arial" w:cs="Arial"/>
          <w:sz w:val="24"/>
          <w:szCs w:val="28"/>
        </w:rPr>
        <w:t>, and the early 20</w:t>
      </w:r>
      <w:r w:rsidRPr="00AE1FA0">
        <w:rPr>
          <w:rFonts w:ascii="Arial" w:eastAsia="宋体" w:hAnsi="Arial" w:cs="Arial"/>
          <w:sz w:val="24"/>
          <w:szCs w:val="28"/>
          <w:vertAlign w:val="superscript"/>
        </w:rPr>
        <w:t>th</w:t>
      </w:r>
      <w:r w:rsidRPr="00AE1FA0">
        <w:rPr>
          <w:rFonts w:ascii="Arial" w:eastAsia="宋体" w:hAnsi="Arial" w:cs="Arial"/>
          <w:sz w:val="24"/>
          <w:szCs w:val="28"/>
        </w:rPr>
        <w:t xml:space="preserve"> centuries (Foucault, 1990). Foucault argued that ‘Victorian’ is a powerful word that differentiate us from the Victorians, and by picturing their sexuality as repressed, it enables us to reject the past’s moral system. Repressed sexuality is one </w:t>
      </w:r>
      <w:r w:rsidRPr="00AE1FA0">
        <w:rPr>
          <w:rFonts w:ascii="Arial" w:eastAsia="宋体" w:hAnsi="Arial" w:cs="Arial"/>
          <w:sz w:val="24"/>
          <w:szCs w:val="28"/>
        </w:rPr>
        <w:lastRenderedPageBreak/>
        <w:t xml:space="preserve">of the stereotypical images of ‘Victorian’. For instance, Mitchell (1996: 45) discovered that people constantly think that ‘Victorian’ women “led idle and luxurious lives”, forgetting this was only exclusive upper- and upper-middle class women. In fact, about three-quarters of women were from the working class and worked in in such places as laundries, retail shops, factories – and in the home of their ‘betters’ as servants. Many similar misunderstandings widely exist, and perhaps the reason is just as Hall (2015: 164) addressed, that “the persisting idea of repression or naivety possibly derives from continuingly popular works of mainstream ‘Victorian’ literature; most people probably still encounter the Victorians via their literature, though these days this may well be via film or television adaptions”.  To understand how those concepts emerged in the case of Founder’s Building, such as social class, gender, femininity and separate-sphere, discussed in the previous chapter, it is a necessity to study the ‘Victorian’ value system as it was the time period in which Founder’s Building was conceived.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‘Victorian’ can denote a lengthy time period with many changes in terms of morality and social norms, but some concepts had persistent influence over the whole of Victorians society, such as ‘social class’ which I first discuss. Mitchell (1996) believes that social class was one of the foundations of ‘Victorian’ life for most historians. More importantly, social class in a ‘Victorian’ context did not depend on the amount of money people had. People n ‘Victorian’ era tended to accept their place in the class hierarchy, and all other choices were shaped by their social class, such as the clothing, education, and manners. Most Victorians believed that the society was three-tiered: upper class, middle class, and working class. However, in the strictest legal term, there were only aristocrats and commoners (Mitchell, 1996). This strict class division indeed underpinned more specific traditions including the assumptions of family/home, education, lifestyles – and buildings – which had profound influence.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The first tradition I want to analyse is the notion of family and the idealized home. ‘Victorian’ family life was far more diversified than the popular stereotype suggests. Tosh (2009) argues that the label of the ‘Victorian’ family is slippery. “By the time Victoria ascended to the throne in 1837 and married Albert three years later, home and family had become central values of the expanding middle classes. Victoria’s embodiment of values contributed to her popularity and attested to the growing </w:t>
      </w:r>
      <w:r w:rsidRPr="00AE1FA0">
        <w:rPr>
          <w:rFonts w:ascii="Arial" w:eastAsia="宋体" w:hAnsi="Arial" w:cs="Arial"/>
          <w:sz w:val="24"/>
          <w:szCs w:val="28"/>
        </w:rPr>
        <w:lastRenderedPageBreak/>
        <w:t xml:space="preserve">influence of the bourgeoisie” (Murdoch, 2013: 73). The concept of family was increasingly idealized. The ideal model for “Victorian’ middle-class families was mother at home, father at work, and family as the centre of the children’s life” (Mitchell, 1996). This understanding of family reinforced the separate-sphere notion in society, where women’s place was in the home taking care of domestic matters; home should be a place of “peace, seclusion and refuge (for men working outside it)” (Tosh, 2009: 12).  The tranquil countryside lifestyle offering these three things was an idealized image for the ‘Victorian’ elite class; and it included a manor house, inherited extensive grounds and plentiful servants and maids (Murdoch, 2013). Not only elite class families had in-house servants or maids; increasing prosperity meant middle-class housewives’ maids and servants to rely on (Tosh, 2009). Although urbanization was accelerating, for elite families, city life, except the social season in London, city life was irrelevant.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Education was another field influenced deeply by social class in the ‘Victorian’ era. “Children in ‘Victorian’ England were educated in different ways depending on their sex, and on their parents’ financial circumstances, social class, religion, and values. Both social customs and practical circumstances meant that girls were less likely than boys to go to school” (Mitchell, 1996:169). Until the 1870s, which is usually seen as the end of the mid-‘Victorian’ era, education for women was dominated by the notion of separate-sphere. Since the feminine image of the elite and middle classes was already idealized and it was unnecessary for women to work, education for the majority was pointless. Women from the working class started apprenticeship training when they were little more than children and received no education. Elite and upper-middle women were most likely to be educated at home, where various governesses were employed (Murdoch, 2013). However, the emphasis of their education was not on intellectual pursuits, but rather social skills such as conversational French and music. During that time, as Mitchell (1996: 9) stresses, “the most significant legislative accomplishment of the mid-‘Victorian’ period was the Education of Act of 1870, which created government-supported schools and required that elementary education be available to every child in England”. This dramatically improved the literate population and created new job opportunities for teachers – which impacted on the lower classes specifically, enabling children of these classes to go to school and then move up the ladder, acquiring clerical work rather labouring </w:t>
      </w:r>
      <w:r w:rsidRPr="00AE1FA0">
        <w:rPr>
          <w:rFonts w:ascii="Arial" w:eastAsia="宋体" w:hAnsi="Arial" w:cs="Arial"/>
          <w:sz w:val="24"/>
          <w:szCs w:val="28"/>
        </w:rPr>
        <w:lastRenderedPageBreak/>
        <w:t>work, which would previously have been their expectation.</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However, for higher education in the ‘Victorian’ period, opportunities for women from all classes were extremely limited. The first women’s college was not founded until the mid-‘Victorian’ period. Even elite women who wished to pursue higher education largely relied on self-education (Murdoch, 2013). This gradually shifted to vocational training and finally modern higher education owing to advancement in technology and the emergence of new types of work in the late ‘Victorian’, between 1875 and 1902.  For instance, along with the invention of typewriters and telephones, large numbers of clerical jobs become available  for women (Mitchell, 1996), and this further promoted “serious education rather than painting, piano playing, social graces”, especially for women from middle and working-class backgrounds (Murdoch, 2013: 7). Before this happened, higher education available for women did not provide the same opportunities as for men, but still inclined to ‘feminine areas of expertise’. A typical case is that Queen’s College, London was opened as a training school for governess (Murdoch, 2013). The rise of the middle class was another important force in mid-‘Victorian’ that accelerated the expansion of women’s education. As Mitchell (1996) writes, middle-class families perhaps were the first to discover that education was as helpful for women as for men, which was also motivated by the rise of good secondary schools for women at the end of the 19</w:t>
      </w:r>
      <w:r w:rsidRPr="00AE1FA0">
        <w:rPr>
          <w:rFonts w:ascii="Arial" w:eastAsia="宋体" w:hAnsi="Arial" w:cs="Arial"/>
          <w:sz w:val="24"/>
          <w:szCs w:val="28"/>
          <w:vertAlign w:val="superscript"/>
        </w:rPr>
        <w:t>th</w:t>
      </w:r>
      <w:r w:rsidRPr="00AE1FA0">
        <w:rPr>
          <w:rFonts w:ascii="Arial" w:eastAsia="宋体" w:hAnsi="Arial" w:cs="Arial"/>
          <w:sz w:val="24"/>
          <w:szCs w:val="28"/>
        </w:rPr>
        <w:t xml:space="preserve"> century. To understand why this happened, it is necessary to understand the value system of the middle-class: unlike the upper class who valued inheritance, people from the middle-class emphasized competition, thrift, self-reliance and personal achievement (Loftus, 2011). Their values of personal progress promoted education opportunities.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Society gradually moved from being based on social ranking to one based on ability.</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69" w:name="_Toc534732394"/>
      <w:r w:rsidRPr="00AE1FA0">
        <w:rPr>
          <w:rFonts w:ascii="Arial" w:eastAsiaTheme="majorEastAsia" w:hAnsi="Arial" w:cs="Arial"/>
          <w:b/>
          <w:color w:val="000000" w:themeColor="text1"/>
          <w:kern w:val="0"/>
          <w:sz w:val="24"/>
          <w:szCs w:val="26"/>
        </w:rPr>
        <w:t>How Founder’s Building become a ‘Victorian’ space</w:t>
      </w:r>
      <w:bookmarkEnd w:id="69"/>
    </w:p>
    <w:p w:rsidR="00AE1FA0" w:rsidRPr="00AE1FA0" w:rsidRDefault="00AE1FA0" w:rsidP="00AE1FA0">
      <w:pPr>
        <w:spacing w:line="360" w:lineRule="auto"/>
        <w:rPr>
          <w:rFonts w:ascii="Arial" w:eastAsia="宋体" w:hAnsi="Arial" w:cs="Arial"/>
          <w:i/>
          <w:sz w:val="24"/>
          <w:szCs w:val="28"/>
        </w:rPr>
      </w:pPr>
    </w:p>
    <w:p w:rsidR="00AE1FA0" w:rsidRPr="00AE1FA0" w:rsidRDefault="00AE1FA0" w:rsidP="00AE1FA0">
      <w:pPr>
        <w:spacing w:line="360" w:lineRule="auto"/>
        <w:ind w:leftChars="300" w:left="630"/>
        <w:rPr>
          <w:rFonts w:ascii="Arial" w:eastAsia="宋体" w:hAnsi="Arial" w:cs="Arial"/>
          <w:i/>
          <w:sz w:val="24"/>
          <w:szCs w:val="28"/>
        </w:rPr>
      </w:pPr>
      <w:r w:rsidRPr="00AE1FA0">
        <w:rPr>
          <w:rFonts w:ascii="Arial" w:eastAsia="宋体" w:hAnsi="Arial" w:cs="Arial"/>
          <w:i/>
          <w:sz w:val="24"/>
          <w:szCs w:val="28"/>
        </w:rPr>
        <w:t xml:space="preserve">We came into a very sort of Victorian atmosphere that had always been. We arranged for our partners at the beginning of the term and at dinner time we would process in, evening dress. The only thing that changed was that we were </w:t>
      </w:r>
      <w:r w:rsidRPr="00AE1FA0">
        <w:rPr>
          <w:rFonts w:ascii="Arial" w:eastAsia="宋体" w:hAnsi="Arial" w:cs="Arial"/>
          <w:i/>
          <w:sz w:val="24"/>
          <w:szCs w:val="28"/>
        </w:rPr>
        <w:lastRenderedPageBreak/>
        <w:t>not able to have two rooms each anymore.</w:t>
      </w:r>
      <w:r w:rsidRPr="00AE1FA0">
        <w:rPr>
          <w:rFonts w:ascii="Arial" w:eastAsia="宋体" w:hAnsi="Arial" w:cs="Arial"/>
          <w:i/>
          <w:sz w:val="24"/>
          <w:szCs w:val="28"/>
          <w:vertAlign w:val="superscript"/>
        </w:rPr>
        <w:footnoteReference w:id="44"/>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‘Victorian’ is a key recurring theme in empirical materials about Founder’s Building, including both archival and interviewing materials. The quotation above comes from an alumna who studied and lived in Founder’s Building in the 1940s. In her memory, ‘Victorian’ appears to be a defining characteristic of Founder’s Building and the building becomes an atmospheric space: it was used not only to specify the specific period, but to describe complex and abstract feelings that no other word can describe. ‘Victorian’ architecture and buildings also bear the traditions discussed above and solidly conveyed these assumptions. One reason why ‘Victorian’ become a defining characteristic of Founder’s Building is because of its close connection with Queen Victoria from its conception. In fact, it was because Queen Victoria presided over the grand opening ceremony of RHC in 1886, Holloway College could become Royal Holloway College. The most famous spatial legacy of this royal collection is the statue of Victoria in the quadrangle of Founder’s Building (Image 9).</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hAnsi="Arial" w:cs="Arial"/>
          <w:noProof/>
          <w:color w:val="666666"/>
          <w:kern w:val="0"/>
          <w:sz w:val="18"/>
          <w:szCs w:val="18"/>
          <w:lang w:eastAsia="en-GB"/>
        </w:rPr>
        <w:lastRenderedPageBreak/>
        <w:drawing>
          <wp:inline distT="0" distB="0" distL="0" distR="0" wp14:anchorId="446307BE" wp14:editId="262CCFB4">
            <wp:extent cx="3571875" cy="4762500"/>
            <wp:effectExtent l="0" t="0" r="9525" b="0"/>
            <wp:docPr id="33" name="Picture 33" descr="QueenVictorisstatueIMG_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enVictorisstatueIMG_26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Image 9: The statue of Queen Victoria</w:t>
      </w:r>
      <w:r w:rsidRPr="00AE1FA0">
        <w:rPr>
          <w:rFonts w:ascii="Arial" w:eastAsia="宋体" w:hAnsi="Arial" w:cs="Arial"/>
          <w:sz w:val="24"/>
          <w:szCs w:val="28"/>
          <w:vertAlign w:val="superscript"/>
        </w:rPr>
        <w:footnoteReference w:id="45"/>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The architectural characters I want to focus on are those that reflect the idea of social class, idealized family lifestyle and separate sphere. At the time that the Founder’s Building was built for Thomas Holloway, an elegant, tasteful, safe space with orderly and homely lifestyle was the answer to a ‘nice’ ‘Victorian’ women college. Here is how a student</w:t>
      </w:r>
      <w:r w:rsidRPr="00AE1FA0">
        <w:rPr>
          <w:rFonts w:ascii="Arial" w:eastAsia="宋体" w:hAnsi="Arial" w:cs="Arial"/>
          <w:i/>
          <w:sz w:val="24"/>
          <w:szCs w:val="28"/>
          <w:vertAlign w:val="superscript"/>
        </w:rPr>
        <w:footnoteReference w:id="46"/>
      </w:r>
      <w:r w:rsidRPr="00AE1FA0">
        <w:rPr>
          <w:rFonts w:ascii="Arial" w:eastAsia="宋体" w:hAnsi="Arial" w:cs="Arial"/>
          <w:sz w:val="24"/>
          <w:szCs w:val="28"/>
        </w:rPr>
        <w:t xml:space="preserve"> recalled her experience in Founder’s Building when interviewed in 1985. She chose ‘Victorian’ as a key word to describe not only the physical layout and decorations of her rooms, but also used ‘Victorian’ to describe a certain kind of lifestyle:</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Our curtains were heavy Victorian damasks…and a large looking-glass over </w:t>
      </w:r>
      <w:r w:rsidRPr="00AE1FA0">
        <w:rPr>
          <w:rFonts w:ascii="Arial" w:eastAsia="宋体" w:hAnsi="Arial" w:cs="Arial"/>
          <w:i/>
          <w:sz w:val="24"/>
          <w:szCs w:val="28"/>
        </w:rPr>
        <w:lastRenderedPageBreak/>
        <w:t>the mantelshelf. I was assured that the ‘Will’ included a clause stating that there must be a looking glass in each study. On appeal, a delicate student might be awarded a sofa…. I have hazy recollection that the ‘Will’ [of Thomas Holloway] contained a hypothetical clause that beds must be aligned east-west. In each bedroom there were also an old-fashioned wash-stand, complete with crockery, a hard chair, a severe dressing-table and a commodious wardrobe, designed, like the dresser, to take all-racks, for hats, drawers below, and a long hanging space to take our full-length dresses. Our household staff put a famous polish on everything before each term began.</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For students at that time, a ‘Victorian’ Ladies’ College meant a feminine space where ‘charm’ was a characteristic of both of their rooms’ decoration and furnishing. Here, charm was synonymous to the ‘elegant and tasteful’ embedded in Founder’s Building from its conception. Students were comfortable with the ‘Victorian’ feel of their rooms and, indeed, actively added more ‘Victorian’ items, i.e. more ornate and feminine. The interaction between the users of the rooms, in this case, the students, and the space was complementary. Image 10 is a photograph of a classroom, and the floral print wallpaper and the decorations on the window sill are clearly stereotypically feminine. This is also evident in the Principal’s sitting room presented in a promotional brochure (Image 11). This impression is (presumably, since this was a promotional photograph) carefully designed to attract not just women students, but women students of a certain social class, which is the counterpart of the conceived space of Founder’s Building and its surroundings grounds as an elegant space for women to live and study.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color w:val="00B050"/>
          <w:sz w:val="28"/>
          <w:szCs w:val="28"/>
        </w:rPr>
      </w:pPr>
    </w:p>
    <w:p w:rsidR="00AE1FA0" w:rsidRPr="00AE1FA0" w:rsidRDefault="00AE1FA0" w:rsidP="00AE1FA0">
      <w:pPr>
        <w:spacing w:line="360" w:lineRule="auto"/>
        <w:rPr>
          <w:rFonts w:ascii="Arial" w:eastAsia="宋体" w:hAnsi="Arial" w:cs="Arial"/>
        </w:rPr>
      </w:pPr>
      <w:r w:rsidRPr="00AE1FA0">
        <w:rPr>
          <w:rFonts w:ascii="Arial" w:eastAsia="宋体" w:hAnsi="Arial" w:cs="Arial"/>
          <w:noProof/>
          <w:sz w:val="28"/>
          <w:lang w:eastAsia="en-GB"/>
        </w:rPr>
        <w:lastRenderedPageBreak/>
        <w:drawing>
          <wp:inline distT="0" distB="0" distL="0" distR="0" wp14:anchorId="2028F167" wp14:editId="5DC1BB0E">
            <wp:extent cx="5273675" cy="3692334"/>
            <wp:effectExtent l="0" t="0" r="0" b="0"/>
            <wp:docPr id="34" name="Picture 34" descr="D:\Archive visits\14-05-2015\IMG_9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hive visits\14-05-2015\IMG_910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144" t="21031" r="17444" b="13174"/>
                    <a:stretch/>
                  </pic:blipFill>
                  <pic:spPr bwMode="auto">
                    <a:xfrm>
                      <a:off x="0" y="0"/>
                      <a:ext cx="5278285" cy="3695561"/>
                    </a:xfrm>
                    <a:prstGeom prst="rect">
                      <a:avLst/>
                    </a:prstGeom>
                    <a:noFill/>
                    <a:ln>
                      <a:noFill/>
                    </a:ln>
                    <a:extLst>
                      <a:ext uri="{53640926-AAD7-44D8-BBD7-CCE9431645EC}">
                        <a14:shadowObscured xmlns:a14="http://schemas.microsoft.com/office/drawing/2010/main"/>
                      </a:ext>
                    </a:extLst>
                  </pic:spPr>
                </pic:pic>
              </a:graphicData>
            </a:graphic>
          </wp:inline>
        </w:drawing>
      </w:r>
    </w:p>
    <w:p w:rsidR="00AE1FA0" w:rsidRPr="00AE1FA0" w:rsidRDefault="00AE1FA0" w:rsidP="00AE1FA0">
      <w:pPr>
        <w:spacing w:line="360" w:lineRule="auto"/>
        <w:rPr>
          <w:rFonts w:ascii="Arial" w:eastAsia="宋体" w:hAnsi="Arial" w:cs="Arial"/>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Image 10: Classroom, pre-1910</w:t>
      </w:r>
      <w:r w:rsidRPr="00AE1FA0">
        <w:rPr>
          <w:rFonts w:ascii="Arial" w:eastAsia="宋体" w:hAnsi="Arial" w:cs="Arial"/>
          <w:sz w:val="24"/>
          <w:szCs w:val="24"/>
          <w:vertAlign w:val="superscript"/>
        </w:rPr>
        <w:footnoteReference w:id="47"/>
      </w: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rPr>
      </w:pPr>
      <w:r w:rsidRPr="00AE1FA0">
        <w:rPr>
          <w:rFonts w:ascii="Arial" w:eastAsia="宋体" w:hAnsi="Arial" w:cs="Arial"/>
          <w:noProof/>
          <w:lang w:eastAsia="en-GB"/>
        </w:rPr>
        <w:drawing>
          <wp:inline distT="0" distB="0" distL="0" distR="0" wp14:anchorId="6C320297" wp14:editId="559A5A62">
            <wp:extent cx="5274310" cy="34194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b="14781"/>
                    <a:stretch>
                      <a:fillRect/>
                    </a:stretch>
                  </pic:blipFill>
                  <pic:spPr bwMode="auto">
                    <a:xfrm>
                      <a:off x="0" y="0"/>
                      <a:ext cx="5274310" cy="3419475"/>
                    </a:xfrm>
                    <a:prstGeom prst="rect">
                      <a:avLst/>
                    </a:prstGeom>
                    <a:noFill/>
                    <a:ln>
                      <a:noFill/>
                    </a:ln>
                  </pic:spPr>
                </pic:pic>
              </a:graphicData>
            </a:graphic>
          </wp:inline>
        </w:drawing>
      </w:r>
    </w:p>
    <w:p w:rsidR="00AE1FA0" w:rsidRPr="00AE1FA0" w:rsidRDefault="00AE1FA0" w:rsidP="00AE1FA0">
      <w:pPr>
        <w:spacing w:line="360" w:lineRule="auto"/>
        <w:rPr>
          <w:rFonts w:ascii="Arial" w:eastAsia="宋体" w:hAnsi="Arial" w:cs="Arial"/>
        </w:rPr>
      </w:pPr>
    </w:p>
    <w:p w:rsidR="00AE1FA0" w:rsidRPr="00AE1FA0" w:rsidRDefault="00AE1FA0" w:rsidP="00AE1FA0">
      <w:pPr>
        <w:spacing w:line="360" w:lineRule="auto"/>
        <w:rPr>
          <w:rFonts w:ascii="Arial" w:eastAsia="宋体" w:hAnsi="Arial" w:cs="Arial"/>
          <w:sz w:val="24"/>
          <w:szCs w:val="28"/>
        </w:rPr>
      </w:pPr>
      <w:r w:rsidRPr="00AE1FA0">
        <w:rPr>
          <w:rFonts w:ascii="Arial" w:eastAsia="Times New Roman" w:hAnsi="Arial" w:cs="Arial"/>
          <w:sz w:val="24"/>
          <w:szCs w:val="28"/>
          <w:lang w:eastAsia="ja-JP"/>
        </w:rPr>
        <w:t>Image 11</w:t>
      </w:r>
      <w:r w:rsidRPr="00AE1FA0">
        <w:rPr>
          <w:rFonts w:ascii="Arial" w:eastAsia="宋体" w:hAnsi="Arial" w:cs="Arial"/>
          <w:sz w:val="24"/>
          <w:szCs w:val="28"/>
        </w:rPr>
        <w:t>: Principal’s sitting room presented in a promotional brochure, 1895</w:t>
      </w:r>
      <w:r w:rsidRPr="00AE1FA0">
        <w:rPr>
          <w:rFonts w:ascii="Arial" w:eastAsia="Times New Roman" w:hAnsi="Arial" w:cs="Arial"/>
          <w:sz w:val="24"/>
          <w:szCs w:val="28"/>
          <w:vertAlign w:val="superscript"/>
          <w:lang w:eastAsia="ja-JP"/>
        </w:rPr>
        <w:footnoteReference w:id="48"/>
      </w:r>
    </w:p>
    <w:p w:rsidR="00AE1FA0" w:rsidRPr="00AE1FA0" w:rsidRDefault="00AE1FA0" w:rsidP="00AE1FA0">
      <w:pPr>
        <w:spacing w:line="360" w:lineRule="auto"/>
        <w:rPr>
          <w:rFonts w:ascii="Arial" w:eastAsia="宋体" w:hAnsi="Arial" w:cs="Arial"/>
          <w:sz w:val="28"/>
          <w:szCs w:val="28"/>
        </w:rPr>
      </w:pPr>
    </w:p>
    <w:p w:rsidR="00AE1FA0" w:rsidRPr="00AE1FA0" w:rsidRDefault="00AE1FA0" w:rsidP="00AE1FA0">
      <w:pPr>
        <w:spacing w:line="360" w:lineRule="auto"/>
        <w:rPr>
          <w:rFonts w:ascii="Arial" w:eastAsia="+mn-ea" w:hAnsi="Arial" w:cs="Arial"/>
          <w:kern w:val="24"/>
          <w:sz w:val="24"/>
          <w:szCs w:val="28"/>
          <w:lang w:eastAsia="ja-JP"/>
        </w:rPr>
      </w:pPr>
      <w:r w:rsidRPr="00AE1FA0">
        <w:rPr>
          <w:rFonts w:ascii="Arial" w:eastAsia="Times New Roman" w:hAnsi="Arial" w:cs="Arial"/>
          <w:sz w:val="24"/>
          <w:szCs w:val="28"/>
          <w:lang w:eastAsia="ja-JP"/>
        </w:rPr>
        <w:t>These interactions with the physical appearance and artefacts vary in different time periods and</w:t>
      </w:r>
      <w:r w:rsidRPr="00AE1FA0">
        <w:rPr>
          <w:rFonts w:ascii="Arial" w:eastAsia="宋体" w:hAnsi="Arial" w:cs="Arial"/>
          <w:sz w:val="24"/>
          <w:szCs w:val="28"/>
        </w:rPr>
        <w:t xml:space="preserve"> </w:t>
      </w:r>
      <w:r w:rsidRPr="00AE1FA0">
        <w:rPr>
          <w:rFonts w:ascii="Arial" w:eastAsia="Times New Roman" w:hAnsi="Arial" w:cs="Arial"/>
          <w:sz w:val="24"/>
          <w:szCs w:val="28"/>
          <w:lang w:eastAsia="ja-JP"/>
        </w:rPr>
        <w:t xml:space="preserve">should be the crystallization of the understanding and expectations of women’s education. The way that female students interacted with the space is the physical manifestation of the social norms. </w:t>
      </w:r>
      <w:r w:rsidRPr="00AE1FA0">
        <w:rPr>
          <w:rFonts w:ascii="Arial" w:eastAsia="+mn-ea" w:hAnsi="Arial" w:cs="Arial"/>
          <w:kern w:val="24"/>
          <w:sz w:val="24"/>
          <w:szCs w:val="28"/>
          <w:lang w:eastAsia="ja-JP"/>
        </w:rPr>
        <w:t xml:space="preserve">For students in the 1940s, relatively distant in time, the original meanings of ‘Victorian’ had become more fragmented. </w:t>
      </w:r>
      <w:proofErr w:type="gramStart"/>
      <w:r w:rsidRPr="00AE1FA0">
        <w:rPr>
          <w:rFonts w:ascii="Arial" w:eastAsia="+mn-ea" w:hAnsi="Arial" w:cs="Arial"/>
          <w:kern w:val="24"/>
          <w:sz w:val="24"/>
          <w:szCs w:val="28"/>
          <w:lang w:eastAsia="ja-JP"/>
        </w:rPr>
        <w:t>Referring back</w:t>
      </w:r>
      <w:proofErr w:type="gramEnd"/>
      <w:r w:rsidRPr="00AE1FA0">
        <w:rPr>
          <w:rFonts w:ascii="Arial" w:eastAsia="+mn-ea" w:hAnsi="Arial" w:cs="Arial"/>
          <w:kern w:val="24"/>
          <w:sz w:val="24"/>
          <w:szCs w:val="28"/>
          <w:lang w:eastAsia="ja-JP"/>
        </w:rPr>
        <w:t xml:space="preserve"> to the excerpt in the beginning of this chapter, for them, ‘Victorian’ meant a certain lifestyle: wearing evening dress for dinner and being waited on by maids; and having diner partners. All of these were realized through the </w:t>
      </w:r>
      <w:proofErr w:type="gramStart"/>
      <w:r w:rsidRPr="00AE1FA0">
        <w:rPr>
          <w:rFonts w:ascii="Arial" w:eastAsia="+mn-ea" w:hAnsi="Arial" w:cs="Arial"/>
          <w:kern w:val="24"/>
          <w:sz w:val="24"/>
          <w:szCs w:val="28"/>
          <w:lang w:eastAsia="ja-JP"/>
        </w:rPr>
        <w:t>particular conception</w:t>
      </w:r>
      <w:proofErr w:type="gramEnd"/>
      <w:r w:rsidRPr="00AE1FA0">
        <w:rPr>
          <w:rFonts w:ascii="Arial" w:eastAsia="+mn-ea" w:hAnsi="Arial" w:cs="Arial"/>
          <w:kern w:val="24"/>
          <w:sz w:val="24"/>
          <w:szCs w:val="28"/>
          <w:lang w:eastAsia="ja-JP"/>
        </w:rPr>
        <w:t xml:space="preserve"> and perception of space. The physicality of the space also enforced the students’ expectation that they could live in a ‘Victorian’ way. They interacted with this ‘Victorian’ space according to how they envisaged ‘Victorian’.  A student who studied during the 1940s recalled that:</w:t>
      </w:r>
    </w:p>
    <w:p w:rsidR="00AE1FA0" w:rsidRPr="00AE1FA0" w:rsidRDefault="00AE1FA0" w:rsidP="00AE1FA0">
      <w:pPr>
        <w:spacing w:line="360" w:lineRule="auto"/>
        <w:ind w:left="720"/>
        <w:rPr>
          <w:rFonts w:ascii="Arial" w:eastAsia="+mn-ea" w:hAnsi="Arial" w:cs="Arial"/>
          <w:i/>
          <w:kern w:val="24"/>
          <w:sz w:val="24"/>
          <w:szCs w:val="28"/>
          <w:lang w:eastAsia="ja-JP"/>
        </w:rPr>
      </w:pPr>
    </w:p>
    <w:p w:rsidR="00AE1FA0" w:rsidRPr="00AE1FA0" w:rsidRDefault="00AE1FA0" w:rsidP="00AE1FA0">
      <w:pPr>
        <w:spacing w:line="360" w:lineRule="auto"/>
        <w:ind w:left="720"/>
        <w:rPr>
          <w:rFonts w:ascii="Arial" w:eastAsia="+mn-ea" w:hAnsi="Arial" w:cs="Arial"/>
          <w:i/>
          <w:kern w:val="24"/>
          <w:sz w:val="24"/>
          <w:szCs w:val="28"/>
          <w:lang w:eastAsia="ja-JP"/>
        </w:rPr>
      </w:pPr>
      <w:r w:rsidRPr="00AE1FA0">
        <w:rPr>
          <w:rFonts w:ascii="Arial" w:eastAsia="+mn-ea" w:hAnsi="Arial" w:cs="Arial"/>
          <w:i/>
          <w:kern w:val="24"/>
          <w:sz w:val="24"/>
          <w:szCs w:val="28"/>
          <w:lang w:eastAsia="ja-JP"/>
        </w:rPr>
        <w:t>While living arrangement changed, the furnishings stayed very much the same. I preferred the Victorian mahogany furniture to some of the more modern light oak furniture. One of the joys of the old furniture was the enormous solid mahogany wardrobes. We decorated our rooms with pictures, china ornaments, and sometimes flowers.</w:t>
      </w:r>
      <w:r w:rsidRPr="00AE1FA0">
        <w:rPr>
          <w:rFonts w:ascii="Arial" w:eastAsia="+mn-ea" w:hAnsi="Arial" w:cs="Arial"/>
          <w:i/>
          <w:kern w:val="24"/>
          <w:sz w:val="24"/>
          <w:szCs w:val="28"/>
          <w:vertAlign w:val="superscript"/>
          <w:lang w:eastAsia="ja-JP"/>
        </w:rPr>
        <w:footnoteReference w:id="49"/>
      </w:r>
      <w:r w:rsidRPr="00AE1FA0">
        <w:rPr>
          <w:rFonts w:ascii="Arial" w:eastAsia="+mn-ea" w:hAnsi="Arial" w:cs="Arial"/>
          <w:i/>
          <w:kern w:val="24"/>
          <w:sz w:val="24"/>
          <w:szCs w:val="28"/>
          <w:lang w:eastAsia="ja-JP"/>
        </w:rPr>
        <w:t xml:space="preserve"> </w:t>
      </w:r>
    </w:p>
    <w:p w:rsidR="00AE1FA0" w:rsidRPr="00AE1FA0" w:rsidRDefault="00AE1FA0" w:rsidP="00AE1FA0">
      <w:pPr>
        <w:spacing w:line="360" w:lineRule="auto"/>
        <w:rPr>
          <w:rFonts w:ascii="Arial" w:eastAsia="+mn-ea" w:hAnsi="Arial" w:cs="Arial"/>
          <w:kern w:val="24"/>
          <w:sz w:val="24"/>
          <w:szCs w:val="28"/>
          <w:lang w:eastAsia="ja-JP"/>
        </w:rPr>
      </w:pPr>
    </w:p>
    <w:p w:rsidR="00AE1FA0" w:rsidRPr="00AE1FA0" w:rsidRDefault="00AE1FA0" w:rsidP="00AE1FA0">
      <w:pPr>
        <w:spacing w:line="360" w:lineRule="auto"/>
        <w:rPr>
          <w:rFonts w:ascii="Arial" w:eastAsia="+mn-ea" w:hAnsi="Arial" w:cs="Arial"/>
          <w:kern w:val="24"/>
          <w:sz w:val="24"/>
          <w:szCs w:val="28"/>
          <w:lang w:eastAsia="ja-JP"/>
        </w:rPr>
      </w:pPr>
      <w:r w:rsidRPr="00AE1FA0">
        <w:rPr>
          <w:rFonts w:ascii="Arial" w:eastAsia="+mn-ea" w:hAnsi="Arial" w:cs="Arial"/>
          <w:kern w:val="24"/>
          <w:sz w:val="24"/>
          <w:szCs w:val="28"/>
          <w:lang w:eastAsia="ja-JP"/>
        </w:rPr>
        <w:t>What this excerpt indicates, for students in the 1940s, the meaning of ‘Victorian ‘was less about lifestyle, but the physicality of the artefacts and spatial arrangement. When it comes to the present day, the users of Founder’s Building, who are even further distant from ‘Victorian’ history and lifestyle, the meanings embedded in the building are different. From analysis of interviews with users of Founder’s Building, this ‘Victorian’ building itself has become a symbol of strict rules, giving the impression that ‘once entering this territory, you should follow a different set of rules’.  For instance, Founder’s Building was referred by the interviewees as intimidating, because of its scale, grandeur luxurious architectural details – and its history. A case in point, one staff member in Founder’s Library talked about it in specific way:</w:t>
      </w:r>
    </w:p>
    <w:p w:rsidR="00AE1FA0" w:rsidRPr="00AE1FA0" w:rsidRDefault="00AE1FA0" w:rsidP="00AE1FA0">
      <w:pPr>
        <w:spacing w:line="360" w:lineRule="auto"/>
        <w:ind w:left="720"/>
        <w:rPr>
          <w:rFonts w:ascii="Arial" w:eastAsia="宋体" w:hAnsi="Arial" w:cs="Arial"/>
          <w:i/>
          <w:kern w:val="24"/>
          <w:sz w:val="24"/>
          <w:szCs w:val="28"/>
        </w:rPr>
      </w:pPr>
    </w:p>
    <w:p w:rsidR="00AE1FA0" w:rsidRPr="00AE1FA0" w:rsidRDefault="00AE1FA0" w:rsidP="00AE1FA0">
      <w:pPr>
        <w:spacing w:line="360" w:lineRule="auto"/>
        <w:ind w:left="720"/>
        <w:rPr>
          <w:rFonts w:ascii="Arial" w:eastAsia="Times New Roman" w:hAnsi="Arial" w:cs="Arial"/>
          <w:i/>
          <w:sz w:val="24"/>
          <w:szCs w:val="28"/>
          <w:lang w:eastAsia="ja-JP"/>
        </w:rPr>
      </w:pPr>
      <w:r w:rsidRPr="00AE1FA0">
        <w:rPr>
          <w:rFonts w:ascii="Arial" w:eastAsia="+mn-ea" w:hAnsi="Arial" w:cs="Arial"/>
          <w:i/>
          <w:kern w:val="24"/>
          <w:sz w:val="24"/>
          <w:szCs w:val="28"/>
          <w:lang w:eastAsia="ja-JP"/>
        </w:rPr>
        <w:t>This historical 19th century library, well, it is intimidating, but it has presence, the presence of the architecture encourages people to work in silence, we very rarely have issues with students’ behaviours here. In Bedford [Library], the more modernized place, sometimes it is noisier, occasionally we will have some issues to deal with.</w:t>
      </w:r>
    </w:p>
    <w:p w:rsidR="00AE1FA0" w:rsidRPr="00AE1FA0" w:rsidRDefault="00AE1FA0" w:rsidP="00AE1FA0">
      <w:pPr>
        <w:spacing w:line="360" w:lineRule="auto"/>
        <w:rPr>
          <w:rFonts w:ascii="Arial" w:eastAsia="+mn-ea" w:hAnsi="Arial" w:cs="Arial"/>
          <w:kern w:val="24"/>
          <w:sz w:val="24"/>
          <w:szCs w:val="28"/>
          <w:lang w:eastAsia="ja-JP"/>
        </w:rPr>
      </w:pPr>
    </w:p>
    <w:p w:rsidR="00AE1FA0" w:rsidRPr="00AE1FA0" w:rsidRDefault="00AE1FA0" w:rsidP="00AE1FA0">
      <w:pPr>
        <w:spacing w:line="360" w:lineRule="auto"/>
        <w:rPr>
          <w:rFonts w:ascii="Arial" w:eastAsia="+mn-ea" w:hAnsi="Arial" w:cs="Arial"/>
          <w:kern w:val="24"/>
          <w:sz w:val="24"/>
          <w:szCs w:val="28"/>
          <w:lang w:eastAsia="ja-JP"/>
        </w:rPr>
      </w:pPr>
      <w:r w:rsidRPr="00AE1FA0">
        <w:rPr>
          <w:rFonts w:ascii="Arial" w:eastAsia="+mn-ea" w:hAnsi="Arial" w:cs="Arial"/>
          <w:kern w:val="24"/>
          <w:sz w:val="24"/>
          <w:szCs w:val="28"/>
          <w:lang w:eastAsia="ja-JP"/>
        </w:rPr>
        <w:t xml:space="preserve">What lay behind this library staff member’s interpretation was that s/he justified different behaviours of students based on interpretations of Founder’s Building’s history. For this staff member, the physicality of the building itself promotes or discourages certain behaviours, experiences, interactions and emotions. What this reflects is the power of conceived space, and the enduring effect of the physicality of space. During the conception stage of any building, multiple stakeholders, including designers, founders, managers and local authorities, all have different ideas of what a space should be. The potential of buildings to invoke material power can also delimit and demarcate strict performative possibilities. Indeed, the physicality of the organizational space is so powerful that it almost writes the statement of the organization.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If charm and tasteful were the keywords of the ‘Victorian’ design embedded in Founder’s Building, then the keywords for ‘Victorian’ lifestyle would be homeliness, orderliness and gender-segregated. Orderliness and gender-segregated were discussed in the previous chapter as the concepts governing experiences in Founder’s Building as a separate-sphered space. Thus, it could be summarized here that separate-sphered is also one characteristic reinforced by understandings ‘Victorian’ discursively.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70" w:name="_Toc534732395"/>
      <w:r w:rsidRPr="00AE1FA0">
        <w:rPr>
          <w:rFonts w:ascii="Arial" w:eastAsiaTheme="majorEastAsia" w:hAnsi="Arial" w:cs="Arial"/>
          <w:b/>
          <w:color w:val="000000" w:themeColor="text1"/>
          <w:kern w:val="0"/>
          <w:sz w:val="24"/>
          <w:szCs w:val="24"/>
        </w:rPr>
        <w:t>5.2.1. Homeliness and ‘Victorian’ lifestyle</w:t>
      </w:r>
      <w:bookmarkEnd w:id="70"/>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Homeliness, as already mentioned above, was a kind of feeling and effect that the College strived to create. It was achieved through reconstructing the lifestyle of the upper-middle class. The feelings of homeliness in Founder’s Building was overtly written since its conception, mainly achieved through the ‘family’ system. The ‘family’ </w:t>
      </w:r>
      <w:r w:rsidRPr="00AE1FA0">
        <w:rPr>
          <w:rFonts w:ascii="Arial" w:eastAsia="宋体" w:hAnsi="Arial" w:cs="Arial"/>
          <w:sz w:val="24"/>
          <w:szCs w:val="28"/>
        </w:rPr>
        <w:lastRenderedPageBreak/>
        <w:t>system in the College lasted for more than 60 years until 1950 contributing dramatically to life in RHC. Based on student and staff reminiscences,</w:t>
      </w:r>
      <w:r w:rsidRPr="00AE1FA0">
        <w:rPr>
          <w:rFonts w:ascii="Arial" w:eastAsia="宋体" w:hAnsi="Arial" w:cs="Arial"/>
          <w:sz w:val="24"/>
          <w:szCs w:val="28"/>
          <w:vertAlign w:val="superscript"/>
        </w:rPr>
        <w:footnoteReference w:id="50"/>
      </w:r>
      <w:r w:rsidRPr="00AE1FA0">
        <w:rPr>
          <w:rFonts w:ascii="Arial" w:eastAsia="宋体" w:hAnsi="Arial" w:cs="Arial"/>
          <w:sz w:val="24"/>
          <w:szCs w:val="28"/>
        </w:rPr>
        <w:t xml:space="preserve"> the ‘family’ system was introduced when RHC was opened in 1886, and every new student was arranged a ‘family’ at the beginning of the first term and this ‘family’ group would last for three years. The purpose was to reproduce a domestic life as close as possible to that they experienced at home. As Murdoch (2013: 105) stressed, women in the upper and middle classes established their role through various social activities including “breakfasts and afternoon teas catering to a few friends or dozens of guests, picnics, afternoon whist parties, dinners, and dances”. Social life in RHC closely imitated this. Indeed, until the1950s,</w:t>
      </w:r>
      <w:r w:rsidRPr="00AE1FA0">
        <w:rPr>
          <w:rFonts w:ascii="Arial" w:eastAsia="宋体" w:hAnsi="Arial" w:cs="Arial"/>
          <w:sz w:val="24"/>
          <w:szCs w:val="28"/>
          <w:vertAlign w:val="superscript"/>
        </w:rPr>
        <w:footnoteReference w:id="51"/>
      </w:r>
      <w:r w:rsidRPr="00AE1FA0">
        <w:rPr>
          <w:rFonts w:ascii="Arial" w:eastAsia="宋体" w:hAnsi="Arial" w:cs="Arial"/>
          <w:sz w:val="24"/>
          <w:szCs w:val="28"/>
        </w:rPr>
        <w:t xml:space="preserve"> students had ‘family’ tea every day, preparing and serving it on a rota in their own rooms. The ‘family’ system is thus a good example of how a conception is materialized and enacted on the perceived level through encouraging activities and socialization.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kern w:val="24"/>
          <w:sz w:val="24"/>
          <w:szCs w:val="28"/>
          <w:lang w:eastAsia="ja-JP"/>
        </w:rPr>
        <w:t xml:space="preserve">In Chapter Four, I introduced Vassar College and focused on how it was internalized into the becoming process of RHC as a Ladies’ College, whereas in this section, I shift attention to a specific example of how this becoming process worked and how RHC appropriated Vassar’s social values into this process. Vassar College in the U.S. contributed to the installation of the bedroom-study model. </w:t>
      </w:r>
      <w:r w:rsidRPr="00AE1FA0">
        <w:rPr>
          <w:rFonts w:ascii="Arial" w:eastAsia="宋体" w:hAnsi="Arial" w:cs="Arial"/>
          <w:sz w:val="24"/>
          <w:szCs w:val="28"/>
        </w:rPr>
        <w:t>The bedroom-study model (Image 12) was also designed as a feature to cultivate the feeling of homeliness, yet interpretations of this pre-designed feature can be based on individual values and expectations. While the bedroom-study model was earlier analysed as an idealized lifestyle for upper and middle-class women, here I want to further unpack it and reveal how gender equality was interwoven.</w:t>
      </w:r>
      <w:r w:rsidRPr="00AE1FA0">
        <w:rPr>
          <w:rFonts w:ascii="Arial" w:eastAsia="宋体" w:hAnsi="Arial" w:cs="Arial"/>
          <w:kern w:val="24"/>
          <w:sz w:val="24"/>
          <w:szCs w:val="28"/>
          <w:lang w:eastAsia="ja-JP"/>
        </w:rPr>
        <w:t xml:space="preserve"> The bedroom-study model was not invented from nowhere, it came from comparison and evaluation of the models of women’s colleges already in existence. From the archival materials, we can see that Thomas Holloway studied the founding process of Vassar College, a successful residential women’s college, in detail by his underlining and annotations on a Vassar pamphlet.</w:t>
      </w:r>
      <w:r w:rsidRPr="00AE1FA0">
        <w:rPr>
          <w:rFonts w:ascii="Arial" w:eastAsia="宋体" w:hAnsi="Arial" w:cs="Arial"/>
          <w:kern w:val="24"/>
          <w:sz w:val="24"/>
          <w:szCs w:val="28"/>
          <w:vertAlign w:val="superscript"/>
          <w:lang w:eastAsia="ja-JP"/>
        </w:rPr>
        <w:footnoteReference w:id="52"/>
      </w:r>
      <w:r w:rsidRPr="00AE1FA0">
        <w:rPr>
          <w:rFonts w:ascii="Arial" w:eastAsia="宋体" w:hAnsi="Arial" w:cs="Arial"/>
          <w:kern w:val="24"/>
          <w:sz w:val="24"/>
          <w:szCs w:val="28"/>
          <w:lang w:eastAsia="ja-JP"/>
        </w:rPr>
        <w:t xml:space="preserve"> For instance, he annotated on the section about the health service provided, which later led to the design of a health centre in Founder’s Building. Vassar College was a successful residential women college, and this enabled its contributions to the </w:t>
      </w:r>
      <w:r w:rsidRPr="00AE1FA0">
        <w:rPr>
          <w:rFonts w:ascii="Arial" w:eastAsia="宋体" w:hAnsi="Arial" w:cs="Arial"/>
          <w:kern w:val="24"/>
          <w:sz w:val="24"/>
          <w:szCs w:val="28"/>
          <w:lang w:eastAsia="ja-JP"/>
        </w:rPr>
        <w:lastRenderedPageBreak/>
        <w:t>conception of Founder’s Building on these details.</w:t>
      </w:r>
      <w:r w:rsidRPr="00AE1FA0">
        <w:rPr>
          <w:rFonts w:ascii="Arial" w:eastAsia="宋体" w:hAnsi="Arial" w:cs="Arial"/>
          <w:sz w:val="24"/>
          <w:szCs w:val="28"/>
        </w:rPr>
        <w:t xml:space="preserve"> S</w:t>
      </w:r>
      <w:r w:rsidRPr="00AE1FA0">
        <w:rPr>
          <w:rFonts w:ascii="Arial" w:eastAsia="宋体" w:hAnsi="Arial" w:cs="Arial"/>
          <w:kern w:val="24"/>
          <w:sz w:val="24"/>
          <w:szCs w:val="28"/>
          <w:lang w:eastAsia="ja-JP"/>
        </w:rPr>
        <w:t>tudents</w:t>
      </w:r>
      <w:r w:rsidRPr="00AE1FA0">
        <w:rPr>
          <w:rFonts w:ascii="Arial" w:eastAsia="宋体" w:hAnsi="Arial" w:cs="Arial"/>
          <w:kern w:val="24"/>
          <w:sz w:val="24"/>
          <w:szCs w:val="28"/>
          <w:vertAlign w:val="superscript"/>
          <w:lang w:eastAsia="ja-JP"/>
        </w:rPr>
        <w:footnoteReference w:id="53"/>
      </w:r>
      <w:r w:rsidRPr="00AE1FA0">
        <w:rPr>
          <w:rFonts w:ascii="Arial" w:eastAsia="宋体" w:hAnsi="Arial" w:cs="Arial"/>
          <w:kern w:val="24"/>
          <w:sz w:val="24"/>
          <w:szCs w:val="28"/>
          <w:lang w:eastAsia="ja-JP"/>
        </w:rPr>
        <w:t xml:space="preserve"> in the 1940s attributed the bedroom-study model to gender equality:</w:t>
      </w:r>
    </w:p>
    <w:p w:rsidR="00AE1FA0" w:rsidRPr="00AE1FA0" w:rsidRDefault="00AE1FA0" w:rsidP="00AE1FA0">
      <w:pPr>
        <w:spacing w:line="360" w:lineRule="auto"/>
        <w:rPr>
          <w:rFonts w:ascii="Arial" w:eastAsia="MS Mincho" w:hAnsi="Arial" w:cs="Arial"/>
          <w:sz w:val="24"/>
          <w:szCs w:val="28"/>
          <w:lang w:eastAsia="ja-JP"/>
        </w:rPr>
      </w:pPr>
    </w:p>
    <w:p w:rsidR="00AE1FA0" w:rsidRPr="00AE1FA0" w:rsidRDefault="00AE1FA0" w:rsidP="00AE1FA0">
      <w:pPr>
        <w:spacing w:line="360" w:lineRule="auto"/>
        <w:ind w:left="720"/>
        <w:rPr>
          <w:rFonts w:ascii="Arial" w:eastAsia="Times New Roman" w:hAnsi="Arial" w:cs="Arial"/>
          <w:sz w:val="24"/>
          <w:szCs w:val="28"/>
          <w:lang w:eastAsia="ja-JP"/>
        </w:rPr>
      </w:pPr>
      <w:r w:rsidRPr="00AE1FA0">
        <w:rPr>
          <w:rFonts w:ascii="Arial" w:eastAsia="宋体" w:hAnsi="Arial" w:cs="Arial"/>
          <w:i/>
          <w:iCs/>
          <w:kern w:val="24"/>
          <w:sz w:val="24"/>
          <w:szCs w:val="28"/>
          <w:lang w:eastAsia="ja-JP"/>
        </w:rPr>
        <w:t>You see, Thomas Holloway wanted his girls to have the same advantages as their brothers, so they all had two rooms, a sitting room for study and a bedroom.</w:t>
      </w:r>
    </w:p>
    <w:p w:rsidR="00AE1FA0" w:rsidRPr="00AE1FA0" w:rsidRDefault="00AE1FA0" w:rsidP="00AE1FA0">
      <w:pPr>
        <w:spacing w:line="360" w:lineRule="auto"/>
        <w:rPr>
          <w:rFonts w:ascii="Arial" w:eastAsia="宋体" w:hAnsi="Arial" w:cs="Arial"/>
          <w:kern w:val="24"/>
          <w:sz w:val="24"/>
          <w:szCs w:val="28"/>
          <w:lang w:eastAsia="ja-JP"/>
        </w:rPr>
      </w:pPr>
    </w:p>
    <w:p w:rsidR="00AE1FA0" w:rsidRPr="00AE1FA0" w:rsidRDefault="00AE1FA0" w:rsidP="00AE1FA0">
      <w:pPr>
        <w:spacing w:line="360" w:lineRule="auto"/>
        <w:rPr>
          <w:rFonts w:ascii="Arial" w:eastAsia="宋体" w:hAnsi="Arial" w:cs="Arial"/>
          <w:color w:val="00B050"/>
          <w:sz w:val="28"/>
          <w:szCs w:val="28"/>
        </w:rPr>
      </w:pPr>
    </w:p>
    <w:p w:rsidR="00AE1FA0" w:rsidRPr="00AE1FA0" w:rsidRDefault="00AE1FA0" w:rsidP="00AE1FA0">
      <w:pPr>
        <w:spacing w:line="360" w:lineRule="auto"/>
        <w:rPr>
          <w:rFonts w:ascii="Arial" w:eastAsia="宋体" w:hAnsi="Arial" w:cs="Arial"/>
          <w:sz w:val="28"/>
          <w:szCs w:val="28"/>
        </w:rPr>
      </w:pPr>
      <w:r w:rsidRPr="00AE1FA0">
        <w:rPr>
          <w:rFonts w:ascii="Arial" w:eastAsia="宋体" w:hAnsi="Arial" w:cs="Arial"/>
          <w:noProof/>
          <w:sz w:val="28"/>
          <w:szCs w:val="28"/>
          <w:lang w:eastAsia="en-GB"/>
        </w:rPr>
        <w:drawing>
          <wp:inline distT="0" distB="0" distL="0" distR="0" wp14:anchorId="1D8A4170" wp14:editId="5BFD2560">
            <wp:extent cx="5731510" cy="4345669"/>
            <wp:effectExtent l="0" t="0" r="2540" b="0"/>
            <wp:docPr id="36" name="Picture 36" descr="https://www.royalholloway.ac.uk/archives/graphics/collegecommunity/selfcontainedcommunity/studentroom-rhcph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oyalholloway.ac.uk/archives/graphics/collegecommunity/selfcontainedcommunity/studentroom-rhcph1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345669"/>
                    </a:xfrm>
                    <a:prstGeom prst="rect">
                      <a:avLst/>
                    </a:prstGeom>
                    <a:noFill/>
                    <a:ln>
                      <a:noFill/>
                    </a:ln>
                  </pic:spPr>
                </pic:pic>
              </a:graphicData>
            </a:graphic>
          </wp:inline>
        </w:drawing>
      </w:r>
    </w:p>
    <w:p w:rsidR="00AE1FA0" w:rsidRPr="00AE1FA0" w:rsidRDefault="00AE1FA0" w:rsidP="00AE1FA0">
      <w:pPr>
        <w:spacing w:line="360" w:lineRule="auto"/>
        <w:rPr>
          <w:rFonts w:ascii="Arial" w:eastAsia="宋体" w:hAnsi="Arial" w:cs="Arial"/>
          <w:b/>
          <w:bCs/>
          <w:sz w:val="24"/>
          <w:szCs w:val="28"/>
        </w:rPr>
      </w:pPr>
      <w:r w:rsidRPr="00AE1FA0">
        <w:rPr>
          <w:rFonts w:ascii="Arial" w:eastAsia="宋体" w:hAnsi="Arial" w:cs="Arial"/>
          <w:sz w:val="24"/>
          <w:szCs w:val="28"/>
        </w:rPr>
        <w:t xml:space="preserve">Image 12: </w:t>
      </w:r>
      <w:r w:rsidRPr="00AE1FA0">
        <w:rPr>
          <w:rFonts w:ascii="Arial" w:eastAsia="宋体" w:hAnsi="Arial" w:cs="Arial"/>
          <w:bCs/>
          <w:sz w:val="24"/>
          <w:szCs w:val="28"/>
        </w:rPr>
        <w:t>Student’s study room in Founder’s Building, 1928</w:t>
      </w:r>
      <w:r w:rsidRPr="00AE1FA0">
        <w:rPr>
          <w:rFonts w:ascii="Arial" w:eastAsia="宋体" w:hAnsi="Arial" w:cs="Arial"/>
          <w:bCs/>
          <w:sz w:val="24"/>
          <w:szCs w:val="28"/>
          <w:vertAlign w:val="superscript"/>
        </w:rPr>
        <w:footnoteReference w:id="54"/>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It should be emphasized that this homeliness meant an upper-middle class domestic life. Students from lower social classes, who relied on bursaries and scholarships, felt a mismatch between the space and themselves. A student</w:t>
      </w:r>
      <w:r w:rsidRPr="00AE1FA0">
        <w:rPr>
          <w:rFonts w:ascii="Arial" w:eastAsia="宋体" w:hAnsi="Arial" w:cs="Arial"/>
          <w:i/>
          <w:sz w:val="24"/>
          <w:szCs w:val="28"/>
          <w:vertAlign w:val="superscript"/>
        </w:rPr>
        <w:footnoteReference w:id="55"/>
      </w:r>
      <w:r w:rsidRPr="00AE1FA0">
        <w:rPr>
          <w:rFonts w:ascii="Arial" w:eastAsia="宋体" w:hAnsi="Arial" w:cs="Arial"/>
          <w:sz w:val="24"/>
          <w:szCs w:val="28"/>
        </w:rPr>
        <w:t xml:space="preserve"> at RHC in the 1930s wrote:</w:t>
      </w:r>
    </w:p>
    <w:p w:rsidR="00AE1FA0" w:rsidRPr="00AE1FA0" w:rsidRDefault="00AE1FA0" w:rsidP="00AE1FA0">
      <w:pPr>
        <w:spacing w:line="360" w:lineRule="auto"/>
        <w:rPr>
          <w:rFonts w:ascii="Arial" w:eastAsia="MS Mincho" w:hAnsi="Arial" w:cs="Arial"/>
          <w:sz w:val="24"/>
          <w:szCs w:val="28"/>
          <w:lang w:eastAsia="ja-JP"/>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Life at RHC was so different. The educational side I could cope with. But no one had prepared me for the different life style. From sharing a bedroom, I now had two rooms of my own – a bedroom and a study. There was a maid to wake me, pull the curtain and bring me hot washing water. She made the bed and cleaned the bedroom and study. There was formal dinner every evening except Sunday and everyone was expected to change, so for the first time in my life I had dinner dresses.</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From what she wrote, we know that she was the eldest child of a working-class family and the first to go to university. Her experience or feelings in RHC was unlike anything that ‘family’ and ‘homeliness’ meant to her; every detail of Founder’s Building and space were reminders that it was a luxurious space for the upper-middle class.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If attending RHC enabled students from lower classes to experience the homeliness of upper and middle classes, this was irrelevant for the likes of maids or servants working there. One maid working there in 1927 said bluntly how hard the life working in RHC was:</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I was only there about a year. It was alright, but it was hard, very hard… There were bathrooms, but they didn’t have hot water. We had no Hoovers, we just got down on our knees.</w:t>
      </w:r>
      <w:r w:rsidRPr="00AE1FA0">
        <w:rPr>
          <w:rFonts w:ascii="Arial" w:eastAsia="宋体" w:hAnsi="Arial" w:cs="Arial"/>
          <w:i/>
          <w:sz w:val="24"/>
          <w:szCs w:val="28"/>
          <w:vertAlign w:val="superscript"/>
        </w:rPr>
        <w:footnoteReference w:id="56"/>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For the maids living and working in Founder’s Building, the social concepts behind homeliness might have been meaningless; for them, their interactions with Founder’s Building were all to do with orderliness. As Image 13</w:t>
      </w:r>
      <w:r w:rsidRPr="00AE1FA0">
        <w:rPr>
          <w:rFonts w:ascii="Arial" w:eastAsia="宋体" w:hAnsi="Arial" w:cs="Arial"/>
          <w:sz w:val="24"/>
          <w:szCs w:val="28"/>
          <w:vertAlign w:val="superscript"/>
        </w:rPr>
        <w:t xml:space="preserve"> </w:t>
      </w:r>
      <w:r w:rsidRPr="00AE1FA0">
        <w:rPr>
          <w:rFonts w:ascii="Arial" w:eastAsia="宋体" w:hAnsi="Arial" w:cs="Arial"/>
          <w:sz w:val="24"/>
          <w:szCs w:val="28"/>
        </w:rPr>
        <w:t>and 14</w:t>
      </w:r>
      <w:r w:rsidRPr="00AE1FA0">
        <w:rPr>
          <w:rFonts w:ascii="Arial" w:eastAsia="宋体" w:hAnsi="Arial" w:cs="Arial"/>
          <w:sz w:val="24"/>
          <w:szCs w:val="28"/>
          <w:vertAlign w:val="superscript"/>
        </w:rPr>
        <w:t xml:space="preserve"> </w:t>
      </w:r>
      <w:r w:rsidRPr="00AE1FA0">
        <w:rPr>
          <w:rFonts w:ascii="Arial" w:eastAsia="宋体" w:hAnsi="Arial" w:cs="Arial"/>
          <w:sz w:val="24"/>
          <w:szCs w:val="28"/>
        </w:rPr>
        <w:t xml:space="preserve">show, the maids, servants, and other male workers in the college had to follow the Daily Routine and other additional sets of instructions. These rules were enforced from the foundation of the College until at least the late 1940s. These rules were to do with both time (when to do what) and space (how to interact with the space). One of the rules in the Maids’ Daily Routine (Image 13), was ‘maids may not go out of the grounds or change their time off unless they have permission’, a rule that regulated the way they could interact </w:t>
      </w:r>
      <w:r w:rsidRPr="00AE1FA0">
        <w:rPr>
          <w:rFonts w:ascii="Arial" w:eastAsia="宋体" w:hAnsi="Arial" w:cs="Arial"/>
          <w:sz w:val="24"/>
          <w:szCs w:val="28"/>
        </w:rPr>
        <w:lastRenderedPageBreak/>
        <w:t xml:space="preserve">with the space, i.e. the grounds, and when they had time off.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8"/>
          <w:szCs w:val="28"/>
        </w:rPr>
      </w:pPr>
      <w:r w:rsidRPr="00AE1FA0">
        <w:rPr>
          <w:rFonts w:ascii="Arial" w:eastAsia="宋体" w:hAnsi="Arial" w:cs="Arial"/>
          <w:sz w:val="28"/>
          <w:szCs w:val="28"/>
        </w:rPr>
        <w:t xml:space="preserve">   </w:t>
      </w:r>
      <w:r w:rsidRPr="00AE1FA0">
        <w:rPr>
          <w:rFonts w:ascii="Arial" w:eastAsia="宋体" w:hAnsi="Arial" w:cs="Arial"/>
          <w:noProof/>
          <w:sz w:val="28"/>
          <w:szCs w:val="28"/>
          <w:lang w:eastAsia="en-GB"/>
        </w:rPr>
        <w:drawing>
          <wp:inline distT="0" distB="0" distL="0" distR="0" wp14:anchorId="198FBCDA" wp14:editId="3A4CBD07">
            <wp:extent cx="3914775" cy="4383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4775" cy="4383405"/>
                    </a:xfrm>
                    <a:prstGeom prst="rect">
                      <a:avLst/>
                    </a:prstGeom>
                    <a:noFill/>
                  </pic:spPr>
                </pic:pic>
              </a:graphicData>
            </a:graphic>
          </wp:inline>
        </w:drawing>
      </w: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Image 13: Rule for Maids, 1906</w:t>
      </w:r>
      <w:r w:rsidRPr="00AE1FA0">
        <w:rPr>
          <w:rFonts w:ascii="Arial" w:eastAsia="宋体" w:hAnsi="Arial" w:cs="Arial"/>
          <w:sz w:val="24"/>
          <w:szCs w:val="28"/>
          <w:vertAlign w:val="superscript"/>
        </w:rPr>
        <w:footnoteReference w:id="57"/>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Just like the people who worked in Founder’s Building were regulated in their interactions with the space in the demands of orderliness, students also had to follow their Daily Routine (Image 14). This from a student, there in 1908-1911:</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sz w:val="24"/>
          <w:szCs w:val="28"/>
        </w:rPr>
      </w:pPr>
      <w:r w:rsidRPr="00AE1FA0">
        <w:rPr>
          <w:rFonts w:ascii="Arial" w:eastAsia="宋体" w:hAnsi="Arial" w:cs="Arial"/>
          <w:i/>
          <w:sz w:val="24"/>
          <w:szCs w:val="28"/>
        </w:rPr>
        <w:t>Morning chapel at 8 am was compulsory; one could not cut a lecture except for illness; one had to dress for dinner and assemble in the library, complete with a pre-arranged partner punctually at the given hour before walking in solemn procession to the dining hall.</w:t>
      </w:r>
      <w:r w:rsidRPr="00AE1FA0">
        <w:rPr>
          <w:rFonts w:ascii="Arial" w:eastAsia="宋体" w:hAnsi="Arial" w:cs="Arial"/>
          <w:sz w:val="24"/>
          <w:szCs w:val="28"/>
        </w:rPr>
        <w:t xml:space="preserve"> </w:t>
      </w:r>
      <w:r w:rsidRPr="00AE1FA0">
        <w:rPr>
          <w:rFonts w:ascii="Arial" w:eastAsia="宋体" w:hAnsi="Arial" w:cs="Arial"/>
          <w:sz w:val="24"/>
          <w:szCs w:val="28"/>
          <w:vertAlign w:val="superscript"/>
        </w:rPr>
        <w:footnoteReference w:id="58"/>
      </w:r>
    </w:p>
    <w:p w:rsidR="00AE1FA0" w:rsidRPr="00AE1FA0" w:rsidRDefault="00AE1FA0" w:rsidP="00AE1FA0">
      <w:pPr>
        <w:spacing w:line="360" w:lineRule="auto"/>
        <w:ind w:left="720"/>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Until 1949, dinner attendance was compulsory; students who did not get permission </w:t>
      </w:r>
      <w:r w:rsidRPr="00AE1FA0">
        <w:rPr>
          <w:rFonts w:ascii="Arial" w:eastAsia="宋体" w:hAnsi="Arial" w:cs="Arial"/>
          <w:sz w:val="24"/>
          <w:szCs w:val="28"/>
        </w:rPr>
        <w:lastRenderedPageBreak/>
        <w:t>in advance to be absent were fined one shilling.</w:t>
      </w:r>
      <w:r w:rsidRPr="00AE1FA0">
        <w:rPr>
          <w:rFonts w:ascii="Arial" w:eastAsia="宋体" w:hAnsi="Arial" w:cs="Arial"/>
          <w:sz w:val="24"/>
          <w:szCs w:val="28"/>
          <w:vertAlign w:val="superscript"/>
        </w:rPr>
        <w:footnoteReference w:id="59"/>
      </w:r>
    </w:p>
    <w:p w:rsidR="00AE1FA0" w:rsidRPr="00AE1FA0" w:rsidRDefault="00AE1FA0" w:rsidP="00AE1FA0">
      <w:pPr>
        <w:spacing w:line="360" w:lineRule="auto"/>
        <w:ind w:left="720"/>
        <w:rPr>
          <w:rFonts w:ascii="Arial" w:eastAsia="宋体" w:hAnsi="Arial" w:cs="Arial"/>
          <w:sz w:val="28"/>
          <w:szCs w:val="28"/>
        </w:rPr>
      </w:pPr>
    </w:p>
    <w:p w:rsidR="00AE1FA0" w:rsidRPr="00AE1FA0" w:rsidRDefault="00AE1FA0" w:rsidP="00AE1FA0">
      <w:pPr>
        <w:spacing w:line="360" w:lineRule="auto"/>
        <w:rPr>
          <w:rFonts w:ascii="Arial" w:eastAsia="宋体" w:hAnsi="Arial" w:cs="Arial"/>
          <w:sz w:val="28"/>
          <w:szCs w:val="28"/>
        </w:rPr>
      </w:pPr>
      <w:r w:rsidRPr="00AE1FA0">
        <w:rPr>
          <w:rFonts w:ascii="Arial" w:eastAsia="宋体" w:hAnsi="Arial" w:cs="Arial"/>
          <w:noProof/>
          <w:sz w:val="28"/>
          <w:szCs w:val="28"/>
          <w:lang w:eastAsia="en-GB"/>
        </w:rPr>
        <w:drawing>
          <wp:inline distT="0" distB="0" distL="0" distR="0" wp14:anchorId="2CFC9A79" wp14:editId="71BEE121">
            <wp:extent cx="5499100" cy="37128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9100" cy="3712845"/>
                    </a:xfrm>
                    <a:prstGeom prst="rect">
                      <a:avLst/>
                    </a:prstGeom>
                    <a:noFill/>
                  </pic:spPr>
                </pic:pic>
              </a:graphicData>
            </a:graphic>
          </wp:inline>
        </w:drawing>
      </w: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Image 14: Royal Holloway College Daily Routine, c1906</w:t>
      </w:r>
      <w:r w:rsidRPr="00AE1FA0">
        <w:rPr>
          <w:rFonts w:ascii="Arial" w:eastAsia="宋体" w:hAnsi="Arial" w:cs="Arial"/>
          <w:sz w:val="24"/>
          <w:szCs w:val="28"/>
          <w:vertAlign w:val="superscript"/>
        </w:rPr>
        <w:footnoteReference w:id="60"/>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However, in comparison with the rules for maids’, the Daily Routine was less strict and involved fewer restrictions, and students’ movement were relatively free. This divergence indicated how the space was socially produced and how this process was influenced by the social hierarchy. For instance, the violations of the rules had different results for maids and students, as said by a staff member working in the college in 1908:</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i/>
          <w:sz w:val="24"/>
          <w:szCs w:val="28"/>
        </w:rPr>
        <w:t>Miss Knowles, our Lady Housekeeper, kept a firm hand over the maids and she stood no nonsense. There was a terrible occasion when some of the younger maids, having watched the students run corridor races from the West pantries, decided to run corridor races of their own on West IV that evening after prayers. Miss Knowles stopped their Christmas holiday</w:t>
      </w:r>
      <w:r w:rsidRPr="00AE1FA0">
        <w:rPr>
          <w:rFonts w:ascii="Arial" w:eastAsia="宋体" w:hAnsi="Arial" w:cs="Arial"/>
          <w:i/>
          <w:sz w:val="24"/>
          <w:szCs w:val="28"/>
          <w:vertAlign w:val="superscript"/>
        </w:rPr>
        <w:footnoteReference w:id="61"/>
      </w:r>
      <w:r w:rsidRPr="00AE1FA0">
        <w:rPr>
          <w:rFonts w:ascii="Arial" w:eastAsia="宋体" w:hAnsi="Arial" w:cs="Arial"/>
          <w:sz w:val="24"/>
          <w:szCs w:val="28"/>
        </w:rPr>
        <w:t xml:space="preserve">              </w:t>
      </w: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                                                                                                                                                                                                                                                                                                                                                                                                                                                                                                                                                                                                                                                                                                                                                                                         </w:t>
      </w:r>
    </w:p>
    <w:p w:rsidR="00AE1FA0" w:rsidRPr="00AE1FA0" w:rsidRDefault="00AE1FA0" w:rsidP="00AE1FA0">
      <w:pPr>
        <w:spacing w:line="360" w:lineRule="auto"/>
        <w:rPr>
          <w:rFonts w:ascii="Arial" w:eastAsia="宋体" w:hAnsi="Arial" w:cs="Arial"/>
          <w:i/>
          <w:sz w:val="24"/>
          <w:szCs w:val="28"/>
        </w:rPr>
      </w:pPr>
      <w:r w:rsidRPr="00AE1FA0">
        <w:rPr>
          <w:rFonts w:ascii="Arial" w:eastAsia="宋体" w:hAnsi="Arial" w:cs="Arial"/>
          <w:sz w:val="24"/>
          <w:szCs w:val="28"/>
        </w:rPr>
        <w:lastRenderedPageBreak/>
        <w:t>Moreover, students were not punished for their (mis)behaviour while the maids watched them were punished for theirs. For the maids and other workers, violations of the rules could lead to dismissal as explained in the following excerpt from one of several maids’ reminiscences held in the archive:</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I did get the sack, but it wasn’t my fault. I went out with the Head Maid and second maid who got a pass till 12 o’clock, but I didn’t get one and had to be in at past nine or ten at the latest … Next morning, I was sent away because Miss Stracklon was going to make an example of us so that the other girls would realise word was law.</w:t>
      </w:r>
      <w:r w:rsidRPr="00AE1FA0">
        <w:rPr>
          <w:rFonts w:ascii="Arial" w:eastAsia="宋体" w:hAnsi="Arial" w:cs="Arial"/>
          <w:i/>
          <w:sz w:val="24"/>
          <w:szCs w:val="28"/>
          <w:vertAlign w:val="superscript"/>
        </w:rPr>
        <w:footnoteReference w:id="62"/>
      </w:r>
      <w:r w:rsidRPr="00AE1FA0">
        <w:rPr>
          <w:rFonts w:ascii="Arial" w:eastAsia="宋体" w:hAnsi="Arial" w:cs="Arial"/>
          <w:i/>
          <w:sz w:val="24"/>
          <w:szCs w:val="28"/>
        </w:rPr>
        <w:t xml:space="preserve">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In this and many similar cases recorded in the archive, violations of rules were reflected on interactions with space (and time), which relating to the way that the space was meant directly to be largely segregated from the outside world, and especially from men (e.g. the rule against male residents but also rules against both students and maids having men in their rooms without a chaperone present). </w:t>
      </w:r>
    </w:p>
    <w:p w:rsidR="00AE1FA0" w:rsidRPr="00AE1FA0" w:rsidRDefault="00AE1FA0" w:rsidP="00AE1FA0">
      <w:pPr>
        <w:spacing w:line="360" w:lineRule="auto"/>
        <w:rPr>
          <w:rFonts w:ascii="Arial" w:eastAsia="MS Mincho" w:hAnsi="Arial" w:cs="Arial"/>
          <w:kern w:val="24"/>
          <w:sz w:val="24"/>
          <w:szCs w:val="28"/>
          <w:lang w:eastAsia="ja-JP"/>
        </w:rPr>
      </w:pPr>
    </w:p>
    <w:p w:rsidR="00AE1FA0" w:rsidRPr="00AE1FA0" w:rsidRDefault="00AE1FA0" w:rsidP="00AE1FA0">
      <w:pPr>
        <w:keepNext/>
        <w:keepLines/>
        <w:widowControl/>
        <w:spacing w:before="40" w:line="360" w:lineRule="auto"/>
        <w:jc w:val="left"/>
        <w:outlineLvl w:val="1"/>
        <w:rPr>
          <w:rFonts w:ascii="Arial" w:eastAsiaTheme="majorEastAsia" w:hAnsi="Arial" w:cs="Arial"/>
          <w:b/>
          <w:color w:val="000000" w:themeColor="text1"/>
          <w:kern w:val="0"/>
          <w:sz w:val="24"/>
          <w:szCs w:val="26"/>
        </w:rPr>
      </w:pPr>
      <w:bookmarkStart w:id="71" w:name="_Toc534732396"/>
      <w:r w:rsidRPr="00AE1FA0">
        <w:rPr>
          <w:rFonts w:ascii="Arial" w:eastAsiaTheme="majorEastAsia" w:hAnsi="Arial" w:cs="Arial"/>
          <w:b/>
          <w:color w:val="000000" w:themeColor="text1"/>
          <w:kern w:val="0"/>
          <w:sz w:val="24"/>
          <w:szCs w:val="26"/>
        </w:rPr>
        <w:t>5.3. How ‘Victorian’ is alive in Founder’s Building</w:t>
      </w:r>
      <w:bookmarkEnd w:id="71"/>
      <w:r w:rsidRPr="00AE1FA0">
        <w:rPr>
          <w:rFonts w:ascii="Arial" w:eastAsiaTheme="majorEastAsia" w:hAnsi="Arial" w:cs="Arial"/>
          <w:b/>
          <w:color w:val="000000" w:themeColor="text1"/>
          <w:kern w:val="0"/>
          <w:sz w:val="24"/>
          <w:szCs w:val="26"/>
        </w:rPr>
        <w:t xml:space="preserve"> </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Once conceptualizing Founder’s Building as a process that gradually became ‘Victorian’, then the next question is how and what perspectives are still present on the spatial level. Or to reframe the question, what are the spatial legacies of Founder’s Building as a ‘Victorian’ space? This section unfolds as two sub-sections. The first sub-section is centred on how Founder’s Building become a historic space and thee implications of being a historic space. The second sub-section focuses on one aspect that motivated ‘Victorian’ to still be alive and exerts its influence – the persistency of physical objects.</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72" w:name="_Toc534732397"/>
      <w:r w:rsidRPr="00AE1FA0">
        <w:rPr>
          <w:rFonts w:ascii="Arial" w:eastAsiaTheme="majorEastAsia" w:hAnsi="Arial" w:cs="Arial"/>
          <w:b/>
          <w:color w:val="000000" w:themeColor="text1"/>
          <w:kern w:val="0"/>
          <w:sz w:val="24"/>
          <w:szCs w:val="24"/>
        </w:rPr>
        <w:t>5.3.1. Alive through becoming an historic space</w:t>
      </w:r>
      <w:bookmarkEnd w:id="72"/>
    </w:p>
    <w:p w:rsidR="00AE1FA0" w:rsidRPr="00AE1FA0" w:rsidRDefault="00AE1FA0" w:rsidP="00AE1FA0">
      <w:pPr>
        <w:spacing w:line="360" w:lineRule="auto"/>
        <w:rPr>
          <w:rFonts w:ascii="Arial" w:hAnsi="Arial" w:cs="Arial"/>
          <w:kern w:val="0"/>
          <w:sz w:val="22"/>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Previous sections in this chapter have emphasized the process for Founder’s Building becoming a ‘Victorian’ space, and, at first sight, it seems meaningless to </w:t>
      </w:r>
      <w:r w:rsidRPr="00AE1FA0">
        <w:rPr>
          <w:rFonts w:ascii="Arial" w:eastAsia="宋体" w:hAnsi="Arial" w:cs="Arial"/>
          <w:sz w:val="24"/>
          <w:szCs w:val="28"/>
        </w:rPr>
        <w:lastRenderedPageBreak/>
        <w:t xml:space="preserve">distinguish between ‘Victorian’ and historic space since the idea of ‘historic’ is always embedded in meanings of ‘Victorian’. Nevertheless, what previous sections addressed was how ‘Victorian’ could be interpreted discursively by different users and in different times. It would be unrealistic to separate the concept of historic from ‘Victorian’ and investigate how it formed Founder’s Building. To start with, a historic building is defined as a building with a long history to be protected for architectural and historic interest. Founder’s Building, as a Grade 1 listed building, i.e. the most historic category of all listed buildings, and any changes to it designs and physical artefacts are difficult to achieve. During the interview with the strategic space manager in the Estates department, he shared how difficult it is to change anything in Founder’s Building, and more importantly all new buildings should be built and designed in consonance with the “atmosphere/character of Founder’s”. Even in the early years when the Founder’s Building was just opened, there was document specifying that no other buildings should distract from Founder’s Building as the centre of the campus.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To further elaborate how influential Founder’s Building as a historic building is, I want to discuss an example of a newly opened building right in front of Founder’s, which is the Emily Wilding Davison building.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The Emily Wilding Davison building was opened officially in October 2017 by HRH The Princess Royal. Therefore, at the stage of collecting empirical materials, Emily Wilding Davison building was still a construction site, and construction took a long because of the requirement to measure its impacts on Founder’s Building.  In the interview, the project manager of this new building described the conception process of it:</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Chars="300" w:left="630"/>
        <w:rPr>
          <w:rFonts w:ascii="Arial" w:eastAsia="宋体" w:hAnsi="Arial" w:cs="Arial"/>
          <w:i/>
          <w:sz w:val="24"/>
          <w:szCs w:val="28"/>
        </w:rPr>
      </w:pPr>
      <w:r w:rsidRPr="00AE1FA0">
        <w:rPr>
          <w:rFonts w:ascii="Arial" w:eastAsia="宋体" w:hAnsi="Arial" w:cs="Arial"/>
          <w:i/>
          <w:sz w:val="24"/>
          <w:szCs w:val="28"/>
        </w:rPr>
        <w:t xml:space="preserve">Will this new library affect Founder's? Primarily, the approval of this new building is affected by the planning governance of Founder's, which means the conditions can be </w:t>
      </w:r>
      <w:proofErr w:type="gramStart"/>
      <w:r w:rsidRPr="00AE1FA0">
        <w:rPr>
          <w:rFonts w:ascii="Arial" w:eastAsia="宋体" w:hAnsi="Arial" w:cs="Arial"/>
          <w:i/>
          <w:sz w:val="24"/>
          <w:szCs w:val="28"/>
        </w:rPr>
        <w:t>really strict</w:t>
      </w:r>
      <w:proofErr w:type="gramEnd"/>
      <w:r w:rsidRPr="00AE1FA0">
        <w:rPr>
          <w:rFonts w:ascii="Arial" w:eastAsia="宋体" w:hAnsi="Arial" w:cs="Arial"/>
          <w:i/>
          <w:sz w:val="24"/>
          <w:szCs w:val="28"/>
        </w:rPr>
        <w:t xml:space="preserve">. For instance, even though Windsor building [opposite to Founder’s Building] is a modern building, it complements Founder’s Building. </w:t>
      </w:r>
    </w:p>
    <w:p w:rsidR="00AE1FA0" w:rsidRPr="00AE1FA0" w:rsidRDefault="00AE1FA0" w:rsidP="00AE1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Chars="200" w:left="420"/>
        <w:rPr>
          <w:rFonts w:ascii="Arial" w:eastAsia="宋体" w:hAnsi="Arial" w:cs="Arial"/>
          <w:i/>
          <w:sz w:val="24"/>
          <w:szCs w:val="28"/>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Calibri" w:hAnsi="Arial" w:cs="Arial"/>
          <w:sz w:val="24"/>
          <w:szCs w:val="28"/>
          <w:lang w:eastAsia="en-US"/>
        </w:rPr>
        <w:t xml:space="preserve">It is quite clear that what can be built around the Founder’s Building is highly </w:t>
      </w:r>
      <w:r w:rsidRPr="00AE1FA0">
        <w:rPr>
          <w:rFonts w:ascii="Arial" w:eastAsia="Calibri" w:hAnsi="Arial" w:cs="Arial"/>
          <w:sz w:val="24"/>
          <w:szCs w:val="28"/>
          <w:lang w:eastAsia="en-US"/>
        </w:rPr>
        <w:lastRenderedPageBreak/>
        <w:t>restricted and a ‘bring back to past feel’ is encouraged in a new build to be in harmony with it. Even RHUL cannot overturn this governance. While this ‘bring back to past feel’ requirement undoubtedly created challenges on the level of conception and perception process for Emily Wilding Davison building (and or Windsor building before it) this demonstrates how it is interwoven with Founder’s Building and in a way ‘inherits’ the past from Founder’s Building – and becomes a new ‘Victorian’ space.</w:t>
      </w:r>
    </w:p>
    <w:p w:rsidR="00AE1FA0" w:rsidRPr="00AE1FA0" w:rsidRDefault="00AE1FA0" w:rsidP="00AE1FA0">
      <w:pPr>
        <w:spacing w:line="360" w:lineRule="auto"/>
        <w:rPr>
          <w:rFonts w:ascii="Arial" w:eastAsia="Calibri" w:hAnsi="Arial" w:cs="Arial"/>
          <w:sz w:val="24"/>
          <w:szCs w:val="28"/>
          <w:lang w:eastAsia="en-US"/>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First, its name indicates how RHUL assimilated the new building into the histories of Founder’s Building as a ‘Victorian’ and historic space. Founder’s Building, as the landmark building in RHUL, is a powerful representation for organizational history and memories. Its power lies in its monumental form, as Dale and Burrell (2007) wrote, it would be difficult not experiencing a sense of awe walking into a building like Founder’s. In the publicity to announce the official opening of Emily Wilding Davison building, I found the following description explaining its naming:</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Chars="300" w:left="630"/>
        <w:rPr>
          <w:rFonts w:ascii="Arial" w:eastAsia="宋体" w:hAnsi="Arial" w:cs="Arial"/>
          <w:i/>
          <w:sz w:val="24"/>
          <w:szCs w:val="28"/>
        </w:rPr>
      </w:pPr>
      <w:r w:rsidRPr="00AE1FA0">
        <w:rPr>
          <w:rFonts w:ascii="Arial" w:eastAsia="宋体" w:hAnsi="Arial" w:cs="Arial"/>
          <w:i/>
          <w:sz w:val="24"/>
          <w:szCs w:val="28"/>
        </w:rPr>
        <w:t>The decision to name the building after one of the university’s most famous alumni, Emily Wilding Davison, was one made by the whole university community. Emily was a strident advocate for women’s suffrage and through the efforts of campaigners like her. Emily’s campaigning spirit, her commitment to equality, and her determination to bring about positive change can be seen in Royal Holloway’s values today.</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On the RHUL website is the following:</w:t>
      </w:r>
    </w:p>
    <w:p w:rsidR="00AE1FA0" w:rsidRPr="00AE1FA0" w:rsidRDefault="00AE1FA0" w:rsidP="00AE1FA0">
      <w:pPr>
        <w:spacing w:line="360" w:lineRule="auto"/>
        <w:rPr>
          <w:rFonts w:ascii="Arial" w:eastAsia="宋体" w:hAnsi="Arial" w:cs="Arial"/>
          <w:i/>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Emily Wilding Davison, who began her studies at Royal Holloway in 1892, encapsulates Royal Holloway’s ethos of empowering individuals to drive social and cultural change, for the benefit of all.</w:t>
      </w:r>
    </w:p>
    <w:p w:rsidR="00AE1FA0" w:rsidRPr="00AE1FA0" w:rsidRDefault="00AE1FA0" w:rsidP="00AE1FA0">
      <w:pPr>
        <w:spacing w:line="360" w:lineRule="auto"/>
        <w:ind w:left="720"/>
        <w:rPr>
          <w:rFonts w:ascii="Arial" w:eastAsia="宋体" w:hAnsi="Arial" w:cs="Arial"/>
          <w:i/>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What neither extract mentions are that Emily Wilding Davison studied at RHUL for less than a year, dropping out because her mother could not afford the £20 a term fee. (In fact, she later joined St Hugh’s College, Oxford, and completed her study there.) Emily Wilding Davison’s past was selectively interpreted to suit the present objective of RHUL as a pioneer educational organization. Brunninge (2009) metaphorically compared history to a quarry, that is, organizations – like historians –only pick the </w:t>
      </w:r>
      <w:r w:rsidRPr="00AE1FA0">
        <w:rPr>
          <w:rFonts w:ascii="Arial" w:eastAsia="宋体" w:hAnsi="Arial" w:cs="Arial"/>
          <w:sz w:val="24"/>
          <w:szCs w:val="28"/>
        </w:rPr>
        <w:lastRenderedPageBreak/>
        <w:t>stones that best serve their purpose. What the naming the new building after the famous alumnus reveals is how the history of a space can be deliberately written and re-written – not always appropriately from some viewpoints. A nice illustration of this as provided to me by a staff member whose office is situated in Founder’s Building:</w:t>
      </w:r>
    </w:p>
    <w:p w:rsidR="00AE1FA0" w:rsidRPr="00AE1FA0" w:rsidRDefault="00AE1FA0" w:rsidP="00AE1FA0">
      <w:pPr>
        <w:spacing w:line="360" w:lineRule="auto"/>
        <w:ind w:left="720"/>
        <w:rPr>
          <w:rFonts w:ascii="Arial" w:eastAsia="宋体" w:hAnsi="Arial" w:cs="Arial"/>
          <w:i/>
          <w:sz w:val="24"/>
          <w:szCs w:val="28"/>
        </w:rPr>
      </w:pPr>
    </w:p>
    <w:p w:rsidR="00AE1FA0" w:rsidRPr="00AE1FA0" w:rsidRDefault="00AE1FA0" w:rsidP="00AE1FA0">
      <w:pPr>
        <w:spacing w:line="360" w:lineRule="auto"/>
        <w:ind w:left="720"/>
        <w:rPr>
          <w:rFonts w:ascii="Arial" w:eastAsia="宋体" w:hAnsi="Arial" w:cs="Arial"/>
          <w:sz w:val="24"/>
          <w:szCs w:val="28"/>
        </w:rPr>
      </w:pPr>
      <w:r w:rsidRPr="00AE1FA0">
        <w:rPr>
          <w:rFonts w:ascii="Arial" w:eastAsia="宋体" w:hAnsi="Arial" w:cs="Arial"/>
          <w:i/>
          <w:sz w:val="24"/>
          <w:szCs w:val="28"/>
        </w:rPr>
        <w:t>I am conscious of the history of RHUL as a women college, because I give lots of talks about the history for new students. But I don’t understand why Royal Holloway, an institution that was founded so progressively before, has become so conservative now.</w:t>
      </w:r>
      <w:r w:rsidRPr="00AE1FA0">
        <w:rPr>
          <w:rFonts w:ascii="Arial" w:eastAsia="宋体" w:hAnsi="Arial" w:cs="Arial"/>
          <w:sz w:val="24"/>
          <w:szCs w:val="28"/>
        </w:rPr>
        <w:t xml:space="preserve">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 xml:space="preserve">I think the college got it wrong about what is important in the history. They constantly fall back to Emily Wilding Davison, but these histories are nothing to do with the future. And this conservative culture affects the collective mind-set of students and staff.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As argued by Blombäck and Brunninge (2009), organizations select what and how to communicate based on their identities, and historical references can be especially important. However, this is an extreme case, and requires to be carefully contextualized. In fact, the majority of the interviewees regarded this history to be positive to </w:t>
      </w:r>
      <w:proofErr w:type="gramStart"/>
      <w:r w:rsidRPr="00AE1FA0">
        <w:rPr>
          <w:rFonts w:ascii="Arial" w:eastAsia="宋体" w:hAnsi="Arial" w:cs="Arial"/>
          <w:sz w:val="24"/>
          <w:szCs w:val="28"/>
        </w:rPr>
        <w:t>RHUL, and</w:t>
      </w:r>
      <w:proofErr w:type="gramEnd"/>
      <w:r w:rsidRPr="00AE1FA0">
        <w:rPr>
          <w:rFonts w:ascii="Arial" w:eastAsia="宋体" w:hAnsi="Arial" w:cs="Arial"/>
          <w:sz w:val="24"/>
          <w:szCs w:val="28"/>
        </w:rPr>
        <w:t xml:space="preserve"> formed part of their personal pride. Members of the organization do not act upon the organizational history automatically, instead they act based on what they believe. In the case of Founder’s Building, nostalgia was evident in both academic group and students, but other than the nostalgia emerging from the case of Founder’s Building, the understandings of space and its history are also sources for people to ‘fantasise the preferred future’ (Brown and Humphreys, 2006). Compared to the nostalgia discussions, this notion was less clear in this research. As Brown and Starkey (2000) said, buildings can be objects of fantasy. Perhaps the only issue related to the fantasy in Founder’s Building was when interviewees, especially the staff, talked about the continuity of ‘Victorian’. </w:t>
      </w:r>
    </w:p>
    <w:p w:rsidR="00AE1FA0" w:rsidRPr="00AE1FA0" w:rsidRDefault="00AE1FA0" w:rsidP="00AE1FA0">
      <w:pPr>
        <w:spacing w:line="360" w:lineRule="auto"/>
        <w:rPr>
          <w:rFonts w:ascii="Arial" w:eastAsia="Calibri" w:hAnsi="Arial" w:cs="Arial"/>
          <w:sz w:val="24"/>
          <w:szCs w:val="28"/>
          <w:lang w:eastAsia="en-US"/>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Calibri" w:hAnsi="Arial" w:cs="Arial"/>
          <w:sz w:val="24"/>
          <w:szCs w:val="28"/>
          <w:lang w:eastAsia="en-US"/>
        </w:rPr>
        <w:t xml:space="preserve">While the case of Emily Wilding Davison uncovered how the idea of recreating a new historic ‘Victorian’ space is important to maintain the integrity of historical narratives for RHUL, for people working and living in a historic ‘Victorian’ space can lead to restrictions on the level of lived space. For example, a student interviewed mentioned </w:t>
      </w:r>
      <w:r w:rsidRPr="00AE1FA0">
        <w:rPr>
          <w:rFonts w:ascii="Arial" w:eastAsia="Calibri" w:hAnsi="Arial" w:cs="Arial"/>
          <w:sz w:val="24"/>
          <w:szCs w:val="28"/>
          <w:lang w:eastAsia="en-US"/>
        </w:rPr>
        <w:lastRenderedPageBreak/>
        <w:t>how his anticipation of the stricter rules might be placed:</w:t>
      </w:r>
    </w:p>
    <w:p w:rsidR="00AE1FA0" w:rsidRPr="00AE1FA0" w:rsidRDefault="00AE1FA0" w:rsidP="00AE1FA0">
      <w:pPr>
        <w:spacing w:line="360" w:lineRule="auto"/>
        <w:ind w:left="720"/>
        <w:rPr>
          <w:rFonts w:ascii="Arial" w:eastAsia="Calibri" w:hAnsi="Arial" w:cs="Arial"/>
          <w:i/>
          <w:sz w:val="24"/>
          <w:szCs w:val="28"/>
          <w:lang w:eastAsia="en-US"/>
        </w:rPr>
      </w:pPr>
    </w:p>
    <w:p w:rsidR="00AE1FA0" w:rsidRPr="00AE1FA0" w:rsidRDefault="00AE1FA0" w:rsidP="00AE1FA0">
      <w:pPr>
        <w:spacing w:line="360" w:lineRule="auto"/>
        <w:ind w:left="720"/>
        <w:rPr>
          <w:rFonts w:ascii="Arial" w:eastAsia="Calibri" w:hAnsi="Arial" w:cs="Arial"/>
          <w:i/>
          <w:sz w:val="24"/>
          <w:szCs w:val="28"/>
          <w:lang w:eastAsia="en-US"/>
        </w:rPr>
      </w:pPr>
      <w:r w:rsidRPr="00AE1FA0">
        <w:rPr>
          <w:rFonts w:ascii="Arial" w:eastAsia="Calibri" w:hAnsi="Arial" w:cs="Arial"/>
          <w:i/>
          <w:sz w:val="24"/>
          <w:szCs w:val="28"/>
          <w:lang w:eastAsia="en-US"/>
        </w:rPr>
        <w:t>Before I moved into my room, when I saw the Founder’s first in the orientation, I thought it would be a lot stricter if I live in this heritage building, but we have lots of freedom.</w:t>
      </w:r>
    </w:p>
    <w:p w:rsidR="00AE1FA0" w:rsidRPr="00AE1FA0" w:rsidRDefault="00AE1FA0" w:rsidP="00AE1FA0">
      <w:pPr>
        <w:spacing w:line="360" w:lineRule="auto"/>
        <w:ind w:left="720"/>
        <w:rPr>
          <w:rFonts w:ascii="Arial" w:eastAsia="Calibri" w:hAnsi="Arial" w:cs="Arial"/>
          <w:i/>
          <w:sz w:val="24"/>
          <w:szCs w:val="28"/>
          <w:lang w:eastAsia="en-US"/>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Calibri" w:hAnsi="Arial" w:cs="Arial"/>
          <w:sz w:val="24"/>
          <w:szCs w:val="28"/>
          <w:lang w:eastAsia="en-US"/>
        </w:rPr>
        <w:t>Similar sentiment is found in the interview with a member of the academic staff:</w:t>
      </w:r>
    </w:p>
    <w:p w:rsidR="00AE1FA0" w:rsidRPr="00AE1FA0" w:rsidRDefault="00AE1FA0" w:rsidP="00AE1FA0">
      <w:pPr>
        <w:spacing w:line="360" w:lineRule="auto"/>
        <w:rPr>
          <w:rFonts w:ascii="Arial" w:eastAsia="Calibri" w:hAnsi="Arial" w:cs="Arial"/>
          <w:sz w:val="24"/>
          <w:szCs w:val="28"/>
          <w:lang w:eastAsia="en-US"/>
        </w:rPr>
      </w:pPr>
    </w:p>
    <w:p w:rsidR="00AE1FA0" w:rsidRPr="00AE1FA0" w:rsidRDefault="00AE1FA0" w:rsidP="00AE1FA0">
      <w:pPr>
        <w:spacing w:line="360" w:lineRule="auto"/>
        <w:ind w:left="720"/>
        <w:rPr>
          <w:rFonts w:ascii="Arial" w:eastAsia="宋体" w:hAnsi="Arial" w:cs="Arial"/>
          <w:i/>
          <w:sz w:val="24"/>
          <w:szCs w:val="28"/>
        </w:rPr>
      </w:pPr>
      <w:r w:rsidRPr="00AE1FA0">
        <w:rPr>
          <w:rFonts w:ascii="Arial" w:eastAsia="宋体" w:hAnsi="Arial" w:cs="Arial"/>
          <w:i/>
          <w:sz w:val="24"/>
          <w:szCs w:val="28"/>
        </w:rPr>
        <w:t>I find that grandness is a bit intrusive, even now, the college, the way it is represented is hallowed, you feel you cannot lean on the wall, spill your drink, you know, you cannot do anything, I just don’t like it.</w:t>
      </w:r>
    </w:p>
    <w:p w:rsidR="00AE1FA0" w:rsidRPr="00AE1FA0" w:rsidRDefault="00AE1FA0" w:rsidP="00AE1FA0">
      <w:pPr>
        <w:spacing w:line="360" w:lineRule="auto"/>
        <w:ind w:left="720"/>
        <w:rPr>
          <w:rFonts w:ascii="Arial" w:eastAsia="宋体" w:hAnsi="Arial" w:cs="Arial"/>
          <w:i/>
          <w:sz w:val="24"/>
          <w:szCs w:val="28"/>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宋体" w:hAnsi="Arial" w:cs="Arial"/>
          <w:sz w:val="24"/>
          <w:szCs w:val="28"/>
        </w:rPr>
        <w:t xml:space="preserve">In both cases, Founder’s Building is interpreted as more than a historical building, but a historic building where behaviours should be regulated. Even though, in fact, there is no specific rule about it, the link between the impressiveness of the physicality of Founder’s and behaviours within it is made, even on the imagined level. </w:t>
      </w:r>
      <w:r w:rsidRPr="00AE1FA0">
        <w:rPr>
          <w:rFonts w:ascii="Arial" w:eastAsia="Calibri" w:hAnsi="Arial" w:cs="Arial"/>
          <w:sz w:val="24"/>
          <w:szCs w:val="28"/>
          <w:lang w:eastAsia="en-US"/>
        </w:rPr>
        <w:t xml:space="preserve">It should not be forgotten that Founder’s Building is not a historic building by default, the process of ‘becoming historic’ is an evolving process influenced by social attitudes towards the value of the historical building. Here, the categorization as a historic building encourages specific ways of experiencing Founder’s Building, yet simultaneously, discourages how to experience. At the same, for users of Founder’s Building, their experiences will affect how they interpret that fact that Founder’s Building is a historic building, either positively or negatively.  </w:t>
      </w:r>
    </w:p>
    <w:p w:rsidR="00AE1FA0" w:rsidRPr="00AE1FA0" w:rsidRDefault="00AE1FA0" w:rsidP="00AE1FA0">
      <w:pPr>
        <w:spacing w:line="360" w:lineRule="auto"/>
        <w:rPr>
          <w:rFonts w:ascii="Arial" w:eastAsia="宋体" w:hAnsi="Arial" w:cs="Arial"/>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73" w:name="_Toc534732398"/>
      <w:r w:rsidRPr="00AE1FA0">
        <w:rPr>
          <w:rFonts w:ascii="Arial" w:eastAsiaTheme="majorEastAsia" w:hAnsi="Arial" w:cs="Arial"/>
          <w:b/>
          <w:color w:val="000000" w:themeColor="text1"/>
          <w:kern w:val="0"/>
          <w:sz w:val="24"/>
          <w:szCs w:val="24"/>
        </w:rPr>
        <w:t>5.3.2. Alive through persistent physicality of ‘Victorian’</w:t>
      </w:r>
      <w:bookmarkEnd w:id="73"/>
      <w:r w:rsidRPr="00AE1FA0">
        <w:rPr>
          <w:rFonts w:ascii="Arial" w:eastAsiaTheme="majorEastAsia" w:hAnsi="Arial" w:cs="Arial"/>
          <w:b/>
          <w:color w:val="000000" w:themeColor="text1"/>
          <w:kern w:val="0"/>
          <w:sz w:val="24"/>
          <w:szCs w:val="24"/>
        </w:rPr>
        <w:t xml:space="preserve"> </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Having discussed how ‘Victorian’ remains alive in Founder’s Building through gradually becoming a historic space, now I want to turn to another important characteristic embedded in Founder’s Building – its persistent physicality. To further elaborate, I want to introduce a case of how Founder’s Building becomes an impressive space. Here impressiveness was realized through the perceived space, specifically through the physical design and the artefacts. As Image 1 shows, Founder’s Building is an architecturally grand edifice, and it is almost impossible not </w:t>
      </w:r>
      <w:r w:rsidRPr="00AE1FA0">
        <w:rPr>
          <w:rFonts w:ascii="Arial" w:eastAsia="宋体" w:hAnsi="Arial" w:cs="Arial"/>
          <w:sz w:val="24"/>
          <w:szCs w:val="28"/>
        </w:rPr>
        <w:lastRenderedPageBreak/>
        <w:t xml:space="preserve">to be impressed by its scale, its design and its history.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‘Victorian’ was an incomparable era that made the nation prosperous through free trade, and buildings were designed as enduring marks of this prosperity (Heffer, 2013: 729). Therefore ‘Victorian’ buildings were built to parade the achievements, not only of founders, but also of the whole of society, and to impress later generations. The aspiration to parade and to impress was deeply embedded in the concept offender’s Building. Thomas Holloway was determined to create a project impressive of lasting grandeur. During this planning meeting with educational experts and local authorities in 1873, he emphasized that he understand his project could wildly expensive, but he did not regret it as long as it “may hereafter serve as a starting point for someone else to a great deal better”.</w:t>
      </w:r>
      <w:r w:rsidRPr="00AE1FA0">
        <w:rPr>
          <w:rFonts w:ascii="Arial" w:eastAsia="宋体" w:hAnsi="Arial" w:cs="Arial"/>
          <w:sz w:val="24"/>
          <w:szCs w:val="28"/>
          <w:vertAlign w:val="superscript"/>
        </w:rPr>
        <w:footnoteReference w:id="63"/>
      </w:r>
      <w:r w:rsidRPr="00AE1FA0">
        <w:rPr>
          <w:rFonts w:ascii="Arial" w:eastAsia="宋体" w:hAnsi="Arial" w:cs="Arial"/>
          <w:sz w:val="24"/>
          <w:szCs w:val="28"/>
        </w:rPr>
        <w:t xml:space="preserve"> The intention to invest in largest-scale projects as the legacy of wealth is an obvious feature of the ‘Victorian’ era. </w:t>
      </w:r>
    </w:p>
    <w:p w:rsidR="00AE1FA0" w:rsidRPr="00AE1FA0" w:rsidRDefault="00AE1FA0" w:rsidP="00AE1FA0">
      <w:pPr>
        <w:spacing w:line="360" w:lineRule="auto"/>
        <w:rPr>
          <w:rFonts w:ascii="Arial" w:eastAsia="+mn-ea" w:hAnsi="Arial" w:cs="Arial"/>
          <w:kern w:val="24"/>
          <w:sz w:val="24"/>
          <w:szCs w:val="28"/>
          <w:lang w:eastAsia="ja-JP"/>
        </w:rPr>
      </w:pPr>
    </w:p>
    <w:p w:rsidR="00AE1FA0" w:rsidRPr="00AE1FA0" w:rsidRDefault="00AE1FA0" w:rsidP="00AE1FA0">
      <w:pPr>
        <w:widowControl/>
        <w:spacing w:after="160" w:line="360" w:lineRule="auto"/>
        <w:rPr>
          <w:rFonts w:ascii="Arial" w:eastAsia="宋体" w:hAnsi="Arial" w:cs="Arial"/>
          <w:sz w:val="24"/>
          <w:szCs w:val="28"/>
        </w:rPr>
      </w:pPr>
      <w:r w:rsidRPr="00AE1FA0">
        <w:rPr>
          <w:rFonts w:ascii="Arial" w:eastAsia="宋体" w:hAnsi="Arial" w:cs="Arial"/>
          <w:sz w:val="24"/>
          <w:szCs w:val="28"/>
        </w:rPr>
        <w:t xml:space="preserve">In the case of Founder’s Building, its impressiveness was mentioned by almost every interviewee. A similar sentiment is expressed in the reminiscences of previous students and staff in the college archives. What was particularly salient during the research was how users of Founder’s Building frequently attributed the impressiveness they felt about specific artefacts or the physical scale of the building. During this process, they actively materialized their feelings and emotions through making connection to physical aspects of space. It was easier to refer to and describe those concrete things when asked: the fire place, width of the corridor, the stone staircase, the high ceilings and windows. It was noteworthy that although all these physical existences are self-evidently </w:t>
      </w:r>
      <w:proofErr w:type="gramStart"/>
      <w:r w:rsidRPr="00AE1FA0">
        <w:rPr>
          <w:rFonts w:ascii="Arial" w:eastAsia="宋体" w:hAnsi="Arial" w:cs="Arial"/>
          <w:sz w:val="24"/>
          <w:szCs w:val="28"/>
        </w:rPr>
        <w:t>traces</w:t>
      </w:r>
      <w:proofErr w:type="gramEnd"/>
      <w:r w:rsidRPr="00AE1FA0">
        <w:rPr>
          <w:rFonts w:ascii="Arial" w:eastAsia="宋体" w:hAnsi="Arial" w:cs="Arial"/>
          <w:sz w:val="24"/>
          <w:szCs w:val="28"/>
        </w:rPr>
        <w:t xml:space="preserve"> of history, people usually talked about histories rather than describing the objects. In this way, physical objects are the most powerful clues of history, stimulate imagination about the past, and help people to revisit the history but with present interpretations. For instance, when interviewing a staff member working in Founder’s Building, s/he said that:</w:t>
      </w:r>
    </w:p>
    <w:p w:rsidR="00AE1FA0" w:rsidRPr="00AE1FA0" w:rsidRDefault="00AE1FA0" w:rsidP="00AE1FA0">
      <w:pPr>
        <w:spacing w:line="360" w:lineRule="auto"/>
        <w:rPr>
          <w:rFonts w:ascii="Arial" w:eastAsia="Times New Roman" w:hAnsi="Arial" w:cs="Arial"/>
          <w:sz w:val="24"/>
          <w:szCs w:val="28"/>
          <w:lang w:eastAsia="ja-JP"/>
        </w:rPr>
      </w:pPr>
    </w:p>
    <w:p w:rsidR="00AE1FA0" w:rsidRPr="00AE1FA0" w:rsidRDefault="00AE1FA0" w:rsidP="00AE1FA0">
      <w:pPr>
        <w:spacing w:line="360" w:lineRule="auto"/>
        <w:ind w:left="720"/>
        <w:rPr>
          <w:rFonts w:ascii="Arial" w:eastAsia="Times New Roman" w:hAnsi="Arial" w:cs="Arial"/>
          <w:sz w:val="24"/>
          <w:szCs w:val="28"/>
          <w:lang w:eastAsia="ja-JP"/>
        </w:rPr>
      </w:pPr>
      <w:r w:rsidRPr="00AE1FA0">
        <w:rPr>
          <w:rFonts w:ascii="Arial" w:eastAsia="+mn-ea" w:hAnsi="Arial" w:cs="Arial"/>
          <w:i/>
          <w:kern w:val="24"/>
          <w:sz w:val="24"/>
          <w:szCs w:val="28"/>
          <w:lang w:eastAsia="ja-JP"/>
        </w:rPr>
        <w:t xml:space="preserve">You see the fireplace, and when I go to have a coffee in Crosslands </w:t>
      </w:r>
      <w:r w:rsidRPr="00AE1FA0">
        <w:rPr>
          <w:rFonts w:ascii="Arial" w:eastAsia="宋体" w:hAnsi="Arial" w:cs="Arial"/>
          <w:kern w:val="24"/>
          <w:sz w:val="24"/>
          <w:szCs w:val="28"/>
        </w:rPr>
        <w:t>[a café in Founder’s Building]</w:t>
      </w:r>
      <w:r w:rsidRPr="00AE1FA0">
        <w:rPr>
          <w:rFonts w:ascii="Arial" w:eastAsia="+mn-ea" w:hAnsi="Arial" w:cs="Arial"/>
          <w:i/>
          <w:kern w:val="24"/>
          <w:sz w:val="24"/>
          <w:szCs w:val="28"/>
          <w:lang w:eastAsia="ja-JP"/>
        </w:rPr>
        <w:t xml:space="preserve"> and see the quadrangle, they have been there for long time, and you see people enjoy this space. At graduation, if you look at the </w:t>
      </w:r>
      <w:r w:rsidRPr="00AE1FA0">
        <w:rPr>
          <w:rFonts w:ascii="Arial" w:eastAsia="+mn-ea" w:hAnsi="Arial" w:cs="Arial"/>
          <w:i/>
          <w:kern w:val="24"/>
          <w:sz w:val="24"/>
          <w:szCs w:val="28"/>
          <w:lang w:eastAsia="ja-JP"/>
        </w:rPr>
        <w:lastRenderedPageBreak/>
        <w:t>archive, there are lots of documents that principals wrote rules about the way women should sit in the quadrangle. Things like what they should wear, the length of the dress, how to wear the hat, and all these been reminded.</w:t>
      </w:r>
    </w:p>
    <w:p w:rsidR="00AE1FA0" w:rsidRPr="00AE1FA0" w:rsidRDefault="00AE1FA0" w:rsidP="00AE1FA0">
      <w:pPr>
        <w:spacing w:line="360" w:lineRule="auto"/>
        <w:rPr>
          <w:rFonts w:ascii="Arial" w:eastAsia="+mn-ea" w:hAnsi="Arial" w:cs="Arial"/>
          <w:kern w:val="24"/>
          <w:sz w:val="24"/>
          <w:szCs w:val="28"/>
          <w:lang w:eastAsia="ja-JP"/>
        </w:rPr>
      </w:pPr>
    </w:p>
    <w:p w:rsidR="00AE1FA0" w:rsidRPr="00AE1FA0" w:rsidRDefault="00AE1FA0" w:rsidP="00AE1FA0">
      <w:pPr>
        <w:spacing w:line="360" w:lineRule="auto"/>
        <w:rPr>
          <w:rFonts w:ascii="Arial" w:eastAsia="宋体" w:hAnsi="Arial" w:cs="Arial"/>
          <w:kern w:val="24"/>
          <w:sz w:val="24"/>
          <w:szCs w:val="28"/>
        </w:rPr>
      </w:pPr>
      <w:r w:rsidRPr="00AE1FA0">
        <w:rPr>
          <w:rFonts w:ascii="Arial" w:eastAsia="+mn-ea" w:hAnsi="Arial" w:cs="Arial"/>
          <w:kern w:val="24"/>
          <w:sz w:val="24"/>
          <w:szCs w:val="28"/>
          <w:lang w:eastAsia="ja-JP"/>
        </w:rPr>
        <w:t xml:space="preserve">This implies the power of the physicality of space. That is, it is so powerful that it encapsulates various ideas, feelings and values about the space, which then become the statement of an organization.  </w:t>
      </w:r>
      <w:r w:rsidRPr="00AE1FA0">
        <w:rPr>
          <w:rFonts w:ascii="Arial" w:eastAsia="宋体" w:hAnsi="Arial" w:cs="Arial"/>
          <w:kern w:val="24"/>
          <w:sz w:val="24"/>
          <w:szCs w:val="28"/>
        </w:rPr>
        <w:t>Yet the interpretation about a physical artefact changes and evolves continually. In the case of the fireplace mentioned above, its existence evoked the same memory for the students in the 19</w:t>
      </w:r>
      <w:r w:rsidRPr="00AE1FA0">
        <w:rPr>
          <w:rFonts w:ascii="Arial" w:eastAsia="宋体" w:hAnsi="Arial" w:cs="Arial"/>
          <w:kern w:val="24"/>
          <w:sz w:val="24"/>
          <w:szCs w:val="28"/>
          <w:vertAlign w:val="superscript"/>
        </w:rPr>
        <w:t>th</w:t>
      </w:r>
      <w:r w:rsidRPr="00AE1FA0">
        <w:rPr>
          <w:rFonts w:ascii="Arial" w:eastAsia="宋体" w:hAnsi="Arial" w:cs="Arial"/>
          <w:kern w:val="24"/>
          <w:sz w:val="24"/>
          <w:szCs w:val="28"/>
        </w:rPr>
        <w:t xml:space="preserve"> century. What this suggests is the importance of contextualizing feelings and emotions aroused with reference to the social conditions the time they were evoked. </w:t>
      </w:r>
    </w:p>
    <w:p w:rsidR="00AE1FA0" w:rsidRPr="00AE1FA0" w:rsidRDefault="00AE1FA0" w:rsidP="00AE1FA0">
      <w:pPr>
        <w:spacing w:line="360" w:lineRule="auto"/>
        <w:rPr>
          <w:rFonts w:ascii="Arial" w:eastAsia="Calibri" w:hAnsi="Arial" w:cs="Arial"/>
          <w:sz w:val="24"/>
          <w:szCs w:val="28"/>
          <w:lang w:eastAsia="en-US"/>
        </w:rPr>
      </w:pPr>
    </w:p>
    <w:p w:rsidR="00AE1FA0" w:rsidRPr="00AE1FA0" w:rsidRDefault="00AE1FA0" w:rsidP="00AE1FA0">
      <w:pPr>
        <w:spacing w:line="360" w:lineRule="auto"/>
        <w:rPr>
          <w:rFonts w:ascii="Arial" w:eastAsia="Calibri" w:hAnsi="Arial" w:cs="Arial"/>
          <w:sz w:val="24"/>
          <w:szCs w:val="28"/>
          <w:lang w:eastAsia="en-US"/>
        </w:rPr>
      </w:pPr>
      <w:r w:rsidRPr="00AE1FA0">
        <w:rPr>
          <w:rFonts w:ascii="Arial" w:eastAsia="Calibri" w:hAnsi="Arial" w:cs="Arial"/>
          <w:sz w:val="24"/>
          <w:szCs w:val="28"/>
          <w:lang w:eastAsia="en-US"/>
        </w:rPr>
        <w:t xml:space="preserve">On the level of ‘lived experiencing’ of Founder’s Building, there is ample evidence of a consistency between the conception of an impressive space and the lived space. To take just one of very many examples found in the college archive, one maintenance worker in the 1960s said: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ind w:left="720"/>
        <w:rPr>
          <w:rFonts w:ascii="Arial" w:eastAsia="Calibri" w:hAnsi="Arial" w:cs="Arial"/>
          <w:i/>
          <w:sz w:val="24"/>
          <w:szCs w:val="28"/>
          <w:lang w:eastAsia="en-US"/>
        </w:rPr>
      </w:pPr>
      <w:r w:rsidRPr="00AE1FA0">
        <w:rPr>
          <w:rFonts w:ascii="Arial" w:eastAsia="Calibri" w:hAnsi="Arial" w:cs="Arial"/>
          <w:i/>
          <w:sz w:val="24"/>
          <w:szCs w:val="28"/>
          <w:lang w:eastAsia="en-US"/>
        </w:rPr>
        <w:t>I remember telling my wife about my first impressions of the College and I remember saying that when I came through the gates it was just like a fairy castle - and it still does to me. It was to me a fairy castle! A beautiful building.</w:t>
      </w:r>
      <w:r w:rsidRPr="00AE1FA0">
        <w:rPr>
          <w:rFonts w:ascii="Arial" w:eastAsia="Calibri" w:hAnsi="Arial" w:cs="Arial"/>
          <w:i/>
          <w:sz w:val="24"/>
          <w:szCs w:val="28"/>
          <w:vertAlign w:val="superscript"/>
          <w:lang w:eastAsia="en-US"/>
        </w:rPr>
        <w:footnoteReference w:id="64"/>
      </w:r>
    </w:p>
    <w:p w:rsidR="00AE1FA0" w:rsidRPr="00AE1FA0" w:rsidRDefault="00AE1FA0" w:rsidP="00AE1FA0">
      <w:pPr>
        <w:spacing w:line="360" w:lineRule="auto"/>
        <w:rPr>
          <w:rFonts w:ascii="Arial" w:eastAsia="Calibri" w:hAnsi="Arial" w:cs="Arial"/>
          <w:sz w:val="24"/>
          <w:szCs w:val="28"/>
          <w:lang w:eastAsia="en-US"/>
        </w:rPr>
      </w:pPr>
    </w:p>
    <w:p w:rsidR="00AE1FA0" w:rsidRPr="00AE1FA0" w:rsidRDefault="00AE1FA0" w:rsidP="00AE1FA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spacing w:line="360" w:lineRule="auto"/>
        <w:rPr>
          <w:rFonts w:ascii="Arial" w:eastAsia="宋体" w:hAnsi="Arial" w:cs="Arial"/>
          <w:sz w:val="24"/>
          <w:szCs w:val="28"/>
        </w:rPr>
      </w:pPr>
      <w:r w:rsidRPr="00AE1FA0">
        <w:rPr>
          <w:rFonts w:ascii="Arial" w:eastAsia="Calibri" w:hAnsi="Arial" w:cs="Arial"/>
          <w:sz w:val="24"/>
          <w:szCs w:val="28"/>
          <w:lang w:eastAsia="en-US"/>
        </w:rPr>
        <w:t>Whilst this is the most commonly expressed view it was not universally shared; one student calling it “a monstrosity”</w:t>
      </w:r>
      <w:r w:rsidRPr="00AE1FA0">
        <w:rPr>
          <w:rFonts w:ascii="Arial" w:eastAsia="Calibri" w:hAnsi="Arial" w:cs="Arial"/>
          <w:sz w:val="24"/>
          <w:szCs w:val="28"/>
          <w:vertAlign w:val="superscript"/>
          <w:lang w:eastAsia="en-US"/>
        </w:rPr>
        <w:t xml:space="preserve"> </w:t>
      </w:r>
      <w:r w:rsidRPr="00AE1FA0">
        <w:rPr>
          <w:rFonts w:ascii="Arial" w:eastAsia="Calibri" w:hAnsi="Arial" w:cs="Arial"/>
          <w:sz w:val="24"/>
          <w:szCs w:val="28"/>
          <w:vertAlign w:val="superscript"/>
          <w:lang w:eastAsia="en-US"/>
        </w:rPr>
        <w:footnoteReference w:id="65"/>
      </w:r>
      <w:r w:rsidRPr="00AE1FA0">
        <w:rPr>
          <w:rFonts w:ascii="Arial" w:eastAsia="Calibri" w:hAnsi="Arial" w:cs="Arial"/>
          <w:sz w:val="24"/>
          <w:szCs w:val="28"/>
          <w:lang w:eastAsia="en-US"/>
        </w:rPr>
        <w:t xml:space="preserve"> and </w:t>
      </w:r>
      <w:r w:rsidRPr="00AE1FA0">
        <w:rPr>
          <w:rFonts w:ascii="Arial" w:eastAsia="宋体" w:hAnsi="Arial" w:cs="Arial"/>
          <w:sz w:val="24"/>
          <w:szCs w:val="28"/>
        </w:rPr>
        <w:t xml:space="preserve">similar feelings were expressed in the interviews with current users of the Founder’s Building. One academic staff member told me: </w:t>
      </w:r>
    </w:p>
    <w:p w:rsidR="00AE1FA0" w:rsidRPr="00AE1FA0" w:rsidRDefault="00AE1FA0" w:rsidP="00AE1FA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spacing w:line="360" w:lineRule="auto"/>
        <w:ind w:left="420"/>
        <w:rPr>
          <w:rFonts w:ascii="Arial" w:eastAsia="宋体" w:hAnsi="Arial" w:cs="Arial"/>
          <w:i/>
          <w:sz w:val="24"/>
          <w:szCs w:val="28"/>
        </w:rPr>
      </w:pPr>
    </w:p>
    <w:p w:rsidR="00AE1FA0" w:rsidRPr="00AE1FA0" w:rsidRDefault="00AE1FA0" w:rsidP="00AE1FA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spacing w:line="360" w:lineRule="auto"/>
        <w:ind w:leftChars="291" w:left="611"/>
        <w:rPr>
          <w:rFonts w:ascii="Arial" w:eastAsia="宋体" w:hAnsi="Arial" w:cs="Arial"/>
          <w:i/>
          <w:sz w:val="24"/>
          <w:szCs w:val="28"/>
        </w:rPr>
      </w:pPr>
      <w:r w:rsidRPr="00AE1FA0">
        <w:rPr>
          <w:rFonts w:ascii="Arial" w:eastAsia="宋体" w:hAnsi="Arial" w:cs="Arial"/>
          <w:i/>
          <w:sz w:val="24"/>
          <w:szCs w:val="28"/>
        </w:rPr>
        <w:t xml:space="preserve">I think it is </w:t>
      </w:r>
      <w:proofErr w:type="gramStart"/>
      <w:r w:rsidRPr="00AE1FA0">
        <w:rPr>
          <w:rFonts w:ascii="Arial" w:eastAsia="宋体" w:hAnsi="Arial" w:cs="Arial"/>
          <w:i/>
          <w:sz w:val="24"/>
          <w:szCs w:val="28"/>
        </w:rPr>
        <w:t>really impressive</w:t>
      </w:r>
      <w:proofErr w:type="gramEnd"/>
      <w:r w:rsidRPr="00AE1FA0">
        <w:rPr>
          <w:rFonts w:ascii="Arial" w:eastAsia="宋体" w:hAnsi="Arial" w:cs="Arial"/>
          <w:i/>
          <w:sz w:val="24"/>
          <w:szCs w:val="28"/>
        </w:rPr>
        <w:t xml:space="preserve">, but I did not initially think it is beautiful, but a little grotesque, not so subtle, a bit too much, but since I have been here for a while and looked at the details, I don’t feel that anymore, I like it. </w:t>
      </w:r>
    </w:p>
    <w:p w:rsidR="00AE1FA0" w:rsidRPr="00AE1FA0" w:rsidRDefault="00AE1FA0" w:rsidP="00AE1FA0">
      <w:pPr>
        <w:spacing w:line="360" w:lineRule="auto"/>
        <w:rPr>
          <w:rFonts w:ascii="Arial" w:eastAsia="宋体" w:hAnsi="Arial" w:cs="Arial"/>
          <w:sz w:val="24"/>
          <w:szCs w:val="28"/>
        </w:rPr>
      </w:pPr>
    </w:p>
    <w:p w:rsidR="00AE1FA0" w:rsidRPr="00AE1FA0" w:rsidRDefault="00AE1FA0" w:rsidP="00AE1FA0">
      <w:pPr>
        <w:spacing w:line="360" w:lineRule="auto"/>
        <w:rPr>
          <w:rFonts w:ascii="Arial" w:eastAsia="宋体" w:hAnsi="Arial" w:cs="Arial"/>
          <w:sz w:val="24"/>
          <w:szCs w:val="28"/>
        </w:rPr>
      </w:pPr>
      <w:r w:rsidRPr="00AE1FA0">
        <w:rPr>
          <w:rFonts w:ascii="Arial" w:eastAsia="宋体" w:hAnsi="Arial" w:cs="Arial"/>
          <w:sz w:val="24"/>
          <w:szCs w:val="28"/>
        </w:rPr>
        <w:t xml:space="preserve">These two excerpts depicted how impressiveness is a socially constructed concept with varying meanings underpinned, and what is more, how impressiveness is </w:t>
      </w:r>
      <w:r w:rsidRPr="00AE1FA0">
        <w:rPr>
          <w:rFonts w:ascii="Arial" w:eastAsia="宋体" w:hAnsi="Arial" w:cs="Arial"/>
          <w:sz w:val="24"/>
          <w:szCs w:val="28"/>
        </w:rPr>
        <w:lastRenderedPageBreak/>
        <w:t xml:space="preserve">constructed and maintained through the persistent physicality of space. It is the physical objects and appearance of Founder’s Building that contribute to Founder’s Building being a historic ‘Victorian’ space. </w:t>
      </w:r>
    </w:p>
    <w:p w:rsidR="00AE1FA0" w:rsidRPr="00AE1FA0" w:rsidRDefault="00AE1FA0" w:rsidP="00AE1FA0">
      <w:pPr>
        <w:spacing w:line="360" w:lineRule="auto"/>
        <w:rPr>
          <w:rFonts w:ascii="Arial" w:eastAsia="宋体" w:hAnsi="Arial" w:cs="Arial"/>
        </w:rPr>
      </w:pPr>
    </w:p>
    <w:p w:rsidR="00AE1FA0" w:rsidRPr="00AE1FA0" w:rsidRDefault="00AE1FA0" w:rsidP="00AE1FA0">
      <w:pPr>
        <w:keepNext/>
        <w:keepLines/>
        <w:widowControl/>
        <w:spacing w:before="40" w:line="360" w:lineRule="auto"/>
        <w:jc w:val="left"/>
        <w:outlineLvl w:val="1"/>
        <w:rPr>
          <w:rFonts w:ascii="Arial" w:eastAsiaTheme="majorEastAsia" w:hAnsi="Arial" w:cs="Arial"/>
          <w:b/>
          <w:color w:val="000000" w:themeColor="text1"/>
          <w:kern w:val="0"/>
          <w:sz w:val="24"/>
          <w:szCs w:val="26"/>
        </w:rPr>
      </w:pPr>
      <w:bookmarkStart w:id="74" w:name="_Toc534732399"/>
      <w:r w:rsidRPr="00AE1FA0">
        <w:rPr>
          <w:rFonts w:ascii="Arial" w:eastAsiaTheme="majorEastAsia" w:hAnsi="Arial" w:cs="Arial"/>
          <w:b/>
          <w:color w:val="000000" w:themeColor="text1"/>
          <w:kern w:val="0"/>
          <w:sz w:val="24"/>
          <w:szCs w:val="26"/>
        </w:rPr>
        <w:t>Chapter Conclusion</w:t>
      </w:r>
      <w:bookmarkEnd w:id="74"/>
    </w:p>
    <w:p w:rsidR="00AE1FA0" w:rsidRPr="00AE1FA0" w:rsidRDefault="00AE1FA0" w:rsidP="00AE1FA0">
      <w:pPr>
        <w:widowControl/>
        <w:spacing w:after="160" w:line="259" w:lineRule="auto"/>
        <w:jc w:val="left"/>
        <w:rPr>
          <w:rFonts w:ascii="Arial" w:hAnsi="Arial" w:cs="Arial"/>
          <w:kern w:val="0"/>
          <w:sz w:val="22"/>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To conclude this chapter, the aim has been to investigate which parts of history are still present in Founder’s Building, and how their historical implications still exert influence upon experiences with Founder’s Building. The key word for this chapter has been ‘Victorian’, which encapsulates many meanings and values around space. The first sections revisited how ‘Victorian’ become a key discursive term in the history of Founder’s Building and RHUL. In this section, I scrutinized meanings and values embedded in ‘Victorian’ in the conception stage of Founder’s Building, then I moved to how different people in different time periods interpreted and make sense of ‘Victorian’; and more importantly, how their interpretations have interacted with their experience in Founder’s Building. The second section of this chapter centred on the process of Founder’s Building becoming a ‘Victorian’ space. The analysis followed the same logic, which covered conception stage, perception stage and lived experience in Founder’s Building.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However, what this section emphasized particularly was how interpretations of ‘Victorian’ were both localized and personalized. Founder’s Building is not a ‘Victorian’ space in a vacuum that followed social norms and values indiscriminately, instead, its becoming process as a ‘Victorian’ space was a social construction and continues the negotiations with social norms of what ‘Victorian’ should be. T</w:t>
      </w:r>
      <w:bookmarkStart w:id="75" w:name="_Hlk535075114"/>
      <w:r w:rsidRPr="00AE1FA0">
        <w:rPr>
          <w:rFonts w:ascii="Arial" w:eastAsia="宋体" w:hAnsi="Arial" w:cs="Arial"/>
          <w:sz w:val="24"/>
        </w:rPr>
        <w:t xml:space="preserve">he third section addressed how ‘Victorian’ is still alive in the present, and I proposed two plausible explanations. One explanation is that Founder’s Building became a historic space motivating conservation of ‘Victorian’ values. The other explanation was that the nature of persistent physical objects and appearance indeed is helpful for Founder’s Building to remain as a ‘Victorian’ space in the present. </w:t>
      </w:r>
    </w:p>
    <w:bookmarkEnd w:id="75"/>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hint="eastAsia"/>
          <w:sz w:val="24"/>
        </w:rPr>
      </w:pPr>
    </w:p>
    <w:p w:rsidR="00AE1FA0" w:rsidRPr="00AE1FA0" w:rsidRDefault="00AE1FA0" w:rsidP="00AE1FA0">
      <w:pPr>
        <w:keepNext/>
        <w:keepLines/>
        <w:widowControl/>
        <w:spacing w:before="240" w:line="360" w:lineRule="auto"/>
        <w:jc w:val="center"/>
        <w:outlineLvl w:val="0"/>
        <w:rPr>
          <w:rFonts w:ascii="Arial" w:eastAsia="宋体" w:hAnsi="Arial" w:cs="Arial"/>
          <w:color w:val="000000" w:themeColor="text1"/>
          <w:kern w:val="0"/>
          <w:sz w:val="32"/>
          <w:szCs w:val="32"/>
        </w:rPr>
      </w:pPr>
      <w:bookmarkStart w:id="76" w:name="_Toc534732400"/>
      <w:r w:rsidRPr="00AE1FA0">
        <w:rPr>
          <w:rFonts w:ascii="Arial" w:eastAsia="宋体" w:hAnsi="Arial" w:cs="Arial"/>
          <w:color w:val="000000" w:themeColor="text1"/>
          <w:kern w:val="0"/>
          <w:sz w:val="32"/>
          <w:szCs w:val="32"/>
        </w:rPr>
        <w:lastRenderedPageBreak/>
        <w:t>Chapter Six</w:t>
      </w:r>
      <w:bookmarkEnd w:id="76"/>
    </w:p>
    <w:p w:rsidR="00AE1FA0" w:rsidRPr="00AE1FA0" w:rsidRDefault="00AE1FA0" w:rsidP="00AE1FA0">
      <w:pPr>
        <w:widowControl/>
        <w:spacing w:after="160" w:line="259" w:lineRule="auto"/>
        <w:jc w:val="left"/>
        <w:rPr>
          <w:rFonts w:ascii="Arial" w:hAnsi="Arial" w:cs="Arial"/>
          <w:color w:val="000000" w:themeColor="text1"/>
          <w:kern w:val="0"/>
          <w:sz w:val="32"/>
        </w:rPr>
      </w:pPr>
      <w:r w:rsidRPr="00AE1FA0">
        <w:rPr>
          <w:rFonts w:ascii="Arial" w:hAnsi="Arial" w:cs="Arial"/>
          <w:color w:val="000000" w:themeColor="text1"/>
          <w:kern w:val="0"/>
          <w:sz w:val="32"/>
        </w:rPr>
        <w:t xml:space="preserve">Discussion: Reflections on theory, history and method </w:t>
      </w:r>
    </w:p>
    <w:p w:rsidR="00AE1FA0" w:rsidRPr="00AE1FA0" w:rsidRDefault="00AE1FA0" w:rsidP="00AE1FA0">
      <w:pPr>
        <w:widowControl/>
        <w:spacing w:after="160" w:line="259" w:lineRule="auto"/>
        <w:jc w:val="left"/>
        <w:rPr>
          <w:rFonts w:ascii="Arial" w:hAnsi="Arial" w:cs="Arial"/>
          <w:kern w:val="0"/>
          <w:sz w:val="32"/>
        </w:rPr>
      </w:pPr>
    </w:p>
    <w:p w:rsidR="00AE1FA0" w:rsidRPr="00AE1FA0" w:rsidRDefault="00AE1FA0" w:rsidP="00AE1FA0">
      <w:pPr>
        <w:keepNext/>
        <w:keepLines/>
        <w:widowControl/>
        <w:spacing w:before="40" w:line="360" w:lineRule="auto"/>
        <w:jc w:val="left"/>
        <w:outlineLvl w:val="1"/>
        <w:rPr>
          <w:rFonts w:ascii="Arial" w:eastAsia="宋体" w:hAnsi="Arial" w:cs="Arial"/>
          <w:b/>
          <w:color w:val="000000" w:themeColor="text1"/>
          <w:kern w:val="0"/>
          <w:sz w:val="24"/>
          <w:szCs w:val="26"/>
        </w:rPr>
      </w:pPr>
      <w:bookmarkStart w:id="77" w:name="_Toc534732401"/>
      <w:r w:rsidRPr="00AE1FA0">
        <w:rPr>
          <w:rFonts w:ascii="Arial" w:eastAsia="宋体" w:hAnsi="Arial" w:cs="Arial"/>
          <w:b/>
          <w:color w:val="000000" w:themeColor="text1"/>
          <w:kern w:val="0"/>
          <w:sz w:val="24"/>
          <w:szCs w:val="26"/>
        </w:rPr>
        <w:t>Chapter Introduction</w:t>
      </w:r>
      <w:bookmarkEnd w:id="77"/>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The aim of this chapter is to discuss and reflect on the various theoretical and analytical conceptualizations of organizational space developed in this thesis, as well as to reflect on the methodological choice in the empirical case of Founder’s Building. To further investigate, I use this chapter to discuss three dimensions underpinning this thesis, which are theoretical dimension, analytical dimension, and methodological dimension. Though in this chapter treat these dimensions separately they are intermingled, and overlapping perspectives exist widely.</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Theoretical dimension: Theoretically, I conceptualized both organizations and organizational space as becoming processes, in order to historicize both organizations and organizational space. The theoretical foundation for re-conceptualizing organizational space and organization itself is process theory. Hence, in the first section of this chapter, I will reflect on process theory and how it has enabled my approach to Founder’s Building as a becoming process. Specifically, I will focus on how strongly held view of process theory represents a philosophical shift and its implications in studying organizational space. Lefebvre’s theorization of space is another theoretical foundation to the core argument, which re-theorizes space as a social construction and enables attention to the historicity of space.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Analytical dimension: Reflects on doing and writing a Lefebvrian study. I clarified in Chapter Two how these two dimensions are interwoven. Though Lefebvrian theories are theoretical in the way it re-conceptualizes the definition of organizational space, I do not only perceive Lefebvrian theories as abstract theories in my thesis. Therefore, I want to use this section to highlight the insights of Lefebvre’s theories to showcase their potential to be not only a theoretical framework, but also a powerful analytical one. In this section, I will propose the core argument of how I interpret Lefebvre’s theories and indicate how Lefebvre’s triad is an integrated heuristic device. I will also discuss the benefits and challenges of applying Lefebvre’s triad as integrated.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Methodological dimension: The third dimension of this chapter emphasizes methodological choice as a way of reflecting the reflexive twin-track framework I adopted empirically in this thesis. In this section, the main task is twofold: to demonstrate how this framework enabled me to achieve what could not have been achieved if this framework had not been a twin-track; and to demonstrate how this enabled me to show what could not have been shown had this not been a reflexive framework.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keepNext/>
        <w:keepLines/>
        <w:widowControl/>
        <w:numPr>
          <w:ilvl w:val="0"/>
          <w:numId w:val="35"/>
        </w:numPr>
        <w:spacing w:before="40" w:after="160" w:line="360" w:lineRule="auto"/>
        <w:jc w:val="left"/>
        <w:outlineLvl w:val="1"/>
        <w:rPr>
          <w:rFonts w:ascii="Arial" w:eastAsiaTheme="majorEastAsia" w:hAnsi="Arial" w:cs="Arial"/>
          <w:vanish/>
          <w:color w:val="365F91" w:themeColor="accent1" w:themeShade="BF"/>
          <w:kern w:val="0"/>
          <w:sz w:val="26"/>
          <w:szCs w:val="26"/>
        </w:rPr>
      </w:pPr>
      <w:bookmarkStart w:id="78" w:name="_Toc514757841"/>
      <w:bookmarkStart w:id="79" w:name="_Toc534732402"/>
      <w:bookmarkEnd w:id="78"/>
      <w:bookmarkEnd w:id="79"/>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sz w:val="24"/>
          <w:szCs w:val="26"/>
        </w:rPr>
      </w:pPr>
      <w:bookmarkStart w:id="80" w:name="_Toc534732403"/>
      <w:r w:rsidRPr="00AE1FA0">
        <w:rPr>
          <w:rFonts w:ascii="Arial" w:eastAsiaTheme="majorEastAsia" w:hAnsi="Arial" w:cs="Arial"/>
          <w:b/>
          <w:color w:val="000000" w:themeColor="text1"/>
          <w:kern w:val="0"/>
          <w:sz w:val="24"/>
          <w:szCs w:val="26"/>
        </w:rPr>
        <w:t>Reflection on a process worldview</w:t>
      </w:r>
      <w:bookmarkEnd w:id="80"/>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hAnsi="Arial" w:cs="Arial"/>
          <w:kern w:val="0"/>
          <w:sz w:val="24"/>
          <w:szCs w:val="24"/>
        </w:rPr>
        <w:t xml:space="preserve">A process worldview is defined as an approach to study the organizing process rather than substances, in which “activity prioritises over outcome, change over persistence, and becoming over being” (Schultz, 2012: 1). My arguments are shaped by the strong view of process view in this thesis, which is conceptualized by Chia and Langley (2005) as a philosophical shift from entities to processes. Hence the emphasis is placed on evolving phenomena and temporality. Analysis of empirical evidence of the Founder’s Building were governed by this worldview. Lefebvre’s conceived-perceived-lived triad offered one possible way to study how space is a process that emerges, develops, grows and terminates over time. Founder’s Building, therefore, was written as a nuanced story with the assumption that the space is experienced not as a fixed ‘being’, instead, it is ‘becoming’ continually, that is, people experience the space under the influence of evolving social norms. Specifically, I discussed empirical evidence in Founder’s Building in Chapter Four to demonstrate how Founder’s Building is negotiated over time. In Chapter Five, I discussed the historicity of Founder’s Building as a historic ‘Victorian’ space. What these discussions suggest is that the Founder’s Building that we see, and experience now has evolved gradually over time. This understanding positions the Founder’s Building in its timeline with reference to the social implications at different time periods, which nicely exemplifies the possibility of studying organizational space, and organization, with a process worldview. A process worldview is necessary to position spatial studies in a temporal and historical context. Therefore, the first core contribution of adopting process view is that it enables historicizing organizational space and </w:t>
      </w:r>
      <w:r w:rsidRPr="00AE1FA0">
        <w:rPr>
          <w:rFonts w:ascii="Arial" w:hAnsi="Arial" w:cs="Arial"/>
          <w:kern w:val="0"/>
          <w:sz w:val="24"/>
          <w:szCs w:val="24"/>
        </w:rPr>
        <w:lastRenderedPageBreak/>
        <w:t xml:space="preserve">organizations by drawing attention to temporality. </w:t>
      </w:r>
    </w:p>
    <w:p w:rsidR="00AE1FA0" w:rsidRPr="00AE1FA0" w:rsidRDefault="00AE1FA0" w:rsidP="00AE1FA0">
      <w:pPr>
        <w:widowControl/>
        <w:spacing w:after="160" w:line="360" w:lineRule="auto"/>
        <w:rPr>
          <w:rFonts w:ascii="Arial" w:hAnsi="Arial" w:cs="Arial"/>
          <w:b/>
          <w:bCs/>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Once convinced that organizational space should be conceptualized as an ongoing process, a look into the past is necessary and bears the same weight as the present. In Schultz’s (2012: 2) words, processes unfold in time and “human phenomena cannot be adequately understood if time is abstracted away”. Thus, historical turn is introduced to study the past of the organizational space. Without understanding of the past, it is impossible to comprehend the present, and vice versa. If the organizational space is always an unfinished process, the organization itself is also a process evolving continuously. Just as Toyoki (2004) argued, since Hernes abandoned the assumption of ‘boundedness’, it is possible to view the organization as something emergent, unfinished, and amorphous. This assumption enables approaching Founder’s Building from a holistic perspective where both the past evolving spatialization process and the present evolved space can be analysed. Historical turn has another contribution: history is alive in the present rather than history determining the present (Barrett and Srivastval, 1991).  By adopting this orientation, the inquiry into the organizational space is conducted from the perspectives of those who live the space rather than treating histories as background.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Hernes’ work on process worldview is widely cited in organization studies, and my approach to process theory is based on Hernes’ work. Bakken and Hernes (2007) argued that the process view-seeing organization as a process was initiated since the early Greek philosophers in social science, and this view has increasingly influenced recent organization studies. Unlike regarding organizations as bounded systems, as Hernes (2004: 11) claimed, this process view of organization has the advantage that “a continual state of formation of the organization and interaction can be achieved”. Based on this view, not only the emergence of contexts, but the conditions for how the organization is formed and its evolution can be revealed. The process view denotes the shifted emphasis to temporality on organizational study. If situating organizational space in the process view, the assumption of organizational space as a container would be transferred to the actual process of how it is produced and evolved. I want to re-emphasize that Lefebvre’s theorization is also inherently based </w:t>
      </w:r>
      <w:r w:rsidRPr="00AE1FA0">
        <w:rPr>
          <w:rFonts w:ascii="Arial" w:eastAsia="宋体" w:hAnsi="Arial" w:cs="Arial"/>
          <w:kern w:val="0"/>
          <w:sz w:val="24"/>
          <w:szCs w:val="24"/>
        </w:rPr>
        <w:lastRenderedPageBreak/>
        <w:t xml:space="preserve">on a process worldview and this worldview is the centre of spatial turn. Because of the process worldview, interpretations about organizational space become subjective and emergent.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Indeed, spatiality is believed to be narratively constructed, where the interpretations of space depend on the shared memory of people (Decker, 2014). This understanding brings the concept of historicity into the field of organizational space; as suggested by Dilthey (1977), everything and every activity bears the stamp of historicity. That is, although history can be viewed as a product of the past, all actions and interactions carry the past within them. For instance, the presence and use of a space is formed by the histories and habituations, but conversely and simultaneously, the present will reform the histories. Moreover, Elden (2004) argued that Lefebvre emphasized the historicity of space and spatial experience. Lefebvre’s work is a project of spatial history, where space is a tool for the analysis. However, it is important not to misunderstand process worldview as denying the existence of entities. This is especially important in the study of organizational space, where the physicality cannot be reduced, but what is central here is shifting the focus from the entities to the unpacking process of how it is created and recreated. As Schultz (2012) emphasized, the process worldview is not aiming to reduce the complexity, but to acknowledge it. Process worldview therefore acknowledges the existence of the objects but argues that they are constituted by and in relation to other objects in an ongoing process. </w:t>
      </w:r>
    </w:p>
    <w:p w:rsidR="00AE1FA0" w:rsidRPr="00AE1FA0" w:rsidRDefault="00AE1FA0" w:rsidP="00AE1FA0">
      <w:pPr>
        <w:spacing w:line="360" w:lineRule="auto"/>
        <w:rPr>
          <w:rFonts w:ascii="Arial" w:eastAsia="宋体" w:hAnsi="Arial" w:cs="Arial"/>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宋体" w:hAnsi="Arial" w:cs="Arial"/>
          <w:b/>
          <w:color w:val="000000" w:themeColor="text1"/>
          <w:sz w:val="24"/>
          <w:szCs w:val="26"/>
        </w:rPr>
      </w:pPr>
      <w:bookmarkStart w:id="81" w:name="_Toc534732404"/>
      <w:r w:rsidRPr="00AE1FA0">
        <w:rPr>
          <w:rFonts w:ascii="Arial" w:eastAsia="宋体" w:hAnsi="Arial" w:cs="Arial"/>
          <w:b/>
          <w:color w:val="000000" w:themeColor="text1"/>
          <w:sz w:val="24"/>
          <w:szCs w:val="26"/>
        </w:rPr>
        <w:t>Reflection on writing a Lefebvrian study</w:t>
      </w:r>
      <w:bookmarkEnd w:id="81"/>
    </w:p>
    <w:p w:rsidR="00AE1FA0" w:rsidRPr="00AE1FA0" w:rsidRDefault="00AE1FA0" w:rsidP="00AE1FA0">
      <w:pPr>
        <w:spacing w:line="360" w:lineRule="auto"/>
        <w:rPr>
          <w:rFonts w:ascii="Arial" w:eastAsia="宋体" w:hAnsi="Arial" w:cs="Arial"/>
          <w:sz w:val="24"/>
          <w:szCs w:val="24"/>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sz w:val="24"/>
          <w:szCs w:val="24"/>
        </w:rPr>
        <w:t xml:space="preserve">If process theory enabled me to historicize both organizational space and organization itself, what Lefebvre’s theories contributed to this thesis lies in how space should be re-theorized as social construction. This assumption is the foundation underpinning the possibility of applying process theory to organizational space. It is this assumption that shifted emphasis of spatial studies from physical entities to social process, which enables me to blend theories of process worldview and Lefebvrian. Theory blending is emerging as a promising trend in the field of </w:t>
      </w:r>
      <w:r w:rsidRPr="00AE1FA0">
        <w:rPr>
          <w:rFonts w:ascii="Arial" w:eastAsia="宋体" w:hAnsi="Arial" w:cs="Arial"/>
          <w:sz w:val="24"/>
          <w:szCs w:val="24"/>
        </w:rPr>
        <w:lastRenderedPageBreak/>
        <w:t xml:space="preserve">organization studies. In Oswick, Fleming, and Hanlon’s (2011) work on organizational theory building, they propose the concept of theory blending as a new way of thinking about theory development. In their work, they differentiate theory blending from theory borrowing. In my thesis, what this implies is that I do not only borrow theories like process theory and Lefebvrian, the key difference is how to blend them together and lead to new insights on the theoretical level. Specifically, what process theory adds to Lefebvrian studies is attention to historical perspective. The reason is that though historical perspective is emphasized by Lefebvre is his work, in many empirical studies, historical readings of space are still neglected. </w:t>
      </w:r>
      <w:r w:rsidRPr="00AE1FA0">
        <w:rPr>
          <w:rFonts w:ascii="Arial" w:eastAsia="宋体" w:hAnsi="Arial" w:cs="Arial"/>
          <w:kern w:val="0"/>
          <w:sz w:val="24"/>
          <w:szCs w:val="24"/>
        </w:rPr>
        <w:t xml:space="preserve">Even in studies that have </w:t>
      </w:r>
      <w:proofErr w:type="gramStart"/>
      <w:r w:rsidRPr="00AE1FA0">
        <w:rPr>
          <w:rFonts w:ascii="Arial" w:eastAsia="宋体" w:hAnsi="Arial" w:cs="Arial"/>
          <w:kern w:val="0"/>
          <w:sz w:val="24"/>
          <w:szCs w:val="24"/>
        </w:rPr>
        <w:t>looked into</w:t>
      </w:r>
      <w:proofErr w:type="gramEnd"/>
      <w:r w:rsidRPr="00AE1FA0">
        <w:rPr>
          <w:rFonts w:ascii="Arial" w:eastAsia="宋体" w:hAnsi="Arial" w:cs="Arial"/>
          <w:kern w:val="0"/>
          <w:sz w:val="24"/>
          <w:szCs w:val="24"/>
        </w:rPr>
        <w:t xml:space="preserve"> the historical perspective, the emphasis is still centred on the abrupt changes rather than perceiving it as a process. Thus, this section on the one hand is to show the potential of blending theories of process and Lefebvrian theory, and on the other hand, focuses on how to apply blended theories empirically to Founder’s Building. </w:t>
      </w:r>
    </w:p>
    <w:p w:rsidR="00AE1FA0" w:rsidRPr="00AE1FA0" w:rsidRDefault="00AE1FA0" w:rsidP="00AE1FA0">
      <w:pPr>
        <w:spacing w:line="360" w:lineRule="auto"/>
        <w:rPr>
          <w:rFonts w:ascii="Arial" w:eastAsia="宋体" w:hAnsi="Arial" w:cs="Arial"/>
          <w:color w:val="0000FF"/>
          <w:sz w:val="24"/>
          <w:szCs w:val="24"/>
          <w:shd w:val="clear" w:color="auto" w:fill="FFFFFF"/>
        </w:rPr>
      </w:pPr>
    </w:p>
    <w:p w:rsidR="00AE1FA0" w:rsidRPr="00AE1FA0" w:rsidRDefault="00AE1FA0" w:rsidP="00AE1FA0">
      <w:pPr>
        <w:keepNext/>
        <w:keepLines/>
        <w:widowControl/>
        <w:spacing w:before="40" w:line="360" w:lineRule="auto"/>
        <w:jc w:val="left"/>
        <w:outlineLvl w:val="2"/>
        <w:rPr>
          <w:rFonts w:ascii="Arial" w:eastAsia="宋体" w:hAnsi="Arial" w:cs="Arial"/>
          <w:b/>
          <w:color w:val="000000" w:themeColor="text1"/>
          <w:kern w:val="0"/>
          <w:sz w:val="24"/>
          <w:szCs w:val="24"/>
        </w:rPr>
      </w:pPr>
      <w:bookmarkStart w:id="82" w:name="_Toc534732405"/>
      <w:r w:rsidRPr="00AE1FA0">
        <w:rPr>
          <w:rFonts w:ascii="Arial" w:eastAsia="宋体" w:hAnsi="Arial" w:cs="Arial"/>
          <w:b/>
          <w:color w:val="000000" w:themeColor="text1"/>
          <w:kern w:val="0"/>
          <w:sz w:val="24"/>
          <w:szCs w:val="24"/>
        </w:rPr>
        <w:t>6.2.1. Lefebvre’s triad as an integrated heuristic device</w:t>
      </w:r>
      <w:bookmarkEnd w:id="82"/>
      <w:r w:rsidRPr="00AE1FA0">
        <w:rPr>
          <w:rFonts w:ascii="Arial" w:eastAsia="宋体" w:hAnsi="Arial" w:cs="Arial"/>
          <w:b/>
          <w:color w:val="000000" w:themeColor="text1"/>
          <w:kern w:val="0"/>
          <w:sz w:val="24"/>
          <w:szCs w:val="24"/>
        </w:rPr>
        <w:t xml:space="preserve">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What I plan to highlight first in this section is how I analysed empirical evidence about Founder’s Building based on my readings of Lefebvre, and how I understand the essence of Lefebvre’s triad. As this sub-section title suggests, what was central to the analysis process was regarding the triad as an integrated heuristic device, facilitating the understandings of not only Founder’s Building, but also the organization and wider society. Particularly, in the analysis process, I chose not only to utilize the triad as an abstract and typological technique to separate the empirical evidence. The empirical evidence was not analysed in a way that each triadic element was separated, quite opposite, they were intermingled. By analysing in this way, it was therefore possible to fully exploit the potential of the triad as an innovative and powerful tool. Treating the triad as integrated has theoretical foundations inherently embedded in Lefebvre’s understandings of how to analyse space. However, most studies based on Lefebvre’s triad still tend to perceive the triad as a typological technique guiding the collection and analysis of empirical evidence; for instance, Peltonen’s (2011) research on the making process of a Finnish university, in which the triad was applied to categorize the empirical evidence collected, was followed by </w:t>
      </w:r>
      <w:r w:rsidRPr="00AE1FA0">
        <w:rPr>
          <w:rFonts w:ascii="Arial" w:eastAsia="宋体" w:hAnsi="Arial" w:cs="Arial"/>
          <w:kern w:val="0"/>
          <w:sz w:val="24"/>
          <w:szCs w:val="24"/>
        </w:rPr>
        <w:lastRenderedPageBreak/>
        <w:t xml:space="preserve">analysis of each triadic element separately. Some other studies have selected one element in the triad as a tool to explain the empirical phenomenon, such as in Tyler and Cohen’s (2010) study on gender performativity and organizational space, in which they used one element in Lefebvre’s triad, lived space, for analysis.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If accomplishing analysis strictly based on the triad, that is, by analysing the empirical evidence separately based on which category it belongs to, it would be dangerous to overlook the most important issue stressed by Lefebvre – temporality and history. As Elden (2004) interpreted, what differentiated Lefebvre’s thought from others was that he not only assumed that space is socially produced, but also historically shaped; vice versa, he also believed that history was spatially shaped. Lefebvre (2004) emphasized that his analysis was both social and historical, and both were equally important. Specifically, his understanding of history is not linear but more </w:t>
      </w:r>
      <w:proofErr w:type="gramStart"/>
      <w:r w:rsidRPr="00AE1FA0">
        <w:rPr>
          <w:rFonts w:ascii="Arial" w:eastAsia="宋体" w:hAnsi="Arial" w:cs="Arial"/>
          <w:kern w:val="0"/>
          <w:sz w:val="24"/>
          <w:szCs w:val="24"/>
        </w:rPr>
        <w:t>similar to</w:t>
      </w:r>
      <w:proofErr w:type="gramEnd"/>
      <w:r w:rsidRPr="00AE1FA0">
        <w:rPr>
          <w:rFonts w:ascii="Arial" w:eastAsia="宋体" w:hAnsi="Arial" w:cs="Arial"/>
          <w:kern w:val="0"/>
          <w:sz w:val="24"/>
          <w:szCs w:val="24"/>
        </w:rPr>
        <w:t xml:space="preserve"> </w:t>
      </w:r>
      <w:r w:rsidRPr="00AE1FA0">
        <w:rPr>
          <w:rFonts w:ascii="Arial" w:eastAsia="宋体" w:hAnsi="Arial" w:cs="Arial"/>
          <w:sz w:val="24"/>
          <w:szCs w:val="24"/>
        </w:rPr>
        <w:t>Nietzschean</w:t>
      </w:r>
      <w:r w:rsidRPr="00AE1FA0">
        <w:rPr>
          <w:rFonts w:ascii="Arial" w:eastAsia="宋体" w:hAnsi="Arial" w:cs="Arial"/>
          <w:kern w:val="0"/>
          <w:sz w:val="24"/>
          <w:szCs w:val="24"/>
        </w:rPr>
        <w:t xml:space="preserve"> sense of change and cycles.  Hence in this thesis, I used Founder’s Building as a case study, to look for the opportunity to analyse the space as historically constructed. From what had been empirically discovered, it was possible to apply the triad as an integrated device; as Watkins (2006) argued, only if considering these three elements of the triad as integrated is it possible to surface the true potential of Lefebvre’s thought. In the next section, I will revisit each element of the triad to reveal how they are inherently intermingled both on theoretical and empirical levels.</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keepNext/>
        <w:keepLines/>
        <w:widowControl/>
        <w:spacing w:before="40" w:line="360" w:lineRule="auto"/>
        <w:jc w:val="left"/>
        <w:outlineLvl w:val="2"/>
        <w:rPr>
          <w:rFonts w:ascii="Arial" w:eastAsia="宋体" w:hAnsi="Arial" w:cs="Arial"/>
          <w:b/>
          <w:color w:val="000000" w:themeColor="text1"/>
          <w:kern w:val="0"/>
          <w:sz w:val="24"/>
          <w:szCs w:val="24"/>
        </w:rPr>
      </w:pPr>
      <w:bookmarkStart w:id="83" w:name="_Toc534732406"/>
      <w:r w:rsidRPr="00AE1FA0">
        <w:rPr>
          <w:rFonts w:ascii="Arial" w:eastAsia="宋体" w:hAnsi="Arial" w:cs="Arial"/>
          <w:b/>
          <w:color w:val="000000" w:themeColor="text1"/>
          <w:kern w:val="0"/>
          <w:sz w:val="24"/>
          <w:szCs w:val="24"/>
        </w:rPr>
        <w:t>6.2.2. What historicity adds to Lefebvre’s work</w:t>
      </w:r>
      <w:bookmarkEnd w:id="83"/>
    </w:p>
    <w:p w:rsidR="00AE1FA0" w:rsidRPr="00AE1FA0" w:rsidRDefault="00AE1FA0" w:rsidP="00AE1FA0">
      <w:pPr>
        <w:widowControl/>
        <w:spacing w:after="160" w:line="259" w:lineRule="auto"/>
        <w:jc w:val="left"/>
        <w:rPr>
          <w:kern w:val="0"/>
          <w:sz w:val="22"/>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In this thesis, I have conceptualised and interpreted the histories of Founder’s Building and RHUL based on the assumptions of the New Historicism, and the concept of historicity is applied to understand relevant phenomena in history. As argued in Chapter Two, the introduction of the New Historicism is consistent with my conceptualisation of organizational space as well as organisations as social constructions. More importantly, this understanding of history and organisation is congruent with Lefebvre’s theorisation of organizational space inherently. The most important assumption of the Lefebvrian understanding of space is that it is a social </w:t>
      </w:r>
      <w:r w:rsidRPr="00AE1FA0">
        <w:rPr>
          <w:rFonts w:ascii="Arial" w:eastAsia="宋体" w:hAnsi="Arial" w:cs="Arial"/>
          <w:kern w:val="0"/>
          <w:sz w:val="24"/>
          <w:szCs w:val="24"/>
        </w:rPr>
        <w:lastRenderedPageBreak/>
        <w:t xml:space="preserve">product (Lefebvre, 1991). His theories of space and organisations shifted the focus from ‘things in space’ to the ‘production of space’ (Merrifield, 2000: 172). The reason behind this is that both Lefebvre’s theories and the New Historicism, alternatively both spatial turn and historical turn, emerged from the rise of the linguistic turn. It is the linguistic turn that problematised that dominance of the singular and absolute representations of reality (Durepos, Mills and Weatherbee, 2012: 270). Just as the Lefebvrian theorisation of organisational space criticised the reduction of space to mere objects, physical and imaginary, the New Historicism challenged the objectivity of historical evidence. Consequently, this thesis seeks to contribute to the study of organisational space in space by re-conceptualising both organisational space and history as social constructions. What this reconceptualisation brings to the study of the Founder’s Building and RHUL is twofold. On the one hand, the New Historicism acknowledges the importance of single voices and interpretations (Gallagher and Greenblatt, 2000). In other words, the history of the Founder’s Building is no longer restricted to the collective level, such as the organisational level or national level. What this emphasise is that history should be approached as possibilities rather than objective facts. On the other hand, this problematised the dominant position of the researcher and enabled me to approach the Founder’s Building and relevant empirical materials in a reflexive way. As Tosh (2009) argued, historians are not the owners of history, but selectors who can make diverse choices regarding the language, writing style and sources of history. Thus, as clarified in the discussions of the research method, subscribing to the New Historicism and historicity helped me to analyse the sources of the Founder’s Building in history in a more critical manner and reminded me to reflect on my own influence and standpoint during the analysis process.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Much of the empirical evidence about the Founder’s Building case demonstrates how the New Historicism and historicity are beneficial for these two perspectives. As a case in point, I discussed the concepts of ‘freedom’ and ‘restrictions’ in case when the users of the Founder’s Building, students and staff, described their experiences of the Founder’s Building. When comparing the present users’ experiences and interpretations of ‘freedom’ and ‘restrictions’, the New Historicism indeed freed my analysis from a single voice, such as defining ‘freedom’, and ‘restrictions’ based on </w:t>
      </w:r>
      <w:r w:rsidRPr="00AE1FA0">
        <w:rPr>
          <w:rFonts w:ascii="Arial" w:eastAsia="宋体" w:hAnsi="Arial" w:cs="Arial"/>
          <w:kern w:val="0"/>
          <w:sz w:val="24"/>
          <w:szCs w:val="24"/>
        </w:rPr>
        <w:lastRenderedPageBreak/>
        <w:t xml:space="preserve">the present users’ views. Also, I was cautious about my own view of ‘freedom’ when analysing and tried to be attentive to what individuals described based on their own experience and perspective. Therefore, in previous discussions, I ascribed different interpretations of language, ‘freedom’ and ‘restrictions’, to social mutability and how these differences are enacted in space. It is the New Historicism that enabled me to reject this objectivity within language and experience. Other examples, such as different meanings of ‘middle class’ and ‘Ladies’ College’, can be found in Chapter Four. The whole of Chapter Five is indeed built up on the subjectivity of the ‘Victorian’ meanings for different people at different times.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Historicity further enriched the analysis of the Founder’s Building and history of RHUL in a different way. It is the concept of historicity that made it possible to explore the interaction between the past and present. This understanding is also based on the New Historicism that emphasised on social construction and process of history. However, as Hernes (2000) stressed, historicity highlights how the past and present interact over time. Many empirical examples have shown how historical imprints make an impact, such as the size of the resident rooms for students. In Chapter Four, I discussed how different sized bedrooms in the Founder’s Building were interpreted and influenced by the social norms at different times. Another evident example is about resistance, such as the students’ resistance to the regulations and rules in the Founder’s Building during the ‘Victorian’ period and in the present, which suggests that experience in space is an ongoing process of negotiation and resistance. This and similar analyses are supported by the concept of historicity, too. In fact, the most important contribution of historicity to the study of space is that it sensitises the ongoing constructions of the past and present. Thus, incorporating historicity not only acknowledges the plurality of the past, but also stresses the plurality of the present. As Zeitlyn (2015: 388) emphasised, “the present is that in which the representation or meaning of the past and future are continually altered” in the case of the Founder’s Building in this thesis.</w:t>
      </w:r>
    </w:p>
    <w:p w:rsidR="00AE1FA0" w:rsidRPr="00AE1FA0" w:rsidRDefault="00AE1FA0" w:rsidP="00AE1FA0">
      <w:pPr>
        <w:widowControl/>
        <w:spacing w:after="160" w:line="259" w:lineRule="auto"/>
        <w:jc w:val="left"/>
        <w:rPr>
          <w:kern w:val="0"/>
          <w:sz w:val="22"/>
        </w:rPr>
      </w:pPr>
    </w:p>
    <w:p w:rsidR="00AE1FA0" w:rsidRPr="00AE1FA0" w:rsidRDefault="00AE1FA0" w:rsidP="00AE1FA0">
      <w:pPr>
        <w:keepNext/>
        <w:keepLines/>
        <w:widowControl/>
        <w:spacing w:before="40" w:line="360" w:lineRule="auto"/>
        <w:jc w:val="left"/>
        <w:outlineLvl w:val="2"/>
        <w:rPr>
          <w:rFonts w:ascii="Arial" w:eastAsia="宋体" w:hAnsi="Arial" w:cs="Arial"/>
          <w:b/>
          <w:color w:val="000000" w:themeColor="text1"/>
          <w:kern w:val="0"/>
          <w:sz w:val="24"/>
          <w:szCs w:val="24"/>
        </w:rPr>
      </w:pPr>
      <w:bookmarkStart w:id="84" w:name="_Toc534732407"/>
      <w:r w:rsidRPr="00AE1FA0">
        <w:rPr>
          <w:rFonts w:ascii="Arial" w:eastAsia="宋体" w:hAnsi="Arial" w:cs="Arial"/>
          <w:b/>
          <w:color w:val="000000" w:themeColor="text1"/>
          <w:kern w:val="0"/>
          <w:sz w:val="24"/>
          <w:szCs w:val="24"/>
        </w:rPr>
        <w:t>6.2.3. How the triad is integrated</w:t>
      </w:r>
      <w:bookmarkEnd w:id="84"/>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lastRenderedPageBreak/>
        <w:t xml:space="preserve">In order to answer the question how space is produced, Lefebvre constructed a heuristic device, called a spatial triad. This triad is doubly designated. On one level, it refers to the triad of spatial practice, representations of space, and spaces of representations. On the other level, it refers to the triad of perceived, conceived and lived space. These two levels are parallel, indicating the twofold approach to studying space: one is phenomenological, the other linguistic (Schmid, 2008). The triad consists of three forms of social space: spatial practices being perceived, representations of space being conceived, and spaces of representations being lived (Van Ingen, 2003). Lefebvre (1991) specified in </w:t>
      </w:r>
      <w:r w:rsidRPr="00AE1FA0">
        <w:rPr>
          <w:rFonts w:ascii="Arial" w:eastAsia="宋体" w:hAnsi="Arial" w:cs="Arial"/>
          <w:i/>
          <w:kern w:val="0"/>
          <w:sz w:val="24"/>
          <w:szCs w:val="28"/>
        </w:rPr>
        <w:t>Production of Space</w:t>
      </w:r>
      <w:r w:rsidRPr="00AE1FA0">
        <w:rPr>
          <w:rFonts w:ascii="Arial" w:eastAsia="宋体" w:hAnsi="Arial" w:cs="Arial"/>
          <w:kern w:val="0"/>
          <w:sz w:val="24"/>
          <w:szCs w:val="28"/>
        </w:rPr>
        <w:t xml:space="preserve">, that these three forms were inseparable.  Lefebvre (1991: 33) believed that conceived space dominated society because it “tied to the relations of production and to the ‘order’ which those relations impose, and hence to knowledge, to signs, to codes, and to frontal relation”. Conceived space refers to the conceptualization of the space, usually credited to the contributions of planners, engineers and architects. This explains why only the contributions of the architect and the founder were emphasized in the official history of Founder’s Building and RHUL, which can be viewed on the websites or read in the print publicity. This kind of history was also internalized by the users of Founder’s Building to a large extent. For instance, when asked during the interview about the history of RHUL, the founder, Thomas Holloway was mentioned by all the interviewees. Soja (1996) explains that conceived space imposes its power through knowledge, signs and codes and finally controls spatial knowledge. If applying a Foucauldian term, it is the “dominant discourses of space in a given society” (Simonsen, 2005: 6).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In the case of Founder’s Building, this kind of power was firstly realized through naming the building after its founder, Thomas Holloway. This power is long-lasting and difficult to change because of its foundational position.  However, it is not to suggest that conceived space in Founder’s Building is static: on the contrary, it is always in a process of becoming. But by understanding the power of conceived space, it is possible to explain why some changes are difficult to achieve. To give an example, one department was recently asked to move out of Founder’s Building, which caused anxiety and dissatisfaction for the staff. Even for the interviewees who currently work in Founder’s Building, once asked about the possibility that they might </w:t>
      </w:r>
      <w:r w:rsidRPr="00AE1FA0">
        <w:rPr>
          <w:rFonts w:ascii="Arial" w:eastAsia="宋体" w:hAnsi="Arial" w:cs="Arial"/>
          <w:kern w:val="0"/>
          <w:sz w:val="24"/>
          <w:szCs w:val="28"/>
        </w:rPr>
        <w:lastRenderedPageBreak/>
        <w:t xml:space="preserve">move out as well, a large majority were hostile to that. Here, if rethinking the fact that Founder’s Building was originally conceived and still maintained as an educational space, it might explain why people became hostile to such a decision. From its beginning, Founder’s Building has always been used by both students and staff together. Moreover, this sense of being a close-knit community has been promoted as a unique selling point RHUL’s marketing. Yet, as Founder’s Building is no longer a self-contained space, the understandings of the meaning of ‘close-knit community’ differ. ‘Close-knit community’ may describe campus life in the prospectus, but for many staff, it would not be a close-knit community if they </w:t>
      </w:r>
      <w:proofErr w:type="gramStart"/>
      <w:r w:rsidRPr="00AE1FA0">
        <w:rPr>
          <w:rFonts w:ascii="Arial" w:eastAsia="宋体" w:hAnsi="Arial" w:cs="Arial"/>
          <w:kern w:val="0"/>
          <w:sz w:val="24"/>
          <w:szCs w:val="28"/>
        </w:rPr>
        <w:t>have to</w:t>
      </w:r>
      <w:proofErr w:type="gramEnd"/>
      <w:r w:rsidRPr="00AE1FA0">
        <w:rPr>
          <w:rFonts w:ascii="Arial" w:eastAsia="宋体" w:hAnsi="Arial" w:cs="Arial"/>
          <w:kern w:val="0"/>
          <w:sz w:val="24"/>
          <w:szCs w:val="28"/>
        </w:rPr>
        <w:t xml:space="preserve"> move to other buildings. What this indicates is how powerful conceived space is and how long-lasting its influence can be.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The power of conceived space is impossible to enact without the spatial practices being perceived, that is, the materiality of space. To return to the sense of close-knit community again, ever since Founder’s Building came into being, ensuring the safety of ‘Victorian’ girls meant its space were designed in a multi-functional style, so anyone living there in a true sense were self-sufficient without going out. This conception has been maintained until now: inhabitants have catering facilities, a health centre, meeting rooms, a lecture theatre, offices, residents’ rooms and a religious space. Hence, even though Founder’s Building may no longer be an enclosed space, its perceived space encourages and fosters the experience of it being enclosed. The physical layout of Founder’s Building continued to exist a on conceived, perceived and lived levels. And the persistency of its physicality further helps to ensure the continuity and cohesion in social configurations (Simonsen, 2005).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Without doubt the interior designs have over time undergone massive change, but Founder’s Building was conceived as an educational space and changes on the spatial level ensure it remains an educational space. To take the example of the facilities in the lecture theatre, though blackboards were replaced by interactive whiteboards, the function remains the same – as does the auditorium style with lecturers being central, both physically and psychologically.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It should be emphasized that everyday routines and movement are part of Lefebvre’s understanding of space and are largely influenced by its physicality (Van Ingen, 2003); and it is perceived space that acts as a mediator between the conceived and lived space. However, Lefebvre’s work on space is vague about how precisely it mediates. (Simonsen, 2005). In the case of Founder’s Building, I have discovered that perceived space can remind users how particular space was conceived and encourages them to experience it in the way it was originally designed. During my interviewing I found out from library staff that students tend to work more quietly in the Founder’s Building’s library because the historical atmosphere and the old furniture creates a solemn feeling which make them behave in a manner that respects the space. Yet it should be emphasized that during this process, the users are not passive recipients, instead, they actively interpret, evaluate, and act. It is also because of their action, that the solemn feeling can be maintained. Van Ingen (2003: 204) interpreted the lived space as a “combination of all spaces simultaneously and generates what Lynn Stewart describes as local forms of knowing, that are geographically and historically contingent and which are the result of socially specific spatial practices”. Lived space is the space users experience every day. It can explain the ‘clandestine’ side of a society and why rules are not obeyed (Merrifield, 2000).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One typical example of clandestine behaviour is shown in the analysis of the tunnel in the section on Founder’s Building as a negotiated space. The tunnel was designed to reinforce the separate-sphere conception, whereas it was sometimes used to hide boyfriends. Here, the tunnel itself as a perceived space worked as a mediator enabling this conception to be bypassed. So, unlike in the previous example of Founder’s library, perceived space here is an enabler to escape from conceived space. This is due to the dynamic nature of the lived space, where users make sense of conceived and perceived space actively and unconsciously. During this process, counter space can also emerge. Counter space is the dynamic space that are counter-hegemonic social space enabling alternative interpretations (Van Ingen, 2003). Empirical examples in the case of Founder’s Building can be found in Chapter </w:t>
      </w:r>
      <w:r w:rsidRPr="00AE1FA0">
        <w:rPr>
          <w:rFonts w:ascii="Arial" w:eastAsia="宋体" w:hAnsi="Arial" w:cs="Arial"/>
          <w:kern w:val="0"/>
          <w:sz w:val="24"/>
          <w:szCs w:val="28"/>
        </w:rPr>
        <w:lastRenderedPageBreak/>
        <w:t xml:space="preserve">Four, where I discuss how the idea of Founder’s Building as a separate-sphered was negotiated and challenged. </w:t>
      </w:r>
    </w:p>
    <w:p w:rsidR="00AE1FA0" w:rsidRPr="00AE1FA0" w:rsidRDefault="00AE1FA0" w:rsidP="00AE1FA0">
      <w:pPr>
        <w:widowControl/>
        <w:spacing w:after="160" w:line="360" w:lineRule="auto"/>
        <w:rPr>
          <w:rFonts w:ascii="Arial" w:eastAsia="宋体" w:hAnsi="Arial" w:cs="Arial"/>
          <w:b/>
          <w:color w:val="000000" w:themeColor="text1"/>
          <w:kern w:val="0"/>
          <w:sz w:val="24"/>
          <w:szCs w:val="28"/>
        </w:rPr>
      </w:pPr>
    </w:p>
    <w:p w:rsidR="00AE1FA0" w:rsidRPr="00AE1FA0" w:rsidRDefault="00AE1FA0" w:rsidP="00AE1FA0">
      <w:pPr>
        <w:keepNext/>
        <w:keepLines/>
        <w:widowControl/>
        <w:spacing w:before="40" w:line="360" w:lineRule="auto"/>
        <w:jc w:val="left"/>
        <w:outlineLvl w:val="2"/>
        <w:rPr>
          <w:rFonts w:ascii="Arial" w:eastAsia="宋体" w:hAnsi="Arial" w:cs="Arial"/>
          <w:b/>
          <w:color w:val="000000" w:themeColor="text1"/>
          <w:kern w:val="0"/>
          <w:sz w:val="24"/>
          <w:szCs w:val="24"/>
        </w:rPr>
      </w:pPr>
      <w:bookmarkStart w:id="85" w:name="_Toc534732408"/>
      <w:r w:rsidRPr="00AE1FA0">
        <w:rPr>
          <w:rFonts w:ascii="Arial" w:eastAsia="宋体" w:hAnsi="Arial" w:cs="Arial"/>
          <w:b/>
          <w:color w:val="000000" w:themeColor="text1"/>
          <w:kern w:val="0"/>
          <w:sz w:val="24"/>
          <w:szCs w:val="24"/>
        </w:rPr>
        <w:t>6.2.4. Benefits and challenges to regard the triad as integrated</w:t>
      </w:r>
      <w:bookmarkEnd w:id="85"/>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From the previous section, it is now evident that the three elements of Lefebvre’s triad are intermingled. According to Merrifield (2000), Lefebvre believed that the relationship between the conceived-lived-perceived is not ever stable and is determined by the historical attributes. This can result in both benefits and challenges to approaching the triad as an integrative device. First, once shifted away from the insights on time, the historical dimension cannot be overlooked. Based on the analysis of findings in the previous chapter, it is plausible that by bringing the historical perspective to the spatial study, Lefebvre’s triad worked much more effectively in explaining the empirical evidence. A case in point, the discussion of the experience with Picture Gallery in Founder’s Building. Without positioning the changed ways of experiencing in the specific historical setting, it would be impossible to unpack how the present style of experience being gradually developed as it is now. During this process, perceived space remained relatively stable compared to the conceived space, in which the conception of the Picture Gallery is no longer only to fulfil socializing purpose. Now, apart from the educational purpose, it is also conceived by RHUL as a revenue-generating asset, where the conferences and events are carefully managed by the Conference team of RHUL.</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Besides the benefits mentioned above, the triad as a preliminary concept also poses challenges in applying it to organization studies. Firstly, because of the integrated nature of the triad, it is insufficient to study only one element of it; all three elements must be examined together. To do this, multiple types of empirical evidence are required. As I developed in the methodology chapter, because of the way I interpreted Lefebvre’s triad with the focus on historical perspective, the twin-track method was applied. One track of it was to collect archival evidence, to understand the conception of Founder’s Building and to identify from the reminiscences of previous students and staff how they experience this. The other track was to conduct interviews with present </w:t>
      </w:r>
      <w:r w:rsidRPr="00AE1FA0">
        <w:rPr>
          <w:rFonts w:ascii="Arial" w:eastAsia="宋体" w:hAnsi="Arial" w:cs="Arial"/>
          <w:kern w:val="0"/>
          <w:sz w:val="24"/>
          <w:szCs w:val="28"/>
        </w:rPr>
        <w:lastRenderedPageBreak/>
        <w:t xml:space="preserve">users to find out how they make sense and of Founder’s Building and experience it. Perceived space necessitates the observation of the present and the exploration of relevant details from textual description or visual evidence held in the archive. The second challenge is to interpret the empirical evidence. Instead of the content, Lefebvrian studies centre on the use of language. Hence, the aim of the analysis process is not to describe what is happening and what happened, but to explain how it become a process. During this process, perception is a central concept, i.e., how people perceive an image, an event, or a space (Schmid, 2008).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Another challenge, usually seen as the critique of Lefebvre’s triad, is the historical nature of his analysis. Lefebvre also demonstrated (1991: 113) in his book that “it is never easy to get back from the object [the present space] to the activity that produced and/or created it”. My interpretation or response to that is that it is impossible to get back to the past and reconstruct the history. But even if it is impossible, it does not negate the importance of a historical perspective. Indeed, the purpose of historical studies should not be restricted to reconstruct history. The belief that historians can reconstruct what happened in the past is the underpinning assumption of traditional Historicism, but in this thesis, I subscribed to New Historicism and the concept of historicity as the guide to understanding and analysing historical realities. As scrutinized in the section on social past in the chapter on literature review, New Historicism problematizes the objectivity of historical realities, and stresses that reconstructing histories is neither possible nor should it be the aim for historians. </w:t>
      </w:r>
    </w:p>
    <w:p w:rsidR="00AE1FA0" w:rsidRPr="00AE1FA0" w:rsidRDefault="00AE1FA0" w:rsidP="00AE1FA0">
      <w:pPr>
        <w:widowControl/>
        <w:spacing w:after="160" w:line="360" w:lineRule="auto"/>
        <w:rPr>
          <w:rFonts w:ascii="Arial" w:eastAsia="宋体" w:hAnsi="Arial" w:cs="Arial"/>
          <w:kern w:val="0"/>
          <w:sz w:val="28"/>
          <w:szCs w:val="28"/>
        </w:rPr>
      </w:pPr>
      <w:r w:rsidRPr="00AE1FA0">
        <w:rPr>
          <w:rFonts w:ascii="Arial" w:eastAsia="宋体" w:hAnsi="Arial" w:cs="Arial"/>
          <w:kern w:val="0"/>
          <w:sz w:val="28"/>
          <w:szCs w:val="28"/>
        </w:rPr>
        <w:t xml:space="preserve"> </w:t>
      </w: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86" w:name="_Toc534732409"/>
      <w:r w:rsidRPr="00AE1FA0">
        <w:rPr>
          <w:rFonts w:ascii="Arial" w:eastAsiaTheme="majorEastAsia" w:hAnsi="Arial" w:cs="Arial"/>
          <w:b/>
          <w:color w:val="000000" w:themeColor="text1"/>
          <w:kern w:val="0"/>
          <w:sz w:val="24"/>
          <w:szCs w:val="26"/>
        </w:rPr>
        <w:t>Reflection on reflexive twin-track framework</w:t>
      </w:r>
      <w:bookmarkEnd w:id="86"/>
    </w:p>
    <w:p w:rsidR="00AE1FA0" w:rsidRPr="00AE1FA0" w:rsidRDefault="00AE1FA0" w:rsidP="00AE1FA0">
      <w:pPr>
        <w:spacing w:line="360" w:lineRule="auto"/>
        <w:rPr>
          <w:rFonts w:ascii="Arial" w:eastAsia="宋体" w:hAnsi="Arial" w:cs="Arial"/>
          <w:kern w:val="0"/>
          <w:sz w:val="24"/>
          <w:szCs w:val="28"/>
        </w:rPr>
      </w:pPr>
    </w:p>
    <w:p w:rsidR="00AE1FA0" w:rsidRPr="00AE1FA0" w:rsidRDefault="00AE1FA0" w:rsidP="00AE1FA0">
      <w:pPr>
        <w:spacing w:line="360" w:lineRule="auto"/>
        <w:rPr>
          <w:rFonts w:ascii="Arial" w:eastAsia="宋体" w:hAnsi="Arial" w:cs="Arial"/>
          <w:kern w:val="0"/>
          <w:sz w:val="24"/>
          <w:szCs w:val="28"/>
        </w:rPr>
      </w:pPr>
      <w:r w:rsidRPr="00AE1FA0">
        <w:rPr>
          <w:rFonts w:ascii="Arial" w:eastAsia="宋体" w:hAnsi="Arial" w:cs="Arial"/>
          <w:kern w:val="0"/>
          <w:sz w:val="24"/>
          <w:szCs w:val="28"/>
        </w:rPr>
        <w:t xml:space="preserve">A twin-track framework is the research method governing this thesis, determining what and how empirical evidence is collected; how to analyse the empirical evidence, and how to write up the findings. This section aims to bring the application process of this method to life, and more importantly to reflect on challenges of the twin-track method. One of the contributions of this thesis is that this twin-track framework can </w:t>
      </w:r>
      <w:r w:rsidRPr="00AE1FA0">
        <w:rPr>
          <w:rFonts w:ascii="Arial" w:eastAsia="宋体" w:hAnsi="Arial" w:cs="Arial"/>
          <w:kern w:val="0"/>
          <w:sz w:val="24"/>
          <w:szCs w:val="28"/>
        </w:rPr>
        <w:lastRenderedPageBreak/>
        <w:t xml:space="preserve">broaden understandings of organizational space from enriching empirical evidence. I will articulate this process in a reflexive way. The first task this reflexive twin-track framework enabled is that I paid more attention to the influence of ontological and epistemological assumptions over interpretations of theoretical claims as well as empirical findings.  In non-reflexive studies, ontological and epistemological assumptions are rarely discussed on the methodological level; in studies of organizations, for instance, Cassell (2005) argues that interviewing has long </w:t>
      </w:r>
      <w:proofErr w:type="gramStart"/>
      <w:r w:rsidRPr="00AE1FA0">
        <w:rPr>
          <w:rFonts w:ascii="Arial" w:eastAsia="宋体" w:hAnsi="Arial" w:cs="Arial"/>
          <w:kern w:val="0"/>
          <w:sz w:val="24"/>
          <w:szCs w:val="28"/>
        </w:rPr>
        <w:t>been seen as</w:t>
      </w:r>
      <w:proofErr w:type="gramEnd"/>
      <w:r w:rsidRPr="00AE1FA0">
        <w:rPr>
          <w:rFonts w:ascii="Arial" w:eastAsia="宋体" w:hAnsi="Arial" w:cs="Arial"/>
          <w:kern w:val="0"/>
          <w:sz w:val="24"/>
          <w:szCs w:val="28"/>
        </w:rPr>
        <w:t xml:space="preserve"> epistemological neutral device, as had the collection of archive evidence. </w:t>
      </w:r>
    </w:p>
    <w:p w:rsidR="00AE1FA0" w:rsidRPr="00AE1FA0" w:rsidRDefault="00AE1FA0" w:rsidP="00AE1FA0">
      <w:pPr>
        <w:spacing w:line="360" w:lineRule="auto"/>
        <w:rPr>
          <w:rFonts w:ascii="Arial" w:eastAsia="宋体" w:hAnsi="Arial" w:cs="Arial"/>
          <w:kern w:val="0"/>
          <w:sz w:val="24"/>
          <w:szCs w:val="28"/>
        </w:rPr>
      </w:pPr>
    </w:p>
    <w:p w:rsidR="00AE1FA0" w:rsidRPr="00AE1FA0" w:rsidRDefault="00AE1FA0" w:rsidP="00AE1FA0">
      <w:pPr>
        <w:spacing w:line="360" w:lineRule="auto"/>
        <w:rPr>
          <w:rFonts w:ascii="Arial" w:eastAsia="宋体" w:hAnsi="Arial" w:cs="Arial"/>
          <w:kern w:val="0"/>
          <w:sz w:val="24"/>
          <w:szCs w:val="28"/>
        </w:rPr>
      </w:pPr>
      <w:r w:rsidRPr="00AE1FA0">
        <w:rPr>
          <w:rFonts w:ascii="Arial" w:eastAsia="宋体" w:hAnsi="Arial" w:cs="Arial"/>
          <w:kern w:val="0"/>
          <w:sz w:val="24"/>
          <w:szCs w:val="28"/>
        </w:rPr>
        <w:t xml:space="preserve">Therefore, in this thesis, the choice of this reflexive framework indeed further justified my decision in dealing with all empirical evidence as subjective. The reflexive nature had influenced the whole process of this thesis, which will be discussed further in the following sections. This section is structured as two parts; the first is about reflection on the collection process; the second is about the analysis process of the empirical evidence. Yet before proceeding, I want to highlight that, though I have separated these two parts, in practice they were intermingled and were far from a linear process. This non-linearity existed both in and between the collection and analysis of archival and evidence from the interviews. I have written in the methodology chapter that this twin-track method was designed in a way that the collection of the archive materials will help to narrow down the interviewing questions. Many instances appeared during this process, for example, there was a detailed discussion in the previous chapter about the Picture Gallery and the how people experience it in different times. This was achieved by first examining the relevant materials and then deciding the questions to investigate with current staff and students. In fact, the interviewing evidence also inspired revisiting the archive. To take the example of the Picture Gallery again, after the analysis of the relevant interview transcripts about the Picture Gallery, I found that the social activities in the Picture Gallery had changed a lot and, therefore, it was worthwhile delving into the archive again to look for the detailed descriptions of the social activities, in which the reminiscences of the previous students helped to enrich the analysis. </w:t>
      </w:r>
    </w:p>
    <w:p w:rsidR="00AE1FA0" w:rsidRPr="00AE1FA0" w:rsidRDefault="00AE1FA0" w:rsidP="00AE1FA0">
      <w:pPr>
        <w:spacing w:line="360" w:lineRule="auto"/>
        <w:rPr>
          <w:rFonts w:ascii="Arial" w:eastAsia="宋体" w:hAnsi="Arial" w:cs="Arial"/>
          <w:sz w:val="20"/>
        </w:rPr>
      </w:pPr>
    </w:p>
    <w:p w:rsidR="00AE1FA0" w:rsidRPr="00AE1FA0" w:rsidRDefault="00AE1FA0" w:rsidP="00AE1FA0">
      <w:pPr>
        <w:spacing w:line="360" w:lineRule="auto"/>
        <w:rPr>
          <w:rFonts w:ascii="Arial" w:eastAsia="宋体" w:hAnsi="Arial" w:cs="Arial"/>
          <w:sz w:val="20"/>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87" w:name="_Toc534732410"/>
      <w:r w:rsidRPr="00AE1FA0">
        <w:rPr>
          <w:rFonts w:ascii="Arial" w:eastAsiaTheme="majorEastAsia" w:hAnsi="Arial" w:cs="Arial"/>
          <w:b/>
          <w:color w:val="000000" w:themeColor="text1"/>
          <w:kern w:val="0"/>
          <w:sz w:val="24"/>
          <w:szCs w:val="24"/>
        </w:rPr>
        <w:t>6.3.1. Reflecting on the collection of empirical evidence</w:t>
      </w:r>
      <w:bookmarkEnd w:id="87"/>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lastRenderedPageBreak/>
        <w:t xml:space="preserve">Even though I have already emphasised the non-linearity of the collection process, the interviewing process did not start until the completion of the first round of collecting of archive evidence. The first-round collection was at the beginning stage of the research, parallel with reading relevant literature. During that stage, the pursuit was less purposeful and specific compared to the later stage of researching. This perhaps applies to everyone working with an archive: one begins with the general and possibly seemingly irrelevant materials, and then funnels into the more specific and relevant items. The fact that RHUL archive </w:t>
      </w:r>
      <w:proofErr w:type="gramStart"/>
      <w:r w:rsidRPr="00AE1FA0">
        <w:rPr>
          <w:rFonts w:ascii="Arial" w:eastAsia="宋体" w:hAnsi="Arial" w:cs="Arial"/>
          <w:kern w:val="0"/>
          <w:sz w:val="24"/>
          <w:szCs w:val="28"/>
        </w:rPr>
        <w:t>is located in</w:t>
      </w:r>
      <w:proofErr w:type="gramEnd"/>
      <w:r w:rsidRPr="00AE1FA0">
        <w:rPr>
          <w:rFonts w:ascii="Arial" w:eastAsia="宋体" w:hAnsi="Arial" w:cs="Arial"/>
          <w:kern w:val="0"/>
          <w:sz w:val="24"/>
          <w:szCs w:val="28"/>
        </w:rPr>
        <w:t xml:space="preserve"> the Founder’s Building enables easy, regular access. Apart from the accessibility, this had another implication for this research, that is, the archive itself also forms a part of the research-site. The location (and physical design) might be less relevant in other studies, but here, in the case of Founder’s Building, every time I went to the reading room in the archive, I felt and sensed this historical space vividly – even the smell of old photographs, the view of Founder’s quadrangles from the window, the original furniture in the corridors, all became part of my experience of Founder’s Building.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To most people ‘archives’ simply means piles of documents and photographs, but archives have a power, which comes from the “entanglement of the building and documents” (Mbembe, 2002:19). Therefore, not only documents in archives are empirical evidence to collect, the physicality of archives also constitutes part of valuable evidence. In my thesis, the aim of collecting archival material was to uncover how Founder’s Building was conceived, perceived and lived. </w:t>
      </w:r>
      <w:proofErr w:type="gramStart"/>
      <w:r w:rsidRPr="00AE1FA0">
        <w:rPr>
          <w:rFonts w:ascii="Arial" w:eastAsia="宋体" w:hAnsi="Arial" w:cs="Arial"/>
          <w:kern w:val="0"/>
          <w:sz w:val="24"/>
          <w:szCs w:val="28"/>
        </w:rPr>
        <w:t>The majority of</w:t>
      </w:r>
      <w:proofErr w:type="gramEnd"/>
      <w:r w:rsidRPr="00AE1FA0">
        <w:rPr>
          <w:rFonts w:ascii="Arial" w:eastAsia="宋体" w:hAnsi="Arial" w:cs="Arial"/>
          <w:kern w:val="0"/>
          <w:sz w:val="24"/>
          <w:szCs w:val="28"/>
        </w:rPr>
        <w:t xml:space="preserve"> the evidence came from the official materials, examples including the Deed of Foundation, college magazines and newspapers. As for how people experienced the building, the empirical evidence came individual reminiscences. Whether the materials in the archive were individual or collective, official or unofficial, they represent the memories of the past. Just as Bradley (1999) said, an archive is the repository of memories to reconstruct and restore the past.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Schwartz and Cook (2002: 3) specified that “archives wield power over the shape and direction of historical scholarship, collective memory, and national identity, over how we know ourselves as individuals, groups and societies”. Researchers using an </w:t>
      </w:r>
      <w:r w:rsidRPr="00AE1FA0">
        <w:rPr>
          <w:rFonts w:ascii="Arial" w:eastAsia="宋体" w:hAnsi="Arial" w:cs="Arial"/>
          <w:kern w:val="0"/>
          <w:sz w:val="24"/>
          <w:szCs w:val="28"/>
        </w:rPr>
        <w:lastRenderedPageBreak/>
        <w:t xml:space="preserve">archive, perhaps coming to a task with preconceived ideas of what they seek, are in fact to some extent shaped by their interaction with it – as I was by the RHUL archive. In fact, even knowing its existence may be an influence in that it says, ‘we have a history that is worthy of archiving’. Everyone’s approach to that history. The guided talks given by the archivists all aim to tell a story of the past of RHUL – in a </w:t>
      </w:r>
      <w:proofErr w:type="gramStart"/>
      <w:r w:rsidRPr="00AE1FA0">
        <w:rPr>
          <w:rFonts w:ascii="Arial" w:eastAsia="宋体" w:hAnsi="Arial" w:cs="Arial"/>
          <w:kern w:val="0"/>
          <w:sz w:val="24"/>
          <w:szCs w:val="28"/>
        </w:rPr>
        <w:t>particular way</w:t>
      </w:r>
      <w:proofErr w:type="gramEnd"/>
      <w:r w:rsidRPr="00AE1FA0">
        <w:rPr>
          <w:rFonts w:ascii="Arial" w:eastAsia="宋体" w:hAnsi="Arial" w:cs="Arial"/>
          <w:kern w:val="0"/>
          <w:sz w:val="24"/>
          <w:szCs w:val="28"/>
        </w:rPr>
        <w:t xml:space="preserve">. Interviewees in my research made frequent references to their induction, talking ambivalently how they learned the history of the RHUL during it. The materials or ingredients of the induction came, of course, from the RHUL archive, so it is somehow legitimate to say that archivists shape the memories and histories of the RHUL, which further underlines the nature of archive as a social construction. This can be further explained by the concept of archivability.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‘Archivability’ describes what documents fulfil the criteria to be stored in an archive, therefore, most documents are not included (Mbembe, 2002). On can only speculate what materials were dismissed in RHUL, yet the reason I bring up the concept of archivability is to demonstrate how seemingly objective evidence can be subjective creations. To be more specific, my selection of archival material was subject to the criteria of the RHUL archive. In this research, archivists also formed part of the collection process, especially during the beginning stage when I asked archivists frequently about what materials were available. Some of the items I requested were missing. For instance, I requested an item about the furniture stock list in the students’ rooms, but because it was missing, I had to glean the relevant information elsewhere, such as in the reminiscences of students when describing their rooms. All these empirical examples derived from Founder’s Building case are there to show how subjective historical realities are, and it was also motivated by the nature of reflexivity of this thesis. Reflexivity encouraged me not only to reconsider ontological and epistemological of organizational space, but also philosophies of history. This can be seen in the section on New Historicism in Chapter Two. </w:t>
      </w:r>
    </w:p>
    <w:p w:rsidR="00AE1FA0" w:rsidRPr="00AE1FA0" w:rsidRDefault="00AE1FA0" w:rsidP="00AE1FA0">
      <w:pPr>
        <w:spacing w:line="360" w:lineRule="auto"/>
        <w:rPr>
          <w:rFonts w:ascii="Arial" w:eastAsia="宋体" w:hAnsi="Arial" w:cs="Arial"/>
          <w:kern w:val="0"/>
          <w:sz w:val="24"/>
          <w:szCs w:val="28"/>
        </w:rPr>
      </w:pPr>
    </w:p>
    <w:p w:rsidR="00AE1FA0" w:rsidRPr="00AE1FA0" w:rsidRDefault="00AE1FA0" w:rsidP="00AE1FA0">
      <w:pPr>
        <w:spacing w:line="360" w:lineRule="auto"/>
        <w:rPr>
          <w:rFonts w:ascii="Arial" w:eastAsia="宋体" w:hAnsi="Arial" w:cs="Arial"/>
          <w:sz w:val="24"/>
          <w:szCs w:val="24"/>
        </w:rPr>
      </w:pPr>
      <w:r w:rsidRPr="00AE1FA0">
        <w:rPr>
          <w:rFonts w:ascii="Arial" w:eastAsia="宋体" w:hAnsi="Arial" w:cs="Arial"/>
          <w:kern w:val="0"/>
          <w:sz w:val="24"/>
          <w:szCs w:val="28"/>
        </w:rPr>
        <w:t xml:space="preserve">In Rowlinson, Hassard and Decker’s (2014) work, they depict how philosophies of history can determine the status of evidence, treatment of time, and status of narrative. In this thesis, status of archival evidence and treatment of time are </w:t>
      </w:r>
      <w:r w:rsidRPr="00AE1FA0">
        <w:rPr>
          <w:rFonts w:ascii="Arial" w:eastAsia="宋体" w:hAnsi="Arial" w:cs="Arial"/>
          <w:kern w:val="0"/>
          <w:sz w:val="24"/>
          <w:szCs w:val="28"/>
        </w:rPr>
        <w:lastRenderedPageBreak/>
        <w:t xml:space="preserve">essential to pay attention to reflexivity. Archival evidence, as discussed, was subjective to interpretation and was influenced by multiple stakeholders. Treatment of time further strengthened the belief that the past is impossible to restore; and it help confirm the necessity of the ‘twin-track’ as the research framework. As this thesis is based on understanding of New Historicism, treatment of time is better understood with the concept of historicity. Unlike treating past as something dead, historicity sees time as an evolving status, where what is happening in the present is in a becoming process of history. That is, interviewing process on one hand described what is happening in the present, on the other hand, depicted how these experiences and feelings formed into the history of Founder’s Building and RHUL.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In order to understand what present users of the Founder’s Building perceive and experience, interview was chosen as the most appropriate method as it enables researchers to hear the stories of individuals. Moreover, interviewing helps the researcher be more “sensitive to differences and contradictions, adding to the richness of data” (Bennett, 2012: 155). As mentioned before, I regarded all empirical evidence in this research as subjective to interpretations, and moreover, I took the view of interviewing as an interactive process (Denzin, 2001; Cassell, 2005). As an interactive process, the meanings of the evidence were co-constructed by myself as researcher and the interviews collaboratively, and during interviews both the interviewees and I made sense and interpreted the process. This was especially important because I am also a part of the organization I study. I have discussed being an insider of the research organization in the section discussing ethics in the methodology chapter, but here I want to reflect upon this process more thoroughly. Being a member of the researched organization enabled me to understand the case more easily, which made it easier to comprehend what interviewees said.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However, this could result the counter effect too. I could be less sensitive to the content of the interviews because I have also experienced much of what it referred to. As an example, the discussion of the shuttle bus linking the Kingswood and Founder’s Building were mentioned several times by the students, and until I mentioned that to my supervisor, I did not realize that this was worth scrutinizing and </w:t>
      </w:r>
      <w:r w:rsidRPr="00AE1FA0">
        <w:rPr>
          <w:rFonts w:ascii="Arial" w:eastAsia="宋体" w:hAnsi="Arial" w:cs="Arial"/>
          <w:kern w:val="0"/>
          <w:sz w:val="24"/>
          <w:szCs w:val="28"/>
        </w:rPr>
        <w:lastRenderedPageBreak/>
        <w:t>making links to the history of the university changeover to being co-educational. This was due to my dual identity in this research: a student and a researcher. As a student, I am used to the experience of RHUL and the Founder’s Building – and I use the shuttle bus regularly. However, as a researcher, this familiarity could be a disadvantage. After the preliminary analysis of the interview transcripts, in which the focus was on comparing these with the archive materials, the second round of collecting archive began, but at that stage, visits to the archive were less frequent on a need-basis. The typical procedure was that I used interviewing material as a checklist to see whether I had collected enough archival materials. Once I found that I needed some evidence in the archive, I discussed with archivists whether items were available. Thus, newly discovered evidence then fed into existing empirical evidence. The collection process of the empirical evidence was a loop where the interviewing and archive mutually constituted understandings of Founder’s Building.</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88" w:name="_Toc534732411"/>
      <w:r w:rsidRPr="00AE1FA0">
        <w:rPr>
          <w:rFonts w:ascii="Arial" w:eastAsiaTheme="majorEastAsia" w:hAnsi="Arial" w:cs="Arial"/>
          <w:b/>
          <w:color w:val="000000" w:themeColor="text1"/>
          <w:kern w:val="0"/>
          <w:sz w:val="24"/>
          <w:szCs w:val="24"/>
        </w:rPr>
        <w:t>6.3.2. Reflecting on analysis process of empirical evidence</w:t>
      </w:r>
      <w:bookmarkEnd w:id="88"/>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As with the collection process, the analysis of both archival and interviewing evidence was a non-linear and subjective process. The analysis process of this thesis was guided by the linguistic turn in organization studies. Brown and Humphreys (2002: 234) argued that the linguistic turn regards the organization as constituted through language and the emphasis is on how “employees constructed the text of the organization through their descriptions of it”. Specifically, when analysing the text in the archive and the interviews, the focus was placed on the situations and social identities created through language. Just as Fairclough and Wodak (1997) suggested, the RHUL was socially constructed through acts of language, which affect what and how people see the Founder’s Building. The term ‘text’ in this thesis includes anything that can be ‘read’, like photographs, paintings and maps.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Though empirical material collected in the RHUL archive and interviews appeared to be textual, yet I analysed them more like historical artefacts. This was partly explained in a previous section where I discussed the importance of evaluating philosophies of history reflexively. As said, because I subscribe to New Historicism </w:t>
      </w:r>
      <w:r w:rsidRPr="00AE1FA0">
        <w:rPr>
          <w:rFonts w:ascii="Arial" w:eastAsia="宋体" w:hAnsi="Arial" w:cs="Arial"/>
          <w:kern w:val="0"/>
          <w:sz w:val="24"/>
          <w:szCs w:val="28"/>
        </w:rPr>
        <w:lastRenderedPageBreak/>
        <w:t xml:space="preserve">and historicity in this thesis as a guide to understand and analyse the history of Founder’s Building. What this enabled me to do was that I could approach both archival and interviewing material as part of process becoming historical – already written about in the two chapters where I discussed findings of Founder’s Building empirically. For instance, in Chapter Four, the focus was placed on how experiencing in Founder’s Building a becoming process was and how this was influenced by social changes. In the specific case of rooms sizes, I analysed archival material that depicted how people experienced and actively made a connection of rooms’ sizes to hierarchies; and I also used interviewing material of how students made a similar linkage. This process of analysis indeed demonstrated how present experiencing is part of historical realities and how uncertain findings could be if only focusing on one track, i.e. only focusing on past or present. Hannam (2012) provided a more specific guideline for analysing empirical evidence: discovering firstly how the evidence was created, and then what did it say. This guideline was applied to the analysis process of both archive and interviewing evidence. For instance, taking the example of rooms’ sizes once more, the empirical evidence I started my analyses with was a magazine article about how students in 1957 correlated rooms sizes with hierarchies in RHC. I did not perceive this article as an objective creation, instead, I discussed it as being written in a humorous style. This therefore led to reading and analyse empirical material in a more reflexive way. Similar analysis could be found in Chapter Five, in which the main finding was about how Founder’s Building become and remains a ‘Victorian’ space.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During the collection stage of materials, I was aware that all the reminiscences in the archive were from interviews done in 1985 by a historian, Caroline Bingham, who is also an alumnus of RHUL. Her purpose was to write a book on the centenary history of RHC, which was published in 1987. Caroline Bingham used the alumni association primarily to make the contacts; she also interviewed staff working in RHUL at that time. After publication of the book, the original copies of the reminiscences and transcripts of the interviews were put into the RHUL archives, which made it possible for me to look back into the experiences of previous users of Founder’s. Therefore, this thesis is indeed written based on empirical materials collected purposefully for a centenary book (Bingham, 1987). However, this does not devalue empirical evidence; </w:t>
      </w:r>
      <w:r w:rsidRPr="00AE1FA0">
        <w:rPr>
          <w:rFonts w:ascii="Arial" w:eastAsia="宋体" w:hAnsi="Arial" w:cs="Arial"/>
          <w:kern w:val="0"/>
          <w:sz w:val="24"/>
          <w:szCs w:val="28"/>
        </w:rPr>
        <w:lastRenderedPageBreak/>
        <w:t xml:space="preserve">in this case, reminiscences. In fact, it makes it possible to see how archival materials are subject to interpretations. In Bingham’s (1987) book, she followed a traditional historian pathway in analysing archival material as relatively objective and factual. The book is written under a chronological structure based on principals aimed at capturing significant events in history. While I approached and analysed reminiscences and interview transcripts as subjective to historical as well personal interpretations, Bingham’s analyses were more inclined to content analysis. For instance, in Chapter Five, I identified ‘family’ and ‘homeliness’ as two important concepts emerged from </w:t>
      </w:r>
      <w:proofErr w:type="gramStart"/>
      <w:r w:rsidRPr="00AE1FA0">
        <w:rPr>
          <w:rFonts w:ascii="Arial" w:eastAsia="宋体" w:hAnsi="Arial" w:cs="Arial"/>
          <w:kern w:val="0"/>
          <w:sz w:val="24"/>
          <w:szCs w:val="28"/>
        </w:rPr>
        <w:t>reminiscences, and</w:t>
      </w:r>
      <w:proofErr w:type="gramEnd"/>
      <w:r w:rsidRPr="00AE1FA0">
        <w:rPr>
          <w:rFonts w:ascii="Arial" w:eastAsia="宋体" w:hAnsi="Arial" w:cs="Arial"/>
          <w:kern w:val="0"/>
          <w:sz w:val="24"/>
          <w:szCs w:val="28"/>
        </w:rPr>
        <w:t xml:space="preserve"> analysed how different individual students might have different and even contradict interpretations of their meanings. During this analytical process, I also paid attention to wider social influences shaped individual interpretations. Bingham’s analyses, instead, treated interviewees’ responses at face value, and these responses/memories were categorised into different time periods. For instance, Bingham attributed causality of the shift from ‘family’ to collegiate life in RHC as increased students’ number. Though increased students’ number will encourage this shift, but little discussions were addressed to changes in social norms and values at that time. Discussion on social level were overlooked dramatically in literature depicting the history of RHUL and Founder’s Building. For example, Williams’s (1993) work on RHUL as a pictorial space and Salt and Bennett’s (1986) book on college’s lives of RHUL neglected the social factors in shaping lives and experiences in Founder’s Building. What these have in common is that they all treat temporality as a linear process and history as something that happened in the past. This is evident from the structure of Bingham’s work, where each principalship </w:t>
      </w:r>
      <w:proofErr w:type="gramStart"/>
      <w:r w:rsidRPr="00AE1FA0">
        <w:rPr>
          <w:rFonts w:ascii="Arial" w:eastAsia="宋体" w:hAnsi="Arial" w:cs="Arial"/>
          <w:kern w:val="0"/>
          <w:sz w:val="24"/>
          <w:szCs w:val="28"/>
        </w:rPr>
        <w:t>was seen as</w:t>
      </w:r>
      <w:proofErr w:type="gramEnd"/>
      <w:r w:rsidRPr="00AE1FA0">
        <w:rPr>
          <w:rFonts w:ascii="Arial" w:eastAsia="宋体" w:hAnsi="Arial" w:cs="Arial"/>
          <w:kern w:val="0"/>
          <w:sz w:val="24"/>
          <w:szCs w:val="28"/>
        </w:rPr>
        <w:t xml:space="preserve"> relatively independent, and in each chapter of this book, different themes were used to show dramatic changes happened. Instead, I regard temporality as an evolving process, and what this thesis aims to achieve is to destabilise temporality and history through introducing historicity, with the emphasis on the intersection between the past and present.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As centenary book, this book was written to showcase the story of RHUL as a successful university by looking into its history retrospectively. It is anticipated that Founder’s Building is neither the core of its analyses nor the focus of the collection of empirical materials. There were more descriptions of Founder’s Building in the RHC </w:t>
      </w:r>
      <w:r w:rsidRPr="00AE1FA0">
        <w:rPr>
          <w:rFonts w:ascii="Arial" w:eastAsia="宋体" w:hAnsi="Arial" w:cs="Arial"/>
          <w:kern w:val="0"/>
          <w:sz w:val="24"/>
          <w:szCs w:val="28"/>
        </w:rPr>
        <w:lastRenderedPageBreak/>
        <w:t xml:space="preserve">era, since it was the only building space for RHUL, but the emphases were placed on activities happened/prohibited in Founder’s Building.Thus, although Bingham’s book (1987) covered many detailed discussions of the Founder’s Building, it was regarded only as a physical context in which different events and activities happened. This clearly differs from how space, the Founder’s Building, is conceptualised and approached.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The total reminiscence collection in the archives are first-hand empirical evidence and no other materials can compete with them in terms of width of coverage – the earliest date back to a student who studied at the RHC in 1910 and the latest in 1985 after the merger with Bedford College. This time span covers all the major turning points, including wartime and when the college became co-educational. Still, I want to emphasize that these reminiscences, like all other archive materials, were subjectively selected to serve the given purpose, in this case, a book to celebrate the centenary of RHUL. This subjective selection was twofold, as Hannam (2012) said, first by the author of these reminiscences or the interviewees, and then second by the archivist before they were documented into the RHUL archive. The author of these reminiscences are all the alumni or previous staff and when they were contacted, they were aware that they would appear in a book for the university’s anniversary. Consequently, the assumptions or preconceptions were there by default; this is not, however, to suggest that they were less credible or trustworthy. Nonetheless, using them in a reflexive way, I was attentive to the effect of nostalgia and how people often wear rose-coloured glasses when they recall the past. As noted, not only alumni who graduated a long time ago can be subject to the nostalgic effect – some of my interviewees, when asked about their memories and impressions of Founder’s Building, were also subject to it!</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 xml:space="preserve">As a researcher, faced with the reminiscence materials in the archive, my selection was a process of subjectively making sense of the them based on my understandings Founder’s Building and history of RHUL and then deciding what was useful for my thesis. The analytical strategy had to fit with the theoretical framework – as well as my assumptions as an interpretive researcher. I think Hannam (2012: 189) offered a </w:t>
      </w:r>
      <w:r w:rsidRPr="00AE1FA0">
        <w:rPr>
          <w:rFonts w:ascii="Arial" w:eastAsia="宋体" w:hAnsi="Arial" w:cs="Arial"/>
          <w:kern w:val="0"/>
          <w:sz w:val="24"/>
          <w:szCs w:val="28"/>
        </w:rPr>
        <w:lastRenderedPageBreak/>
        <w:t xml:space="preserve">practical rule, which is “to interpret data and to offer a reading which is convincing, but which also still offers the possibility of being read differently by others with different objectives and viewpoints”. This was applied to the analysis of the interviewing evidence as well. All interviewing materials were open-coded and new themes emerged from the analysis process. Like the analysis of archival evidence, the analysis of the interviewing evidence was also subjective, and it was impossible to fully understand what was meant by the interviewees. Just as Gergen and Thatchenkery (1996) said, language is a medium that both makes possible and limits understanding. Yet what is essential is to understand the limitations of the interviews and to avoid over-interpreting.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keepNext/>
        <w:keepLines/>
        <w:widowControl/>
        <w:spacing w:before="40" w:line="360" w:lineRule="auto"/>
        <w:jc w:val="left"/>
        <w:outlineLvl w:val="1"/>
        <w:rPr>
          <w:rFonts w:ascii="Arial" w:eastAsiaTheme="majorEastAsia" w:hAnsi="Arial" w:cs="Arial"/>
          <w:b/>
          <w:color w:val="000000" w:themeColor="text1"/>
          <w:kern w:val="0"/>
          <w:sz w:val="24"/>
          <w:szCs w:val="26"/>
        </w:rPr>
      </w:pPr>
      <w:bookmarkStart w:id="89" w:name="_Toc534732412"/>
      <w:r w:rsidRPr="00AE1FA0">
        <w:rPr>
          <w:rFonts w:ascii="Arial" w:eastAsiaTheme="majorEastAsia" w:hAnsi="Arial" w:cs="Arial"/>
          <w:b/>
          <w:color w:val="000000" w:themeColor="text1"/>
          <w:kern w:val="0"/>
          <w:sz w:val="24"/>
          <w:szCs w:val="26"/>
        </w:rPr>
        <w:t>Chapter Conclusion</w:t>
      </w:r>
      <w:bookmarkEnd w:id="89"/>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r w:rsidRPr="00AE1FA0">
        <w:rPr>
          <w:rFonts w:ascii="Arial" w:eastAsia="宋体" w:hAnsi="Arial" w:cs="Arial"/>
          <w:sz w:val="24"/>
        </w:rPr>
        <w:t xml:space="preserve">What this chapter aimed to achieve is to unpack how theoretical, analytical and methodological claims were constructed in a reflexive way. Specific, I used this chapter to revisit and reflect on the main assertions made in previous chapters to justify why I approached organizational space in a certain way and why I analysed empirical evidence in a reflexive twin-track style. The first section was about the theoretical foundation of this thesis, where I justified the importance of process theory as a philosophical shift. Its main implication lies in how </w:t>
      </w:r>
      <w:proofErr w:type="gramStart"/>
      <w:r w:rsidRPr="00AE1FA0">
        <w:rPr>
          <w:rFonts w:ascii="Arial" w:eastAsia="宋体" w:hAnsi="Arial" w:cs="Arial"/>
          <w:sz w:val="24"/>
        </w:rPr>
        <w:t>it</w:t>
      </w:r>
      <w:proofErr w:type="gramEnd"/>
      <w:r w:rsidRPr="00AE1FA0">
        <w:rPr>
          <w:rFonts w:ascii="Arial" w:eastAsia="宋体" w:hAnsi="Arial" w:cs="Arial"/>
          <w:sz w:val="24"/>
        </w:rPr>
        <w:t xml:space="preserve"> destabilized understandings of organizational space and organization itself. The second section was written to reflect on Lefebvre’s theories, and the main argument was that </w:t>
      </w:r>
      <w:bookmarkStart w:id="90" w:name="_Hlk535119952"/>
      <w:r w:rsidRPr="00AE1FA0">
        <w:rPr>
          <w:rFonts w:ascii="Arial" w:eastAsia="宋体" w:hAnsi="Arial" w:cs="Arial"/>
          <w:sz w:val="24"/>
        </w:rPr>
        <w:t>Lefebvre’s triad should be approached as an integrated construction. Only by conceptualizing it as integrated dynamism, is it possible to approach organizational as historical becoming process.</w:t>
      </w:r>
      <w:bookmarkEnd w:id="90"/>
      <w:r w:rsidRPr="00AE1FA0">
        <w:rPr>
          <w:rFonts w:ascii="Arial" w:eastAsia="宋体" w:hAnsi="Arial" w:cs="Arial"/>
          <w:sz w:val="24"/>
        </w:rPr>
        <w:t xml:space="preserve"> The third section reflected on the methodological choice for this thesis. I first discussed the implications of the reflexive twin-track framework by articulating how reflexivity and twin-track were the two features governing both collection and analyses processes. Then I discussed how reflexivity and twin-track influenced the collection and analysis processes of empirical evidence by linking back to the main empirical findings in previous chapters. </w:t>
      </w: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hint="eastAsia"/>
          <w:sz w:val="24"/>
        </w:rPr>
      </w:pPr>
    </w:p>
    <w:p w:rsidR="00AE1FA0" w:rsidRPr="00AE1FA0" w:rsidRDefault="00AE1FA0" w:rsidP="00AE1FA0">
      <w:pPr>
        <w:keepNext/>
        <w:keepLines/>
        <w:widowControl/>
        <w:spacing w:before="240" w:line="360" w:lineRule="auto"/>
        <w:jc w:val="center"/>
        <w:outlineLvl w:val="0"/>
        <w:rPr>
          <w:rFonts w:ascii="Arial" w:eastAsiaTheme="majorEastAsia" w:hAnsi="Arial" w:cs="Arial"/>
          <w:color w:val="000000" w:themeColor="text1"/>
          <w:kern w:val="0"/>
          <w:sz w:val="32"/>
          <w:szCs w:val="32"/>
        </w:rPr>
      </w:pPr>
      <w:bookmarkStart w:id="91" w:name="_Toc534732413"/>
      <w:r w:rsidRPr="00AE1FA0">
        <w:rPr>
          <w:rFonts w:ascii="Arial" w:eastAsiaTheme="majorEastAsia" w:hAnsi="Arial" w:cs="Arial"/>
          <w:color w:val="000000" w:themeColor="text1"/>
          <w:kern w:val="0"/>
          <w:sz w:val="32"/>
          <w:szCs w:val="32"/>
        </w:rPr>
        <w:lastRenderedPageBreak/>
        <w:t>Chapter Seven</w:t>
      </w:r>
      <w:bookmarkEnd w:id="91"/>
    </w:p>
    <w:p w:rsidR="00AE1FA0" w:rsidRPr="00AE1FA0" w:rsidRDefault="00AE1FA0" w:rsidP="00AE1FA0">
      <w:pPr>
        <w:widowControl/>
        <w:spacing w:after="160" w:line="259" w:lineRule="auto"/>
        <w:jc w:val="left"/>
        <w:rPr>
          <w:rFonts w:ascii="Arial" w:hAnsi="Arial" w:cs="Arial"/>
          <w:kern w:val="0"/>
          <w:sz w:val="32"/>
        </w:rPr>
      </w:pPr>
      <w:r w:rsidRPr="00AE1FA0">
        <w:rPr>
          <w:rFonts w:ascii="Arial" w:hAnsi="Arial" w:cs="Arial"/>
          <w:kern w:val="0"/>
          <w:sz w:val="32"/>
        </w:rPr>
        <w:t xml:space="preserve">Conclusion </w:t>
      </w:r>
    </w:p>
    <w:p w:rsidR="00AE1FA0" w:rsidRPr="00AE1FA0" w:rsidRDefault="00AE1FA0" w:rsidP="00AE1FA0">
      <w:pPr>
        <w:widowControl/>
        <w:spacing w:after="160" w:line="360" w:lineRule="auto"/>
        <w:rPr>
          <w:rFonts w:ascii="Arial" w:hAnsi="Arial" w:cs="Arial"/>
          <w:kern w:val="0"/>
          <w:sz w:val="22"/>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The research contribution that this thesis makes is threefold.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I first discuss the theoretical contribution by drawing attention to the fundamental theoretical claims I made to analyse the case of Founder’s Building. The most important theoretical claim for this thesis is that study of organizational space should be historicized if conceptualizing space as social construction and as processual. Then I draw the implications of the methodological contribution by reflecting on the originality of the reflexive twin-track framework. On one level, the originality of this framework lies in that I approached empirical case reflexively, on the other level, I applied a twin-track framework that collected both archival and interviewing material. A discussion of the empirical contribution is then provided, in which I summarize how the past remains present through experiencing with Founder’s Building, and how this process can be appropriated by users of the space. Followed by a section on the contributions made, I draw attention to the limitations of this thesis. I discuss the theoretical limitation of blending spatial and historical theories, which might be criticized by researchers in the space and history fields for lacking depth of analysis. Then I cover more general limitations of research methods, including the limitations of using archival and interviewing material, and generalizability issue of the single case study. Finally, I shift the focus to the implications of the contributions made and how these suggest new directions for further research. I propose four different directions for this:  Founder’s Building in post-1985 with focus on the merger of RHUL and Bedford College; ‘Victorian’ time in the present that emphasizes how ‘Victorian’ space is alive in the present; twin-track framework’s potential use in other organizations or space; and how spatial experience can influence the process of identification in organizations.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keepNext/>
        <w:keepLines/>
        <w:widowControl/>
        <w:numPr>
          <w:ilvl w:val="0"/>
          <w:numId w:val="35"/>
        </w:numPr>
        <w:spacing w:before="40" w:after="160" w:line="360" w:lineRule="auto"/>
        <w:jc w:val="left"/>
        <w:outlineLvl w:val="1"/>
        <w:rPr>
          <w:rFonts w:ascii="Arial" w:eastAsia="宋体" w:hAnsi="Arial" w:cs="Arial"/>
          <w:b/>
          <w:vanish/>
          <w:color w:val="000000" w:themeColor="text1"/>
          <w:sz w:val="32"/>
          <w:szCs w:val="26"/>
        </w:rPr>
      </w:pPr>
      <w:bookmarkStart w:id="92" w:name="_Toc514757852"/>
      <w:bookmarkStart w:id="93" w:name="_Toc534732414"/>
      <w:bookmarkEnd w:id="92"/>
      <w:bookmarkEnd w:id="93"/>
    </w:p>
    <w:p w:rsidR="00AE1FA0" w:rsidRPr="00AE1FA0" w:rsidRDefault="00AE1FA0" w:rsidP="00AE1FA0">
      <w:pPr>
        <w:keepNext/>
        <w:keepLines/>
        <w:widowControl/>
        <w:numPr>
          <w:ilvl w:val="1"/>
          <w:numId w:val="35"/>
        </w:numPr>
        <w:spacing w:before="40" w:after="160" w:line="360" w:lineRule="auto"/>
        <w:jc w:val="left"/>
        <w:outlineLvl w:val="1"/>
        <w:rPr>
          <w:rFonts w:ascii="Arial" w:eastAsia="宋体" w:hAnsi="Arial" w:cs="Arial"/>
          <w:b/>
          <w:color w:val="000000" w:themeColor="text1"/>
          <w:sz w:val="24"/>
          <w:szCs w:val="24"/>
        </w:rPr>
      </w:pPr>
      <w:bookmarkStart w:id="94" w:name="_Toc534732415"/>
      <w:r w:rsidRPr="00AE1FA0">
        <w:rPr>
          <w:rFonts w:ascii="Arial" w:eastAsia="宋体" w:hAnsi="Arial" w:cs="Arial"/>
          <w:b/>
          <w:color w:val="000000" w:themeColor="text1"/>
          <w:sz w:val="24"/>
          <w:szCs w:val="24"/>
        </w:rPr>
        <w:t>Contributions</w:t>
      </w:r>
      <w:bookmarkEnd w:id="94"/>
    </w:p>
    <w:p w:rsidR="00AE1FA0" w:rsidRPr="00AE1FA0" w:rsidRDefault="00AE1FA0" w:rsidP="00AE1FA0">
      <w:pPr>
        <w:widowControl/>
        <w:spacing w:after="160" w:line="259" w:lineRule="auto"/>
        <w:jc w:val="left"/>
        <w:rPr>
          <w:rFonts w:ascii="Arial" w:hAnsi="Arial" w:cs="Arial"/>
          <w:kern w:val="0"/>
          <w:sz w:val="22"/>
        </w:rPr>
      </w:pPr>
    </w:p>
    <w:p w:rsidR="00AE1FA0" w:rsidRPr="00AE1FA0" w:rsidRDefault="00AE1FA0" w:rsidP="00AE1FA0">
      <w:pPr>
        <w:keepNext/>
        <w:keepLines/>
        <w:widowControl/>
        <w:numPr>
          <w:ilvl w:val="2"/>
          <w:numId w:val="35"/>
        </w:numPr>
        <w:spacing w:before="40" w:after="160" w:line="360" w:lineRule="auto"/>
        <w:jc w:val="left"/>
        <w:outlineLvl w:val="2"/>
        <w:rPr>
          <w:rFonts w:ascii="Arial" w:eastAsiaTheme="majorEastAsia" w:hAnsi="Arial" w:cs="Arial"/>
          <w:b/>
          <w:color w:val="000000" w:themeColor="text1"/>
          <w:kern w:val="0"/>
          <w:sz w:val="24"/>
          <w:szCs w:val="24"/>
        </w:rPr>
      </w:pPr>
      <w:bookmarkStart w:id="95" w:name="_Toc534732416"/>
      <w:r w:rsidRPr="00AE1FA0">
        <w:rPr>
          <w:rFonts w:ascii="Arial" w:eastAsiaTheme="majorEastAsia" w:hAnsi="Arial" w:cs="Arial"/>
          <w:b/>
          <w:color w:val="000000" w:themeColor="text1"/>
          <w:kern w:val="0"/>
          <w:sz w:val="24"/>
          <w:szCs w:val="24"/>
        </w:rPr>
        <w:lastRenderedPageBreak/>
        <w:t>Theoretical contribution: Historicization of organizational space</w:t>
      </w:r>
      <w:bookmarkEnd w:id="95"/>
    </w:p>
    <w:p w:rsidR="00AE1FA0" w:rsidRPr="00AE1FA0" w:rsidRDefault="00AE1FA0" w:rsidP="00AE1FA0">
      <w:pPr>
        <w:ind w:left="720"/>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This section aims to summarise the theoretical contributions of this thesis, and the main contribution is the importance of the historicisation of organisational space. The first question answered is how organisational space can be historicised. As shown in the case of the Founder’s Building, the historicisation of organisational space is an evolving process that is influenced by the historicity of organisational space. Here, the key words are ‘evolving process’, which indicates the theoretical assumption or claim of this thesis. The first theoretical assumption is drawn from Lefebvre’s understanding of space as a social production. There has been a long history of researchers interested in studying organisational space, starting from Frederick Taylor’s investigation of time-motion in organisational space to recent studies into virtual space. This interest in space and organisations has encouraged organisational theorists to shift attention to Henri Lefebvre, whose theories of space work well for researchers who seek to reject the traditional Euclidean assumption of space. The most important implication of Lefebvre’s theorisation is that he destabilised the Euclidean assumption that space is a container. This trend was denoted as a spatial turn, motivated by Lefebvre’s theories, and other space researches, both theoretical and empirical, have emerged in the last two decades. Widely-cited and influential studies include, for instance, Löw’s (2006) study on how spatial articulation was influenced by social forces, and Wasserman’s (2011) work on architectural decisions regarding the relocation of new buildings. It should be noted that both studies referred to the theories of Lefebvre with different focuses. Whereas Löw’s work centred on the specific behaviour in the specific location (topless sunbathing on the beach), Wasserman’s interest was specifically in the aesthetics of workplace architecture.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What was left unresolved or marginalised is that the temporality of organisational space was silenced during these analyses; therefore, this thesis aims to counterbalance this marginalisation. The solution I provided to this was to historicize organisational space. Having illustrated the necessity of the historicisation process, the next question becomes how the historicity of space deepens our understanding of Lefebvrian space. As discussed in the previous chapter, historicity inherent exists in the Lefebvrian analyses of space, so it becomes an important component </w:t>
      </w:r>
      <w:r w:rsidRPr="00AE1FA0">
        <w:rPr>
          <w:rFonts w:ascii="Arial" w:eastAsia="宋体" w:hAnsi="Arial" w:cs="Arial"/>
          <w:kern w:val="0"/>
          <w:sz w:val="24"/>
          <w:szCs w:val="24"/>
        </w:rPr>
        <w:lastRenderedPageBreak/>
        <w:t xml:space="preserve">theoretically </w:t>
      </w:r>
      <w:proofErr w:type="gramStart"/>
      <w:r w:rsidRPr="00AE1FA0">
        <w:rPr>
          <w:rFonts w:ascii="Arial" w:eastAsia="宋体" w:hAnsi="Arial" w:cs="Arial"/>
          <w:kern w:val="0"/>
          <w:sz w:val="24"/>
          <w:szCs w:val="24"/>
        </w:rPr>
        <w:t>due to the fact that</w:t>
      </w:r>
      <w:proofErr w:type="gramEnd"/>
      <w:r w:rsidRPr="00AE1FA0">
        <w:rPr>
          <w:rFonts w:ascii="Arial" w:eastAsia="宋体" w:hAnsi="Arial" w:cs="Arial"/>
          <w:kern w:val="0"/>
          <w:sz w:val="24"/>
          <w:szCs w:val="24"/>
        </w:rPr>
        <w:t xml:space="preserve"> it indicates Lefebvre’s understandings of space as well as history. More importantly, the introduction of historicity as a key concept differentiates this thesis from other studies that adopted Lefebvrian theories, especially Lefebvre’s triad. That is, the history of space is no longer perceived as things that happened in the </w:t>
      </w:r>
      <w:proofErr w:type="gramStart"/>
      <w:r w:rsidRPr="00AE1FA0">
        <w:rPr>
          <w:rFonts w:ascii="Arial" w:eastAsia="宋体" w:hAnsi="Arial" w:cs="Arial"/>
          <w:kern w:val="0"/>
          <w:sz w:val="24"/>
          <w:szCs w:val="24"/>
        </w:rPr>
        <w:t>past, but</w:t>
      </w:r>
      <w:proofErr w:type="gramEnd"/>
      <w:r w:rsidRPr="00AE1FA0">
        <w:rPr>
          <w:rFonts w:ascii="Arial" w:eastAsia="宋体" w:hAnsi="Arial" w:cs="Arial"/>
          <w:kern w:val="0"/>
          <w:sz w:val="24"/>
          <w:szCs w:val="24"/>
        </w:rPr>
        <w:t xml:space="preserve"> analysed as part of the evolving process of how the Founder’s Building became what it is today. Hence, historicity makes it possible to explore the interactions between the past, present and future of the Founder’s Building and the RHUL. The theoretical foundations behind this are twofold. The first is the process theory understanding of organisational space, that re-theorises space as an evolving process and as destabilising temporality; the other is the Lefebvrian understanding of space as a social construction, which emphasises the historical process of how space evolves. As Fear (2013) put it, a process is an important concept for both historians and organisational theorists, but </w:t>
      </w:r>
      <w:proofErr w:type="gramStart"/>
      <w:r w:rsidRPr="00AE1FA0">
        <w:rPr>
          <w:rFonts w:ascii="Arial" w:eastAsia="宋体" w:hAnsi="Arial" w:cs="Arial"/>
          <w:kern w:val="0"/>
          <w:sz w:val="24"/>
          <w:szCs w:val="24"/>
        </w:rPr>
        <w:t>both of these</w:t>
      </w:r>
      <w:proofErr w:type="gramEnd"/>
      <w:r w:rsidRPr="00AE1FA0">
        <w:rPr>
          <w:rFonts w:ascii="Arial" w:eastAsia="宋体" w:hAnsi="Arial" w:cs="Arial"/>
          <w:kern w:val="0"/>
          <w:sz w:val="24"/>
          <w:szCs w:val="24"/>
        </w:rPr>
        <w:t xml:space="preserve"> groups have approached process with varying emphases. The historicity of the Founder’s Building, in this thesis, is a case showing how organisational space is studied in different disciplines and providing a possible way to engage with the theories in different disciplines. In the case of the Founder’s Building, engaging with the theories and studies in history has shown substantial potential in helping to build a robust theoretical foundation in terms of how to approach and collect historical evidence methodologically, as well as how to position specific historical interpretations in the wider historiographical theory.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Having clarified the theoretical assumptions of organisational space as a historical process of becoming, I wish further to elaborate how I interpreted these theoretical assumptions and applied them to the case of the Founder’s Building in this thesis. I want to show how my interpretations deviate from Henri Lefebvre’s original ideas. Among Lefebvre’s theorisation, the triad, was applied primarily for the purpose of guiding the understanding of organisational space. However, it should be stressed that this triad was not used only as a categorical tool but, more importantly, it provided an open-ended model encouraging reflections on how to study organisational space. That is, this triad should invoke rather than delimit the research possibilities of organisational space, based on the divergent reception of Lefebvre’s theories. For instance, in my thesis, I have dramatically weakened the Marxist influence on </w:t>
      </w:r>
      <w:r w:rsidRPr="00AE1FA0">
        <w:rPr>
          <w:rFonts w:ascii="Arial" w:eastAsia="宋体" w:hAnsi="Arial" w:cs="Arial"/>
          <w:kern w:val="0"/>
          <w:sz w:val="24"/>
          <w:szCs w:val="24"/>
        </w:rPr>
        <w:lastRenderedPageBreak/>
        <w:t xml:space="preserve">Lefebvre’s theorisation and emphasised the interrelationship between organizational space and its users.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The second assumption that made the analysis of this thesis possible is that the organisation should be replaced by the organising process rather than a bounded entity. This assumption arises from the “change versus constancy” distinction when viewing society and organisations, where organisations are regarded not as “things made” but as processes in the making (Hernes and Maitlis, 2010: 28). From this perspective, the organisation is made up of the interaction processes among its members. As suggested by Langley and Tsoukas (2010), Karl Weick’s work symbolised the shifted assumption of organisations from an accomplished entity to an ongoing process. This assumption not only destabilised the stereotypical idea of an organization as a stable entity in general, but it </w:t>
      </w:r>
      <w:proofErr w:type="gramStart"/>
      <w:r w:rsidRPr="00AE1FA0">
        <w:rPr>
          <w:rFonts w:ascii="Arial" w:eastAsia="宋体" w:hAnsi="Arial" w:cs="Arial"/>
          <w:kern w:val="0"/>
          <w:sz w:val="24"/>
          <w:szCs w:val="24"/>
        </w:rPr>
        <w:t>actually sensitised</w:t>
      </w:r>
      <w:proofErr w:type="gramEnd"/>
      <w:r w:rsidRPr="00AE1FA0">
        <w:rPr>
          <w:rFonts w:ascii="Arial" w:eastAsia="宋体" w:hAnsi="Arial" w:cs="Arial"/>
          <w:kern w:val="0"/>
          <w:sz w:val="24"/>
          <w:szCs w:val="24"/>
        </w:rPr>
        <w:t xml:space="preserve"> the analysis of organisational space to the idea that space is socially produced. In my thesis, one of the most important contributions derived from Lefebvre’s theorisation is the rejection of space as a container. What Lefebvre’s theorisation of space and the process theorisation of organisations have in common is the emphasis on temporality. As Dale and Burrell (2008) argued, space should not be reduced to the physical arrangement of the built environment but should be treated as a representation of how organisations relate both to each other and to society. Another implication of Lefebvre’s theory comes from its process of theorising the spatial triad, which I discussed in Chapter Two. However, for now, I wish to point out that this process explains why Lefebvre’s theorisation of space is a historical </w:t>
      </w:r>
      <w:proofErr w:type="gramStart"/>
      <w:r w:rsidRPr="00AE1FA0">
        <w:rPr>
          <w:rFonts w:ascii="Arial" w:eastAsia="宋体" w:hAnsi="Arial" w:cs="Arial"/>
          <w:kern w:val="0"/>
          <w:sz w:val="24"/>
          <w:szCs w:val="24"/>
        </w:rPr>
        <w:t>process by definition</w:t>
      </w:r>
      <w:proofErr w:type="gramEnd"/>
      <w:r w:rsidRPr="00AE1FA0">
        <w:rPr>
          <w:rFonts w:ascii="Arial" w:eastAsia="宋体" w:hAnsi="Arial" w:cs="Arial"/>
          <w:kern w:val="0"/>
          <w:sz w:val="24"/>
          <w:szCs w:val="24"/>
        </w:rPr>
        <w:t xml:space="preserve">. Henri Lefebvre’s analysis was indeed a historical reading of how spatial experience evolves over time. This historicisation of spatial analysis it </w:t>
      </w:r>
      <w:proofErr w:type="gramStart"/>
      <w:r w:rsidRPr="00AE1FA0">
        <w:rPr>
          <w:rFonts w:ascii="Arial" w:eastAsia="宋体" w:hAnsi="Arial" w:cs="Arial"/>
          <w:kern w:val="0"/>
          <w:sz w:val="24"/>
          <w:szCs w:val="24"/>
        </w:rPr>
        <w:t>opened up</w:t>
      </w:r>
      <w:proofErr w:type="gramEnd"/>
      <w:r w:rsidRPr="00AE1FA0">
        <w:rPr>
          <w:rFonts w:ascii="Arial" w:eastAsia="宋体" w:hAnsi="Arial" w:cs="Arial"/>
          <w:kern w:val="0"/>
          <w:sz w:val="24"/>
          <w:szCs w:val="24"/>
        </w:rPr>
        <w:t xml:space="preserve"> an opportunity to “use the present to understand the past, and the past to understand the present” (Elden, 2004: 243). In fact, the historicisation of organisational space is, on the one hand, motivated by Lefebvre’s theory, and on the other is supported by the claim of process view.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Nevertheless, few Lefebvrian studies have paid </w:t>
      </w:r>
      <w:proofErr w:type="gramStart"/>
      <w:r w:rsidRPr="00AE1FA0">
        <w:rPr>
          <w:rFonts w:ascii="Arial" w:eastAsia="宋体" w:hAnsi="Arial" w:cs="Arial"/>
          <w:kern w:val="0"/>
          <w:sz w:val="24"/>
          <w:szCs w:val="24"/>
        </w:rPr>
        <w:t>sufficient</w:t>
      </w:r>
      <w:proofErr w:type="gramEnd"/>
      <w:r w:rsidRPr="00AE1FA0">
        <w:rPr>
          <w:rFonts w:ascii="Arial" w:eastAsia="宋体" w:hAnsi="Arial" w:cs="Arial"/>
          <w:kern w:val="0"/>
          <w:sz w:val="24"/>
          <w:szCs w:val="24"/>
        </w:rPr>
        <w:t xml:space="preserve"> attention to the nature of historicisation when applying Lefebvre’s theories. For instance, many of the studies </w:t>
      </w:r>
      <w:r w:rsidRPr="00AE1FA0">
        <w:rPr>
          <w:rFonts w:ascii="Arial" w:eastAsia="宋体" w:hAnsi="Arial" w:cs="Arial"/>
          <w:kern w:val="0"/>
          <w:sz w:val="24"/>
          <w:szCs w:val="24"/>
        </w:rPr>
        <w:lastRenderedPageBreak/>
        <w:t xml:space="preserve">that apply Lefebvre’s triad tend to use it as a narrow technique to guide the collection of empirical evidence without considering how this triad is constructed or evolved. That is, the historical dimension is marginalised (Elden, 2001), which means that, if the historical dimension when applying Lefebvre’s triad is ignored, it is no longer a dynamic framework that facilitates different possibilities of understanding organisational space, but instead it delimits the analysis of organisational space, just like the ‘space as container’ assumption. This thesis contributes to the existing theories by surfacing the historical dimension through the analysis of the Founder’s Building and RHUL, in which the findings thereafter drew attention to the importance of the historicisation of organizational space. This thesis exemplified the benefit of historicisation in advancing our understanding of the organisational process of RHUL.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Specifically, this thesis provides a discussion of the changing spatial experiences over time. Here, the spatial interpretations and experiences </w:t>
      </w:r>
      <w:proofErr w:type="gramStart"/>
      <w:r w:rsidRPr="00AE1FA0">
        <w:rPr>
          <w:rFonts w:ascii="Arial" w:eastAsia="宋体" w:hAnsi="Arial" w:cs="Arial"/>
          <w:kern w:val="0"/>
          <w:sz w:val="24"/>
          <w:szCs w:val="24"/>
        </w:rPr>
        <w:t>are seen as</w:t>
      </w:r>
      <w:proofErr w:type="gramEnd"/>
      <w:r w:rsidRPr="00AE1FA0">
        <w:rPr>
          <w:rFonts w:ascii="Arial" w:eastAsia="宋体" w:hAnsi="Arial" w:cs="Arial"/>
          <w:kern w:val="0"/>
          <w:sz w:val="24"/>
          <w:szCs w:val="24"/>
        </w:rPr>
        <w:t xml:space="preserve"> the epitome of the organisation. For instance, investigating the evolving process of the conception of the Founder’s Building made it possible to unravel the development of higher education and women’s education throughout history or, to take another example of the lived experience of the academic staff at the Founder’s Building, only by situating individuals in a specific time period was it possible to make sense of their behaviour and choices. From these examples, we can see that the historicisation of space enhances the explanatory power of Lefebvre’s triad and is close to Lefebvre’s theorisation process of space. </w:t>
      </w:r>
      <w:proofErr w:type="gramStart"/>
      <w:r w:rsidRPr="00AE1FA0">
        <w:rPr>
          <w:rFonts w:ascii="Arial" w:eastAsia="宋体" w:hAnsi="Arial" w:cs="Arial"/>
          <w:kern w:val="0"/>
          <w:sz w:val="24"/>
          <w:szCs w:val="24"/>
        </w:rPr>
        <w:t>Similar to</w:t>
      </w:r>
      <w:proofErr w:type="gramEnd"/>
      <w:r w:rsidRPr="00AE1FA0">
        <w:rPr>
          <w:rFonts w:ascii="Arial" w:eastAsia="宋体" w:hAnsi="Arial" w:cs="Arial"/>
          <w:kern w:val="0"/>
          <w:sz w:val="24"/>
          <w:szCs w:val="24"/>
        </w:rPr>
        <w:t xml:space="preserve"> the spatial turn, a turn to the historical perspective is no longer an embryonic concept. As discussed previously, the historical turn revitalises the assumption that organisational history is the result of decisions made in the past (Clark and Rowlinson, 2002), and some empirical studies emerged, such as Philo’s (1995) study of the geographies of madness in an asylum in specific historical-geographical times and spaces. However, what has been less appreciated is that organisational space is integral to the organising process rather than simply existing a background. For instance, in Philo’s analysis, the asylum and its geographies were contextual. As a result, what this thesis adds to the literature on organisational space is an empirical case analysis that fulfils the assumption of space as socially produced and historicised.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What should be reemphasised is that this historicisation of organisational space is consistent with Lefebvre’s theorisation of space. Kipfer (2008: 9) stated that, “Lefebvre did not privilege space at the expense of time, or vice versa”. Yet, this thesis seeks, not to offer another interpretation of the existing literature on organisational space, but to combine the Lefebvrian analysis of organisational space with a process view of the organisation. What I have attempted to accomplish is to approach organisational space as an inseparable and integral representation of the organisation; that is, not only is space socially produced, but also the organisation itself. The case of the Founder’s Building has vividly demonstrated the possibilities of applying Lefebvre’s theorisation of space to organisational space through the historicisation of the analysis underpinned by a process view. </w:t>
      </w: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96" w:name="_Toc534732417"/>
      <w:r w:rsidRPr="00AE1FA0">
        <w:rPr>
          <w:rFonts w:ascii="Arial" w:eastAsiaTheme="majorEastAsia" w:hAnsi="Arial" w:cs="Arial"/>
          <w:b/>
          <w:color w:val="000000" w:themeColor="text1"/>
          <w:kern w:val="0"/>
          <w:sz w:val="24"/>
          <w:szCs w:val="24"/>
        </w:rPr>
        <w:t>7.1.2. Methodological contribution: A reflexive twin-track framework</w:t>
      </w:r>
      <w:bookmarkEnd w:id="96"/>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A central contribution of this thesis has been to explore and demonstrate the value of this reflexive twin-track framework for organizational space. I will discuss first how its twin-track nature contributed to this thesis. The methodological originality of this thesis lies in combining the two widely-used empirical evidences analysed in a reflexive way. The way in which this twin-track method differs from most existing studies is twofold. The first one is that the use of archive materials is a relatively less popular approach in the field of organizational space; indeed, in organization studies, researchers have long been sceptical about archival evidence and its reliability is questioned. Even for historical studies in organizations, archival evidence is usually used only as background in the analytical process (</w:t>
      </w:r>
      <w:r w:rsidRPr="00AE1FA0">
        <w:rPr>
          <w:rFonts w:ascii="Arial" w:eastAsia="宋体" w:hAnsi="Arial" w:cs="Arial"/>
          <w:sz w:val="24"/>
          <w:szCs w:val="24"/>
        </w:rPr>
        <w:t>Rowlinson, Hassard and Decker, 2014</w:t>
      </w:r>
      <w:r w:rsidRPr="00AE1FA0">
        <w:rPr>
          <w:rFonts w:ascii="Arial" w:eastAsia="宋体" w:hAnsi="Arial" w:cs="Arial"/>
          <w:kern w:val="0"/>
          <w:sz w:val="24"/>
        </w:rPr>
        <w:t xml:space="preserve">). It should be reminded that though use of archive materials in organization studies is still a small but emergent trend, relevant studies have emerged in the field of organization studies, for instance, Decker’s (2014) work on architecture and collective memory of the National Archive of Ghana was the source of empirical evidence) and Persson and Napier’s (2011) research on Australian accounting academics, in which the analysis was grounded in the archives.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lastRenderedPageBreak/>
        <w:t>This thesis, therefore, aimed to contribute methodologically to position archival material in the centre of analytical process.</w:t>
      </w:r>
      <w:r w:rsidRPr="00AE1FA0">
        <w:rPr>
          <w:rFonts w:ascii="Arial" w:eastAsia="宋体" w:hAnsi="Arial" w:cs="Arial"/>
          <w:kern w:val="0"/>
        </w:rPr>
        <w:t xml:space="preserve"> </w:t>
      </w:r>
      <w:r w:rsidRPr="00AE1FA0">
        <w:rPr>
          <w:rFonts w:ascii="Arial" w:eastAsia="宋体" w:hAnsi="Arial" w:cs="Arial"/>
          <w:kern w:val="0"/>
          <w:sz w:val="24"/>
        </w:rPr>
        <w:t xml:space="preserve">Even though it is self-evident that archival material depicts histories and what happened in the past, the detailed descriptions of historical events that it provides, should be analysed as a tool to understand the present and the future. That means, the analysis of archive material should not only be about what an archive holds, but should be expanded to the archive itself, its history, its structure, the work of the archivist(s), institutional influence etc. For instance, in the case of Founder’s Building, I acknowledged that archivists’ participation also formed part of the empirical evidence and discussed how I communicated with archivists in the chapter on methodology and discussion. It is same with the interviewing process of this thesis; not only the interview transcripts, but the location of the interviewing, the interactions with the interviewing participants, all formed the analysis of the empirical evidence. It was not my aim simply to collect two different types of empirical evidence, but to attempt to analyse them in a reflexive way – which is the second methodological contribution of this thesis.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The second contribution of this reflexive twin-track method is the application of reflexive practices, which are still an underdeveloped perspective. This reflexive twin-track framework exemplifies how reflexivity was carefully interwoven with this framework. Of course, the inner dynamics of this twin-track framework, the interrelationship, is also an essential component, but this has already been discussed sufficiently in the methodology and discussion chapters, where I argued how interviewing and archival material were collected and analysed in a mutually constituted process rather than as two standalone parallel procedures. Compared to archive research, reflexivity has been more popular in the field of interviewing. Bryman and Cassell (2006) highlighted reflexivity in doing interviews and suggested the main lesson to learn is that interviewing is not a neutral process; Denzin (2001) demonstrated how reflexivity could benefit interviewing in an interpretive framework.  In this respect, this thesis worked well in suggesting a way of conducting reflexive interviewing and analysis of interviewing material. In the process of interviewing, I tried to be reflexive not only by focusing on the contents of my material, but also the context in which interviews were conducted. For instance, in the chapter on methodology, I discussed how I sat on a corridor floor to interview students and that </w:t>
      </w:r>
      <w:r w:rsidRPr="00AE1FA0">
        <w:rPr>
          <w:rFonts w:ascii="Arial" w:eastAsia="宋体" w:hAnsi="Arial" w:cs="Arial"/>
          <w:kern w:val="0"/>
          <w:sz w:val="24"/>
        </w:rPr>
        <w:lastRenderedPageBreak/>
        <w:t xml:space="preserve">this helped to re-create the way in which students often socialize in their corridors. Moreover, because of this, interviewees felt encouraged to provide more concrete details, such as noise level or food they shared with their corridor friends.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However, it should be stressed that reflexivity is scarcely mentioned in archival research – it is difficult to find any empirical evidence in archive-based studies. Yet the belief that archival material is socially constructed and should be interpreted subjectively has been increasingly recognized in the field of social science. Thus, the question to ask is why reflexivity that encourages multiple-perspective and multiple-voices still marginalized? Compared to the interviewing material constructed by researchers, archival material is still widely seen as less subjective – researchers keep archive materials at arm’s length. However, in order to approach and analyse archive material as socially constructed and subjective, reflexivity should be incorporated. Discussion of room sizes in Chapter Six is a good example of showcasing one way to be reflexive in analysing archival material. Here, the key is not only focusing on what was written in an archival text, but also paying attention to the specific time-period and social context in which it was produced. Also, being reflexive means to acknowledge the limited availability of archival material in order to prevent over-interpretation of what is available.  Defining reflexivity in the context of qualitative research can be tricky and becomes an endless task because the centre of reflexivity lies in individuality and flexibility. Hence different scholars with different assumptions define reflexivity in divergent ways. Just to take some examples of well-known reflexive work in organization studies, Holland (1999) defined reflexivity as a practice reflecting on how the research is conducted and how the process of doing research shapes the results of the research; Calás and Smircich (1996) theorized that the core of reflexivity as understanding the knowledge is conditioned by institutional, social and political factors of the research process.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This thesis, instead of inclining to one specific definition, has attempted to show that that reflexivity should be interpreted and understood as a multi-level practice that combines approaches to achieve better results. Some scholars have already tried to shift the understanding of reflexivity from singular to multiple practices; Alvesson, </w:t>
      </w:r>
      <w:r w:rsidRPr="00AE1FA0">
        <w:rPr>
          <w:rFonts w:ascii="Arial" w:eastAsia="宋体" w:hAnsi="Arial" w:cs="Arial"/>
          <w:kern w:val="0"/>
          <w:sz w:val="24"/>
        </w:rPr>
        <w:lastRenderedPageBreak/>
        <w:t xml:space="preserve">Hardy and Harley (2008) suggest four: multi-perspective, multi-voicing, positioning and destabilizing. Which approach is superior is not the priority of this thesis; what I want to emphasize is the potential to combine different practices that most suit the research </w:t>
      </w:r>
      <w:proofErr w:type="gramStart"/>
      <w:r w:rsidRPr="00AE1FA0">
        <w:rPr>
          <w:rFonts w:ascii="Arial" w:eastAsia="宋体" w:hAnsi="Arial" w:cs="Arial"/>
          <w:kern w:val="0"/>
          <w:sz w:val="24"/>
        </w:rPr>
        <w:t>design.</w:t>
      </w:r>
      <w:proofErr w:type="gramEnd"/>
      <w:r w:rsidRPr="00AE1FA0">
        <w:rPr>
          <w:rFonts w:ascii="Arial" w:eastAsia="宋体" w:hAnsi="Arial" w:cs="Arial"/>
          <w:kern w:val="0"/>
          <w:sz w:val="24"/>
        </w:rPr>
        <w:t xml:space="preserve"> First, it is important to pay attention to giving value to different voices, for instance, during the collection and analysis of archive materials, just interpreting them is not enough: it is essential to be aware of who have left imprints on the final text, that is, who have framed and contributed to the final text. Just as suggested by Alvesson, Hardy and Harley (2008), any text is an outcome of various and divergent voices, shaped by authors, gatekeepers and researchers etc. Second, try to reflect on the historical and institutional contexts influences the choice of the </w:t>
      </w:r>
      <w:proofErr w:type="gramStart"/>
      <w:r w:rsidRPr="00AE1FA0">
        <w:rPr>
          <w:rFonts w:ascii="Arial" w:eastAsia="宋体" w:hAnsi="Arial" w:cs="Arial"/>
          <w:kern w:val="0"/>
          <w:sz w:val="24"/>
        </w:rPr>
        <w:t>particular way</w:t>
      </w:r>
      <w:proofErr w:type="gramEnd"/>
      <w:r w:rsidRPr="00AE1FA0">
        <w:rPr>
          <w:rFonts w:ascii="Arial" w:eastAsia="宋体" w:hAnsi="Arial" w:cs="Arial"/>
          <w:kern w:val="0"/>
          <w:sz w:val="24"/>
        </w:rPr>
        <w:t xml:space="preserve"> of interpretation, such as in the process of interviewing, Denzin (2001) argues that the meanings of interviewing materials are contextual and performative.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In this thesis, I have combined the practice of multiple-perspective and multi-voice. These practices were chosen and applied determined by the characteristics of interviewing and archive materials. In this thesis, multi-voice and multi-perspective encouraged a shift in both archival material and the interviewing process. That is, archival and interviewing material are no longer seen as objective and one-off, instead, they were approached and analysed as becoming process. For instance, when analysing interviewing material about first impressions of Founder’s Building, I chose to not only compare the first impressions of multiple actors like students and academic staff; more importantly, I also compared first impressions of present users with users in the past based on archival material. This indeed helped to achieve the multi-voice and multi-perspective by acknowledging the importance of temporality in experiencing organizational space. Also, from this example in Founder’s Building, it also indicated that multi-voice and multi-perspective were not achievable without being twin-track. Consequently, this thesis as an empirical case exemplifies how understanding of reflexivity can be deployed in practice. Compared to other existing studies in the field of organizational space, what this reflexive twin-track thesis prioritized is to approach both interviewing and archive materials in a reflexively. </w:t>
      </w:r>
    </w:p>
    <w:p w:rsidR="00AE1FA0" w:rsidRPr="00AE1FA0" w:rsidRDefault="00AE1FA0" w:rsidP="00AE1FA0">
      <w:pPr>
        <w:widowControl/>
        <w:spacing w:after="160" w:line="360" w:lineRule="auto"/>
        <w:rPr>
          <w:rFonts w:ascii="Arial" w:eastAsia="宋体" w:hAnsi="Arial" w:cs="Arial"/>
          <w:color w:val="44546A"/>
          <w:kern w:val="0"/>
          <w:sz w:val="28"/>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97" w:name="_Toc534732418"/>
      <w:r w:rsidRPr="00AE1FA0">
        <w:rPr>
          <w:rFonts w:ascii="Arial" w:eastAsiaTheme="majorEastAsia" w:hAnsi="Arial" w:cs="Arial"/>
          <w:b/>
          <w:color w:val="000000" w:themeColor="text1"/>
          <w:kern w:val="0"/>
          <w:sz w:val="24"/>
          <w:szCs w:val="24"/>
        </w:rPr>
        <w:lastRenderedPageBreak/>
        <w:t>7.1.3. Empirical contribution: The past is always present</w:t>
      </w:r>
      <w:bookmarkEnd w:id="97"/>
    </w:p>
    <w:p w:rsidR="00AE1FA0" w:rsidRPr="00AE1FA0" w:rsidRDefault="00AE1FA0" w:rsidP="00AE1FA0">
      <w:pPr>
        <w:widowControl/>
        <w:spacing w:after="160" w:line="259" w:lineRule="auto"/>
        <w:jc w:val="left"/>
        <w:rPr>
          <w:kern w:val="0"/>
          <w:sz w:val="22"/>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The most noticeable empirical contribution resulting from the Founder’s Building case is related to the interpretation of history. That is, the ‘past’ exists in the ‘present’ through experiencing space over time at different levels (i.e. conceived, perceived, and lived). History is not equal to the past: the past is what happened in the past, and history is deliberately written by people who did not experience it as well as by the people who are entitled to keep the records. Therefore, my second finding is that history is articulated by people. When people articulate history, they become the receivers of that history, but not passive receivers; instead, they are remaking history, which explains my main finding that the past is always present. These two findings were discussed in detail empirically in the previous two chapters.</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The whole of Chapter Five was focused on how the concept of ‘Victorian’ manifests its meanings in different analytical perspectives and how these manifestations evolve and change throughout history; that is, how the meaning of ‘Victorian’ is perceived as an expression and embodiment of social ideas and norms at the conceived level; how perceived space enacts the Founder’s Building in particular ways to enable certain manifestations; and how these manifestations reflect a continuous negotiation between the social norms and users’ experiences in the space. Empirically, these manifestations appear to be an interdependent process, in which conceived, perceived and lived spaces interact with each other. For instance, on the level of conceived space, the Founder’s Building was designed and founded within the wider value system of ‘Victorian’ ideals, such as those related to women’s education and social class. That is, the Founder’s Building is an embodiment of the ‘ideal’ education for women in the ‘Victorian’ era. When this is reflected on a spatial level, examples such as the choice of location or the organisation of domestic life in RHC become obvious. As written in the early Rules and Regulations, a distant location from London was part and parcel of the plan for the college to be a women’s </w:t>
      </w:r>
      <w:proofErr w:type="gramStart"/>
      <w:r w:rsidRPr="00AE1FA0">
        <w:rPr>
          <w:rFonts w:ascii="Arial" w:eastAsia="宋体" w:hAnsi="Arial" w:cs="Arial"/>
          <w:kern w:val="0"/>
          <w:sz w:val="24"/>
          <w:szCs w:val="24"/>
        </w:rPr>
        <w:t>college in its own right, whereas</w:t>
      </w:r>
      <w:proofErr w:type="gramEnd"/>
      <w:r w:rsidRPr="00AE1FA0">
        <w:rPr>
          <w:rFonts w:ascii="Arial" w:eastAsia="宋体" w:hAnsi="Arial" w:cs="Arial"/>
          <w:kern w:val="0"/>
          <w:sz w:val="24"/>
          <w:szCs w:val="24"/>
        </w:rPr>
        <w:t xml:space="preserve"> domestic life should be an orderly Christian household, religious services provided every morning by a female Principal. </w:t>
      </w:r>
      <w:proofErr w:type="gramStart"/>
      <w:r w:rsidRPr="00AE1FA0">
        <w:rPr>
          <w:rFonts w:ascii="Arial" w:eastAsia="宋体" w:hAnsi="Arial" w:cs="Arial"/>
          <w:kern w:val="0"/>
          <w:sz w:val="24"/>
          <w:szCs w:val="24"/>
        </w:rPr>
        <w:t>All of</w:t>
      </w:r>
      <w:proofErr w:type="gramEnd"/>
      <w:r w:rsidRPr="00AE1FA0">
        <w:rPr>
          <w:rFonts w:ascii="Arial" w:eastAsia="宋体" w:hAnsi="Arial" w:cs="Arial"/>
          <w:kern w:val="0"/>
          <w:sz w:val="24"/>
          <w:szCs w:val="24"/>
        </w:rPr>
        <w:t xml:space="preserve"> these examples resonate with the ‘Victorian’ values and norms, which the Founder’s Building was conceived in order to replicate. For instance, the Picture Gallery was conceived to replicate the social life of </w:t>
      </w:r>
      <w:r w:rsidRPr="00AE1FA0">
        <w:rPr>
          <w:rFonts w:ascii="Arial" w:eastAsia="宋体" w:hAnsi="Arial" w:cs="Arial"/>
          <w:kern w:val="0"/>
          <w:sz w:val="24"/>
          <w:szCs w:val="24"/>
        </w:rPr>
        <w:lastRenderedPageBreak/>
        <w:t xml:space="preserve">upper and middle-class women in the ‘Victorian’ era. The example of the study-bedroom system is another indication of how the Founder’s Building was conceived as a socially legitimate space for women. As discussed in Chapter Five, the study-bedroom design is a symbol of the ‘Victorian’ ideal of the upper and middle-class family. Nevertheless, manifestations of ‘Victorian’ meanings at the conceived level change dramatically in the present. ‘Victorian’ ideals of education, social class and women are no longer seen as the most influential factors determining how the Founder’s Building should be conceived. ‘Victorian’ is increasingly seen as a spatial legacy that is only attended to when appropriate to the current needs of RHUL. For instance, naming the new library after a famous ‘Victorian’ alumna was designed to build a connection with history, which is easier to communicate to a wider population.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On a perceived level, many empirical examples have illustrated ‘Victorian’ ideals in terms of power relations, social class and gender, materialised on an architectural level. In the example of the study-bedroom mentioned above, perceived space is attentive to the transformation process of ‘Victorian’ ideals </w:t>
      </w:r>
      <w:proofErr w:type="gramStart"/>
      <w:r w:rsidRPr="00AE1FA0">
        <w:rPr>
          <w:rFonts w:ascii="Arial" w:eastAsia="宋体" w:hAnsi="Arial" w:cs="Arial"/>
          <w:kern w:val="0"/>
          <w:sz w:val="24"/>
          <w:szCs w:val="24"/>
        </w:rPr>
        <w:t>with regard to</w:t>
      </w:r>
      <w:proofErr w:type="gramEnd"/>
      <w:r w:rsidRPr="00AE1FA0">
        <w:rPr>
          <w:rFonts w:ascii="Arial" w:eastAsia="宋体" w:hAnsi="Arial" w:cs="Arial"/>
          <w:kern w:val="0"/>
          <w:sz w:val="24"/>
          <w:szCs w:val="24"/>
        </w:rPr>
        <w:t xml:space="preserve"> materiality and design. I used the example of the ‘family’ system in RHC to demonstrate how conceived space is materialised and enacted on the perceived space through encouraging certain activities. In particular, the ‘family’ system was designed to imitate the ‘Victorian’ family’s domestic life and specific space (i.e. common rooms in the Founder’s Building), and when this conception was materialised in a perceived space, physical designs and artefacts were created to realise this conception. In addition to the physical or architectural design, perceived space also enacts ‘Victorian’ movements and interactions. The powerful example here would be the use of tunnels, discussed in Chapter Four. Movements that tunnels reinforce are also the materialization of ‘Victorian’ values regarding social class and gender; in this case, the separate-sphere notion and social class. As previously discovered, the tunnel was designed in such a way that the “delicate sensibilities of girls would not be upset by the sight of men servants” (RHUL Archive, 2016). Here, the use of the term ‘servants’ signals the hierarchy in ‘Victorian’ times, and the intention to separate women from men was part of the wider norm at that time, </w:t>
      </w:r>
      <w:proofErr w:type="gramStart"/>
      <w:r w:rsidRPr="00AE1FA0">
        <w:rPr>
          <w:rFonts w:ascii="Arial" w:eastAsia="宋体" w:hAnsi="Arial" w:cs="Arial"/>
          <w:kern w:val="0"/>
          <w:sz w:val="24"/>
          <w:szCs w:val="24"/>
        </w:rPr>
        <w:t>similar to</w:t>
      </w:r>
      <w:proofErr w:type="gramEnd"/>
      <w:r w:rsidRPr="00AE1FA0">
        <w:rPr>
          <w:rFonts w:ascii="Arial" w:eastAsia="宋体" w:hAnsi="Arial" w:cs="Arial"/>
          <w:kern w:val="0"/>
          <w:sz w:val="24"/>
          <w:szCs w:val="24"/>
        </w:rPr>
        <w:t xml:space="preserve"> having different entrances for different types of people. In RHC, men should use the Business Entrance to ensure </w:t>
      </w:r>
      <w:r w:rsidRPr="00AE1FA0">
        <w:rPr>
          <w:rFonts w:ascii="Arial" w:eastAsia="宋体" w:hAnsi="Arial" w:cs="Arial"/>
          <w:kern w:val="0"/>
          <w:sz w:val="24"/>
          <w:szCs w:val="24"/>
        </w:rPr>
        <w:lastRenderedPageBreak/>
        <w:t>that they had no interaction with the female students, who used the Students’ Entrance. The prohibition on entering the College out of hours also relates to the segregation of the sexes. It should be noted that the control of movements and interactions is not limited to ‘Victorian’ times, as advances in technology enables perceived space to be manifest in the contemporary practices of surveillance and control. Marx (1998;2002) used the term ‘new surveillance’ to describe the technology for sensing and recording in order to monitor of people without direct observation within space (Graham, 2003). In Chapter Four, I used the example of the use of CCTV and swipe-card-access as part of the spatial legacy of the close-knit community norm. Apart from being part of the process of RHUL becoming a safe space, it is also part of the wider trend of tightening surveillance across the whole of society. CCTV, for example, is part of the digital surveillance in operation at the Founder’s Building that controls and regulates people’s movements and interactions. As Lianos and Douglas (2000) argued, ‘they become supervised agents that continually help to determine ongoing social outcomes in space and time’. What this identifies is an interdependent relationship between perceived space and conceived space. That is, the introduction of digital surveillance to the Founder’s Building is consistent with the conceived space of RHUL in the present, and this new conceived space, created by digital surveillance, also reflects the current social trend regarding how a university campus should be designed. Surveillance is indeed producing a new kind of space that changes ‘emotional experiences in urban space and affects the ways in which ‘reality’ is conceptualized and understood’ (Koskela, 2000).</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Digital surveillance also highlights the power relations in space. Dale and Burrell (2008) argued that all spatial activities carry political values and represent power relations. ‘Emplacement’ is one form of power placed on a space and is about the creation of a certain space for certain activities for certain people. Swipe-card-access </w:t>
      </w:r>
      <w:proofErr w:type="gramStart"/>
      <w:r w:rsidRPr="00AE1FA0">
        <w:rPr>
          <w:rFonts w:ascii="Arial" w:eastAsia="宋体" w:hAnsi="Arial" w:cs="Arial"/>
          <w:kern w:val="0"/>
          <w:sz w:val="24"/>
          <w:szCs w:val="24"/>
        </w:rPr>
        <w:t>can be seen as</w:t>
      </w:r>
      <w:proofErr w:type="gramEnd"/>
      <w:r w:rsidRPr="00AE1FA0">
        <w:rPr>
          <w:rFonts w:ascii="Arial" w:eastAsia="宋体" w:hAnsi="Arial" w:cs="Arial"/>
          <w:kern w:val="0"/>
          <w:sz w:val="24"/>
          <w:szCs w:val="24"/>
        </w:rPr>
        <w:t xml:space="preserve"> one form of emplacement because it is a process of both inclusion and exclusion. Accordingly, the use of tunnels and different entrances is the ‘Victorian’ method of emplacement. The example of room allocation and size shows how the ‘Enchantment’ form of power works. As Dale and Burrell (2008) wrote, ‘Enchantment’ refers to the built expression of power, such as material in space. For instance, servants’ rooms were allocated in the attics, which made this association between </w:t>
      </w:r>
      <w:r w:rsidRPr="00AE1FA0">
        <w:rPr>
          <w:rFonts w:ascii="Arial" w:eastAsia="宋体" w:hAnsi="Arial" w:cs="Arial"/>
          <w:kern w:val="0"/>
          <w:sz w:val="24"/>
          <w:szCs w:val="24"/>
        </w:rPr>
        <w:lastRenderedPageBreak/>
        <w:t xml:space="preserve">room size and the social hierarchy evident in perceived space. In this case, perceived space (i.e. smaller rooms for the lower hierarchy) is the materialisation of conceived space (i.e. ‘Victorian’ social class and hierarchy).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‘Victorian’ is lived through persistent imaginary reconstructions of the Founder’s Building and is manifested through individualised interpretations and experiences. I have discovered two scenarios regarding how ‘Victorian’ is alive in the present, which are the historicising of ‘Victorian’ values and norms in the Founder’s Building from a historical perspective, and the persistence of physical artefacts and embodiment from a sociomaterial perspective. Both scenarios reveal how the Founder’s Building remains a ‘Victorian’ space in the present, yet with differing focuses. In the first situation, where I analysed ‘Victorian’ space in the Founder’s Building from a historical perspective, nostalgia is an important phenomenon in the process of reconstructing the Founder’s Building as a ‘Victorian’ space. The interview findings have shown signs of widespread nostalgia in both the academic and student cohorts. Examples include students fantasising about their daily experiences as a ‘Victorian’ representation in the Founder’s Building, and academic staff talking about the continuity of the ‘Victorian’ ethos and legacy. Similar sentiments were discovered in the archival evidence. Partly, this is due to the situation that lived/spatial experiences in the past were based on reminiscences written by alumni, which made nostalgia more evident. Unlike some researchers, who question the trustworthiness of nostalgic reminiscences, I regard this nostalgia as a valuable representation of how people construct and reconstruct their imaginary understanding of the Founder’s Building and ‘Victorian’ space. Hence, this empirical finding indeed contributes to both the understanding of ‘Victorian’ space empirically and reflections on how to research the lived experiences of space in history methodologically.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The ‘Victorian’ lifestyle is another key concept foregrounded in the process of historicising ‘Victorian’ values and norms. It is indeed through historicising a certain lifestyle that the Founder’s Building is gradually becoming a ‘Victorian’ space in the present. If we look at history, there is a clear timeline regarding what ‘Victorian’ lifestyle is kept, discarded, and altered. Homeliness’ is an essential part of the </w:t>
      </w:r>
      <w:r w:rsidRPr="00AE1FA0">
        <w:rPr>
          <w:rFonts w:ascii="Arial" w:eastAsia="宋体" w:hAnsi="Arial" w:cs="Arial"/>
          <w:kern w:val="0"/>
          <w:sz w:val="24"/>
          <w:szCs w:val="24"/>
        </w:rPr>
        <w:lastRenderedPageBreak/>
        <w:t xml:space="preserve">‘Victorian’ lifestyle that RHC has kept and motivated. For example, tea parties and other daily social activities of the ‘family’ (see the discussion of the ‘family’ system in Chapter Five) </w:t>
      </w:r>
      <w:proofErr w:type="gramStart"/>
      <w:r w:rsidRPr="00AE1FA0">
        <w:rPr>
          <w:rFonts w:ascii="Arial" w:eastAsia="宋体" w:hAnsi="Arial" w:cs="Arial"/>
          <w:kern w:val="0"/>
          <w:sz w:val="24"/>
          <w:szCs w:val="24"/>
        </w:rPr>
        <w:t>are seen as</w:t>
      </w:r>
      <w:proofErr w:type="gramEnd"/>
      <w:r w:rsidRPr="00AE1FA0">
        <w:rPr>
          <w:rFonts w:ascii="Arial" w:eastAsia="宋体" w:hAnsi="Arial" w:cs="Arial"/>
          <w:kern w:val="0"/>
          <w:sz w:val="24"/>
          <w:szCs w:val="24"/>
        </w:rPr>
        <w:t xml:space="preserve"> an important way of maintaining a ‘Victorian’ lifestyle. Here, a ‘Victoria’ lifestyle is close to an envisaged picture of how upper and middle-class women socialised. This tradition was continued until the 1950s and became the tradition or legacy that </w:t>
      </w:r>
      <w:proofErr w:type="gramStart"/>
      <w:r w:rsidRPr="00AE1FA0">
        <w:rPr>
          <w:rFonts w:ascii="Arial" w:eastAsia="宋体" w:hAnsi="Arial" w:cs="Arial"/>
          <w:kern w:val="0"/>
          <w:sz w:val="24"/>
          <w:szCs w:val="24"/>
        </w:rPr>
        <w:t>the majority of</w:t>
      </w:r>
      <w:proofErr w:type="gramEnd"/>
      <w:r w:rsidRPr="00AE1FA0">
        <w:rPr>
          <w:rFonts w:ascii="Arial" w:eastAsia="宋体" w:hAnsi="Arial" w:cs="Arial"/>
          <w:kern w:val="0"/>
          <w:sz w:val="24"/>
          <w:szCs w:val="24"/>
        </w:rPr>
        <w:t xml:space="preserve"> the alumni emphasised as well as a place where nostalgia emerged. On the level of lived space, this tradition created and modified a specific ‘Victorian’ space in which only ‘Victorian’ activities/behaviour were encouraged. Accordingly, ‘Victorian’ activities/behaviour have motivated the persistent reconstructions of ‘Victorian’ representations of space in the Founder’s Building. This explains why ‘homeliness’ is still present, as discovered during the interview process. There are examples showing how the students discussed the importance of a close-knit community and social bonds in the Founder’s Building compared to other students’ residence spaces at RHUL. They consciously ascribe this closeness or ‘homeliness’ to spatial design, such as the wide corridors and pantries, where they have been encouraged to socialise and build connections.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hint="eastAsia"/>
          <w:kern w:val="0"/>
          <w:sz w:val="24"/>
          <w:szCs w:val="24"/>
        </w:rPr>
        <w:t>F</w:t>
      </w:r>
      <w:r w:rsidRPr="00AE1FA0">
        <w:rPr>
          <w:rFonts w:ascii="Arial" w:eastAsia="宋体" w:hAnsi="Arial" w:cs="Arial"/>
          <w:kern w:val="0"/>
          <w:sz w:val="24"/>
          <w:szCs w:val="24"/>
        </w:rPr>
        <w:t xml:space="preserve">rom a sociomaterial perspective (Dale and Burrell, 2008), persistent reconstructions of ‘Victorian’ space are realised through the consistent embodiment of physical artefacts and designs. Once subscribed to the belief that organizational space is sociomaterial, history becomes an integral dimension in organisational life and experiences. The historicisation of space destabilises the temporality of organisational life and motivates researchers to examineo the process of how sociomateriality evolves, changes, and acts. As Clark and Rowlinson (2004: 334) stressed, “revitalising history in organization studies…can teach us to interpret existing organizational structures not as determined by laws, but as the result of decisions in past choice opportunities”. The primary assumption underpinning this is that organisations are social creations, evolving and transforming continuously. This orientation, therefore, is helpful in explaining how and under what circumstances something is created and produced. ‘Impressiveness’ is a typical empirical example demonstrating this contribution. I started to trace back how the Founder’s Building became an impressive space and discovered that ‘impressiveness’ became an evident spatial feature of ‘Victorian’ space along with the national prosperity of the </w:t>
      </w:r>
      <w:r w:rsidRPr="00AE1FA0">
        <w:rPr>
          <w:rFonts w:ascii="Arial" w:eastAsia="宋体" w:hAnsi="Arial" w:cs="Arial"/>
          <w:kern w:val="0"/>
          <w:sz w:val="24"/>
          <w:szCs w:val="24"/>
        </w:rPr>
        <w:lastRenderedPageBreak/>
        <w:t>‘Victorian’ era. Knowing about the ‘Victorian’ belief in parading achievements (be they personal, organisational, or social) (Heffer, 2013) help us to understand the embeddedness of ‘impressiveness’ in the Founder’s Building. Embodiment becomes an important concept in shaping the actual analysis of the empirical evidence in order to regard individuals as active participants in the shaping and construction of space. As argued by Dale and Burrell (2008), embodiment helps us to understand the projections of cultural images. Thus, it becomes possible to discover what ‘Victorian’ space enables and constrains through investigating the interactions with materiality in the Founder’s Building. Examples include how the existence of fireplaces in the students’ rooms has evoked imagining life in the 19</w:t>
      </w:r>
      <w:r w:rsidRPr="00AE1FA0">
        <w:rPr>
          <w:rFonts w:ascii="Arial" w:eastAsia="宋体" w:hAnsi="Arial" w:cs="Arial"/>
          <w:kern w:val="0"/>
          <w:sz w:val="24"/>
          <w:szCs w:val="24"/>
          <w:vertAlign w:val="superscript"/>
        </w:rPr>
        <w:t>th</w:t>
      </w:r>
      <w:r w:rsidRPr="00AE1FA0">
        <w:rPr>
          <w:rFonts w:ascii="Arial" w:eastAsia="宋体" w:hAnsi="Arial" w:cs="Arial"/>
          <w:kern w:val="0"/>
          <w:sz w:val="24"/>
          <w:szCs w:val="24"/>
        </w:rPr>
        <w:t xml:space="preserve"> century, and how the high ceilings and windows have helped to reconstruct a ‘Victorian’ space. </w:t>
      </w:r>
      <w:proofErr w:type="gramStart"/>
      <w:r w:rsidRPr="00AE1FA0">
        <w:rPr>
          <w:rFonts w:ascii="Arial" w:eastAsia="宋体" w:hAnsi="Arial" w:cs="Arial"/>
          <w:kern w:val="0"/>
          <w:sz w:val="24"/>
          <w:szCs w:val="24"/>
        </w:rPr>
        <w:t>All of</w:t>
      </w:r>
      <w:proofErr w:type="gramEnd"/>
      <w:r w:rsidRPr="00AE1FA0">
        <w:rPr>
          <w:rFonts w:ascii="Arial" w:eastAsia="宋体" w:hAnsi="Arial" w:cs="Arial"/>
          <w:kern w:val="0"/>
          <w:sz w:val="24"/>
          <w:szCs w:val="24"/>
        </w:rPr>
        <w:t xml:space="preserve"> these empirical discoveries signal how individuals materialise their feelings, emotions, and memories of space through physical clues in history. Hence, one implication here is that Lefebvre’s triad is beneficial to historical case study and works more effectively in explaining the construction/reconstruction process of space. The Founder’s Building is therefore re-conceptualised as a space for ‘Victorian’ practices and activities to be encouraged and realised through embodiment.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Both scenarios offer empirical evidence to the argument that organisational space and organisations are intrinsically interconnected (</w:t>
      </w:r>
      <w:r w:rsidRPr="00AE1FA0">
        <w:rPr>
          <w:rFonts w:ascii="Arial" w:eastAsia="宋体" w:hAnsi="Arial" w:cs="Arial"/>
          <w:kern w:val="0"/>
          <w:sz w:val="24"/>
          <w:szCs w:val="24"/>
          <w:lang w:val="en-US"/>
        </w:rPr>
        <w:t>Cnossen and Bencherki, 2018</w:t>
      </w:r>
      <w:r w:rsidRPr="00AE1FA0">
        <w:rPr>
          <w:rFonts w:ascii="Arial" w:eastAsia="宋体" w:hAnsi="Arial" w:cs="Arial"/>
          <w:kern w:val="0"/>
          <w:sz w:val="24"/>
          <w:szCs w:val="24"/>
        </w:rPr>
        <w:t>). The empirical case of the Founder’s Building being lived as a ‘Victorian’ space shows how dynamic these interconnections can be. These interconnections become more complex empirically in the process of history-making and the use of history. Consequently, the second notable empirical contribution of this thesis relates to the articulation and appropriation of the history of the Founder’s Building and RHUL.</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8"/>
        </w:rPr>
      </w:pPr>
      <w:r w:rsidRPr="00AE1FA0">
        <w:rPr>
          <w:rFonts w:ascii="Arial" w:eastAsia="宋体" w:hAnsi="Arial" w:cs="Arial"/>
          <w:kern w:val="0"/>
          <w:sz w:val="24"/>
          <w:szCs w:val="28"/>
        </w:rPr>
        <w:t xml:space="preserve">The appropriation process can be purposeful, especially on the organizational level; the history of space is often appropriated deliberately. The second empirical chapter of this thesis, Chapter Five, touched upon which kind of history is present and what forces motivated these spatial legacies. The writing of the history of suffrage, for example, has been analysed in the previous chapters. This appropriation of the connections of the early suffrage pioneers and RHUL, is to accomplish the aim of </w:t>
      </w:r>
      <w:r w:rsidRPr="00AE1FA0">
        <w:rPr>
          <w:rFonts w:ascii="Arial" w:eastAsia="宋体" w:hAnsi="Arial" w:cs="Arial"/>
          <w:kern w:val="0"/>
          <w:sz w:val="24"/>
          <w:szCs w:val="28"/>
        </w:rPr>
        <w:lastRenderedPageBreak/>
        <w:t xml:space="preserve">increasing the reputation of RHUL as a progressive university. Just as suggested by Hasian and Frank (1999: 99), the appropriation of relevant history aims to influence collective memories. Here, collective memories are the “public acceptances or ratifications of the histories”. For RHUL, appropriated history therefore becomes a competitive advantage. In fact, the history of an organization has long been perceived as a sustainable competitive advantage as various researches (Suddaby, Foster and Trank, 2010; Oliver, 1997) show. For instance, </w:t>
      </w:r>
      <w:r w:rsidRPr="00AE1FA0">
        <w:rPr>
          <w:rFonts w:ascii="Arial" w:hAnsi="Arial" w:cs="Arial"/>
          <w:kern w:val="0"/>
          <w:sz w:val="24"/>
          <w:szCs w:val="28"/>
        </w:rPr>
        <w:t xml:space="preserve">traditions can be invented and enacted through use of space. </w:t>
      </w:r>
    </w:p>
    <w:p w:rsidR="00AE1FA0" w:rsidRPr="00AE1FA0" w:rsidRDefault="00AE1FA0" w:rsidP="00AE1FA0">
      <w:pPr>
        <w:widowControl/>
        <w:spacing w:after="160" w:line="360" w:lineRule="auto"/>
        <w:rPr>
          <w:rFonts w:ascii="Arial"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hAnsi="Arial" w:cs="Arial"/>
          <w:kern w:val="0"/>
          <w:sz w:val="24"/>
          <w:szCs w:val="28"/>
        </w:rPr>
        <w:t xml:space="preserve">A nice illustration of this is the petting zoo activity which happened at Founder’s Building, provided by the Students’ Welfare and Wellbeing team, at which people could pet puppies, horses or micropigs to relieve stress. In Image 15, the choice of the word ‘return’ suggests how this activity has become a newly invented tradition for RHUL, promoted in a newsletter sent to students, which linked a 1920s photograph of a pig – one of the livestock then kept on campus –  (Image 16) to the petting zoo; an old tradition carefully linked to the newly invented activity. Hobsbawm and Ranger (2012: 1) suggest that the invention of a tradition starts with the discovery of a “suitable historic past”. </w:t>
      </w:r>
      <w:r w:rsidRPr="00AE1FA0">
        <w:rPr>
          <w:rFonts w:ascii="Arial" w:eastAsia="宋体" w:hAnsi="Arial" w:cs="Arial"/>
          <w:kern w:val="0"/>
          <w:sz w:val="24"/>
          <w:szCs w:val="28"/>
        </w:rPr>
        <w:t xml:space="preserve">In the case of Founder’s Building this indicates how history can be appropriated and how organizational space becomes an important site for the appropriation. </w:t>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hAnsi="Arial" w:cs="Arial"/>
          <w:noProof/>
          <w:kern w:val="0"/>
          <w:sz w:val="22"/>
          <w:lang w:eastAsia="en-GB"/>
        </w:rPr>
        <w:lastRenderedPageBreak/>
        <w:drawing>
          <wp:inline distT="0" distB="0" distL="0" distR="0" wp14:anchorId="42CFB2A3" wp14:editId="3504F699">
            <wp:extent cx="5705475" cy="3533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5475" cy="3533775"/>
                    </a:xfrm>
                    <a:prstGeom prst="rect">
                      <a:avLst/>
                    </a:prstGeom>
                  </pic:spPr>
                </pic:pic>
              </a:graphicData>
            </a:graphic>
          </wp:inline>
        </w:drawing>
      </w: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Image 15: Petting Zoo, Student Newsletter, 2017</w:t>
      </w:r>
      <w:r w:rsidRPr="00AE1FA0">
        <w:rPr>
          <w:rFonts w:ascii="Arial" w:eastAsia="宋体" w:hAnsi="Arial" w:cs="Arial"/>
          <w:kern w:val="0"/>
          <w:sz w:val="24"/>
          <w:szCs w:val="28"/>
          <w:vertAlign w:val="superscript"/>
        </w:rPr>
        <w:footnoteReference w:id="66"/>
      </w:r>
    </w:p>
    <w:p w:rsidR="00AE1FA0" w:rsidRPr="00AE1FA0" w:rsidRDefault="00AE1FA0" w:rsidP="00AE1FA0">
      <w:pPr>
        <w:widowControl/>
        <w:spacing w:after="160" w:line="360" w:lineRule="auto"/>
        <w:rPr>
          <w:rFonts w:ascii="Arial" w:eastAsia="宋体" w:hAnsi="Arial" w:cs="Arial"/>
          <w:kern w:val="0"/>
          <w:sz w:val="24"/>
          <w:szCs w:val="28"/>
        </w:rPr>
      </w:pP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hAnsi="Arial" w:cs="Arial"/>
          <w:noProof/>
          <w:kern w:val="0"/>
          <w:sz w:val="22"/>
          <w:lang w:eastAsia="en-GB"/>
        </w:rPr>
        <w:lastRenderedPageBreak/>
        <w:drawing>
          <wp:inline distT="0" distB="0" distL="0" distR="0" wp14:anchorId="1A752E31" wp14:editId="1C79C2C7">
            <wp:extent cx="4333875" cy="4448175"/>
            <wp:effectExtent l="0" t="0" r="0" b="0"/>
            <wp:docPr id="4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8" cstate="print">
                      <a:extLst>
                        <a:ext uri="{28A0092B-C50C-407E-A947-70E740481C1C}">
                          <a14:useLocalDpi xmlns:a14="http://schemas.microsoft.com/office/drawing/2010/main" val="0"/>
                        </a:ext>
                      </a:extLst>
                    </a:blip>
                    <a:srcRect t="5148" b="8994"/>
                    <a:stretch/>
                  </pic:blipFill>
                  <pic:spPr bwMode="auto">
                    <a:xfrm>
                      <a:off x="0" y="0"/>
                      <a:ext cx="4334387" cy="44487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E1FA0" w:rsidRPr="00AE1FA0" w:rsidRDefault="00AE1FA0" w:rsidP="00AE1FA0">
      <w:pPr>
        <w:widowControl/>
        <w:spacing w:after="160" w:line="360" w:lineRule="auto"/>
        <w:rPr>
          <w:rFonts w:ascii="Arial" w:eastAsia="宋体" w:hAnsi="Arial" w:cs="Arial"/>
          <w:kern w:val="0"/>
          <w:sz w:val="24"/>
          <w:szCs w:val="28"/>
        </w:rPr>
      </w:pPr>
      <w:r w:rsidRPr="00AE1FA0">
        <w:rPr>
          <w:rFonts w:ascii="Arial" w:eastAsia="宋体" w:hAnsi="Arial" w:cs="Arial"/>
          <w:kern w:val="0"/>
          <w:sz w:val="24"/>
          <w:szCs w:val="28"/>
        </w:rPr>
        <w:t>Image 16: Petting Zoo in history, Student Newsletter, 2017</w:t>
      </w:r>
      <w:r w:rsidRPr="00AE1FA0">
        <w:rPr>
          <w:rFonts w:ascii="Arial" w:eastAsia="宋体" w:hAnsi="Arial" w:cs="Arial"/>
          <w:kern w:val="0"/>
          <w:sz w:val="24"/>
          <w:szCs w:val="28"/>
          <w:vertAlign w:val="superscript"/>
        </w:rPr>
        <w:footnoteReference w:id="67"/>
      </w:r>
    </w:p>
    <w:p w:rsidR="00AE1FA0" w:rsidRPr="00AE1FA0" w:rsidRDefault="00AE1FA0" w:rsidP="00AE1FA0">
      <w:pPr>
        <w:widowControl/>
        <w:spacing w:after="160" w:line="360" w:lineRule="auto"/>
        <w:rPr>
          <w:rFonts w:ascii="Arial" w:eastAsia="宋体" w:hAnsi="Arial" w:cs="Arial"/>
          <w:kern w:val="0"/>
          <w:sz w:val="22"/>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8"/>
        </w:rPr>
        <w:t xml:space="preserve">Compared to the organizational level, the appropriation of space on the individual level is less likely to be deliberate, resulting from the partiality of memory. Zelizer (1992) argues that the partiality of memory is impossible to resolve no matter how many recollections are available. What is more important here is that everyone tells different stories about the same event. In the case of the assassination of John F. Kennedy, reminiscences collected from journalists, official government, researchers or other interested groups formed “a pastiche memory” (Zelizer, 1992). As found in the case of Founder’s Building, the more people interviewed or the more reminiscences available, the more likely it is to generate more questions and confusions about what happened. This is especially enlightening in this thesis, because the reminiscences comprised a large amount of the empirical evidence. As discussed before, reminiscences based on memories might be largely influenced by </w:t>
      </w:r>
      <w:r w:rsidRPr="00AE1FA0">
        <w:rPr>
          <w:rFonts w:ascii="Arial" w:eastAsia="宋体" w:hAnsi="Arial" w:cs="Arial"/>
          <w:kern w:val="0"/>
          <w:sz w:val="24"/>
          <w:szCs w:val="28"/>
        </w:rPr>
        <w:lastRenderedPageBreak/>
        <w:t xml:space="preserve">nostalgia, and the level of nostalgia at the same time might be affected by this partiality of memory. </w:t>
      </w:r>
      <w:r w:rsidRPr="00AE1FA0">
        <w:rPr>
          <w:rFonts w:ascii="Arial" w:eastAsia="宋体" w:hAnsi="Arial" w:cs="Arial"/>
          <w:kern w:val="0"/>
          <w:sz w:val="24"/>
          <w:szCs w:val="24"/>
        </w:rPr>
        <w:t xml:space="preserve">From the analysis of Founder’s Building and RHUL, the conception and perception of Founder’s Building, and the relevant experiences all formed an essential part of appropriating history. For instance, by looking into the past, I found that Founder’s Building and its history is appropriated to reinforce the organizational identity. Thus, though the past is always present, yet it presents in a selective way.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This contribution attempts to reveal this process of selective appropriation and deployment of history. For instance, in the case of analysing how ‘Victorian’ values exist in Founder’s Building, I discussed how the meanings of ‘close-knit community’ evolved from enclosed space to supportive space. In this process, close-knit community is marketed widely to both prospective students and to existing members of RHUL. This contribution is not just insightful for understanding past and present, but also sheds light on the understanding of the future. Bostdorff and Goldzwig (2005), for example, argue that the decisions made in the future and about the future are a result of our understandings of the past.  Empirical evidence was also found in interviewing material with present users of Founder’s Building, in which some demonstrated their confidence in RHUL becoming gender equal space because they actively correlated histories of RHUL to future performance. If they represented groups of people who read and interpreted histories of RHUL as publicized organizationally, then there were also cases where others showed their concern about the future because they interpreted histories quite oppositely. As suggested by Bostdorff and Goldzwig (2005: 662), histories can be deliberately appropriated by “choosing which stories from the past they desire to tell, how they wish to recount particular people and events, and what words from history they want to share”.  However, what Founder’s Building showcases is more than how space and histories of it are easily appropriated: it also indicates how difficult it is to change appropriations of space at will for organizations due to the persistency of physicality on the spatial level. It is historically essential that Founder’s Building, as a spatial legacy, is further opened for researchers to explore how it became what it is now.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98" w:name="_Toc534732419"/>
      <w:r w:rsidRPr="00AE1FA0">
        <w:rPr>
          <w:rFonts w:ascii="Arial" w:eastAsiaTheme="majorEastAsia" w:hAnsi="Arial" w:cs="Arial"/>
          <w:b/>
          <w:color w:val="000000" w:themeColor="text1"/>
          <w:kern w:val="0"/>
          <w:sz w:val="24"/>
          <w:szCs w:val="26"/>
        </w:rPr>
        <w:lastRenderedPageBreak/>
        <w:t>Limitations</w:t>
      </w:r>
      <w:bookmarkEnd w:id="98"/>
      <w:r w:rsidRPr="00AE1FA0">
        <w:rPr>
          <w:rFonts w:ascii="Arial" w:eastAsiaTheme="majorEastAsia" w:hAnsi="Arial" w:cs="Arial"/>
          <w:b/>
          <w:color w:val="000000" w:themeColor="text1"/>
          <w:kern w:val="0"/>
          <w:sz w:val="24"/>
          <w:szCs w:val="26"/>
        </w:rPr>
        <w:t xml:space="preserve">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Founder’s Building case touches upon many perspectives in the field of organization studies and this enables various possible ways of investigation. This is vividly indicated in the chapter on previous literatures, and even for studies on just one aspect, i.e. organizational space or organizational history, research methods and types of empirical evidence are divergent. On one hand, this opened the possibilities for me to choose the most appropriate methods and empirical evidence for my research project. On the other hand, this risked disappointing readers from both fields because I regard both space and history as part of the field of general organization studies. Thus, the first theoretical limitation is that this study might not satisfy those with history or geography backgrounds as they might expect more in-depth discussion related to their subjects and equally might challenge the credibility of combing the two fields. However, it was not my objective to study how Founder’s Building developed and is used, or to study its history and that of RHUL. The research objective was to understand the organizing process of RHUL and how this process is interwoven into Founder’s Building’s development. It is worthwhile re-emphasizing that this interweaving process is what I sought to explore.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First, I acknowledged that relying solely on archival materials to study the history of Founder’s Building and RHUL is insufficient; history and what happened in the past are not equivalent to the materials stored in the archive. Here I want to re-introduce the definition of archive elaborated by (Moore, 2010: 263), who defines an archive as “a repository, in which materials of historical interest or social significance are stored”. As this definition makes clear, only the materials considered as historically and socially significant are collected and stored in an archive – it is not the aim of an archive and, indeed, it is beyond its capacity to collect every piece in history. But what is selected/discarded varies greatly from archive to archive. RHUL’s like every other has this inherent limitation and what is selected of discarded to a large extent at the archivists’ discretion. I attempted to deal with this challenge by being a reflexive researcher and being more sensitive to the subjective nature of the empirical evidence that the archive holds.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As a reflexive researcher, I acknowledge that not only my archive – and my interviewing – materials cast their own limitations, as does the process of collection, particularly as I was both an insider and an outsider simultaneously. Being a member of RHUL and a user of Founder’s Building was advantageous in getting access and building rapport, as well as interpreting what I found because I was already immersed in the context. However, this familiarity encourages limitations, by which important details might be overlooked. To take an example from the interviewing process, because interviewing participants knew that I am a member of </w:t>
      </w:r>
      <w:proofErr w:type="gramStart"/>
      <w:r w:rsidRPr="00AE1FA0">
        <w:rPr>
          <w:rFonts w:ascii="Arial" w:eastAsia="宋体" w:hAnsi="Arial" w:cs="Arial"/>
          <w:kern w:val="0"/>
          <w:sz w:val="24"/>
        </w:rPr>
        <w:t>RHUL</w:t>
      </w:r>
      <w:proofErr w:type="gramEnd"/>
      <w:r w:rsidRPr="00AE1FA0">
        <w:rPr>
          <w:rFonts w:ascii="Arial" w:eastAsia="宋体" w:hAnsi="Arial" w:cs="Arial"/>
          <w:kern w:val="0"/>
          <w:sz w:val="24"/>
        </w:rPr>
        <w:t xml:space="preserve"> and they expected less explanation to answer my questions. When this happened, I tried to ask more probing questions and to encourage clarifications. Nevertheless, it should be noted that none of these techniques resolve this problem completely. Perhaps this could be alleviated by introducing an outsider to collect some additional empirical evidence, but the evaluation and interpretation of the value of two sets of empirical evidence is still questionable and, of course, was unrealistic for the time frame of this thesis.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Concomitantly, there were limitations in the coverage of the empirical evidence. As stated in previous chapters, reminiscences of individual experiences in Founder’s Building held in the archive were collected in 2016 for an RHUL centenary book, the time span ranging from 1908 to 1985, so there is a gap between 1985 and 2015. This gap could encourage readers to challenge the findings, one possible solution to which would be to include the alumni who studied in RHUL between the gap years. (Potential participants could be easily through the alumni network). Nevertheless, choosing to study Founder’s Building in the pre-1985 years had theoretical value apart from the availability of archival material; and 1985, significant in terms of the history of Founder’s Building when RHUL merged with Bedford College, is a good cut off point.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Another point of criticism might come from the fact that my study is based on a highly contextualized single case, which might raise the question of generalizability of my </w:t>
      </w:r>
      <w:r w:rsidRPr="00AE1FA0">
        <w:rPr>
          <w:rFonts w:ascii="Arial" w:eastAsia="宋体" w:hAnsi="Arial" w:cs="Arial"/>
          <w:kern w:val="0"/>
          <w:sz w:val="24"/>
        </w:rPr>
        <w:lastRenderedPageBreak/>
        <w:t>findings. However, as demonstrated by (Siggelkow, 2007), a single case study can be a powerful technique for in-depth investigation and the search for new insights.</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In this highly contextualized case study, I was highly selective in terms of focusing on some issues more than others, such as ‘Victorian’ discourse in Founder’s Building – the twin-track framework applied to the archival material was a filter of what should be focused on. Being selective was not a choice and could not be avoided. </w:t>
      </w:r>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Even though the specific findings related to Founder’s Building cannot be applied to other cases, there are more general findings and theorizations carrying wider relevance. For example, the claim that an organizational space study should be historicized with a focus on temporality is relevant to both the literatures of organizational space and history. Equally, the research strategy of this thesis, the twin-track method combining archive and interview materials, can be easily applied to other cases, which I will develop further in the following section. Therefore, though the case of Founder’s Building cannot be generalized, the findings can be transferred to similar cases. Indeed, a terminology shift has been upheld by Lincoln and Guba (1985) that generalizability should be reconceptualized to transferability in the social science where the sampling and statistical significance is no longer adequate (Donmoyer, 2000). For researchers interested in aggregates or group behaviours, the traditional conceptualization of generalizability should still be emphasized, hence this single-case study might upset any readers looking for general patterns in the behaviours in Founder’s Building or decision-makers who might search for solutions out of this research.  </w:t>
      </w:r>
    </w:p>
    <w:p w:rsidR="00AE1FA0" w:rsidRPr="00AE1FA0" w:rsidRDefault="00AE1FA0" w:rsidP="00AE1FA0">
      <w:pPr>
        <w:widowControl/>
        <w:spacing w:after="160" w:line="360" w:lineRule="auto"/>
        <w:rPr>
          <w:rFonts w:ascii="Arial" w:eastAsia="宋体" w:hAnsi="Arial" w:cs="Arial"/>
          <w:b/>
          <w:color w:val="000000" w:themeColor="text1"/>
          <w:kern w:val="0"/>
          <w:sz w:val="22"/>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99" w:name="_Toc534732420"/>
      <w:r w:rsidRPr="00AE1FA0">
        <w:rPr>
          <w:rFonts w:ascii="Arial" w:eastAsiaTheme="majorEastAsia" w:hAnsi="Arial" w:cs="Arial"/>
          <w:b/>
          <w:color w:val="000000" w:themeColor="text1"/>
          <w:kern w:val="0"/>
          <w:sz w:val="24"/>
          <w:szCs w:val="26"/>
        </w:rPr>
        <w:t>Future research</w:t>
      </w:r>
      <w:bookmarkEnd w:id="99"/>
    </w:p>
    <w:p w:rsidR="00AE1FA0" w:rsidRPr="00AE1FA0" w:rsidRDefault="00AE1FA0" w:rsidP="00AE1FA0">
      <w:pPr>
        <w:widowControl/>
        <w:spacing w:after="160" w:line="360" w:lineRule="auto"/>
        <w:rPr>
          <w:rFonts w:ascii="Arial" w:eastAsia="宋体" w:hAnsi="Arial" w:cs="Arial"/>
          <w:kern w:val="0"/>
          <w:sz w:val="24"/>
        </w:rPr>
      </w:pPr>
    </w:p>
    <w:p w:rsidR="00AE1FA0" w:rsidRPr="00AE1FA0" w:rsidRDefault="00AE1FA0" w:rsidP="00AE1FA0">
      <w:pPr>
        <w:widowControl/>
        <w:spacing w:after="160" w:line="360" w:lineRule="auto"/>
        <w:rPr>
          <w:rFonts w:ascii="Arial" w:eastAsia="宋体" w:hAnsi="Arial" w:cs="Arial"/>
          <w:kern w:val="0"/>
          <w:sz w:val="24"/>
        </w:rPr>
      </w:pPr>
      <w:r w:rsidRPr="00AE1FA0">
        <w:rPr>
          <w:rFonts w:ascii="Arial" w:eastAsia="宋体" w:hAnsi="Arial" w:cs="Arial"/>
          <w:kern w:val="0"/>
          <w:sz w:val="24"/>
        </w:rPr>
        <w:t xml:space="preserve">This thesis has provided an empirical enquiry of Founder’s Building in an alternative interpretation of Lefebvre’ theorization of space. What I have written is just the first sketch of an argument that I hope can encourage further elaboration. Both the empirical findings and theoretical reflections have opened several different </w:t>
      </w:r>
      <w:r w:rsidRPr="00AE1FA0">
        <w:rPr>
          <w:rFonts w:ascii="Arial" w:eastAsia="宋体" w:hAnsi="Arial" w:cs="Arial"/>
          <w:kern w:val="0"/>
          <w:sz w:val="24"/>
        </w:rPr>
        <w:lastRenderedPageBreak/>
        <w:t>approaches to organizational space that I find interesting to explore in the future. I want to emphasize four specifically.</w:t>
      </w:r>
    </w:p>
    <w:p w:rsidR="00AE1FA0" w:rsidRPr="00AE1FA0" w:rsidRDefault="00AE1FA0" w:rsidP="00AE1FA0">
      <w:pPr>
        <w:widowControl/>
        <w:spacing w:after="160" w:line="360" w:lineRule="auto"/>
        <w:rPr>
          <w:rFonts w:ascii="Arial" w:eastAsia="宋体" w:hAnsi="Arial" w:cs="Arial"/>
          <w:b/>
          <w:color w:val="000000" w:themeColor="text1"/>
          <w:kern w:val="0"/>
          <w:sz w:val="22"/>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100" w:name="_Toc534732421"/>
      <w:r w:rsidRPr="00AE1FA0">
        <w:rPr>
          <w:rFonts w:ascii="Arial" w:eastAsiaTheme="majorEastAsia" w:hAnsi="Arial" w:cs="Arial"/>
          <w:b/>
          <w:color w:val="000000" w:themeColor="text1"/>
          <w:kern w:val="0"/>
          <w:sz w:val="24"/>
          <w:szCs w:val="24"/>
        </w:rPr>
        <w:t>7.3.1. Founder’s Building in transition time: Post-1985</w:t>
      </w:r>
      <w:bookmarkEnd w:id="100"/>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I have mentioned in the section on limitations that there is a gap in the empirical evidence about Founder’s Building, and this has impact on its integrity. Even though this could be solved easily by including the participants who studied and lived in Founder’s Building between 1985 and 2015, which was unachievable in the time frame for this thesis. Therefore, it would be worthwhile looking into this gap period to obtain a better understanding of Founder’s Building and RHUL as an integral process. This direction also carries theoretical value and potential apart from the empirical implications as suggested in the previous section – the year 1985 was a watershed for RHUL, which was when it merged with Bedford College; in this thesis, the merger has only been mentioned briefly. But the merger raises interesting questions. What did Bedford College members make of Founder’s Building and its 130 years of history? What experience(s) did they have of it? It is widely agreed that a time of transition can lead to drastic changes and members from both organizations will experience a process of re-orientation. For example, Clark </w:t>
      </w:r>
      <w:r w:rsidRPr="00AE1FA0">
        <w:rPr>
          <w:rFonts w:ascii="Arial" w:eastAsia="宋体" w:hAnsi="Arial" w:cs="Arial"/>
          <w:i/>
          <w:kern w:val="0"/>
          <w:sz w:val="24"/>
          <w:szCs w:val="24"/>
        </w:rPr>
        <w:t>et al.</w:t>
      </w:r>
      <w:r w:rsidRPr="00AE1FA0">
        <w:rPr>
          <w:rFonts w:ascii="Arial" w:eastAsia="宋体" w:hAnsi="Arial" w:cs="Arial"/>
          <w:kern w:val="0"/>
          <w:sz w:val="24"/>
          <w:szCs w:val="24"/>
        </w:rPr>
        <w:t xml:space="preserve"> (2010) found that a transitional identity emerged during the merger of two rival organizations. Van Leeuwen, Knippenberg and Ellemers (2003) wrote about the importance of the organization into which the other was being subsumed of preserving its pre-organizational identity, to ensure a smooth merger process. Based on these theoretical implications, I am certain that by looking into the transition of Bedford College into RHUL, and scrutinizing how the merger was carried out, would encourage new insights into occupants’ interactions with Founder’s Building – and some insights would likely have </w:t>
      </w:r>
      <w:proofErr w:type="gramStart"/>
      <w:r w:rsidRPr="00AE1FA0">
        <w:rPr>
          <w:rFonts w:ascii="Arial" w:eastAsia="宋体" w:hAnsi="Arial" w:cs="Arial"/>
          <w:kern w:val="0"/>
          <w:sz w:val="24"/>
          <w:szCs w:val="24"/>
        </w:rPr>
        <w:t>change</w:t>
      </w:r>
      <w:proofErr w:type="gramEnd"/>
      <w:r w:rsidRPr="00AE1FA0">
        <w:rPr>
          <w:rFonts w:ascii="Arial" w:eastAsia="宋体" w:hAnsi="Arial" w:cs="Arial"/>
          <w:kern w:val="0"/>
          <w:sz w:val="24"/>
          <w:szCs w:val="24"/>
        </w:rPr>
        <w:t xml:space="preserve"> how this thesis is written. As an example, female students’ who in the 1950s experienced Founder’s Building as a gendered space saw male visitors as ‘invading’ this feminine building. It is likely that if one were to interview members of RHUL and Bedford College who experienced the merger in 1985 that they would have found such an attitude extraordinary.,</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lastRenderedPageBreak/>
        <w:t xml:space="preserve">Brown and Humphreys (2006) suggest that for merging organizations in UK higher education with distinct histories and professional identities, the organizational space of a building is an important resource that is fiercely protected. In the case of Founder’s Building, I found how academic staff defend their preferred understanding Founder’s Building’s academic identity and its history. Therefore, to study how space is utilized during change is a possible route of future research – motivated by the rise of spatial turn, which surfaces the explanatory power of space in organizational studies and alerts the possible problems of overlooking the spatial perspectives. </w:t>
      </w:r>
    </w:p>
    <w:p w:rsidR="00AE1FA0" w:rsidRPr="00AE1FA0" w:rsidRDefault="00AE1FA0" w:rsidP="00AE1FA0">
      <w:pPr>
        <w:widowControl/>
        <w:spacing w:after="160" w:line="360" w:lineRule="auto"/>
        <w:rPr>
          <w:rFonts w:ascii="Arial" w:eastAsia="宋体" w:hAnsi="Arial" w:cs="Arial"/>
          <w:color w:val="00B050"/>
          <w:kern w:val="0"/>
          <w:sz w:val="22"/>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101" w:name="_Toc534732422"/>
      <w:r w:rsidRPr="00AE1FA0">
        <w:rPr>
          <w:rFonts w:ascii="Arial" w:eastAsiaTheme="majorEastAsia" w:hAnsi="Arial" w:cs="Arial"/>
          <w:b/>
          <w:color w:val="000000" w:themeColor="text1"/>
          <w:kern w:val="0"/>
          <w:sz w:val="24"/>
          <w:szCs w:val="24"/>
        </w:rPr>
        <w:t>7.3.2. ‘Victorian’ time in the present</w:t>
      </w:r>
      <w:bookmarkEnd w:id="101"/>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One of the contributions of this thesis, which is entitled </w:t>
      </w:r>
      <w:r w:rsidRPr="00AE1FA0">
        <w:rPr>
          <w:rFonts w:ascii="Arial" w:eastAsia="宋体" w:hAnsi="Arial" w:cs="Arial"/>
          <w:i/>
          <w:kern w:val="0"/>
          <w:sz w:val="24"/>
          <w:szCs w:val="24"/>
        </w:rPr>
        <w:t>Where the past is always present</w:t>
      </w:r>
      <w:r w:rsidRPr="00AE1FA0">
        <w:rPr>
          <w:rFonts w:ascii="Arial" w:eastAsia="宋体" w:hAnsi="Arial" w:cs="Arial"/>
          <w:kern w:val="0"/>
          <w:sz w:val="24"/>
          <w:szCs w:val="24"/>
        </w:rPr>
        <w:t xml:space="preserve">, is how long-lasting the historical legacy embedded in organizational space is and how it can interact with the present. Founder’s Building, as a representational ‘Victorian’ building, is a case in point – and the example of this thesis offers the possibility to scholars to </w:t>
      </w:r>
      <w:proofErr w:type="gramStart"/>
      <w:r w:rsidRPr="00AE1FA0">
        <w:rPr>
          <w:rFonts w:ascii="Arial" w:eastAsia="宋体" w:hAnsi="Arial" w:cs="Arial"/>
          <w:kern w:val="0"/>
          <w:sz w:val="24"/>
          <w:szCs w:val="24"/>
        </w:rPr>
        <w:t>look into</w:t>
      </w:r>
      <w:proofErr w:type="gramEnd"/>
      <w:r w:rsidRPr="00AE1FA0">
        <w:rPr>
          <w:rFonts w:ascii="Arial" w:eastAsia="宋体" w:hAnsi="Arial" w:cs="Arial"/>
          <w:kern w:val="0"/>
          <w:sz w:val="24"/>
          <w:szCs w:val="24"/>
        </w:rPr>
        <w:t xml:space="preserve"> the spatial interpretations of other ‘Victorian’ buildings; by applying the multiple-case study method, it would be possible to identity their specific ‘Victorian’ legacies. Future researches could, for example, look at the ‘Victorian’ buildings in higher education in the UK to identify specific ‘Victorian’ legacies such as values and lifestyles.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I did not choose Founder’ building because of a particular interest in ‘Victorian’ times, during the analysis process. I am now aware that ‘Victorian’ no more describes a specific time period and, more importantly, that it is a discursive term with individualized meanings attached to it. Also, in the academic field, ‘Victorian’ culture is still vital, not only in the UK but around the world.  Indeed, fascination with ‘Victorian’ culture is seen as a sign of modern times (Krueger, 2002). However, ‘Victorian’ culture can be subtle to uncover – which promotes the investigation into the buildings. Buildings are durable and the historical clues and legacies can be better preserved. Simultaneously, buildings are not unchanged, that is, our interpretations of buildings are shaped by how we have heard and learned, which means it is possible to discover ‘Victorian’ culture legacy as a dynamic process. Just as Lowenthal (1975: </w:t>
      </w:r>
      <w:r w:rsidRPr="00AE1FA0">
        <w:rPr>
          <w:rFonts w:ascii="Arial" w:eastAsia="宋体" w:hAnsi="Arial" w:cs="Arial"/>
          <w:kern w:val="0"/>
          <w:sz w:val="24"/>
          <w:szCs w:val="24"/>
        </w:rPr>
        <w:lastRenderedPageBreak/>
        <w:t xml:space="preserve">30) said, ‘the past gleams by the light of present”. By understanding the past as represented by ‘Victorian’ times, we can have a better idea of how the present is structured. This can be found in the case of post-9/11 surveillance in America, where Andrzejewski (2008) drew attention to the architecture of surveillance in the late nineteenth and early twentieth centuries. By analysing the surveillance architecture in ‘Victorian’ American we can understand how it has influenced the understanding of the present use and prompts to reflect why surveillance techniques are believed to be a tool to shape behaviours. </w:t>
      </w:r>
    </w:p>
    <w:p w:rsidR="00AE1FA0" w:rsidRPr="00AE1FA0" w:rsidRDefault="00AE1FA0" w:rsidP="00AE1FA0">
      <w:pPr>
        <w:widowControl/>
        <w:spacing w:after="160" w:line="360" w:lineRule="auto"/>
        <w:rPr>
          <w:rFonts w:ascii="Arial" w:eastAsia="宋体" w:hAnsi="Arial" w:cs="Arial"/>
          <w:color w:val="00B050"/>
          <w:kern w:val="0"/>
          <w:sz w:val="28"/>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However, Andrezejewski only explored the archive materials to interpret how the concept of surveillance is developed. Though there are comparisons with the present use and understandings of surveillance, these remain as general feelings or impressions rather than individual experience and interpretations. This is </w:t>
      </w:r>
      <w:proofErr w:type="gramStart"/>
      <w:r w:rsidRPr="00AE1FA0">
        <w:rPr>
          <w:rFonts w:ascii="Arial" w:eastAsia="宋体" w:hAnsi="Arial" w:cs="Arial"/>
          <w:kern w:val="0"/>
          <w:sz w:val="24"/>
          <w:szCs w:val="24"/>
        </w:rPr>
        <w:t>sufficient</w:t>
      </w:r>
      <w:proofErr w:type="gramEnd"/>
      <w:r w:rsidRPr="00AE1FA0">
        <w:rPr>
          <w:rFonts w:ascii="Arial" w:eastAsia="宋体" w:hAnsi="Arial" w:cs="Arial"/>
          <w:kern w:val="0"/>
          <w:sz w:val="24"/>
          <w:szCs w:val="24"/>
        </w:rPr>
        <w:t xml:space="preserve"> for the conclusion that ‘Victorian’ culture and value still exist, but for researchers who are interested in interpretations or behaviours on the individual level, interviewing is necessary. Once convinced that ‘Victorian’ buildings are the sites of society and its culture, various possible routes are open for researches in different fields, for instance, gender identity and sexual morality in ‘Victorian’ times. I have touched upon this in Chapter Five, in which I discussed Foucault’s repressive hypothesis and his development of this concept in the section entitled </w:t>
      </w:r>
      <w:r w:rsidRPr="00AE1FA0">
        <w:rPr>
          <w:rFonts w:ascii="Arial" w:eastAsia="宋体" w:hAnsi="Arial" w:cs="Arial"/>
          <w:i/>
          <w:kern w:val="0"/>
          <w:sz w:val="24"/>
          <w:szCs w:val="24"/>
        </w:rPr>
        <w:t>We other Victorians</w:t>
      </w:r>
      <w:r w:rsidRPr="00AE1FA0">
        <w:rPr>
          <w:rFonts w:ascii="Arial" w:eastAsia="宋体" w:hAnsi="Arial" w:cs="Arial"/>
          <w:kern w:val="0"/>
          <w:sz w:val="24"/>
          <w:szCs w:val="24"/>
        </w:rPr>
        <w:t xml:space="preserve">. I acknowledge that this concept only constitutes a relatively small part of this thesis. But given how theoretically importantly this concept is, any scholars interested in it and want to approach it from a new angle, perhaps it would be insightful to study ‘Victorian’ buildings and architectures. </w:t>
      </w:r>
    </w:p>
    <w:p w:rsidR="00AE1FA0" w:rsidRPr="00AE1FA0" w:rsidRDefault="00AE1FA0" w:rsidP="00AE1FA0">
      <w:pPr>
        <w:widowControl/>
        <w:spacing w:after="160" w:line="360" w:lineRule="auto"/>
        <w:rPr>
          <w:rFonts w:ascii="Arial" w:eastAsia="宋体" w:hAnsi="Arial" w:cs="Arial"/>
          <w:color w:val="00B050"/>
          <w:kern w:val="0"/>
          <w:sz w:val="28"/>
          <w:szCs w:val="24"/>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102" w:name="_Toc534732423"/>
      <w:r w:rsidRPr="00AE1FA0">
        <w:rPr>
          <w:rFonts w:ascii="Arial" w:eastAsiaTheme="majorEastAsia" w:hAnsi="Arial" w:cs="Arial"/>
          <w:b/>
          <w:color w:val="000000" w:themeColor="text1"/>
          <w:kern w:val="0"/>
          <w:sz w:val="24"/>
          <w:szCs w:val="24"/>
        </w:rPr>
        <w:t>7.3.3. Twin-track framework as a powerful technique</w:t>
      </w:r>
      <w:bookmarkEnd w:id="102"/>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A further research direction growing out of my thesis would be to apply the twin-track framework to other cases, other buildings, other space and other organizations. One of the original contributions of this thesis lies in the utilization of this analytical strategy with empirical evidence. The case of Founder’s Building is a vivid example showing </w:t>
      </w:r>
      <w:r w:rsidRPr="00AE1FA0">
        <w:rPr>
          <w:rFonts w:ascii="Arial" w:eastAsia="宋体" w:hAnsi="Arial" w:cs="Arial"/>
          <w:kern w:val="0"/>
          <w:sz w:val="24"/>
          <w:szCs w:val="24"/>
        </w:rPr>
        <w:lastRenderedPageBreak/>
        <w:t xml:space="preserve">how this strategy could be used and how to minimize the limitations. However, this is just one case, and more cases are needed to further justify better ways to apply this strategy. However, this case as least shows the benefits of combining two types of empirical evidence and indicates its potential in explain organizational space.  It could be envisaged that by adding the interviewing materials to archive material-led studies, it would be possible to have a better understanding of lived space; the other way around, adding archive materials could be helpful for understanding conceived and perceived space. Some scholars have realised the importance of twin-track strategy, for instance, Peltonen (2011), collected empirical evidence from participation observation, interviews and documents, to explore the organizational space of a Finnish university; however, Peitonen’s approach differs from what I defined as twin-track in this context. Moreover, it should be re-emphasised that the twin-track strategy is shaped by the Lefebvre’s theorization of space as produced, as well as a process worldview. That is, when applying this strategy, it is important to perceive the space as a process rather than an objective existence. This is seen in Peltonen’s study where the conceived space is defined as equivalent to architects’ decisions. That is reason that only architects were interviewed and architectural design plans were treated as evidence for conceived space. However, this is not to suggest that Pelton’s study is less credible, in fact the opposite: it indicates the possibility of a twin-track strategy. It is up to researchers’ o decide the most appropriate combination of the empirical evidence. </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widowControl/>
        <w:spacing w:after="160" w:line="360" w:lineRule="auto"/>
        <w:rPr>
          <w:rFonts w:ascii="Arial" w:eastAsia="宋体" w:hAnsi="Arial" w:cs="Arial"/>
          <w:kern w:val="0"/>
          <w:sz w:val="24"/>
          <w:szCs w:val="24"/>
        </w:rPr>
      </w:pPr>
      <w:r w:rsidRPr="00AE1FA0">
        <w:rPr>
          <w:rFonts w:ascii="Arial" w:eastAsia="宋体" w:hAnsi="Arial" w:cs="Arial"/>
          <w:kern w:val="0"/>
          <w:sz w:val="24"/>
          <w:szCs w:val="24"/>
        </w:rPr>
        <w:t xml:space="preserve">To take another example of a specific type of building, atmospheric building is a fruitful field of future research and the twin-track strategy is suitable for it. I have addressed the atmospheric building in this thesis in terms of emphasizing how Founder’s Building as a grandiose space influences experiencing, thus for future researchers who are interested in the literature of atmosphere and organization, one possible direction would be to first identify one or several atmospheric buildings and to search for potential patterns or deviations. Of course, the feeling of atmosphere is subjective, as defined by Böhme (2006), atmosphere is a character of the space we sense. This kind of sense is intertwined with an individual’s previous experiences, memories, imaginations and spontaneous feelings, besides the physical clues and artefacts, and the twin-track strategy is effective in collecting all this empirical </w:t>
      </w:r>
      <w:r w:rsidRPr="00AE1FA0">
        <w:rPr>
          <w:rFonts w:ascii="Arial" w:eastAsia="宋体" w:hAnsi="Arial" w:cs="Arial"/>
          <w:kern w:val="0"/>
          <w:sz w:val="24"/>
          <w:szCs w:val="24"/>
        </w:rPr>
        <w:lastRenderedPageBreak/>
        <w:t>evidence. For instance, for researchers who want to explore how individual memories interact with understandings and experience with a specific organizational space, the twin-track strategy could be adopted to collect reminiscences or personal diaries from the archive, while also incorporating to how memories influence the present. Moreover, this strategy is not just a method for collecting empirical evidence; most importantly, it is a tool for analysing the evidence or a mind set for analysis. Specifically, empirical evidence should be analysed in an iterative loop; to again take the example of memories and atmosphere in buildings, this suggests that empirical evidence of the past and the present should not be analysed as standalone components, but as mutually constitutive parts. The essence of this twin-track method lies in its power to study the intersection of the past and the present, without compromising the dynamics of either.</w:t>
      </w:r>
    </w:p>
    <w:p w:rsidR="00AE1FA0" w:rsidRPr="00AE1FA0" w:rsidRDefault="00AE1FA0" w:rsidP="00AE1FA0">
      <w:pPr>
        <w:widowControl/>
        <w:spacing w:after="160" w:line="360" w:lineRule="auto"/>
        <w:rPr>
          <w:rFonts w:ascii="Arial" w:eastAsia="宋体" w:hAnsi="Arial" w:cs="Arial"/>
          <w:kern w:val="0"/>
          <w:sz w:val="24"/>
          <w:szCs w:val="24"/>
        </w:rPr>
      </w:pPr>
    </w:p>
    <w:p w:rsidR="00AE1FA0" w:rsidRPr="00AE1FA0" w:rsidRDefault="00AE1FA0" w:rsidP="00AE1FA0">
      <w:pPr>
        <w:keepNext/>
        <w:keepLines/>
        <w:widowControl/>
        <w:spacing w:before="40" w:line="360" w:lineRule="auto"/>
        <w:jc w:val="left"/>
        <w:outlineLvl w:val="2"/>
        <w:rPr>
          <w:rFonts w:ascii="Arial" w:eastAsiaTheme="majorEastAsia" w:hAnsi="Arial" w:cs="Arial"/>
          <w:b/>
          <w:color w:val="000000" w:themeColor="text1"/>
          <w:kern w:val="0"/>
          <w:sz w:val="24"/>
          <w:szCs w:val="24"/>
        </w:rPr>
      </w:pPr>
      <w:bookmarkStart w:id="103" w:name="_Toc534732424"/>
      <w:r w:rsidRPr="00AE1FA0">
        <w:rPr>
          <w:rFonts w:ascii="Arial" w:eastAsiaTheme="majorEastAsia" w:hAnsi="Arial" w:cs="Arial"/>
          <w:b/>
          <w:color w:val="000000" w:themeColor="text1"/>
          <w:kern w:val="0"/>
          <w:sz w:val="24"/>
          <w:szCs w:val="24"/>
        </w:rPr>
        <w:t>7.3.4. Identification and spatial experience</w:t>
      </w:r>
      <w:bookmarkEnd w:id="103"/>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It has been a long tradition in the field of space studies to investigate the relationship between space and identity. As Hancock and Spicer (2011) wrote, this tradition is popularized by the work of Michel Foucault, who worked on the relationship between identification and physical space and buildings. Indeed, Lefebvre (1991) claimed that space as a social construction constantly interacts with the identification of individuals and organizations. His triad also works as a framework for understanding these interactions on the conceived, perceived and lived levels. Therefore, another direction for future research could be focused on how the identity-forming process interacts with spatial experience. What should be emphasized is that </w:t>
      </w:r>
      <w:r w:rsidRPr="00AE1FA0">
        <w:rPr>
          <w:rFonts w:ascii="Arial" w:eastAsiaTheme="minorHAnsi" w:hAnsi="Arial" w:cs="Arial"/>
          <w:kern w:val="0"/>
          <w:sz w:val="24"/>
          <w:szCs w:val="24"/>
          <w:lang w:eastAsia="en-US"/>
        </w:rPr>
        <w:t>Identity is dynamic and socially constructed over time.  Identity and experience with a space are mutually constructive; not only does the identity influences the experience of space, but the way how people experience the space is also shaped by their identities.</w:t>
      </w:r>
      <w:r w:rsidRPr="00AE1FA0">
        <w:rPr>
          <w:rFonts w:ascii="Arial" w:hAnsi="Arial" w:cs="Arial"/>
          <w:kern w:val="0"/>
          <w:sz w:val="24"/>
          <w:szCs w:val="24"/>
        </w:rPr>
        <w:t xml:space="preserve"> It would be helpful to apply Lefebvre’s triad as an integrated framework because interpretations of space are dynamic and impossible to predict, therefore, it is important to acknowledge that space is a process constantly evolving. For any researcher interested in university space, exploring the interrelationship between space and academic identity could be a direction for research.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The concept of historicity could also be beneficial to research the identification process as a social construction. The heart of historicity lies in the ongoing process of interpretations, that is, people will interpret a building and its spatial artefacts continuously, based on their personal preferences and the social norms of their time, and these interpretations will feed back and create adjustments of conceived and perceived space; then the newer conceived and perceived space will have newer users, who might interpret and experience the building in a completely different way. The production of the present and past is ongoing and subjective. Organizational space and its history can represent a key resource for the present-day meanings of an organization. Space, boundaries, and movement all condition the experience of organizations and contribute to the construction of identities Understandings of, and preferences about a building all reflect what people believe the building represents. That is, the inheritance of the organizational space lays out lines for the present-day identity of organizations. </w:t>
      </w:r>
      <w:r w:rsidRPr="00AE1FA0">
        <w:rPr>
          <w:rFonts w:ascii="Arial" w:eastAsiaTheme="minorHAnsi" w:hAnsi="Arial" w:cs="Arial"/>
          <w:kern w:val="0"/>
          <w:sz w:val="24"/>
          <w:szCs w:val="24"/>
          <w:lang w:eastAsia="en-US"/>
        </w:rPr>
        <w:t>As Billot and King (2015) argue, how an academic contextualizes his or her identity has an impact on how they make sense of their workplace. This is a negotiation process of one’s envisaged community.</w:t>
      </w:r>
      <w:r w:rsidRPr="00AE1FA0">
        <w:rPr>
          <w:rFonts w:ascii="Arial" w:hAnsi="Arial" w:cs="Arial"/>
          <w:kern w:val="0"/>
          <w:sz w:val="24"/>
          <w:szCs w:val="24"/>
        </w:rPr>
        <w:t xml:space="preserve">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keepNext/>
        <w:keepLines/>
        <w:widowControl/>
        <w:numPr>
          <w:ilvl w:val="1"/>
          <w:numId w:val="35"/>
        </w:numPr>
        <w:spacing w:before="40" w:after="160" w:line="360" w:lineRule="auto"/>
        <w:jc w:val="left"/>
        <w:outlineLvl w:val="1"/>
        <w:rPr>
          <w:rFonts w:ascii="Arial" w:eastAsiaTheme="majorEastAsia" w:hAnsi="Arial" w:cs="Arial"/>
          <w:b/>
          <w:color w:val="000000" w:themeColor="text1"/>
          <w:kern w:val="0"/>
          <w:sz w:val="24"/>
          <w:szCs w:val="26"/>
        </w:rPr>
      </w:pPr>
      <w:bookmarkStart w:id="104" w:name="_Toc534732425"/>
      <w:r w:rsidRPr="00AE1FA0">
        <w:rPr>
          <w:rFonts w:ascii="Arial" w:eastAsiaTheme="majorEastAsia" w:hAnsi="Arial" w:cs="Arial"/>
          <w:b/>
          <w:color w:val="000000" w:themeColor="text1"/>
          <w:kern w:val="0"/>
          <w:sz w:val="24"/>
          <w:szCs w:val="26"/>
        </w:rPr>
        <w:t>Final words</w:t>
      </w:r>
      <w:bookmarkEnd w:id="104"/>
    </w:p>
    <w:p w:rsidR="00AE1FA0" w:rsidRP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rPr>
          <w:rFonts w:ascii="Arial" w:hAnsi="Arial" w:cs="Arial"/>
          <w:kern w:val="0"/>
          <w:sz w:val="24"/>
        </w:rPr>
      </w:pPr>
      <w:r w:rsidRPr="00AE1FA0">
        <w:rPr>
          <w:rFonts w:ascii="Arial" w:hAnsi="Arial" w:cs="Arial"/>
          <w:kern w:val="0"/>
          <w:sz w:val="24"/>
          <w:szCs w:val="24"/>
        </w:rPr>
        <w:t xml:space="preserve">The title of this thesis, Where the past is always present, encapsulates the most important claim it makes: the past is always present. But in terms of how the past is present, organizational space becomes an essential site of how history can be articulated and negotiated, physically and socially. If asked why it is important, or theoretically enlightening to understand this, my answer is that without understandings of the past, it is impossible to grasp how the present and the future of organizations are and will be social constructions. Therefore, if it is acknowledged that organizations are spatialized and historicized as conceptualized in this thesis, it becomes clear why I chose to study organizational space in history specifically. My ideas of how organizational space and history are conceptualized were developed </w:t>
      </w:r>
      <w:r w:rsidRPr="00AE1FA0">
        <w:rPr>
          <w:rFonts w:ascii="Arial" w:hAnsi="Arial" w:cs="Arial"/>
          <w:kern w:val="0"/>
          <w:sz w:val="24"/>
          <w:szCs w:val="24"/>
        </w:rPr>
        <w:lastRenderedPageBreak/>
        <w:t xml:space="preserve">gradually as I familiarized myself with the literature on spatial turn, process theory and New Historicism. At the beginning of this journey, my understanding of organizational space was still restricted to physical and symbolic levels. An example of this understanding is my </w:t>
      </w:r>
      <w:proofErr w:type="gramStart"/>
      <w:r w:rsidRPr="00AE1FA0">
        <w:rPr>
          <w:rFonts w:ascii="Arial" w:hAnsi="Arial" w:cs="Arial"/>
          <w:kern w:val="0"/>
          <w:sz w:val="24"/>
          <w:szCs w:val="24"/>
        </w:rPr>
        <w:t>Master’s</w:t>
      </w:r>
      <w:proofErr w:type="gramEnd"/>
      <w:r w:rsidRPr="00AE1FA0">
        <w:rPr>
          <w:rFonts w:ascii="Arial" w:hAnsi="Arial" w:cs="Arial"/>
          <w:kern w:val="0"/>
          <w:sz w:val="24"/>
          <w:szCs w:val="24"/>
        </w:rPr>
        <w:t xml:space="preserve"> dissertation on the open-plan office, where I applied the symbolic interpretivism method for analyses. Arguably, this thesis </w:t>
      </w:r>
      <w:proofErr w:type="gramStart"/>
      <w:r w:rsidRPr="00AE1FA0">
        <w:rPr>
          <w:rFonts w:ascii="Arial" w:hAnsi="Arial" w:cs="Arial"/>
          <w:kern w:val="0"/>
          <w:sz w:val="24"/>
          <w:szCs w:val="24"/>
        </w:rPr>
        <w:t>can be seen as</w:t>
      </w:r>
      <w:proofErr w:type="gramEnd"/>
      <w:r w:rsidRPr="00AE1FA0">
        <w:rPr>
          <w:rFonts w:ascii="Arial" w:hAnsi="Arial" w:cs="Arial"/>
          <w:kern w:val="0"/>
          <w:sz w:val="24"/>
          <w:szCs w:val="24"/>
        </w:rPr>
        <w:t xml:space="preserve"> an outcome of personal intellectual growth, which was also in parallel with a wider growing research interest in conceptualizing organizational space as a social construction in the field of organization studies. </w:t>
      </w:r>
      <w:r w:rsidRPr="00AE1FA0">
        <w:rPr>
          <w:rFonts w:ascii="Arial" w:hAnsi="Arial" w:cs="Arial"/>
          <w:kern w:val="0"/>
          <w:sz w:val="24"/>
        </w:rPr>
        <w:t xml:space="preserve">What stimulated this intellectual growth or shift in interest was twofold. First. I encountered Lefebvre’s triad and his theorization of space when I read his </w:t>
      </w:r>
      <w:r w:rsidRPr="00AE1FA0">
        <w:rPr>
          <w:rFonts w:ascii="Arial" w:hAnsi="Arial" w:cs="Arial"/>
          <w:i/>
          <w:kern w:val="0"/>
          <w:sz w:val="24"/>
        </w:rPr>
        <w:t>Production of Space</w:t>
      </w:r>
      <w:r w:rsidRPr="00AE1FA0">
        <w:rPr>
          <w:rFonts w:ascii="Arial" w:hAnsi="Arial" w:cs="Arial"/>
          <w:kern w:val="0"/>
          <w:sz w:val="24"/>
        </w:rPr>
        <w:t xml:space="preserve">. It was from this book, I began to develop my own conceptualizations of space. I particularly found it insightful how Lefebvre developed his spatial triad through a historical investigation of space. It was then that I gradually shifted my interest to process theory as well as to historical perspective – the second stimulation, thanks to Tor Hernes’ </w:t>
      </w:r>
      <w:r w:rsidRPr="00AE1FA0">
        <w:rPr>
          <w:rFonts w:ascii="Arial" w:hAnsi="Arial" w:cs="Arial"/>
          <w:i/>
          <w:kern w:val="0"/>
          <w:sz w:val="24"/>
        </w:rPr>
        <w:t>A Process Theory of Organization</w:t>
      </w:r>
      <w:r w:rsidRPr="00AE1FA0">
        <w:rPr>
          <w:rFonts w:ascii="Arial" w:hAnsi="Arial" w:cs="Arial"/>
          <w:kern w:val="0"/>
          <w:sz w:val="24"/>
        </w:rPr>
        <w:t xml:space="preserve">. This was my first encounter with process theory, which helped me develop a systematic understanding of the fundamental concepts including temporality, process, organizing. These later became my main theoretical concepts. Although specific arguments were gradually developed out of much other reading, what these two books contributed to my thesis are that they helped me find theoretical supports for my argument. </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kern w:val="0"/>
          <w:sz w:val="24"/>
          <w:szCs w:val="24"/>
        </w:rPr>
      </w:pPr>
      <w:r w:rsidRPr="00AE1FA0">
        <w:rPr>
          <w:rFonts w:ascii="Arial" w:hAnsi="Arial" w:cs="Arial"/>
          <w:kern w:val="0"/>
          <w:sz w:val="24"/>
          <w:szCs w:val="24"/>
        </w:rPr>
        <w:t xml:space="preserve">I guess what I learned most from this four-year journey writing this thesis is that It might have been easier to subscribe to or stick to well-received theoretical frameworks; yet what adds more value is to remain attentive to the complexities and dynamics in organizations. For instance, it would have been easier to conceptualize organizational space as physical background or to theorize the histories of organizations as objective. It would have been more straightforward to design a research method based on these because abundant existing studies are available. However, without introducing less popular theories to organization studies such as New Historicism and process theory, this thesis would only have answered existing questions in organizational studies with existing methods. In contrast, this thesis has aimed to answer new questions in a new way. Thus, if the twin-track approach is a new research method, which I claim it to be, then organizational space becomes an </w:t>
      </w:r>
      <w:r w:rsidRPr="00AE1FA0">
        <w:rPr>
          <w:rFonts w:ascii="Arial" w:hAnsi="Arial" w:cs="Arial"/>
          <w:kern w:val="0"/>
          <w:sz w:val="24"/>
          <w:szCs w:val="24"/>
        </w:rPr>
        <w:lastRenderedPageBreak/>
        <w:t xml:space="preserve">important site for the past to become the present and the future – and encourages attention to be paid to new questions in organizational studies, such as how organizations can be historicized or spatialized. </w:t>
      </w: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Default="00AE1FA0" w:rsidP="00AE1FA0">
      <w:pPr>
        <w:widowControl/>
        <w:spacing w:after="160" w:line="360" w:lineRule="auto"/>
        <w:jc w:val="left"/>
        <w:rPr>
          <w:rFonts w:ascii="Arial" w:hAnsi="Arial" w:cs="Arial"/>
          <w:kern w:val="0"/>
          <w:sz w:val="24"/>
        </w:rPr>
      </w:pPr>
    </w:p>
    <w:p w:rsidR="00AE1FA0" w:rsidRPr="00AE1FA0" w:rsidRDefault="00AE1FA0" w:rsidP="00AE1FA0">
      <w:pPr>
        <w:widowControl/>
        <w:spacing w:after="160" w:line="360" w:lineRule="auto"/>
        <w:jc w:val="left"/>
        <w:rPr>
          <w:rFonts w:ascii="Arial" w:hAnsi="Arial" w:cs="Arial" w:hint="eastAsia"/>
          <w:kern w:val="0"/>
          <w:sz w:val="24"/>
        </w:rPr>
      </w:pPr>
    </w:p>
    <w:p w:rsidR="00AE1FA0" w:rsidRPr="00AE1FA0" w:rsidRDefault="00AE1FA0" w:rsidP="00AE1FA0">
      <w:pPr>
        <w:keepNext/>
        <w:keepLines/>
        <w:widowControl/>
        <w:spacing w:before="240" w:line="360" w:lineRule="auto"/>
        <w:jc w:val="center"/>
        <w:outlineLvl w:val="0"/>
        <w:rPr>
          <w:rFonts w:ascii="Arial" w:eastAsiaTheme="majorEastAsia" w:hAnsi="Arial" w:cs="Arial"/>
          <w:color w:val="000000" w:themeColor="text1"/>
          <w:kern w:val="0"/>
          <w:sz w:val="32"/>
          <w:szCs w:val="32"/>
        </w:rPr>
      </w:pPr>
      <w:bookmarkStart w:id="105" w:name="_Toc534732426"/>
      <w:r w:rsidRPr="00AE1FA0">
        <w:rPr>
          <w:rFonts w:ascii="Arial" w:eastAsiaTheme="majorEastAsia" w:hAnsi="Arial" w:cs="Arial"/>
          <w:color w:val="000000" w:themeColor="text1"/>
          <w:kern w:val="0"/>
          <w:sz w:val="32"/>
          <w:szCs w:val="32"/>
        </w:rPr>
        <w:lastRenderedPageBreak/>
        <w:t>Bibliography</w:t>
      </w:r>
      <w:bookmarkEnd w:id="105"/>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Adey, P. (2008) Airports, mobility and the calculative architecture of affective control. </w:t>
      </w:r>
      <w:r w:rsidRPr="00AE1FA0">
        <w:rPr>
          <w:rFonts w:ascii="Arial" w:hAnsi="Arial" w:cs="Arial"/>
          <w:i/>
          <w:iCs/>
          <w:color w:val="000000" w:themeColor="text1"/>
          <w:kern w:val="0"/>
          <w:sz w:val="24"/>
          <w:szCs w:val="24"/>
        </w:rPr>
        <w:t>Geoforum</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39</w:t>
      </w:r>
      <w:r w:rsidRPr="00AE1FA0">
        <w:rPr>
          <w:rFonts w:ascii="Arial" w:hAnsi="Arial" w:cs="Arial"/>
          <w:color w:val="000000" w:themeColor="text1"/>
          <w:kern w:val="0"/>
          <w:sz w:val="24"/>
          <w:szCs w:val="24"/>
        </w:rPr>
        <w:t>(1): 438-451.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Alvesson, M., Hardy, C., and Harley, B. (2008) Reflecting on reflexivity: Reflexive textual practices in organization and management theory. </w:t>
      </w:r>
      <w:r w:rsidRPr="00AE1FA0">
        <w:rPr>
          <w:rFonts w:ascii="Arial" w:hAnsi="Arial" w:cs="Arial"/>
          <w:i/>
          <w:color w:val="000000" w:themeColor="text1"/>
          <w:kern w:val="0"/>
          <w:sz w:val="24"/>
          <w:szCs w:val="24"/>
        </w:rPr>
        <w:t>Journal of Management Studies</w:t>
      </w:r>
      <w:r w:rsidRPr="00AE1FA0">
        <w:rPr>
          <w:rFonts w:ascii="Arial" w:hAnsi="Arial" w:cs="Arial"/>
          <w:color w:val="000000" w:themeColor="text1"/>
          <w:kern w:val="0"/>
          <w:sz w:val="24"/>
          <w:szCs w:val="24"/>
        </w:rPr>
        <w:t>, 45(3): 480-501.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Alvesson, M., and Kärreman, D. (2000) Taking the linguistic turn in organizational research: Challenges, responses, consequences. </w:t>
      </w:r>
      <w:r w:rsidRPr="00AE1FA0">
        <w:rPr>
          <w:rFonts w:ascii="Arial" w:hAnsi="Arial" w:cs="Arial"/>
          <w:i/>
          <w:iCs/>
          <w:color w:val="000000" w:themeColor="text1"/>
          <w:kern w:val="0"/>
          <w:sz w:val="24"/>
          <w:szCs w:val="24"/>
        </w:rPr>
        <w:t>The Journal of Applied Behavioural Science</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36</w:t>
      </w:r>
      <w:r w:rsidRPr="00AE1FA0">
        <w:rPr>
          <w:rFonts w:ascii="Arial" w:hAnsi="Arial" w:cs="Arial"/>
          <w:color w:val="000000" w:themeColor="text1"/>
          <w:kern w:val="0"/>
          <w:sz w:val="24"/>
          <w:szCs w:val="24"/>
        </w:rPr>
        <w:t>(2): 136-158.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Alvesson, M., and Willmott, H. (2002) Identity regulation as organizational control: Producing the appropriate individual. </w:t>
      </w:r>
      <w:r w:rsidRPr="00AE1FA0">
        <w:rPr>
          <w:rFonts w:ascii="Arial" w:hAnsi="Arial" w:cs="Arial"/>
          <w:i/>
          <w:iCs/>
          <w:color w:val="000000" w:themeColor="text1"/>
          <w:kern w:val="0"/>
          <w:sz w:val="24"/>
          <w:szCs w:val="24"/>
        </w:rPr>
        <w:t>Journal of Management Studies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39</w:t>
      </w:r>
      <w:r w:rsidRPr="00AE1FA0">
        <w:rPr>
          <w:rFonts w:ascii="Arial" w:hAnsi="Arial" w:cs="Arial"/>
          <w:color w:val="000000" w:themeColor="text1"/>
          <w:kern w:val="0"/>
          <w:sz w:val="24"/>
          <w:szCs w:val="24"/>
        </w:rPr>
        <w:t>(5): 619-644.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Andrzejewski, A. V. (2008) </w:t>
      </w:r>
      <w:r w:rsidRPr="00AE1FA0">
        <w:rPr>
          <w:rFonts w:ascii="Arial" w:hAnsi="Arial" w:cs="Arial"/>
          <w:i/>
          <w:iCs/>
          <w:color w:val="000000" w:themeColor="text1"/>
          <w:kern w:val="0"/>
          <w:sz w:val="24"/>
          <w:szCs w:val="24"/>
        </w:rPr>
        <w:t>Building power: Architecture and surveillance in Victorian America</w:t>
      </w:r>
      <w:r w:rsidRPr="00AE1FA0">
        <w:rPr>
          <w:rFonts w:ascii="Arial" w:hAnsi="Arial" w:cs="Arial"/>
          <w:color w:val="000000" w:themeColor="text1"/>
          <w:kern w:val="0"/>
          <w:sz w:val="24"/>
          <w:szCs w:val="24"/>
        </w:rPr>
        <w:t>. Knoxville: University of Tennessee Press.</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Anteby, M, &amp; Molnar, V. (2010) Collective memory meets organizational identity: Remembering to forget in a firm’s rhetorical history. </w:t>
      </w:r>
      <w:r w:rsidRPr="00AE1FA0">
        <w:rPr>
          <w:rFonts w:ascii="Arial" w:hAnsi="Arial" w:cs="Arial"/>
          <w:i/>
          <w:color w:val="000000" w:themeColor="text1"/>
          <w:kern w:val="0"/>
          <w:sz w:val="24"/>
          <w:szCs w:val="24"/>
        </w:rPr>
        <w:t>Academy of Management Journal</w:t>
      </w:r>
      <w:r w:rsidRPr="00AE1FA0">
        <w:rPr>
          <w:rFonts w:ascii="Arial" w:hAnsi="Arial" w:cs="Arial"/>
          <w:color w:val="000000" w:themeColor="text1"/>
          <w:kern w:val="0"/>
          <w:sz w:val="24"/>
          <w:szCs w:val="24"/>
        </w:rPr>
        <w:t>, 55(3): 515-540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Azaryahu, M., and Foote, K. E. (2008) Historical space as narrative medium: on the configuration of spatial narratives of time at historical sites. </w:t>
      </w:r>
      <w:r w:rsidRPr="00AE1FA0">
        <w:rPr>
          <w:rFonts w:ascii="Arial" w:hAnsi="Arial" w:cs="Arial"/>
          <w:i/>
          <w:iCs/>
          <w:color w:val="000000" w:themeColor="text1"/>
          <w:kern w:val="0"/>
          <w:sz w:val="24"/>
          <w:szCs w:val="24"/>
        </w:rPr>
        <w:t>GeoJournal</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73</w:t>
      </w:r>
      <w:r w:rsidRPr="00AE1FA0">
        <w:rPr>
          <w:rFonts w:ascii="Arial" w:hAnsi="Arial" w:cs="Arial"/>
          <w:color w:val="000000" w:themeColor="text1"/>
          <w:kern w:val="0"/>
          <w:sz w:val="24"/>
          <w:szCs w:val="24"/>
        </w:rPr>
        <w:t>(3): 179-194.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Bakken, T., and Hernes, T. (2006) Organizing is both a verb and a noun: Weick meets Whitehead. </w:t>
      </w:r>
      <w:r w:rsidRPr="00AE1FA0">
        <w:rPr>
          <w:rFonts w:ascii="Arial" w:hAnsi="Arial" w:cs="Arial"/>
          <w:i/>
          <w:iCs/>
          <w:color w:val="000000" w:themeColor="text1"/>
          <w:kern w:val="0"/>
          <w:sz w:val="24"/>
          <w:szCs w:val="24"/>
        </w:rPr>
        <w:t>Organization Studies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27</w:t>
      </w:r>
      <w:r w:rsidRPr="00AE1FA0">
        <w:rPr>
          <w:rFonts w:ascii="Arial" w:hAnsi="Arial" w:cs="Arial"/>
          <w:color w:val="000000" w:themeColor="text1"/>
          <w:kern w:val="0"/>
          <w:sz w:val="24"/>
          <w:szCs w:val="24"/>
        </w:rPr>
        <w:t>(11): 1599-1616.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Baldry, C. (1997) The social construction of office space. </w:t>
      </w:r>
      <w:r w:rsidRPr="00AE1FA0">
        <w:rPr>
          <w:rFonts w:ascii="Arial" w:hAnsi="Arial" w:cs="Arial"/>
          <w:i/>
          <w:color w:val="000000" w:themeColor="text1"/>
          <w:kern w:val="0"/>
          <w:sz w:val="24"/>
          <w:szCs w:val="24"/>
        </w:rPr>
        <w:t xml:space="preserve">International Labour Review, </w:t>
      </w:r>
      <w:r w:rsidRPr="00AE1FA0">
        <w:rPr>
          <w:rFonts w:ascii="Arial" w:hAnsi="Arial" w:cs="Arial"/>
          <w:color w:val="000000" w:themeColor="text1"/>
          <w:kern w:val="0"/>
          <w:sz w:val="24"/>
          <w:szCs w:val="24"/>
        </w:rPr>
        <w:t>136(3): 365–378.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Banks, M., and Zeitlyn, D. (2015) </w:t>
      </w:r>
      <w:r w:rsidRPr="00AE1FA0">
        <w:rPr>
          <w:rFonts w:ascii="Arial" w:hAnsi="Arial" w:cs="Arial"/>
          <w:i/>
          <w:iCs/>
          <w:color w:val="000000" w:themeColor="text1"/>
          <w:kern w:val="0"/>
          <w:sz w:val="24"/>
          <w:szCs w:val="24"/>
        </w:rPr>
        <w:t>Visual methods in social research</w:t>
      </w:r>
      <w:r w:rsidRPr="00AE1FA0">
        <w:rPr>
          <w:rFonts w:ascii="Arial" w:hAnsi="Arial" w:cs="Arial"/>
          <w:color w:val="000000" w:themeColor="text1"/>
          <w:kern w:val="0"/>
          <w:sz w:val="24"/>
          <w:szCs w:val="24"/>
        </w:rPr>
        <w:t>. 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Barrett, F. J., and Srivastval, S. (1991) History as a mode of inquiry in organizational life: A role for human cosmogony. </w:t>
      </w:r>
      <w:r w:rsidRPr="00AE1FA0">
        <w:rPr>
          <w:rFonts w:ascii="Arial" w:hAnsi="Arial" w:cs="Arial"/>
          <w:i/>
          <w:iCs/>
          <w:color w:val="000000" w:themeColor="text1"/>
          <w:kern w:val="0"/>
          <w:sz w:val="24"/>
          <w:szCs w:val="24"/>
        </w:rPr>
        <w:t>Human Relations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44</w:t>
      </w:r>
      <w:r w:rsidRPr="00AE1FA0">
        <w:rPr>
          <w:rFonts w:ascii="Arial" w:hAnsi="Arial" w:cs="Arial"/>
          <w:color w:val="000000" w:themeColor="text1"/>
          <w:kern w:val="0"/>
          <w:sz w:val="24"/>
          <w:szCs w:val="24"/>
        </w:rPr>
        <w:t>(3): 231-254.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Beebe, K., Davis, A., and Gleadle, K. (2012) Introduction: Space, place and gendered identities: Feminist history and the spatial turn. </w:t>
      </w:r>
      <w:r w:rsidRPr="00AE1FA0">
        <w:rPr>
          <w:rFonts w:ascii="Arial" w:hAnsi="Arial" w:cs="Arial"/>
          <w:i/>
          <w:iCs/>
          <w:color w:val="000000" w:themeColor="text1"/>
          <w:kern w:val="0"/>
          <w:sz w:val="24"/>
          <w:szCs w:val="24"/>
        </w:rPr>
        <w:t>Women's History Review</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21</w:t>
      </w:r>
      <w:r w:rsidRPr="00AE1FA0">
        <w:rPr>
          <w:rFonts w:ascii="Arial" w:hAnsi="Arial" w:cs="Arial"/>
          <w:color w:val="000000" w:themeColor="text1"/>
          <w:kern w:val="0"/>
          <w:sz w:val="24"/>
          <w:szCs w:val="24"/>
        </w:rPr>
        <w:t>(4): 523-532.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Bennett, K. (2012) Interviews and focus groups. In Shurmer-Smith, P. (ed) </w:t>
      </w:r>
      <w:r w:rsidRPr="00AE1FA0">
        <w:rPr>
          <w:rFonts w:ascii="Arial" w:hAnsi="Arial" w:cs="Arial"/>
          <w:i/>
          <w:color w:val="000000" w:themeColor="text1"/>
          <w:kern w:val="0"/>
          <w:sz w:val="24"/>
          <w:szCs w:val="24"/>
        </w:rPr>
        <w:t>Doing cultural geography</w:t>
      </w:r>
      <w:r w:rsidRPr="00AE1FA0">
        <w:rPr>
          <w:rFonts w:ascii="Arial" w:hAnsi="Arial" w:cs="Arial"/>
          <w:color w:val="000000" w:themeColor="text1"/>
          <w:kern w:val="0"/>
          <w:sz w:val="24"/>
          <w:szCs w:val="24"/>
        </w:rPr>
        <w:t>. London: Sage Publications. Pp.151-165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Berg, P. and Kreiner, K. (1990) Corporate architecture: turning physical settings into symbolic resources. In Gagliardi, P. (ed) </w:t>
      </w:r>
      <w:r w:rsidRPr="00AE1FA0">
        <w:rPr>
          <w:rFonts w:ascii="Arial" w:hAnsi="Arial" w:cs="Arial"/>
          <w:i/>
          <w:color w:val="000000" w:themeColor="text1"/>
          <w:kern w:val="0"/>
          <w:sz w:val="24"/>
          <w:szCs w:val="24"/>
        </w:rPr>
        <w:t>Symbols and artifacts: Views of the corporate landscape</w:t>
      </w:r>
      <w:r w:rsidRPr="00AE1FA0">
        <w:rPr>
          <w:rFonts w:ascii="Arial" w:hAnsi="Arial" w:cs="Arial"/>
          <w:color w:val="000000" w:themeColor="text1"/>
          <w:kern w:val="0"/>
          <w:sz w:val="24"/>
          <w:szCs w:val="24"/>
        </w:rPr>
        <w:t>. New York: de Gruyter. Pp.41-68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Berti, M., A.  Simpson and Clegg, S. (2017) Making a place out of space: The social imaginaries and realities of a business school as a designed space. Management Learning, 49(2):168-186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Beyes, T. and Steyaert, C. (2012) Spacing organization: non-representational theory and performing organizational space. </w:t>
      </w:r>
      <w:r w:rsidRPr="00AE1FA0">
        <w:rPr>
          <w:rFonts w:ascii="Arial" w:hAnsi="Arial" w:cs="Arial"/>
          <w:i/>
          <w:iCs/>
          <w:color w:val="000000" w:themeColor="text1"/>
          <w:kern w:val="0"/>
          <w:sz w:val="24"/>
          <w:szCs w:val="24"/>
        </w:rPr>
        <w:t>Organization</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19</w:t>
      </w:r>
      <w:r w:rsidRPr="00AE1FA0">
        <w:rPr>
          <w:rFonts w:ascii="Arial" w:hAnsi="Arial" w:cs="Arial"/>
          <w:color w:val="000000" w:themeColor="text1"/>
          <w:kern w:val="0"/>
          <w:sz w:val="24"/>
          <w:szCs w:val="24"/>
        </w:rPr>
        <w:t>(1): 45-61.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Billot, J. and King, V. (2015) Understanding academic identity through metaphor. </w:t>
      </w:r>
      <w:r w:rsidRPr="00AE1FA0">
        <w:rPr>
          <w:rFonts w:ascii="Arial" w:hAnsi="Arial" w:cs="Arial"/>
          <w:i/>
          <w:color w:val="000000" w:themeColor="text1"/>
          <w:kern w:val="0"/>
          <w:sz w:val="24"/>
          <w:szCs w:val="24"/>
        </w:rPr>
        <w:t>Teaching in Higher Education</w:t>
      </w:r>
      <w:r w:rsidRPr="00AE1FA0">
        <w:rPr>
          <w:rFonts w:ascii="Arial" w:hAnsi="Arial" w:cs="Arial"/>
          <w:color w:val="000000" w:themeColor="text1"/>
          <w:kern w:val="0"/>
          <w:sz w:val="24"/>
          <w:szCs w:val="24"/>
        </w:rPr>
        <w:t>, 20(8): 833-844.</w:t>
      </w:r>
    </w:p>
    <w:p w:rsidR="00AE1FA0" w:rsidRPr="00AE1FA0" w:rsidRDefault="00AE1FA0" w:rsidP="00AE1FA0">
      <w:pPr>
        <w:widowControl/>
        <w:spacing w:after="160" w:line="360" w:lineRule="auto"/>
        <w:ind w:left="360"/>
        <w:rPr>
          <w:rFonts w:ascii="Arial" w:hAnsi="Arial" w:cs="Arial"/>
          <w:color w:val="000000" w:themeColor="text1"/>
          <w:kern w:val="0"/>
          <w:sz w:val="24"/>
          <w:szCs w:val="24"/>
          <w:u w:val="single"/>
        </w:rPr>
      </w:pPr>
      <w:r w:rsidRPr="00AE1FA0">
        <w:rPr>
          <w:rFonts w:ascii="Arial" w:hAnsi="Arial" w:cs="Arial"/>
          <w:color w:val="000000" w:themeColor="text1"/>
          <w:kern w:val="0"/>
          <w:sz w:val="24"/>
          <w:szCs w:val="24"/>
          <w:u w:val="single"/>
        </w:rPr>
        <w:t xml:space="preserve">Bingham, C. (1987) </w:t>
      </w:r>
      <w:r w:rsidRPr="00AE1FA0">
        <w:rPr>
          <w:rFonts w:ascii="Arial" w:hAnsi="Arial" w:cs="Arial"/>
          <w:i/>
          <w:color w:val="000000" w:themeColor="text1"/>
          <w:kern w:val="0"/>
          <w:sz w:val="24"/>
          <w:szCs w:val="24"/>
          <w:u w:val="single"/>
        </w:rPr>
        <w:t>The history of Royal Holloway College 1886-1986</w:t>
      </w:r>
      <w:r w:rsidRPr="00AE1FA0">
        <w:rPr>
          <w:rFonts w:ascii="Arial" w:hAnsi="Arial" w:cs="Arial"/>
          <w:color w:val="000000" w:themeColor="text1"/>
          <w:kern w:val="0"/>
          <w:sz w:val="24"/>
          <w:szCs w:val="24"/>
          <w:u w:val="single"/>
        </w:rPr>
        <w:t xml:space="preserve">. London: Constable and Company Limited. </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Blombäck, A., and Brunninge, O. (2009) Corporate identity manifested through historical references. </w:t>
      </w:r>
      <w:r w:rsidRPr="00AE1FA0">
        <w:rPr>
          <w:rFonts w:ascii="Arial" w:hAnsi="Arial" w:cs="Arial"/>
          <w:i/>
          <w:iCs/>
          <w:color w:val="000000" w:themeColor="text1"/>
          <w:kern w:val="0"/>
          <w:sz w:val="24"/>
          <w:szCs w:val="24"/>
        </w:rPr>
        <w:t>Corporate Communications: An International Journal</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14</w:t>
      </w:r>
      <w:r w:rsidRPr="00AE1FA0">
        <w:rPr>
          <w:rFonts w:ascii="Arial" w:hAnsi="Arial" w:cs="Arial"/>
          <w:color w:val="000000" w:themeColor="text1"/>
          <w:kern w:val="0"/>
          <w:sz w:val="24"/>
          <w:szCs w:val="24"/>
        </w:rPr>
        <w:t>(4): 404-419.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Böhme, G. (2006) Atmosphere as the subject matter of architecture. </w:t>
      </w:r>
      <w:r w:rsidRPr="00AE1FA0">
        <w:rPr>
          <w:rFonts w:ascii="Arial" w:hAnsi="Arial" w:cs="Arial"/>
          <w:i/>
          <w:color w:val="000000" w:themeColor="text1"/>
          <w:kern w:val="0"/>
          <w:sz w:val="24"/>
          <w:szCs w:val="24"/>
        </w:rPr>
        <w:t>Herzog &amp; DeMeuron: Natural History</w:t>
      </w:r>
      <w:r w:rsidRPr="00AE1FA0">
        <w:rPr>
          <w:rFonts w:ascii="Arial" w:hAnsi="Arial" w:cs="Arial"/>
          <w:color w:val="000000" w:themeColor="text1"/>
          <w:kern w:val="0"/>
          <w:sz w:val="24"/>
          <w:szCs w:val="24"/>
        </w:rPr>
        <w:t>, 36: 398-407.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Booth, C. and Rowlinson, M. (2006) Management and organizational history: Prospects. </w:t>
      </w:r>
      <w:r w:rsidRPr="00AE1FA0">
        <w:rPr>
          <w:rFonts w:ascii="Arial" w:hAnsi="Arial" w:cs="Arial"/>
          <w:i/>
          <w:iCs/>
          <w:color w:val="000000" w:themeColor="text1"/>
          <w:kern w:val="0"/>
          <w:sz w:val="24"/>
          <w:szCs w:val="24"/>
        </w:rPr>
        <w:t>Management &amp; Organizational History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w:t>
      </w:r>
      <w:r w:rsidRPr="00AE1FA0">
        <w:rPr>
          <w:rFonts w:ascii="Arial" w:hAnsi="Arial" w:cs="Arial"/>
          <w:color w:val="000000" w:themeColor="text1"/>
          <w:kern w:val="0"/>
          <w:sz w:val="24"/>
          <w:szCs w:val="24"/>
        </w:rPr>
        <w:t>(1): 5-30.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Bostdorff, D. M. and Goldzwig, S. R. (2005) History, collective memory, and the appropriation of Martin Luther King, Jr.: Reagan's rhetorical legacy. </w:t>
      </w:r>
      <w:r w:rsidRPr="00AE1FA0">
        <w:rPr>
          <w:rFonts w:ascii="Arial" w:hAnsi="Arial" w:cs="Arial"/>
          <w:i/>
          <w:color w:val="000000" w:themeColor="text1"/>
          <w:kern w:val="0"/>
          <w:sz w:val="24"/>
          <w:szCs w:val="24"/>
        </w:rPr>
        <w:t>Presidential Studies Quarterly</w:t>
      </w:r>
      <w:r w:rsidRPr="00AE1FA0">
        <w:rPr>
          <w:rFonts w:ascii="Arial" w:hAnsi="Arial" w:cs="Arial"/>
          <w:color w:val="000000" w:themeColor="text1"/>
          <w:kern w:val="0"/>
          <w:sz w:val="24"/>
          <w:szCs w:val="24"/>
        </w:rPr>
        <w:t>, 35(4): 661-690.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Bradley, H. (1999) The seductions of the archive: voices lost and found. </w:t>
      </w:r>
      <w:r w:rsidRPr="00AE1FA0">
        <w:rPr>
          <w:rFonts w:ascii="Arial" w:hAnsi="Arial" w:cs="Arial"/>
          <w:i/>
          <w:iCs/>
          <w:color w:val="000000" w:themeColor="text1"/>
          <w:kern w:val="0"/>
          <w:sz w:val="24"/>
          <w:szCs w:val="24"/>
        </w:rPr>
        <w:t>History of the Human Sciences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12</w:t>
      </w:r>
      <w:r w:rsidRPr="00AE1FA0">
        <w:rPr>
          <w:rFonts w:ascii="Arial" w:hAnsi="Arial" w:cs="Arial"/>
          <w:color w:val="000000" w:themeColor="text1"/>
          <w:kern w:val="0"/>
          <w:sz w:val="24"/>
          <w:szCs w:val="24"/>
        </w:rPr>
        <w:t>(2): 107-122.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Brown, A. D. and Humphreys, M. (2006) Organizational identity and place: A discursive exploration of hegemony and resistance. </w:t>
      </w:r>
      <w:r w:rsidRPr="00AE1FA0">
        <w:rPr>
          <w:rFonts w:ascii="Arial" w:hAnsi="Arial" w:cs="Arial"/>
          <w:i/>
          <w:iCs/>
          <w:color w:val="000000" w:themeColor="text1"/>
          <w:kern w:val="0"/>
          <w:sz w:val="24"/>
          <w:szCs w:val="24"/>
        </w:rPr>
        <w:t>Journal of Management Studies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43</w:t>
      </w:r>
      <w:r w:rsidRPr="00AE1FA0">
        <w:rPr>
          <w:rFonts w:ascii="Arial" w:hAnsi="Arial" w:cs="Arial"/>
          <w:color w:val="000000" w:themeColor="text1"/>
          <w:kern w:val="0"/>
          <w:sz w:val="24"/>
          <w:szCs w:val="24"/>
        </w:rPr>
        <w:t>(2): 231-257.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Brown, A. D. and Starkey, K. (2000) Organizational identity and learning: A psychodynamic perspective. </w:t>
      </w:r>
      <w:r w:rsidRPr="00AE1FA0">
        <w:rPr>
          <w:rFonts w:ascii="Arial" w:hAnsi="Arial" w:cs="Arial"/>
          <w:i/>
          <w:iCs/>
          <w:color w:val="000000" w:themeColor="text1"/>
          <w:kern w:val="0"/>
          <w:sz w:val="24"/>
          <w:szCs w:val="24"/>
        </w:rPr>
        <w:t>Academy of Management Review</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25</w:t>
      </w:r>
      <w:r w:rsidRPr="00AE1FA0">
        <w:rPr>
          <w:rFonts w:ascii="Arial" w:hAnsi="Arial" w:cs="Arial"/>
          <w:color w:val="000000" w:themeColor="text1"/>
          <w:kern w:val="0"/>
          <w:sz w:val="24"/>
          <w:szCs w:val="24"/>
        </w:rPr>
        <w:t>(1): 102-120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Brunninge, O. (2009) Using history in organizations: How managers make purposeful reference to history in strategy processes. </w:t>
      </w:r>
      <w:r w:rsidRPr="00AE1FA0">
        <w:rPr>
          <w:rFonts w:ascii="Arial" w:hAnsi="Arial" w:cs="Arial"/>
          <w:i/>
          <w:iCs/>
          <w:color w:val="000000" w:themeColor="text1"/>
          <w:kern w:val="0"/>
          <w:sz w:val="24"/>
          <w:szCs w:val="24"/>
        </w:rPr>
        <w:t>Journal of Organizational Change Management</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22</w:t>
      </w:r>
      <w:r w:rsidRPr="00AE1FA0">
        <w:rPr>
          <w:rFonts w:ascii="Arial" w:hAnsi="Arial" w:cs="Arial"/>
          <w:color w:val="000000" w:themeColor="text1"/>
          <w:kern w:val="0"/>
          <w:sz w:val="24"/>
          <w:szCs w:val="24"/>
        </w:rPr>
        <w:t>(1): 8-26.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Bryman, A. and Cassell, C. (2006) The researcher interview: a reflexive perspective. </w:t>
      </w:r>
      <w:r w:rsidRPr="00AE1FA0">
        <w:rPr>
          <w:rFonts w:ascii="Arial" w:hAnsi="Arial" w:cs="Arial"/>
          <w:i/>
          <w:iCs/>
          <w:color w:val="000000" w:themeColor="text1"/>
          <w:kern w:val="0"/>
          <w:sz w:val="24"/>
          <w:szCs w:val="24"/>
        </w:rPr>
        <w:t>Qualitative Research in Organizations and Management: An International Journal</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w:t>
      </w:r>
      <w:r w:rsidRPr="00AE1FA0">
        <w:rPr>
          <w:rFonts w:ascii="Arial" w:hAnsi="Arial" w:cs="Arial"/>
          <w:color w:val="000000" w:themeColor="text1"/>
          <w:kern w:val="0"/>
          <w:sz w:val="24"/>
          <w:szCs w:val="24"/>
        </w:rPr>
        <w:t>(1): 41-55.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Buchanan, D. A. (2001) The role of photography in organization research: a reengineering case illustration. </w:t>
      </w:r>
      <w:r w:rsidRPr="00AE1FA0">
        <w:rPr>
          <w:rFonts w:ascii="Arial" w:hAnsi="Arial" w:cs="Arial"/>
          <w:i/>
          <w:iCs/>
          <w:color w:val="000000" w:themeColor="text1"/>
          <w:kern w:val="0"/>
          <w:sz w:val="24"/>
          <w:szCs w:val="24"/>
        </w:rPr>
        <w:t>Journal of Management Inquiry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10</w:t>
      </w:r>
      <w:r w:rsidRPr="00AE1FA0">
        <w:rPr>
          <w:rFonts w:ascii="Arial" w:hAnsi="Arial" w:cs="Arial"/>
          <w:color w:val="000000" w:themeColor="text1"/>
          <w:kern w:val="0"/>
          <w:sz w:val="24"/>
          <w:szCs w:val="24"/>
        </w:rPr>
        <w:t>(2): 151-164.</w:t>
      </w:r>
    </w:p>
    <w:p w:rsidR="00AE1FA0" w:rsidRPr="00AE1FA0" w:rsidRDefault="00AE1FA0" w:rsidP="00AE1FA0">
      <w:pPr>
        <w:widowControl/>
        <w:spacing w:after="160" w:line="360" w:lineRule="auto"/>
        <w:ind w:left="360"/>
        <w:rPr>
          <w:rFonts w:ascii="Arial" w:hAnsi="Arial" w:cs="Arial"/>
          <w:color w:val="000000" w:themeColor="text1"/>
          <w:kern w:val="0"/>
          <w:sz w:val="24"/>
          <w:szCs w:val="24"/>
          <w:u w:val="single"/>
        </w:rPr>
      </w:pPr>
      <w:r w:rsidRPr="00AE1FA0">
        <w:rPr>
          <w:rFonts w:ascii="Arial" w:hAnsi="Arial" w:cs="Arial"/>
          <w:color w:val="000000" w:themeColor="text1"/>
          <w:kern w:val="0"/>
          <w:sz w:val="24"/>
          <w:szCs w:val="24"/>
          <w:u w:val="single"/>
        </w:rPr>
        <w:t xml:space="preserve">Burrell, G., &amp; Dale, K. (2003). Building better worlds? Architecture and critical management studies. In Alvesson, M. and Willmott, H. (eds) </w:t>
      </w:r>
      <w:r w:rsidRPr="00AE1FA0">
        <w:rPr>
          <w:rFonts w:ascii="Arial" w:hAnsi="Arial" w:cs="Arial"/>
          <w:i/>
          <w:color w:val="000000" w:themeColor="text1"/>
          <w:kern w:val="0"/>
          <w:sz w:val="24"/>
          <w:szCs w:val="24"/>
          <w:u w:val="single"/>
        </w:rPr>
        <w:t xml:space="preserve">Studying management critically </w:t>
      </w:r>
      <w:r w:rsidRPr="00AE1FA0">
        <w:rPr>
          <w:rFonts w:ascii="Arial" w:hAnsi="Arial" w:cs="Arial"/>
          <w:color w:val="000000" w:themeColor="text1"/>
          <w:kern w:val="0"/>
          <w:sz w:val="24"/>
          <w:szCs w:val="24"/>
          <w:u w:val="single"/>
        </w:rPr>
        <w:t>(177-196) 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Calás, M. B. and Smircich, L. (1996) From ‘the woman’s’ point of view: Feminist approaches to organization studies. In Clegg, S. and Hardy, C. (eds) </w:t>
      </w:r>
      <w:r w:rsidRPr="00AE1FA0">
        <w:rPr>
          <w:rFonts w:ascii="Arial" w:hAnsi="Arial" w:cs="Arial"/>
          <w:i/>
          <w:color w:val="000000" w:themeColor="text1"/>
          <w:kern w:val="0"/>
          <w:sz w:val="24"/>
          <w:szCs w:val="24"/>
        </w:rPr>
        <w:t>Studying organization: Theory and method</w:t>
      </w:r>
      <w:r w:rsidRPr="00AE1FA0">
        <w:rPr>
          <w:rFonts w:ascii="Arial" w:hAnsi="Arial" w:cs="Arial"/>
          <w:color w:val="000000" w:themeColor="text1"/>
          <w:kern w:val="0"/>
          <w:sz w:val="24"/>
          <w:szCs w:val="24"/>
        </w:rPr>
        <w:t>. London: Sage Publications. Pp.212-251</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Cassell, C. (2005) Creating the interviewer: Identity work in the management research process. </w:t>
      </w:r>
      <w:r w:rsidRPr="00AE1FA0">
        <w:rPr>
          <w:rFonts w:ascii="Arial" w:hAnsi="Arial" w:cs="Arial"/>
          <w:i/>
          <w:color w:val="000000" w:themeColor="text1"/>
          <w:kern w:val="0"/>
          <w:sz w:val="24"/>
          <w:szCs w:val="24"/>
        </w:rPr>
        <w:t>Qualitative Research</w:t>
      </w:r>
      <w:r w:rsidRPr="00AE1FA0">
        <w:rPr>
          <w:rFonts w:ascii="Arial" w:hAnsi="Arial" w:cs="Arial"/>
          <w:color w:val="000000" w:themeColor="text1"/>
          <w:kern w:val="0"/>
          <w:sz w:val="24"/>
          <w:szCs w:val="24"/>
        </w:rPr>
        <w:t>, 5(2): 167-179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Cassell, C. (2009) Interviews in organizational research. In D. A. Buchanan &amp; A. Bryman (eds.) </w:t>
      </w:r>
      <w:r w:rsidRPr="00AE1FA0">
        <w:rPr>
          <w:rFonts w:ascii="Arial" w:hAnsi="Arial" w:cs="Arial"/>
          <w:i/>
          <w:iCs/>
          <w:color w:val="000000" w:themeColor="text1"/>
          <w:kern w:val="0"/>
          <w:sz w:val="24"/>
          <w:szCs w:val="24"/>
        </w:rPr>
        <w:t>The Sage handbook of organizational research methods</w:t>
      </w:r>
      <w:r w:rsidRPr="00AE1FA0">
        <w:rPr>
          <w:rFonts w:ascii="Arial" w:hAnsi="Arial" w:cs="Arial"/>
          <w:color w:val="000000" w:themeColor="text1"/>
          <w:kern w:val="0"/>
          <w:sz w:val="24"/>
          <w:szCs w:val="24"/>
        </w:rPr>
        <w:t>. Thousand Oaks, CA: Sage.pp.510-516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Chanlat, J-F. (2006) Space, organization and management: a socio-historical perspective. In Clegg, S., Kornberger, M. (eds) </w:t>
      </w:r>
      <w:r w:rsidRPr="00AE1FA0">
        <w:rPr>
          <w:rFonts w:ascii="Arial" w:hAnsi="Arial" w:cs="Arial"/>
          <w:i/>
          <w:color w:val="000000" w:themeColor="text1"/>
          <w:kern w:val="0"/>
          <w:sz w:val="24"/>
          <w:szCs w:val="24"/>
        </w:rPr>
        <w:t>Space, organizations and management theory</w:t>
      </w:r>
      <w:r w:rsidRPr="00AE1FA0">
        <w:rPr>
          <w:rFonts w:ascii="Arial" w:hAnsi="Arial" w:cs="Arial"/>
          <w:color w:val="000000" w:themeColor="text1"/>
          <w:kern w:val="0"/>
          <w:sz w:val="24"/>
          <w:szCs w:val="24"/>
        </w:rPr>
        <w:t>. Oslo: Liber and Copenhagen Business School Press. Pp.17-43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Chia, Robert, and Ann Langley (2005) </w:t>
      </w:r>
      <w:r w:rsidRPr="00AE1FA0">
        <w:rPr>
          <w:rFonts w:ascii="Arial" w:hAnsi="Arial" w:cs="Arial"/>
          <w:i/>
          <w:color w:val="000000" w:themeColor="text1"/>
          <w:kern w:val="0"/>
          <w:sz w:val="24"/>
          <w:szCs w:val="24"/>
        </w:rPr>
        <w:t>Call for papers to the First Organization Studies Summer Workshop on Theorizing Process in Organizational Research</w:t>
      </w:r>
      <w:r w:rsidRPr="00AE1FA0">
        <w:rPr>
          <w:rFonts w:ascii="Arial" w:hAnsi="Arial" w:cs="Arial"/>
          <w:color w:val="000000" w:themeColor="text1"/>
          <w:kern w:val="0"/>
          <w:sz w:val="24"/>
          <w:szCs w:val="24"/>
        </w:rPr>
        <w:t>, 12–13 June 2005, Santorini, Greece.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Clark, S. M., Gioia, D. A., Ketchen Jr, D. J., and Thomas, J. B. (2010) Transitional identity as a facilitator of organizational identity change during a merger. </w:t>
      </w:r>
      <w:r w:rsidRPr="00AE1FA0">
        <w:rPr>
          <w:rFonts w:ascii="Arial" w:hAnsi="Arial" w:cs="Arial"/>
          <w:i/>
          <w:color w:val="000000" w:themeColor="text1"/>
          <w:kern w:val="0"/>
          <w:sz w:val="24"/>
          <w:szCs w:val="24"/>
        </w:rPr>
        <w:t>Administrative Science Quarterly</w:t>
      </w:r>
      <w:r w:rsidRPr="00AE1FA0">
        <w:rPr>
          <w:rFonts w:ascii="Arial" w:hAnsi="Arial" w:cs="Arial"/>
          <w:color w:val="000000" w:themeColor="text1"/>
          <w:kern w:val="0"/>
          <w:sz w:val="24"/>
          <w:szCs w:val="24"/>
        </w:rPr>
        <w:t>, 55(3): 397-438.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Clark, P. and Rowlinson, M. (2004) The treatment of history in organisation studies: towards an ‘historic turn’? </w:t>
      </w:r>
      <w:r w:rsidRPr="00AE1FA0">
        <w:rPr>
          <w:rFonts w:ascii="Arial" w:hAnsi="Arial" w:cs="Arial"/>
          <w:i/>
          <w:iCs/>
          <w:color w:val="000000" w:themeColor="text1"/>
          <w:kern w:val="0"/>
          <w:sz w:val="24"/>
          <w:szCs w:val="24"/>
        </w:rPr>
        <w:t>Business History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46</w:t>
      </w:r>
      <w:r w:rsidRPr="00AE1FA0">
        <w:rPr>
          <w:rFonts w:ascii="Arial" w:hAnsi="Arial" w:cs="Arial"/>
          <w:color w:val="000000" w:themeColor="text1"/>
          <w:kern w:val="0"/>
          <w:sz w:val="24"/>
          <w:szCs w:val="24"/>
        </w:rPr>
        <w:t>(3): 331-352.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Clegg, S. and Kornberger, M. (2006) </w:t>
      </w:r>
      <w:r w:rsidRPr="00AE1FA0">
        <w:rPr>
          <w:rFonts w:ascii="Arial" w:hAnsi="Arial" w:cs="Arial"/>
          <w:i/>
          <w:iCs/>
          <w:color w:val="000000" w:themeColor="text1"/>
          <w:kern w:val="0"/>
          <w:sz w:val="24"/>
          <w:szCs w:val="24"/>
        </w:rPr>
        <w:t>Space, organizations and management theory.</w:t>
      </w:r>
      <w:r w:rsidRPr="00AE1FA0">
        <w:rPr>
          <w:rFonts w:ascii="Arial" w:hAnsi="Arial" w:cs="Arial"/>
          <w:color w:val="000000" w:themeColor="text1"/>
          <w:kern w:val="0"/>
          <w:sz w:val="24"/>
          <w:szCs w:val="24"/>
        </w:rPr>
        <w:t xml:space="preserve"> Oslo: Liber and Copenhagen Business School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Cohen, G. and Taylor, S. (1998) Reminiscence and ageing. </w:t>
      </w:r>
      <w:r w:rsidRPr="00AE1FA0">
        <w:rPr>
          <w:rFonts w:ascii="Arial" w:hAnsi="Arial" w:cs="Arial"/>
          <w:i/>
          <w:iCs/>
          <w:color w:val="000000" w:themeColor="text1"/>
          <w:kern w:val="0"/>
          <w:sz w:val="24"/>
          <w:szCs w:val="24"/>
        </w:rPr>
        <w:t>Ageing &amp; Society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18</w:t>
      </w:r>
      <w:r w:rsidRPr="00AE1FA0">
        <w:rPr>
          <w:rFonts w:ascii="Arial" w:hAnsi="Arial" w:cs="Arial"/>
          <w:color w:val="000000" w:themeColor="text1"/>
          <w:kern w:val="0"/>
          <w:sz w:val="24"/>
          <w:szCs w:val="24"/>
        </w:rPr>
        <w:t>(5), 601-610.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Colebrook, C. (1997) </w:t>
      </w:r>
      <w:r w:rsidRPr="00AE1FA0">
        <w:rPr>
          <w:rFonts w:ascii="Arial" w:hAnsi="Arial" w:cs="Arial"/>
          <w:i/>
          <w:iCs/>
          <w:color w:val="000000" w:themeColor="text1"/>
          <w:kern w:val="0"/>
          <w:sz w:val="24"/>
          <w:szCs w:val="24"/>
        </w:rPr>
        <w:t>New literary histories: New historicism and contemporary criticism</w:t>
      </w:r>
      <w:r w:rsidRPr="00AE1FA0">
        <w:rPr>
          <w:rFonts w:ascii="Arial" w:hAnsi="Arial" w:cs="Arial"/>
          <w:color w:val="000000" w:themeColor="text1"/>
          <w:kern w:val="0"/>
          <w:sz w:val="24"/>
          <w:szCs w:val="24"/>
        </w:rPr>
        <w:t>. Manchester: Manchester University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Conradson, D. (2003) Geographies of care: spaces, practices, experiences. </w:t>
      </w:r>
      <w:r w:rsidRPr="00AE1FA0">
        <w:rPr>
          <w:rFonts w:ascii="Arial" w:hAnsi="Arial" w:cs="Arial"/>
          <w:i/>
          <w:iCs/>
          <w:color w:val="000000" w:themeColor="text1"/>
          <w:kern w:val="0"/>
          <w:sz w:val="24"/>
          <w:szCs w:val="24"/>
        </w:rPr>
        <w:t>Social &amp; Cultural Geography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w:t>
      </w:r>
      <w:r w:rsidRPr="00AE1FA0">
        <w:rPr>
          <w:rFonts w:ascii="Arial" w:hAnsi="Arial" w:cs="Arial"/>
          <w:color w:val="000000" w:themeColor="text1"/>
          <w:kern w:val="0"/>
          <w:sz w:val="24"/>
          <w:szCs w:val="24"/>
        </w:rPr>
        <w:t>(4): 451-454.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Cooper, R. and Burrell, G. (1988) Modernism, postmodernism and organizational analysis: An introduction. </w:t>
      </w:r>
      <w:r w:rsidRPr="00AE1FA0">
        <w:rPr>
          <w:rFonts w:ascii="Arial" w:hAnsi="Arial" w:cs="Arial"/>
          <w:i/>
          <w:color w:val="000000" w:themeColor="text1"/>
          <w:kern w:val="0"/>
          <w:sz w:val="24"/>
          <w:szCs w:val="24"/>
        </w:rPr>
        <w:t>Organization Studies</w:t>
      </w:r>
      <w:r w:rsidRPr="00AE1FA0">
        <w:rPr>
          <w:rFonts w:ascii="Arial" w:hAnsi="Arial" w:cs="Arial"/>
          <w:color w:val="000000" w:themeColor="text1"/>
          <w:kern w:val="0"/>
          <w:sz w:val="24"/>
          <w:szCs w:val="24"/>
        </w:rPr>
        <w:t>, 9: 91-112</w:t>
      </w:r>
    </w:p>
    <w:p w:rsidR="00AE1FA0" w:rsidRPr="00AE1FA0" w:rsidRDefault="00AE1FA0" w:rsidP="00AE1FA0">
      <w:pPr>
        <w:widowControl/>
        <w:spacing w:after="160" w:line="360" w:lineRule="auto"/>
        <w:ind w:left="360"/>
        <w:rPr>
          <w:rFonts w:ascii="Arial" w:hAnsi="Arial" w:cs="Arial"/>
          <w:color w:val="000000" w:themeColor="text1"/>
          <w:kern w:val="0"/>
          <w:sz w:val="24"/>
          <w:szCs w:val="24"/>
          <w:lang w:val="en-US"/>
        </w:rPr>
      </w:pPr>
      <w:r w:rsidRPr="00AE1FA0">
        <w:rPr>
          <w:rFonts w:ascii="Arial" w:hAnsi="Arial" w:cs="Arial"/>
          <w:color w:val="000000" w:themeColor="text1"/>
          <w:kern w:val="0"/>
          <w:sz w:val="24"/>
          <w:szCs w:val="24"/>
          <w:lang w:val="en-US"/>
        </w:rPr>
        <w:t xml:space="preserve">Cnossen B and Bencherki N (2018) The role of space in the emergence and endurance of organizing: How independent workers and material assemblages constitute organization. </w:t>
      </w:r>
      <w:r w:rsidRPr="00AE1FA0">
        <w:rPr>
          <w:rFonts w:ascii="Arial" w:hAnsi="Arial" w:cs="Arial"/>
          <w:i/>
          <w:iCs/>
          <w:color w:val="000000" w:themeColor="text1"/>
          <w:kern w:val="0"/>
          <w:sz w:val="24"/>
          <w:szCs w:val="24"/>
          <w:lang w:val="en-US"/>
        </w:rPr>
        <w:t>Human Relations</w:t>
      </w:r>
      <w:r w:rsidRPr="00AE1FA0">
        <w:rPr>
          <w:rFonts w:ascii="Arial" w:hAnsi="Arial" w:cs="Arial"/>
          <w:color w:val="000000" w:themeColor="text1"/>
          <w:kern w:val="0"/>
          <w:sz w:val="24"/>
          <w:szCs w:val="24"/>
          <w:lang w:val="en-US"/>
        </w:rPr>
        <w:t>. DOI: 10.1177/0018726718794265.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Coupland, C. and Brown, A. D. (2004). Constructing organizational identities on the web: A case study of Royal Dutch/Shell. </w:t>
      </w:r>
      <w:r w:rsidRPr="00AE1FA0">
        <w:rPr>
          <w:rFonts w:ascii="Arial" w:hAnsi="Arial" w:cs="Arial"/>
          <w:i/>
          <w:color w:val="000000" w:themeColor="text1"/>
          <w:kern w:val="0"/>
          <w:sz w:val="24"/>
          <w:szCs w:val="24"/>
        </w:rPr>
        <w:t>Journal of management studies</w:t>
      </w:r>
      <w:r w:rsidRPr="00AE1FA0">
        <w:rPr>
          <w:rFonts w:ascii="Arial" w:hAnsi="Arial" w:cs="Arial"/>
          <w:color w:val="000000" w:themeColor="text1"/>
          <w:kern w:val="0"/>
          <w:sz w:val="24"/>
          <w:szCs w:val="24"/>
        </w:rPr>
        <w:t>, 41(8): 1325-1347.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Crang, P. (1994) It's showtime: on the workplace geographies of display in a restaurant in southeast England. </w:t>
      </w:r>
      <w:r w:rsidRPr="00AE1FA0">
        <w:rPr>
          <w:rFonts w:ascii="Arial" w:hAnsi="Arial" w:cs="Arial"/>
          <w:i/>
          <w:iCs/>
          <w:color w:val="000000" w:themeColor="text1"/>
          <w:kern w:val="0"/>
          <w:sz w:val="24"/>
          <w:szCs w:val="24"/>
        </w:rPr>
        <w:t>Environment and Planning D: Society and Space</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12</w:t>
      </w:r>
      <w:r w:rsidRPr="00AE1FA0">
        <w:rPr>
          <w:rFonts w:ascii="Arial" w:hAnsi="Arial" w:cs="Arial"/>
          <w:color w:val="000000" w:themeColor="text1"/>
          <w:kern w:val="0"/>
          <w:sz w:val="24"/>
          <w:szCs w:val="24"/>
        </w:rPr>
        <w:t>(6): 675-704.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Crang, M. and Thrift, N. J. (2000) </w:t>
      </w:r>
      <w:r w:rsidRPr="00AE1FA0">
        <w:rPr>
          <w:rFonts w:ascii="Arial" w:hAnsi="Arial" w:cs="Arial"/>
          <w:i/>
          <w:iCs/>
          <w:color w:val="000000" w:themeColor="text1"/>
          <w:kern w:val="0"/>
          <w:sz w:val="24"/>
          <w:szCs w:val="24"/>
        </w:rPr>
        <w:t>Thinking space</w:t>
      </w:r>
      <w:r w:rsidRPr="00AE1FA0">
        <w:rPr>
          <w:rFonts w:ascii="Arial" w:hAnsi="Arial" w:cs="Arial"/>
          <w:color w:val="000000" w:themeColor="text1"/>
          <w:kern w:val="0"/>
          <w:sz w:val="24"/>
          <w:szCs w:val="24"/>
        </w:rPr>
        <w:t>. London: 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Cunliffe, A. L. (2003) Reflexive inquiry in organizational research: Questions and possibilities. </w:t>
      </w:r>
      <w:r w:rsidRPr="00AE1FA0">
        <w:rPr>
          <w:rFonts w:ascii="Arial" w:hAnsi="Arial" w:cs="Arial"/>
          <w:i/>
          <w:iCs/>
          <w:color w:val="000000" w:themeColor="text1"/>
          <w:kern w:val="0"/>
          <w:sz w:val="24"/>
          <w:szCs w:val="24"/>
        </w:rPr>
        <w:t>Human Relations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56</w:t>
      </w:r>
      <w:r w:rsidRPr="00AE1FA0">
        <w:rPr>
          <w:rFonts w:ascii="Arial" w:hAnsi="Arial" w:cs="Arial"/>
          <w:color w:val="000000" w:themeColor="text1"/>
          <w:kern w:val="0"/>
          <w:sz w:val="24"/>
          <w:szCs w:val="24"/>
        </w:rPr>
        <w:t>(8): 983-1003.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Dale, K. and Burrell, G. (2008) The spaces of organization and the organization of space. In Dale, K. &amp; Burrell, G. (eds) </w:t>
      </w:r>
      <w:r w:rsidRPr="00AE1FA0">
        <w:rPr>
          <w:rFonts w:ascii="Arial" w:hAnsi="Arial" w:cs="Arial"/>
          <w:i/>
          <w:color w:val="000000" w:themeColor="text1"/>
          <w:kern w:val="0"/>
          <w:sz w:val="24"/>
          <w:szCs w:val="24"/>
        </w:rPr>
        <w:t xml:space="preserve">The spaces of organization &amp; the organization of space: </w:t>
      </w:r>
      <w:r w:rsidRPr="00AE1FA0">
        <w:rPr>
          <w:rFonts w:ascii="Arial" w:hAnsi="Arial" w:cs="Arial"/>
          <w:i/>
          <w:iCs/>
          <w:color w:val="000000" w:themeColor="text1"/>
          <w:kern w:val="0"/>
          <w:sz w:val="24"/>
          <w:szCs w:val="24"/>
        </w:rPr>
        <w:t>Power, Identity and</w:t>
      </w:r>
      <w:r w:rsidRPr="00AE1FA0">
        <w:rPr>
          <w:rFonts w:ascii="Arial" w:hAnsi="Arial" w:cs="Arial"/>
          <w:i/>
          <w:color w:val="000000" w:themeColor="text1"/>
          <w:kern w:val="0"/>
          <w:sz w:val="24"/>
          <w:szCs w:val="24"/>
        </w:rPr>
        <w:t xml:space="preserve"> </w:t>
      </w:r>
      <w:r w:rsidRPr="00AE1FA0">
        <w:rPr>
          <w:rFonts w:ascii="Arial" w:hAnsi="Arial" w:cs="Arial"/>
          <w:i/>
          <w:color w:val="000000" w:themeColor="text1"/>
          <w:kern w:val="0"/>
          <w:sz w:val="24"/>
          <w:szCs w:val="24"/>
          <w:lang w:val="en"/>
        </w:rPr>
        <w:t xml:space="preserve">materiality at work. </w:t>
      </w:r>
      <w:r w:rsidRPr="00AE1FA0">
        <w:rPr>
          <w:rFonts w:ascii="Arial" w:hAnsi="Arial" w:cs="Arial"/>
          <w:color w:val="000000" w:themeColor="text1"/>
          <w:kern w:val="0"/>
          <w:sz w:val="24"/>
          <w:szCs w:val="24"/>
          <w:lang w:val="en"/>
        </w:rPr>
        <w:t xml:space="preserve">Basingstoke: </w:t>
      </w:r>
      <w:r w:rsidRPr="00AE1FA0">
        <w:rPr>
          <w:rFonts w:ascii="Arial" w:hAnsi="Arial" w:cs="Arial"/>
          <w:color w:val="000000" w:themeColor="text1"/>
          <w:kern w:val="0"/>
          <w:sz w:val="24"/>
          <w:szCs w:val="24"/>
        </w:rPr>
        <w:t>Palgrave Macmillan. Pp.1-19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Davies, G. (2000) Narrating the Natural History Unit: institutional orderings and spatial strategies. </w:t>
      </w:r>
      <w:r w:rsidRPr="00AE1FA0">
        <w:rPr>
          <w:rFonts w:ascii="Arial" w:hAnsi="Arial" w:cs="Arial"/>
          <w:i/>
          <w:iCs/>
          <w:color w:val="000000" w:themeColor="text1"/>
          <w:kern w:val="0"/>
          <w:sz w:val="24"/>
          <w:szCs w:val="24"/>
        </w:rPr>
        <w:t>Geoforum</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31</w:t>
      </w:r>
      <w:r w:rsidRPr="00AE1FA0">
        <w:rPr>
          <w:rFonts w:ascii="Arial" w:hAnsi="Arial" w:cs="Arial"/>
          <w:color w:val="000000" w:themeColor="text1"/>
          <w:kern w:val="0"/>
          <w:sz w:val="24"/>
          <w:szCs w:val="24"/>
        </w:rPr>
        <w:t>(4): 539-551.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Deal, T. and Kennedy, A. (2000) </w:t>
      </w:r>
      <w:r w:rsidRPr="00AE1FA0">
        <w:rPr>
          <w:rFonts w:ascii="Arial" w:hAnsi="Arial" w:cs="Arial"/>
          <w:i/>
          <w:color w:val="000000" w:themeColor="text1"/>
          <w:kern w:val="0"/>
          <w:sz w:val="24"/>
          <w:szCs w:val="24"/>
        </w:rPr>
        <w:t>Corporate cultures: The rites and rituals of corporate life</w:t>
      </w:r>
      <w:r w:rsidRPr="00AE1FA0">
        <w:rPr>
          <w:rFonts w:ascii="Arial" w:hAnsi="Arial" w:cs="Arial"/>
          <w:color w:val="000000" w:themeColor="text1"/>
          <w:kern w:val="0"/>
          <w:sz w:val="24"/>
          <w:szCs w:val="24"/>
        </w:rPr>
        <w:t>. MA: Addison- Wesley.</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Decker, S. (2014) Solid intentions: An archival ethnography of corporate architecture and organizational remembering. </w:t>
      </w:r>
      <w:r w:rsidRPr="00AE1FA0">
        <w:rPr>
          <w:rFonts w:ascii="Arial" w:hAnsi="Arial" w:cs="Arial"/>
          <w:i/>
          <w:iCs/>
          <w:color w:val="000000" w:themeColor="text1"/>
          <w:kern w:val="0"/>
          <w:sz w:val="24"/>
          <w:szCs w:val="24"/>
        </w:rPr>
        <w:t>Organization</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21</w:t>
      </w:r>
      <w:r w:rsidRPr="00AE1FA0">
        <w:rPr>
          <w:rFonts w:ascii="Arial" w:hAnsi="Arial" w:cs="Arial"/>
          <w:color w:val="000000" w:themeColor="text1"/>
          <w:kern w:val="0"/>
          <w:sz w:val="24"/>
          <w:szCs w:val="24"/>
        </w:rPr>
        <w:t>(4): 514-542.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De Vaujany, F., Vaast, E. (2013) If these walls could talk: the mutual construction of organisational space and legitimacy. </w:t>
      </w:r>
      <w:r w:rsidRPr="00AE1FA0">
        <w:rPr>
          <w:rFonts w:ascii="Arial" w:hAnsi="Arial" w:cs="Arial"/>
          <w:i/>
          <w:color w:val="000000" w:themeColor="text1"/>
          <w:kern w:val="0"/>
          <w:sz w:val="24"/>
          <w:szCs w:val="24"/>
        </w:rPr>
        <w:t>Organization Science</w:t>
      </w:r>
      <w:r w:rsidRPr="00AE1FA0">
        <w:rPr>
          <w:rFonts w:ascii="Arial" w:hAnsi="Arial" w:cs="Arial"/>
          <w:color w:val="000000" w:themeColor="text1"/>
          <w:kern w:val="0"/>
          <w:sz w:val="24"/>
          <w:szCs w:val="24"/>
        </w:rPr>
        <w:t>, 25(3): 713-731</w:t>
      </w:r>
    </w:p>
    <w:p w:rsidR="00AE1FA0" w:rsidRPr="00AE1FA0" w:rsidRDefault="00AE1FA0" w:rsidP="00AE1FA0">
      <w:pPr>
        <w:widowControl/>
        <w:spacing w:after="160" w:line="360" w:lineRule="auto"/>
        <w:ind w:left="360"/>
        <w:rPr>
          <w:rFonts w:ascii="Arial" w:hAnsi="Arial" w:cs="Arial"/>
          <w:color w:val="000000" w:themeColor="text1"/>
          <w:kern w:val="0"/>
          <w:sz w:val="24"/>
          <w:szCs w:val="24"/>
          <w:lang w:val="en-US"/>
        </w:rPr>
      </w:pPr>
      <w:r w:rsidRPr="00AE1FA0">
        <w:rPr>
          <w:rFonts w:ascii="Arial" w:hAnsi="Arial" w:cs="Arial"/>
          <w:color w:val="000000" w:themeColor="text1"/>
          <w:kern w:val="0"/>
          <w:sz w:val="24"/>
          <w:szCs w:val="24"/>
        </w:rPr>
        <w:t xml:space="preserve">Denzin, N. K. (2001) The reflexive interview and a performative social science. </w:t>
      </w:r>
      <w:r w:rsidRPr="00AE1FA0">
        <w:rPr>
          <w:rFonts w:ascii="Arial" w:hAnsi="Arial" w:cs="Arial"/>
          <w:i/>
          <w:iCs/>
          <w:color w:val="000000" w:themeColor="text1"/>
          <w:kern w:val="0"/>
          <w:sz w:val="24"/>
          <w:szCs w:val="24"/>
        </w:rPr>
        <w:t>Qualitative Research</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w:t>
      </w:r>
      <w:r w:rsidRPr="00AE1FA0">
        <w:rPr>
          <w:rFonts w:ascii="Arial" w:hAnsi="Arial" w:cs="Arial"/>
          <w:color w:val="000000" w:themeColor="text1"/>
          <w:kern w:val="0"/>
          <w:sz w:val="24"/>
          <w:szCs w:val="24"/>
        </w:rPr>
        <w:t>(1):  23-46.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Dilthey, W. (1959) The understanding of other persons and their life-expressions. In Gardiner, P. (ed) </w:t>
      </w:r>
      <w:r w:rsidRPr="00AE1FA0">
        <w:rPr>
          <w:rFonts w:ascii="Arial" w:hAnsi="Arial" w:cs="Arial"/>
          <w:i/>
          <w:iCs/>
          <w:color w:val="000000" w:themeColor="text1"/>
          <w:kern w:val="0"/>
          <w:sz w:val="24"/>
          <w:szCs w:val="24"/>
        </w:rPr>
        <w:t>Theories of History</w:t>
      </w:r>
      <w:r w:rsidRPr="00AE1FA0">
        <w:rPr>
          <w:rFonts w:ascii="Arial" w:hAnsi="Arial" w:cs="Arial"/>
          <w:color w:val="000000" w:themeColor="text1"/>
          <w:kern w:val="0"/>
          <w:sz w:val="24"/>
          <w:szCs w:val="24"/>
        </w:rPr>
        <w:t>. New York: The Free Press. Pp.57-78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Durepos, G., Mills, A. J. and Weatherbee, T. G. (2012) Theorizing the past: Realism, relativism, relationalism and the reassembly of Weber. </w:t>
      </w:r>
      <w:r w:rsidRPr="00AE1FA0">
        <w:rPr>
          <w:rFonts w:ascii="Arial" w:hAnsi="Arial" w:cs="Arial"/>
          <w:i/>
          <w:iCs/>
          <w:color w:val="000000" w:themeColor="text1"/>
          <w:kern w:val="0"/>
          <w:sz w:val="24"/>
          <w:szCs w:val="24"/>
        </w:rPr>
        <w:t>Management &amp; Organizational History</w:t>
      </w:r>
      <w:r w:rsidRPr="00AE1FA0">
        <w:rPr>
          <w:rFonts w:ascii="Arial" w:hAnsi="Arial" w:cs="Arial"/>
          <w:color w:val="000000" w:themeColor="text1"/>
          <w:kern w:val="0"/>
          <w:sz w:val="24"/>
          <w:szCs w:val="24"/>
        </w:rPr>
        <w:t xml:space="preserve">, </w:t>
      </w:r>
      <w:r w:rsidRPr="00AE1FA0">
        <w:rPr>
          <w:rFonts w:ascii="Arial" w:hAnsi="Arial" w:cs="Arial"/>
          <w:i/>
          <w:iCs/>
          <w:color w:val="000000" w:themeColor="text1"/>
          <w:kern w:val="0"/>
          <w:sz w:val="24"/>
          <w:szCs w:val="24"/>
        </w:rPr>
        <w:t>7</w:t>
      </w:r>
      <w:r w:rsidRPr="00AE1FA0">
        <w:rPr>
          <w:rFonts w:ascii="Arial" w:hAnsi="Arial" w:cs="Arial"/>
          <w:color w:val="000000" w:themeColor="text1"/>
          <w:kern w:val="0"/>
          <w:sz w:val="24"/>
          <w:szCs w:val="24"/>
        </w:rPr>
        <w:t>(3): 267-281.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Elden, S. (2004) </w:t>
      </w:r>
      <w:r w:rsidRPr="00AE1FA0">
        <w:rPr>
          <w:rFonts w:ascii="Arial" w:hAnsi="Arial" w:cs="Arial"/>
          <w:i/>
          <w:iCs/>
          <w:color w:val="000000" w:themeColor="text1"/>
          <w:kern w:val="0"/>
          <w:sz w:val="24"/>
          <w:szCs w:val="24"/>
        </w:rPr>
        <w:t>Understanding Henri Lefebvre</w:t>
      </w:r>
      <w:r w:rsidRPr="00AE1FA0">
        <w:rPr>
          <w:rFonts w:ascii="Arial" w:hAnsi="Arial" w:cs="Arial"/>
          <w:color w:val="000000" w:themeColor="text1"/>
          <w:kern w:val="0"/>
          <w:sz w:val="24"/>
          <w:szCs w:val="24"/>
        </w:rPr>
        <w:t>. London: Continuum.</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Elsbach, K. D. and Bechky, B. A. (2007) It's more than a desk: Working smarter through leveraged office design. </w:t>
      </w:r>
      <w:r w:rsidRPr="00AE1FA0">
        <w:rPr>
          <w:rFonts w:ascii="Arial" w:hAnsi="Arial" w:cs="Arial"/>
          <w:i/>
          <w:iCs/>
          <w:color w:val="000000" w:themeColor="text1"/>
          <w:kern w:val="0"/>
          <w:sz w:val="24"/>
          <w:szCs w:val="24"/>
        </w:rPr>
        <w:t>California Management Review</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49</w:t>
      </w:r>
      <w:r w:rsidRPr="00AE1FA0">
        <w:rPr>
          <w:rFonts w:ascii="Arial" w:hAnsi="Arial" w:cs="Arial"/>
          <w:color w:val="000000" w:themeColor="text1"/>
          <w:kern w:val="0"/>
          <w:sz w:val="24"/>
          <w:szCs w:val="24"/>
        </w:rPr>
        <w:t>(2): 80-101.</w:t>
      </w:r>
    </w:p>
    <w:p w:rsidR="00AE1FA0" w:rsidRPr="00AE1FA0" w:rsidRDefault="00AE1FA0" w:rsidP="00AE1FA0">
      <w:pPr>
        <w:widowControl/>
        <w:spacing w:after="160" w:line="360" w:lineRule="auto"/>
        <w:ind w:left="360"/>
        <w:rPr>
          <w:rFonts w:ascii="Arial" w:hAnsi="Arial" w:cs="Arial"/>
          <w:i/>
          <w:iCs/>
          <w:color w:val="000000" w:themeColor="text1"/>
          <w:kern w:val="0"/>
          <w:sz w:val="24"/>
          <w:szCs w:val="24"/>
        </w:rPr>
      </w:pPr>
      <w:r w:rsidRPr="00AE1FA0">
        <w:rPr>
          <w:rFonts w:ascii="Arial" w:hAnsi="Arial" w:cs="Arial"/>
          <w:color w:val="000000" w:themeColor="text1"/>
          <w:kern w:val="0"/>
          <w:sz w:val="24"/>
          <w:szCs w:val="24"/>
        </w:rPr>
        <w:lastRenderedPageBreak/>
        <w:t xml:space="preserve">Eriksson, P. and Kovalainen, A. (2008) </w:t>
      </w:r>
      <w:r w:rsidRPr="00AE1FA0">
        <w:rPr>
          <w:rFonts w:ascii="Arial" w:hAnsi="Arial" w:cs="Arial"/>
          <w:i/>
          <w:iCs/>
          <w:color w:val="000000" w:themeColor="text1"/>
          <w:kern w:val="0"/>
          <w:sz w:val="24"/>
          <w:szCs w:val="24"/>
        </w:rPr>
        <w:t xml:space="preserve">Qualitative Research in Business Studies. </w:t>
      </w:r>
      <w:r w:rsidRPr="00AE1FA0">
        <w:rPr>
          <w:rFonts w:ascii="Arial" w:hAnsi="Arial" w:cs="Arial"/>
          <w:color w:val="000000" w:themeColor="text1"/>
          <w:kern w:val="0"/>
          <w:sz w:val="24"/>
          <w:szCs w:val="24"/>
        </w:rPr>
        <w:t>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Fairclough, N. (1992) </w:t>
      </w:r>
      <w:r w:rsidRPr="00AE1FA0">
        <w:rPr>
          <w:rFonts w:ascii="Arial" w:hAnsi="Arial" w:cs="Arial"/>
          <w:i/>
          <w:color w:val="000000" w:themeColor="text1"/>
          <w:kern w:val="0"/>
          <w:sz w:val="24"/>
          <w:szCs w:val="24"/>
        </w:rPr>
        <w:t>Discourse and social change</w:t>
      </w:r>
      <w:r w:rsidRPr="00AE1FA0">
        <w:rPr>
          <w:rFonts w:ascii="Arial" w:hAnsi="Arial" w:cs="Arial"/>
          <w:color w:val="000000" w:themeColor="text1"/>
          <w:kern w:val="0"/>
          <w:sz w:val="24"/>
          <w:szCs w:val="24"/>
        </w:rPr>
        <w:t>. Cambridge: Polity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Fairclough, N. and Wodak, R. (1997) Critical discourse analysis. In van Dijk, T. (ed) </w:t>
      </w:r>
      <w:r w:rsidRPr="00AE1FA0">
        <w:rPr>
          <w:rFonts w:ascii="Arial" w:hAnsi="Arial" w:cs="Arial"/>
          <w:i/>
          <w:color w:val="000000" w:themeColor="text1"/>
          <w:kern w:val="0"/>
          <w:sz w:val="24"/>
          <w:szCs w:val="24"/>
        </w:rPr>
        <w:t xml:space="preserve">Discourse as Social Interaction. </w:t>
      </w:r>
      <w:r w:rsidRPr="00AE1FA0">
        <w:rPr>
          <w:rFonts w:ascii="Arial" w:hAnsi="Arial" w:cs="Arial"/>
          <w:color w:val="000000" w:themeColor="text1"/>
          <w:kern w:val="0"/>
          <w:sz w:val="24"/>
          <w:szCs w:val="24"/>
        </w:rPr>
        <w:t>London: Sage. Pp.258-285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Flick, U. (2009) </w:t>
      </w:r>
      <w:r w:rsidRPr="00AE1FA0">
        <w:rPr>
          <w:rFonts w:ascii="Arial" w:hAnsi="Arial" w:cs="Arial"/>
          <w:i/>
          <w:iCs/>
          <w:color w:val="000000" w:themeColor="text1"/>
          <w:kern w:val="0"/>
          <w:sz w:val="24"/>
          <w:szCs w:val="24"/>
        </w:rPr>
        <w:t>The Sage Qualitative Research Kit: Collection</w:t>
      </w:r>
      <w:r w:rsidRPr="00AE1FA0">
        <w:rPr>
          <w:rFonts w:ascii="Arial" w:hAnsi="Arial" w:cs="Arial"/>
          <w:color w:val="000000" w:themeColor="text1"/>
          <w:kern w:val="0"/>
          <w:sz w:val="24"/>
          <w:szCs w:val="24"/>
        </w:rPr>
        <w:t>. London: SAGE Publications Limited.</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Finlay, L. and Gough, B. (2008) </w:t>
      </w:r>
      <w:r w:rsidRPr="00AE1FA0">
        <w:rPr>
          <w:rFonts w:ascii="Arial" w:hAnsi="Arial" w:cs="Arial"/>
          <w:i/>
          <w:iCs/>
          <w:color w:val="000000" w:themeColor="text1"/>
          <w:kern w:val="0"/>
          <w:sz w:val="24"/>
          <w:szCs w:val="24"/>
        </w:rPr>
        <w:t>Reflexivity: A practical guide for researchers in health and social sciences</w:t>
      </w:r>
      <w:r w:rsidRPr="00AE1FA0">
        <w:rPr>
          <w:rFonts w:ascii="Arial" w:hAnsi="Arial" w:cs="Arial"/>
          <w:color w:val="000000" w:themeColor="text1"/>
          <w:kern w:val="0"/>
          <w:sz w:val="24"/>
          <w:szCs w:val="24"/>
        </w:rPr>
        <w:t>. Oxford: Blackwell Science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Finlay, L. (2009) Ambiguous encounters: A relational approach to phenomenological research. </w:t>
      </w:r>
      <w:r w:rsidRPr="00AE1FA0">
        <w:rPr>
          <w:rFonts w:ascii="Arial" w:hAnsi="Arial" w:cs="Arial"/>
          <w:i/>
          <w:iCs/>
          <w:color w:val="000000" w:themeColor="text1"/>
          <w:kern w:val="0"/>
          <w:sz w:val="24"/>
          <w:szCs w:val="24"/>
        </w:rPr>
        <w:t>Indo-Pacific Journal of Phenomenology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9</w:t>
      </w:r>
      <w:r w:rsidRPr="00AE1FA0">
        <w:rPr>
          <w:rFonts w:ascii="Arial" w:hAnsi="Arial" w:cs="Arial"/>
          <w:color w:val="000000" w:themeColor="text1"/>
          <w:kern w:val="0"/>
          <w:sz w:val="24"/>
          <w:szCs w:val="24"/>
        </w:rPr>
        <w:t>(1): 1-17.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Foster, W. M., Suddaby, R., Minkus, A., and Wiebe, E. (2011) History as social memory assets: The example of Tim Hortons. </w:t>
      </w:r>
      <w:r w:rsidRPr="00AE1FA0">
        <w:rPr>
          <w:rFonts w:ascii="Arial" w:hAnsi="Arial" w:cs="Arial"/>
          <w:i/>
          <w:iCs/>
          <w:color w:val="000000" w:themeColor="text1"/>
          <w:kern w:val="0"/>
          <w:sz w:val="24"/>
          <w:szCs w:val="24"/>
        </w:rPr>
        <w:t>Management &amp; Organizational History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6</w:t>
      </w:r>
      <w:r w:rsidRPr="00AE1FA0">
        <w:rPr>
          <w:rFonts w:ascii="Arial" w:hAnsi="Arial" w:cs="Arial"/>
          <w:color w:val="000000" w:themeColor="text1"/>
          <w:kern w:val="0"/>
          <w:sz w:val="24"/>
          <w:szCs w:val="24"/>
        </w:rPr>
        <w:t>(1): 101-120.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Foucault, M. (1990) The history of sexuality: An introduction, volume I. </w:t>
      </w:r>
      <w:r w:rsidRPr="00AE1FA0">
        <w:rPr>
          <w:rFonts w:ascii="Arial" w:hAnsi="Arial" w:cs="Arial"/>
          <w:i/>
          <w:iCs/>
          <w:color w:val="000000" w:themeColor="text1"/>
          <w:kern w:val="0"/>
          <w:sz w:val="24"/>
          <w:szCs w:val="24"/>
        </w:rPr>
        <w:t xml:space="preserve">Trans. Robert Hurley. </w:t>
      </w:r>
      <w:r w:rsidRPr="00AE1FA0">
        <w:rPr>
          <w:rFonts w:ascii="Arial" w:hAnsi="Arial" w:cs="Arial"/>
          <w:iCs/>
          <w:color w:val="000000" w:themeColor="text1"/>
          <w:kern w:val="0"/>
          <w:sz w:val="24"/>
          <w:szCs w:val="24"/>
        </w:rPr>
        <w:t>New York: Vintage</w:t>
      </w:r>
      <w:r w:rsidRPr="00AE1FA0">
        <w:rPr>
          <w:rFonts w:ascii="Arial" w:hAnsi="Arial" w:cs="Arial"/>
          <w:color w:val="000000" w:themeColor="text1"/>
          <w:kern w:val="0"/>
          <w:sz w:val="24"/>
          <w:szCs w:val="24"/>
        </w:rPr>
        <w:t>.</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Fournier, V. (1999) The appeal to ‘professionalism’ as a disciplinary mechanism. </w:t>
      </w:r>
      <w:r w:rsidRPr="00AE1FA0">
        <w:rPr>
          <w:rFonts w:ascii="Arial" w:hAnsi="Arial" w:cs="Arial"/>
          <w:i/>
          <w:iCs/>
          <w:color w:val="000000" w:themeColor="text1"/>
          <w:kern w:val="0"/>
          <w:sz w:val="24"/>
          <w:szCs w:val="24"/>
        </w:rPr>
        <w:t>The Sociological Review</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47</w:t>
      </w:r>
      <w:r w:rsidRPr="00AE1FA0">
        <w:rPr>
          <w:rFonts w:ascii="Arial" w:hAnsi="Arial" w:cs="Arial"/>
          <w:color w:val="000000" w:themeColor="text1"/>
          <w:kern w:val="0"/>
          <w:sz w:val="24"/>
          <w:szCs w:val="24"/>
        </w:rPr>
        <w:t>(2): 280-307.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Freshwater, H. (2003) The allure of the archive. </w:t>
      </w:r>
      <w:r w:rsidRPr="00AE1FA0">
        <w:rPr>
          <w:rFonts w:ascii="Arial" w:hAnsi="Arial" w:cs="Arial"/>
          <w:i/>
          <w:iCs/>
          <w:color w:val="000000" w:themeColor="text1"/>
          <w:kern w:val="0"/>
          <w:sz w:val="24"/>
          <w:szCs w:val="24"/>
        </w:rPr>
        <w:t>Poetics Today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24</w:t>
      </w:r>
      <w:r w:rsidRPr="00AE1FA0">
        <w:rPr>
          <w:rFonts w:ascii="Arial" w:hAnsi="Arial" w:cs="Arial"/>
          <w:color w:val="000000" w:themeColor="text1"/>
          <w:kern w:val="0"/>
          <w:sz w:val="24"/>
          <w:szCs w:val="24"/>
        </w:rPr>
        <w:t>(4): 729-758.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Gagliardi, P. (1990) </w:t>
      </w:r>
      <w:r w:rsidRPr="00AE1FA0">
        <w:rPr>
          <w:rFonts w:ascii="Arial" w:hAnsi="Arial" w:cs="Arial"/>
          <w:i/>
          <w:color w:val="000000" w:themeColor="text1"/>
          <w:kern w:val="0"/>
          <w:sz w:val="24"/>
          <w:szCs w:val="24"/>
        </w:rPr>
        <w:t>Symbols and artifacts: Views of the Corporate Landscape.</w:t>
      </w:r>
      <w:r w:rsidRPr="00AE1FA0">
        <w:rPr>
          <w:rFonts w:ascii="Arial" w:hAnsi="Arial" w:cs="Arial"/>
          <w:color w:val="000000" w:themeColor="text1"/>
          <w:kern w:val="0"/>
          <w:sz w:val="24"/>
          <w:szCs w:val="24"/>
          <w:u w:val="single"/>
        </w:rPr>
        <w:t xml:space="preserve"> </w:t>
      </w:r>
      <w:r w:rsidRPr="00AE1FA0">
        <w:rPr>
          <w:rFonts w:ascii="Arial" w:hAnsi="Arial" w:cs="Arial"/>
          <w:color w:val="000000" w:themeColor="text1"/>
          <w:kern w:val="0"/>
          <w:sz w:val="24"/>
          <w:szCs w:val="24"/>
        </w:rPr>
        <w:t>New York: Walter de Gruyter.</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Gallagher, C. and Greenblatt, S. (2000) </w:t>
      </w:r>
      <w:r w:rsidRPr="00AE1FA0">
        <w:rPr>
          <w:rFonts w:ascii="Arial" w:hAnsi="Arial" w:cs="Arial"/>
          <w:i/>
          <w:iCs/>
          <w:color w:val="000000" w:themeColor="text1"/>
          <w:kern w:val="0"/>
          <w:sz w:val="24"/>
          <w:szCs w:val="24"/>
        </w:rPr>
        <w:t>Practicing new historicism</w:t>
      </w:r>
      <w:r w:rsidRPr="00AE1FA0">
        <w:rPr>
          <w:rFonts w:ascii="Arial" w:hAnsi="Arial" w:cs="Arial"/>
          <w:color w:val="000000" w:themeColor="text1"/>
          <w:kern w:val="0"/>
          <w:sz w:val="24"/>
          <w:szCs w:val="24"/>
        </w:rPr>
        <w:t>. Chicago: University of Chicago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Gainer, R. D. (2008) History of ergonomics and occupational therapy. </w:t>
      </w:r>
      <w:r w:rsidRPr="00AE1FA0">
        <w:rPr>
          <w:rFonts w:ascii="Arial" w:hAnsi="Arial" w:cs="Arial"/>
          <w:i/>
          <w:iCs/>
          <w:color w:val="000000" w:themeColor="text1"/>
          <w:kern w:val="0"/>
          <w:sz w:val="24"/>
          <w:szCs w:val="24"/>
        </w:rPr>
        <w:t>Work</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31</w:t>
      </w:r>
      <w:r w:rsidRPr="00AE1FA0">
        <w:rPr>
          <w:rFonts w:ascii="Arial" w:hAnsi="Arial" w:cs="Arial"/>
          <w:color w:val="000000" w:themeColor="text1"/>
          <w:kern w:val="0"/>
          <w:sz w:val="24"/>
          <w:szCs w:val="24"/>
        </w:rPr>
        <w:t>(1): 5-9.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Gergen, K. J. and Thatchenkery, T. J. (1996) Organization science as social construction: Postmodern potentials. </w:t>
      </w:r>
      <w:r w:rsidRPr="00AE1FA0">
        <w:rPr>
          <w:rFonts w:ascii="Arial" w:hAnsi="Arial" w:cs="Arial"/>
          <w:i/>
          <w:iCs/>
          <w:color w:val="000000" w:themeColor="text1"/>
          <w:kern w:val="0"/>
          <w:sz w:val="24"/>
          <w:szCs w:val="24"/>
        </w:rPr>
        <w:t>The Journal of Applied Behavioral Science</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32</w:t>
      </w:r>
      <w:r w:rsidRPr="00AE1FA0">
        <w:rPr>
          <w:rFonts w:ascii="Arial" w:hAnsi="Arial" w:cs="Arial"/>
          <w:color w:val="000000" w:themeColor="text1"/>
          <w:kern w:val="0"/>
          <w:sz w:val="24"/>
          <w:szCs w:val="24"/>
        </w:rPr>
        <w:t>(4): 356-377.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Gieseking, J.J., Mangold, W., Katz, C., Low, S. and Saegert, S. (2014) </w:t>
      </w:r>
      <w:r w:rsidRPr="00AE1FA0">
        <w:rPr>
          <w:rFonts w:ascii="Arial" w:hAnsi="Arial" w:cs="Arial"/>
          <w:i/>
          <w:iCs/>
          <w:color w:val="000000" w:themeColor="text1"/>
          <w:kern w:val="0"/>
          <w:sz w:val="24"/>
          <w:szCs w:val="24"/>
        </w:rPr>
        <w:t>The people, place, and space reader</w:t>
      </w:r>
      <w:r w:rsidRPr="00AE1FA0">
        <w:rPr>
          <w:rFonts w:ascii="Arial" w:hAnsi="Arial" w:cs="Arial"/>
          <w:color w:val="000000" w:themeColor="text1"/>
          <w:kern w:val="0"/>
          <w:sz w:val="24"/>
          <w:szCs w:val="24"/>
        </w:rPr>
        <w:t>. London: 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Gilbert, P. (2008) Sex and the modern city: English studies and the spatial turn. In Warf, B., &amp; Arias, S. (eds.) </w:t>
      </w:r>
      <w:r w:rsidRPr="00AE1FA0">
        <w:rPr>
          <w:rFonts w:ascii="Arial" w:hAnsi="Arial" w:cs="Arial"/>
          <w:i/>
          <w:iCs/>
          <w:color w:val="000000" w:themeColor="text1"/>
          <w:kern w:val="0"/>
          <w:sz w:val="24"/>
          <w:szCs w:val="24"/>
        </w:rPr>
        <w:t>The spatial turn: Interdisciplinary perspectives</w:t>
      </w:r>
      <w:r w:rsidRPr="00AE1FA0">
        <w:rPr>
          <w:rFonts w:ascii="Arial" w:hAnsi="Arial" w:cs="Arial"/>
          <w:color w:val="000000" w:themeColor="text1"/>
          <w:kern w:val="0"/>
          <w:sz w:val="24"/>
          <w:szCs w:val="24"/>
        </w:rPr>
        <w:t>. London: Routledge. Pp.102-121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Gill, M. J. (2014) The possibilities of phenomenology for organizational research. </w:t>
      </w:r>
      <w:r w:rsidRPr="00AE1FA0">
        <w:rPr>
          <w:rFonts w:ascii="Arial" w:hAnsi="Arial" w:cs="Arial"/>
          <w:i/>
          <w:iCs/>
          <w:color w:val="000000" w:themeColor="text1"/>
          <w:kern w:val="0"/>
          <w:sz w:val="24"/>
          <w:szCs w:val="24"/>
        </w:rPr>
        <w:t>Organizational Research Methods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17</w:t>
      </w:r>
      <w:r w:rsidRPr="00AE1FA0">
        <w:rPr>
          <w:rFonts w:ascii="Arial" w:hAnsi="Arial" w:cs="Arial"/>
          <w:color w:val="000000" w:themeColor="text1"/>
          <w:kern w:val="0"/>
          <w:sz w:val="24"/>
          <w:szCs w:val="24"/>
        </w:rPr>
        <w:t>(2): 118-137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Gottdiener, M. (1993) A Marx for our time: Henri Lefebvre and the production of space. </w:t>
      </w:r>
      <w:r w:rsidRPr="00AE1FA0">
        <w:rPr>
          <w:rFonts w:ascii="Arial" w:hAnsi="Arial" w:cs="Arial"/>
          <w:i/>
          <w:iCs/>
          <w:color w:val="000000" w:themeColor="text1"/>
          <w:kern w:val="0"/>
          <w:sz w:val="24"/>
          <w:szCs w:val="24"/>
        </w:rPr>
        <w:t>Sociological Theory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11</w:t>
      </w:r>
      <w:r w:rsidRPr="00AE1FA0">
        <w:rPr>
          <w:rFonts w:ascii="Arial" w:hAnsi="Arial" w:cs="Arial"/>
          <w:color w:val="000000" w:themeColor="text1"/>
          <w:kern w:val="0"/>
          <w:sz w:val="24"/>
          <w:szCs w:val="24"/>
        </w:rPr>
        <w:t>(1): 129-134.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Goonewardena, K, Kipfer, R. Milgrom &amp; C. Schmid (eds) </w:t>
      </w:r>
      <w:r w:rsidRPr="00AE1FA0">
        <w:rPr>
          <w:rFonts w:ascii="Arial" w:hAnsi="Arial" w:cs="Arial"/>
          <w:i/>
          <w:color w:val="000000" w:themeColor="text1"/>
          <w:kern w:val="0"/>
          <w:sz w:val="24"/>
          <w:szCs w:val="24"/>
        </w:rPr>
        <w:t>Space, difference, everyday life: reading Henri Lefebvre.</w:t>
      </w:r>
      <w:r w:rsidRPr="00AE1FA0">
        <w:rPr>
          <w:rFonts w:ascii="Arial" w:hAnsi="Arial" w:cs="Arial"/>
          <w:color w:val="000000" w:themeColor="text1"/>
          <w:kern w:val="0"/>
          <w:sz w:val="24"/>
          <w:szCs w:val="24"/>
        </w:rPr>
        <w:t xml:space="preserve"> London: 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Gowler, D. and Legge, K. (1983) The meaning of management and the management of meaning. In M. Earl (ed) </w:t>
      </w:r>
      <w:r w:rsidRPr="00AE1FA0">
        <w:rPr>
          <w:rFonts w:ascii="Arial" w:hAnsi="Arial" w:cs="Arial"/>
          <w:i/>
          <w:color w:val="000000" w:themeColor="text1"/>
          <w:kern w:val="0"/>
          <w:sz w:val="24"/>
          <w:szCs w:val="24"/>
        </w:rPr>
        <w:t>Perspectives in management</w:t>
      </w:r>
      <w:r w:rsidRPr="00AE1FA0">
        <w:rPr>
          <w:rFonts w:ascii="Arial" w:hAnsi="Arial" w:cs="Arial"/>
          <w:color w:val="000000" w:themeColor="text1"/>
          <w:kern w:val="0"/>
          <w:sz w:val="24"/>
          <w:szCs w:val="24"/>
        </w:rPr>
        <w:t>. Oxford: Oxford University Press. Pp.197-233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bookmarkStart w:id="106" w:name="_Hlk535071321"/>
      <w:r w:rsidRPr="00AE1FA0">
        <w:rPr>
          <w:rFonts w:ascii="Arial" w:hAnsi="Arial" w:cs="Arial"/>
          <w:color w:val="000000" w:themeColor="text1"/>
          <w:kern w:val="0"/>
          <w:sz w:val="24"/>
          <w:szCs w:val="24"/>
        </w:rPr>
        <w:t>Graham,</w:t>
      </w:r>
      <w:bookmarkEnd w:id="106"/>
      <w:r w:rsidRPr="00AE1FA0">
        <w:rPr>
          <w:rFonts w:ascii="Arial" w:hAnsi="Arial" w:cs="Arial"/>
          <w:color w:val="000000" w:themeColor="text1"/>
          <w:kern w:val="0"/>
          <w:sz w:val="24"/>
          <w:szCs w:val="24"/>
        </w:rPr>
        <w:t xml:space="preserve"> S., &amp; Wood, D. (2003). Digitizing surveillance: categorization, space, inequality. </w:t>
      </w:r>
      <w:r w:rsidRPr="00AE1FA0">
        <w:rPr>
          <w:rFonts w:ascii="Arial" w:hAnsi="Arial" w:cs="Arial"/>
          <w:i/>
          <w:iCs/>
          <w:color w:val="000000" w:themeColor="text1"/>
          <w:kern w:val="0"/>
          <w:sz w:val="24"/>
          <w:szCs w:val="24"/>
        </w:rPr>
        <w:t>Critical Social Policy</w:t>
      </w:r>
      <w:r w:rsidRPr="00AE1FA0">
        <w:rPr>
          <w:rFonts w:ascii="Arial" w:hAnsi="Arial" w:cs="Arial"/>
          <w:color w:val="000000" w:themeColor="text1"/>
          <w:kern w:val="0"/>
          <w:sz w:val="24"/>
          <w:szCs w:val="24"/>
        </w:rPr>
        <w:t>, </w:t>
      </w:r>
      <w:r w:rsidRPr="00AE1FA0">
        <w:rPr>
          <w:rFonts w:ascii="Arial" w:hAnsi="Arial" w:cs="Arial"/>
          <w:i/>
          <w:iCs/>
          <w:color w:val="000000" w:themeColor="text1"/>
          <w:kern w:val="0"/>
          <w:sz w:val="24"/>
          <w:szCs w:val="24"/>
        </w:rPr>
        <w:t>23</w:t>
      </w:r>
      <w:r w:rsidRPr="00AE1FA0">
        <w:rPr>
          <w:rFonts w:ascii="Arial" w:hAnsi="Arial" w:cs="Arial"/>
          <w:color w:val="000000" w:themeColor="text1"/>
          <w:kern w:val="0"/>
          <w:sz w:val="24"/>
          <w:szCs w:val="24"/>
        </w:rPr>
        <w:t>(2), 227-248.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Grbich, C. (2012) </w:t>
      </w:r>
      <w:r w:rsidRPr="00AE1FA0">
        <w:rPr>
          <w:rFonts w:ascii="Arial" w:hAnsi="Arial" w:cs="Arial"/>
          <w:i/>
          <w:iCs/>
          <w:color w:val="000000" w:themeColor="text1"/>
          <w:kern w:val="0"/>
          <w:sz w:val="24"/>
          <w:szCs w:val="24"/>
        </w:rPr>
        <w:t>Qualitative data analysis: An introduction</w:t>
      </w:r>
      <w:r w:rsidRPr="00AE1FA0">
        <w:rPr>
          <w:rFonts w:ascii="Arial" w:hAnsi="Arial" w:cs="Arial"/>
          <w:color w:val="000000" w:themeColor="text1"/>
          <w:kern w:val="0"/>
          <w:sz w:val="24"/>
          <w:szCs w:val="24"/>
        </w:rPr>
        <w:t>. 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Grey, C. (2012) </w:t>
      </w:r>
      <w:r w:rsidRPr="00AE1FA0">
        <w:rPr>
          <w:rFonts w:ascii="Arial" w:hAnsi="Arial" w:cs="Arial"/>
          <w:i/>
          <w:color w:val="000000" w:themeColor="text1"/>
          <w:kern w:val="0"/>
          <w:sz w:val="24"/>
          <w:szCs w:val="24"/>
        </w:rPr>
        <w:t>Decoding organisation: Bletchley Park, codebreaking and organisation studies</w:t>
      </w:r>
      <w:r w:rsidRPr="00AE1FA0">
        <w:rPr>
          <w:rFonts w:ascii="Arial" w:hAnsi="Arial" w:cs="Arial"/>
          <w:color w:val="000000" w:themeColor="text1"/>
          <w:kern w:val="0"/>
          <w:sz w:val="24"/>
          <w:szCs w:val="24"/>
        </w:rPr>
        <w:t>. Cambridge: Cambridge University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Guillemin, M. and Gillam, L. (2004) Ethics, reflexivity, and “ethically important moments” in research. </w:t>
      </w:r>
      <w:r w:rsidRPr="00AE1FA0">
        <w:rPr>
          <w:rFonts w:ascii="Arial" w:hAnsi="Arial" w:cs="Arial"/>
          <w:i/>
          <w:iCs/>
          <w:color w:val="000000" w:themeColor="text1"/>
          <w:kern w:val="0"/>
          <w:sz w:val="24"/>
          <w:szCs w:val="24"/>
        </w:rPr>
        <w:t>Qualitative Inquiry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10</w:t>
      </w:r>
      <w:r w:rsidRPr="00AE1FA0">
        <w:rPr>
          <w:rFonts w:ascii="Arial" w:hAnsi="Arial" w:cs="Arial"/>
          <w:color w:val="000000" w:themeColor="text1"/>
          <w:kern w:val="0"/>
          <w:sz w:val="24"/>
          <w:szCs w:val="24"/>
        </w:rPr>
        <w:t>(2): 261-280.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Hall, L. (2015) The Victorians: Our others, our selves? In Fisher, K. &amp; Langlands, R. (eds) </w:t>
      </w:r>
      <w:r w:rsidRPr="00AE1FA0">
        <w:rPr>
          <w:rFonts w:ascii="Arial" w:hAnsi="Arial" w:cs="Arial"/>
          <w:i/>
          <w:color w:val="000000" w:themeColor="text1"/>
          <w:kern w:val="0"/>
          <w:sz w:val="24"/>
          <w:szCs w:val="24"/>
        </w:rPr>
        <w:t>Sex, knowledge, and receptions of the past.</w:t>
      </w:r>
      <w:r w:rsidRPr="00AE1FA0">
        <w:rPr>
          <w:rFonts w:ascii="Arial" w:hAnsi="Arial" w:cs="Arial"/>
          <w:color w:val="000000" w:themeColor="text1"/>
          <w:kern w:val="0"/>
          <w:sz w:val="24"/>
          <w:szCs w:val="24"/>
        </w:rPr>
        <w:t xml:space="preserve"> Oxford: Oxford University Press. Pp.20-36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Hamilton, C., Harris, V., Pickover, M., Reid, G., Saleh, R., and Taylor, J. (2012) </w:t>
      </w:r>
      <w:r w:rsidRPr="00AE1FA0">
        <w:rPr>
          <w:rFonts w:ascii="Arial" w:hAnsi="Arial" w:cs="Arial"/>
          <w:i/>
          <w:iCs/>
          <w:color w:val="000000" w:themeColor="text1"/>
          <w:kern w:val="0"/>
          <w:sz w:val="24"/>
          <w:szCs w:val="24"/>
        </w:rPr>
        <w:t>Refiguring the archive</w:t>
      </w:r>
      <w:r w:rsidRPr="00AE1FA0">
        <w:rPr>
          <w:rFonts w:ascii="Arial" w:hAnsi="Arial" w:cs="Arial"/>
          <w:color w:val="000000" w:themeColor="text1"/>
          <w:kern w:val="0"/>
          <w:sz w:val="24"/>
          <w:szCs w:val="24"/>
        </w:rPr>
        <w:t>. London: Springer Science &amp; Business Media.</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Hartley, J. (2004) Case study research. In Cassell, C. and Symon, G. (eds) </w:t>
      </w:r>
      <w:r w:rsidRPr="00AE1FA0">
        <w:rPr>
          <w:rFonts w:ascii="Arial" w:hAnsi="Arial" w:cs="Arial"/>
          <w:i/>
          <w:iCs/>
          <w:color w:val="000000" w:themeColor="text1"/>
          <w:kern w:val="0"/>
          <w:sz w:val="24"/>
          <w:szCs w:val="24"/>
        </w:rPr>
        <w:t>Essential guide to qualitative methods in organizational research</w:t>
      </w:r>
      <w:r w:rsidRPr="00AE1FA0">
        <w:rPr>
          <w:rFonts w:ascii="Arial" w:hAnsi="Arial" w:cs="Arial"/>
          <w:color w:val="000000" w:themeColor="text1"/>
          <w:kern w:val="0"/>
          <w:sz w:val="24"/>
          <w:szCs w:val="24"/>
        </w:rPr>
        <w:t>. London: Sage. Pp.323-332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Harvey, D. (2006) </w:t>
      </w:r>
      <w:r w:rsidRPr="00AE1FA0">
        <w:rPr>
          <w:rFonts w:ascii="Arial" w:hAnsi="Arial" w:cs="Arial"/>
          <w:i/>
          <w:color w:val="000000" w:themeColor="text1"/>
          <w:kern w:val="0"/>
          <w:sz w:val="24"/>
          <w:szCs w:val="24"/>
        </w:rPr>
        <w:t>Spaces of global capitalism</w:t>
      </w:r>
      <w:r w:rsidRPr="00AE1FA0">
        <w:rPr>
          <w:rFonts w:ascii="Arial" w:hAnsi="Arial" w:cs="Arial"/>
          <w:color w:val="000000" w:themeColor="text1"/>
          <w:kern w:val="0"/>
          <w:sz w:val="24"/>
          <w:szCs w:val="24"/>
        </w:rPr>
        <w:t>. London: Verso.</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Harvey, D. (1990) Between space and time: reflections on the geographical imagination. </w:t>
      </w:r>
      <w:r w:rsidRPr="00AE1FA0">
        <w:rPr>
          <w:rFonts w:ascii="Arial" w:hAnsi="Arial" w:cs="Arial"/>
          <w:i/>
          <w:color w:val="000000" w:themeColor="text1"/>
          <w:kern w:val="0"/>
          <w:sz w:val="24"/>
          <w:szCs w:val="24"/>
        </w:rPr>
        <w:t>Annals of the Association of American Geographers</w:t>
      </w:r>
      <w:r w:rsidRPr="00AE1FA0">
        <w:rPr>
          <w:rFonts w:ascii="Arial" w:hAnsi="Arial" w:cs="Arial"/>
          <w:color w:val="000000" w:themeColor="text1"/>
          <w:kern w:val="0"/>
          <w:sz w:val="24"/>
          <w:szCs w:val="24"/>
        </w:rPr>
        <w:t>, 80 (3): 418-434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Hasian Jr, M. and Frank, R. E. (1999) Rhetoric, history, and collective memory: Decoding the Goldhagen debates. </w:t>
      </w:r>
      <w:r w:rsidRPr="00AE1FA0">
        <w:rPr>
          <w:rFonts w:ascii="Arial" w:hAnsi="Arial" w:cs="Arial"/>
          <w:i/>
          <w:color w:val="000000" w:themeColor="text1"/>
          <w:kern w:val="0"/>
          <w:sz w:val="24"/>
          <w:szCs w:val="24"/>
        </w:rPr>
        <w:t>Western Journal of Communication</w:t>
      </w:r>
      <w:r w:rsidRPr="00AE1FA0">
        <w:rPr>
          <w:rFonts w:ascii="Arial" w:hAnsi="Arial" w:cs="Arial"/>
          <w:color w:val="000000" w:themeColor="text1"/>
          <w:kern w:val="0"/>
          <w:sz w:val="24"/>
          <w:szCs w:val="24"/>
        </w:rPr>
        <w:t>, 63(1): 95-114.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Hancock, P. and Spicer, A., (2011) Academic architecture and the constitution of the new model worker. </w:t>
      </w:r>
      <w:r w:rsidRPr="00AE1FA0">
        <w:rPr>
          <w:rFonts w:ascii="Arial" w:hAnsi="Arial" w:cs="Arial"/>
          <w:i/>
          <w:color w:val="000000" w:themeColor="text1"/>
          <w:kern w:val="0"/>
          <w:sz w:val="24"/>
          <w:szCs w:val="24"/>
        </w:rPr>
        <w:t>Culture and Organization</w:t>
      </w:r>
      <w:r w:rsidRPr="00AE1FA0">
        <w:rPr>
          <w:rFonts w:ascii="Arial" w:hAnsi="Arial" w:cs="Arial"/>
          <w:color w:val="000000" w:themeColor="text1"/>
          <w:kern w:val="0"/>
          <w:sz w:val="24"/>
          <w:szCs w:val="24"/>
        </w:rPr>
        <w:t>, 17(2): 91-105.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Hanlon, J. (2001) Spaces of interpretation: Archival research and the cultural landscape. </w:t>
      </w:r>
      <w:r w:rsidRPr="00AE1FA0">
        <w:rPr>
          <w:rFonts w:ascii="Arial" w:hAnsi="Arial" w:cs="Arial"/>
          <w:i/>
          <w:iCs/>
          <w:color w:val="000000" w:themeColor="text1"/>
          <w:kern w:val="0"/>
          <w:sz w:val="24"/>
          <w:szCs w:val="24"/>
        </w:rPr>
        <w:t>Historical Geography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29</w:t>
      </w:r>
      <w:r w:rsidRPr="00AE1FA0">
        <w:rPr>
          <w:rFonts w:ascii="Arial" w:hAnsi="Arial" w:cs="Arial"/>
          <w:color w:val="000000" w:themeColor="text1"/>
          <w:kern w:val="0"/>
          <w:sz w:val="24"/>
          <w:szCs w:val="24"/>
        </w:rPr>
        <w:t>: 14-25.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Hannam, K. (2012) Coping with archival and textual data. In Shurmer-Smith, P. (ed) </w:t>
      </w:r>
      <w:r w:rsidRPr="00AE1FA0">
        <w:rPr>
          <w:rFonts w:ascii="Arial" w:hAnsi="Arial" w:cs="Arial"/>
          <w:i/>
          <w:color w:val="000000" w:themeColor="text1"/>
          <w:kern w:val="0"/>
          <w:sz w:val="24"/>
          <w:szCs w:val="24"/>
        </w:rPr>
        <w:t>Doing cultural geography</w:t>
      </w:r>
      <w:r w:rsidRPr="00AE1FA0">
        <w:rPr>
          <w:rFonts w:ascii="Arial" w:hAnsi="Arial" w:cs="Arial"/>
          <w:color w:val="000000" w:themeColor="text1"/>
          <w:kern w:val="0"/>
          <w:sz w:val="24"/>
          <w:szCs w:val="24"/>
        </w:rPr>
        <w:t>. London: Sage Publications. Pp.189-198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Harrison, A. and Morgan, N. (2006) The narrative office: BBC case study. In Clements-Croome, D. (ed) </w:t>
      </w:r>
      <w:r w:rsidRPr="00AE1FA0">
        <w:rPr>
          <w:rFonts w:ascii="Arial" w:hAnsi="Arial" w:cs="Arial"/>
          <w:i/>
          <w:color w:val="000000" w:themeColor="text1"/>
          <w:kern w:val="0"/>
          <w:sz w:val="24"/>
          <w:szCs w:val="24"/>
        </w:rPr>
        <w:t>Creating the productive workplace</w:t>
      </w:r>
      <w:r w:rsidRPr="00AE1FA0">
        <w:rPr>
          <w:rFonts w:ascii="Arial" w:hAnsi="Arial" w:cs="Arial"/>
          <w:color w:val="000000" w:themeColor="text1"/>
          <w:kern w:val="0"/>
          <w:sz w:val="24"/>
          <w:szCs w:val="24"/>
        </w:rPr>
        <w:t>. London: Taylor &amp; Francis. Pp.257-276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Haynes, B. P. (2008) The impact of office layout on productivity. </w:t>
      </w:r>
      <w:r w:rsidRPr="00AE1FA0">
        <w:rPr>
          <w:rFonts w:ascii="Arial" w:hAnsi="Arial" w:cs="Arial"/>
          <w:i/>
          <w:iCs/>
          <w:color w:val="000000" w:themeColor="text1"/>
          <w:kern w:val="0"/>
          <w:sz w:val="24"/>
          <w:szCs w:val="24"/>
        </w:rPr>
        <w:t>Journal of Facilities Management</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6</w:t>
      </w:r>
      <w:r w:rsidRPr="00AE1FA0">
        <w:rPr>
          <w:rFonts w:ascii="Arial" w:hAnsi="Arial" w:cs="Arial"/>
          <w:color w:val="000000" w:themeColor="text1"/>
          <w:kern w:val="0"/>
          <w:sz w:val="24"/>
          <w:szCs w:val="24"/>
        </w:rPr>
        <w:t>(3): 189-201.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Heffer, S. (2013) </w:t>
      </w:r>
      <w:r w:rsidRPr="00AE1FA0">
        <w:rPr>
          <w:rFonts w:ascii="Arial" w:hAnsi="Arial" w:cs="Arial"/>
          <w:i/>
          <w:iCs/>
          <w:color w:val="000000" w:themeColor="text1"/>
          <w:kern w:val="0"/>
          <w:sz w:val="24"/>
          <w:szCs w:val="24"/>
        </w:rPr>
        <w:t>High Minds: The Victorians and the birth of modern Britain</w:t>
      </w:r>
      <w:r w:rsidRPr="00AE1FA0">
        <w:rPr>
          <w:rFonts w:ascii="Arial" w:hAnsi="Arial" w:cs="Arial"/>
          <w:color w:val="000000" w:themeColor="text1"/>
          <w:kern w:val="0"/>
          <w:sz w:val="24"/>
          <w:szCs w:val="24"/>
        </w:rPr>
        <w:t>. London: Random House Publishers.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Helin, J., Hernes, T., Hjorth, D., and Holt, R. (2014) Process is how process does. </w:t>
      </w:r>
      <w:r w:rsidRPr="00AE1FA0">
        <w:rPr>
          <w:rFonts w:ascii="Arial" w:hAnsi="Arial" w:cs="Arial"/>
          <w:i/>
          <w:iCs/>
          <w:color w:val="000000" w:themeColor="text1"/>
          <w:kern w:val="0"/>
          <w:sz w:val="24"/>
          <w:szCs w:val="24"/>
        </w:rPr>
        <w:t xml:space="preserve">The Oxford handbook of process philosophy and organization studies. </w:t>
      </w:r>
      <w:r w:rsidRPr="00AE1FA0">
        <w:rPr>
          <w:rFonts w:ascii="Arial" w:hAnsi="Arial" w:cs="Arial"/>
          <w:iCs/>
          <w:color w:val="000000" w:themeColor="text1"/>
          <w:kern w:val="0"/>
          <w:sz w:val="24"/>
          <w:szCs w:val="24"/>
        </w:rPr>
        <w:t>Oxford: Oxford University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Heller D. (1998) Bluestocking salons and the public sphere. </w:t>
      </w:r>
      <w:r w:rsidRPr="00AE1FA0">
        <w:rPr>
          <w:rFonts w:ascii="Arial" w:hAnsi="Arial" w:cs="Arial"/>
          <w:i/>
          <w:color w:val="000000" w:themeColor="text1"/>
          <w:kern w:val="0"/>
          <w:sz w:val="24"/>
          <w:szCs w:val="24"/>
        </w:rPr>
        <w:t>Eighteenth Century Life,</w:t>
      </w:r>
      <w:r w:rsidRPr="00AE1FA0">
        <w:rPr>
          <w:rFonts w:ascii="Arial" w:hAnsi="Arial" w:cs="Arial"/>
          <w:color w:val="000000" w:themeColor="text1"/>
          <w:kern w:val="0"/>
          <w:sz w:val="24"/>
          <w:szCs w:val="24"/>
        </w:rPr>
        <w:t xml:space="preserve"> 22: 59-82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Hernes, T. (2002) </w:t>
      </w:r>
      <w:r w:rsidRPr="00AE1FA0">
        <w:rPr>
          <w:rFonts w:ascii="Arial" w:hAnsi="Arial" w:cs="Arial"/>
          <w:i/>
          <w:iCs/>
          <w:color w:val="000000" w:themeColor="text1"/>
          <w:kern w:val="0"/>
          <w:sz w:val="24"/>
          <w:szCs w:val="24"/>
        </w:rPr>
        <w:t>Understanding organization as process: Theory for a tangled world</w:t>
      </w:r>
      <w:r w:rsidRPr="00AE1FA0">
        <w:rPr>
          <w:rFonts w:ascii="Arial" w:hAnsi="Arial" w:cs="Arial"/>
          <w:color w:val="000000" w:themeColor="text1"/>
          <w:kern w:val="0"/>
          <w:sz w:val="24"/>
          <w:szCs w:val="24"/>
        </w:rPr>
        <w:t>. London: 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Hernes, T. (2014). </w:t>
      </w:r>
      <w:r w:rsidRPr="00AE1FA0">
        <w:rPr>
          <w:rFonts w:ascii="Arial" w:hAnsi="Arial" w:cs="Arial"/>
          <w:i/>
          <w:iCs/>
          <w:color w:val="000000" w:themeColor="text1"/>
          <w:kern w:val="0"/>
          <w:sz w:val="24"/>
          <w:szCs w:val="24"/>
        </w:rPr>
        <w:t>A process theory of organization</w:t>
      </w:r>
      <w:r w:rsidRPr="00AE1FA0">
        <w:rPr>
          <w:rFonts w:ascii="Arial" w:hAnsi="Arial" w:cs="Arial"/>
          <w:color w:val="000000" w:themeColor="text1"/>
          <w:kern w:val="0"/>
          <w:sz w:val="24"/>
          <w:szCs w:val="24"/>
        </w:rPr>
        <w:t>. Oxford: Oxford University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Hernes, T. and Maitlis, S. (2010) </w:t>
      </w:r>
      <w:r w:rsidRPr="00AE1FA0">
        <w:rPr>
          <w:rFonts w:ascii="Arial" w:hAnsi="Arial" w:cs="Arial"/>
          <w:i/>
          <w:iCs/>
          <w:color w:val="000000" w:themeColor="text1"/>
          <w:kern w:val="0"/>
          <w:sz w:val="24"/>
          <w:szCs w:val="24"/>
        </w:rPr>
        <w:t>Process, sensemaking, and organizing</w:t>
      </w:r>
      <w:r w:rsidRPr="00AE1FA0">
        <w:rPr>
          <w:rFonts w:ascii="Arial" w:hAnsi="Arial" w:cs="Arial"/>
          <w:color w:val="000000" w:themeColor="text1"/>
          <w:kern w:val="0"/>
          <w:sz w:val="24"/>
          <w:szCs w:val="24"/>
        </w:rPr>
        <w:t xml:space="preserve"> (Vol. 1). Oxford: Oxford University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Hirsch, E. and Stewart, C. (2005) Introduction: Ethnographies of historicity. </w:t>
      </w:r>
      <w:r w:rsidRPr="00AE1FA0">
        <w:rPr>
          <w:rFonts w:ascii="Arial" w:hAnsi="Arial" w:cs="Arial"/>
          <w:i/>
          <w:iCs/>
          <w:color w:val="000000" w:themeColor="text1"/>
          <w:kern w:val="0"/>
          <w:sz w:val="24"/>
          <w:szCs w:val="24"/>
        </w:rPr>
        <w:t>History and Anthropology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16</w:t>
      </w:r>
      <w:r w:rsidRPr="00AE1FA0">
        <w:rPr>
          <w:rFonts w:ascii="Arial" w:hAnsi="Arial" w:cs="Arial"/>
          <w:color w:val="000000" w:themeColor="text1"/>
          <w:kern w:val="0"/>
          <w:sz w:val="24"/>
          <w:szCs w:val="24"/>
        </w:rPr>
        <w:t>(3): 261-274.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Hobsbawm, E. and Ranger, T. (2012) </w:t>
      </w:r>
      <w:r w:rsidRPr="00AE1FA0">
        <w:rPr>
          <w:rFonts w:ascii="Arial" w:hAnsi="Arial" w:cs="Arial"/>
          <w:i/>
          <w:iCs/>
          <w:color w:val="000000" w:themeColor="text1"/>
          <w:kern w:val="0"/>
          <w:sz w:val="24"/>
          <w:szCs w:val="24"/>
        </w:rPr>
        <w:t>The invention of tradition</w:t>
      </w:r>
      <w:r w:rsidRPr="00AE1FA0">
        <w:rPr>
          <w:rFonts w:ascii="Arial" w:hAnsi="Arial" w:cs="Arial"/>
          <w:color w:val="000000" w:themeColor="text1"/>
          <w:kern w:val="0"/>
          <w:sz w:val="24"/>
          <w:szCs w:val="24"/>
        </w:rPr>
        <w:t>. Cambridge: Cambridge University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Hohendahl, P. U. (1992). A return to history? The New Historicism and its agenda. </w:t>
      </w:r>
      <w:r w:rsidRPr="00AE1FA0">
        <w:rPr>
          <w:rFonts w:ascii="Arial" w:hAnsi="Arial" w:cs="Arial"/>
          <w:i/>
          <w:iCs/>
          <w:color w:val="000000" w:themeColor="text1"/>
          <w:kern w:val="0"/>
          <w:sz w:val="24"/>
          <w:szCs w:val="24"/>
        </w:rPr>
        <w:t>New German Critique</w:t>
      </w:r>
      <w:r w:rsidRPr="00AE1FA0">
        <w:rPr>
          <w:rFonts w:ascii="Arial" w:hAnsi="Arial" w:cs="Arial"/>
          <w:color w:val="000000" w:themeColor="text1"/>
          <w:kern w:val="0"/>
          <w:sz w:val="24"/>
          <w:szCs w:val="24"/>
        </w:rPr>
        <w:t>, 55: 87-104.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Holland, R. (1999) Reflexivity. </w:t>
      </w:r>
      <w:r w:rsidRPr="00AE1FA0">
        <w:rPr>
          <w:rFonts w:ascii="Arial" w:hAnsi="Arial" w:cs="Arial"/>
          <w:i/>
          <w:color w:val="000000" w:themeColor="text1"/>
          <w:kern w:val="0"/>
          <w:sz w:val="24"/>
          <w:szCs w:val="24"/>
        </w:rPr>
        <w:t>Human Relations</w:t>
      </w:r>
      <w:r w:rsidRPr="00AE1FA0">
        <w:rPr>
          <w:rFonts w:ascii="Arial" w:hAnsi="Arial" w:cs="Arial"/>
          <w:color w:val="000000" w:themeColor="text1"/>
          <w:kern w:val="0"/>
          <w:sz w:val="24"/>
          <w:szCs w:val="24"/>
        </w:rPr>
        <w:t>, 52(4): 463-485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Huvila, I. (2008). Participatory archive: towards decentralised curation, radical user orientation, and broader contextualisation of records management. </w:t>
      </w:r>
      <w:r w:rsidRPr="00AE1FA0">
        <w:rPr>
          <w:rFonts w:ascii="Arial" w:hAnsi="Arial" w:cs="Arial"/>
          <w:i/>
          <w:iCs/>
          <w:color w:val="000000" w:themeColor="text1"/>
          <w:kern w:val="0"/>
          <w:sz w:val="24"/>
          <w:szCs w:val="24"/>
        </w:rPr>
        <w:t>Archival Science</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8</w:t>
      </w:r>
      <w:r w:rsidRPr="00AE1FA0">
        <w:rPr>
          <w:rFonts w:ascii="Arial" w:hAnsi="Arial" w:cs="Arial"/>
          <w:color w:val="000000" w:themeColor="text1"/>
          <w:kern w:val="0"/>
          <w:sz w:val="24"/>
          <w:szCs w:val="24"/>
        </w:rPr>
        <w:t>(1), 15-36.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Ingold, T. (2000) </w:t>
      </w:r>
      <w:r w:rsidRPr="00AE1FA0">
        <w:rPr>
          <w:rFonts w:ascii="Arial" w:hAnsi="Arial" w:cs="Arial"/>
          <w:i/>
          <w:iCs/>
          <w:color w:val="000000" w:themeColor="text1"/>
          <w:kern w:val="0"/>
          <w:sz w:val="24"/>
          <w:szCs w:val="24"/>
        </w:rPr>
        <w:t>The perception of the environment: essays on livelihood, dwelling and skill</w:t>
      </w:r>
      <w:r w:rsidRPr="00AE1FA0">
        <w:rPr>
          <w:rFonts w:ascii="Arial" w:hAnsi="Arial" w:cs="Arial"/>
          <w:color w:val="000000" w:themeColor="text1"/>
          <w:kern w:val="0"/>
          <w:sz w:val="24"/>
          <w:szCs w:val="24"/>
        </w:rPr>
        <w:t>. London: 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bCs/>
          <w:color w:val="000000" w:themeColor="text1"/>
          <w:kern w:val="0"/>
          <w:sz w:val="24"/>
          <w:szCs w:val="24"/>
        </w:rPr>
        <w:t xml:space="preserve">Jenkins, </w:t>
      </w:r>
      <w:r w:rsidRPr="00AE1FA0">
        <w:rPr>
          <w:rFonts w:ascii="Arial" w:hAnsi="Arial" w:cs="Arial"/>
          <w:bCs/>
          <w:i/>
          <w:iCs/>
          <w:color w:val="000000" w:themeColor="text1"/>
          <w:kern w:val="0"/>
          <w:sz w:val="24"/>
          <w:szCs w:val="24"/>
        </w:rPr>
        <w:t>K. (</w:t>
      </w:r>
      <w:r w:rsidRPr="00AE1FA0">
        <w:rPr>
          <w:rFonts w:ascii="Arial" w:hAnsi="Arial" w:cs="Arial"/>
          <w:bCs/>
          <w:iCs/>
          <w:color w:val="000000" w:themeColor="text1"/>
          <w:kern w:val="0"/>
          <w:sz w:val="24"/>
          <w:szCs w:val="24"/>
        </w:rPr>
        <w:t>1991)</w:t>
      </w:r>
      <w:r w:rsidRPr="00AE1FA0">
        <w:rPr>
          <w:rFonts w:ascii="Arial" w:hAnsi="Arial" w:cs="Arial"/>
          <w:bCs/>
          <w:i/>
          <w:iCs/>
          <w:color w:val="000000" w:themeColor="text1"/>
          <w:kern w:val="0"/>
          <w:sz w:val="24"/>
          <w:szCs w:val="24"/>
        </w:rPr>
        <w:t xml:space="preserve"> Re-thinking </w:t>
      </w:r>
      <w:r w:rsidRPr="00AE1FA0">
        <w:rPr>
          <w:rFonts w:ascii="Arial" w:hAnsi="Arial" w:cs="Arial"/>
          <w:bCs/>
          <w:i/>
          <w:color w:val="000000" w:themeColor="text1"/>
          <w:kern w:val="0"/>
          <w:sz w:val="24"/>
          <w:szCs w:val="24"/>
        </w:rPr>
        <w:t>History</w:t>
      </w:r>
      <w:r w:rsidRPr="00AE1FA0">
        <w:rPr>
          <w:rFonts w:ascii="Arial" w:hAnsi="Arial" w:cs="Arial"/>
          <w:bCs/>
          <w:color w:val="000000" w:themeColor="text1"/>
          <w:kern w:val="0"/>
          <w:sz w:val="24"/>
          <w:szCs w:val="24"/>
        </w:rPr>
        <w:t xml:space="preserve">. London: </w:t>
      </w:r>
      <w:r w:rsidRPr="00AE1FA0">
        <w:rPr>
          <w:rFonts w:ascii="Arial" w:hAnsi="Arial" w:cs="Arial"/>
          <w:color w:val="000000" w:themeColor="text1"/>
          <w:kern w:val="0"/>
          <w:sz w:val="24"/>
          <w:szCs w:val="24"/>
        </w:rPr>
        <w:t>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Jensen, K. and Arens, E. (2005) Acoustical quality in office workstations, as assessed by occupant surveys. In: </w:t>
      </w:r>
      <w:r w:rsidRPr="00AE1FA0">
        <w:rPr>
          <w:rFonts w:ascii="Arial" w:hAnsi="Arial" w:cs="Arial"/>
          <w:i/>
          <w:color w:val="000000" w:themeColor="text1"/>
          <w:kern w:val="0"/>
          <w:sz w:val="24"/>
          <w:szCs w:val="24"/>
        </w:rPr>
        <w:t>Anonymous Indoor Air 2005</w:t>
      </w:r>
      <w:r w:rsidRPr="00AE1FA0">
        <w:rPr>
          <w:rFonts w:ascii="Arial" w:hAnsi="Arial" w:cs="Arial"/>
          <w:color w:val="000000" w:themeColor="text1"/>
          <w:kern w:val="0"/>
          <w:sz w:val="24"/>
          <w:szCs w:val="24"/>
        </w:rPr>
        <w:t>, 4–9, September, Beijing, 11(2): 2401–2405.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Jordan, T. E. (1991) Linearity, gender, and social class in economic influences on heights of Victorian youth. </w:t>
      </w:r>
      <w:r w:rsidRPr="00AE1FA0">
        <w:rPr>
          <w:rFonts w:ascii="Arial" w:hAnsi="Arial" w:cs="Arial"/>
          <w:i/>
          <w:iCs/>
          <w:color w:val="000000" w:themeColor="text1"/>
          <w:kern w:val="0"/>
          <w:sz w:val="24"/>
          <w:szCs w:val="24"/>
        </w:rPr>
        <w:t>Historical Methods: A Journal of Quantitative and Interdisciplinary History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24</w:t>
      </w:r>
      <w:r w:rsidRPr="00AE1FA0">
        <w:rPr>
          <w:rFonts w:ascii="Arial" w:hAnsi="Arial" w:cs="Arial"/>
          <w:color w:val="000000" w:themeColor="text1"/>
          <w:kern w:val="0"/>
          <w:sz w:val="24"/>
          <w:szCs w:val="24"/>
        </w:rPr>
        <w:t>(3): 116-123.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Kafle, N. P. (2013) Hermeneutic phenomenological research method simplified. </w:t>
      </w:r>
      <w:r w:rsidRPr="00AE1FA0">
        <w:rPr>
          <w:rFonts w:ascii="Arial" w:hAnsi="Arial" w:cs="Arial"/>
          <w:i/>
          <w:iCs/>
          <w:color w:val="000000" w:themeColor="text1"/>
          <w:kern w:val="0"/>
          <w:sz w:val="24"/>
          <w:szCs w:val="24"/>
        </w:rPr>
        <w:t>Bodhi: An Interdisciplinary Journal</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5</w:t>
      </w:r>
      <w:r w:rsidRPr="00AE1FA0">
        <w:rPr>
          <w:rFonts w:ascii="Arial" w:hAnsi="Arial" w:cs="Arial"/>
          <w:color w:val="000000" w:themeColor="text1"/>
          <w:kern w:val="0"/>
          <w:sz w:val="24"/>
          <w:szCs w:val="24"/>
        </w:rPr>
        <w:t>(1): 181-200.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Karaosmanoglu, E. and Melewar, T. (2006) Corporate communications, identity and image: A research agenda. </w:t>
      </w:r>
      <w:r w:rsidRPr="00AE1FA0">
        <w:rPr>
          <w:rFonts w:ascii="Arial" w:hAnsi="Arial" w:cs="Arial"/>
          <w:i/>
          <w:color w:val="000000" w:themeColor="text1"/>
          <w:kern w:val="0"/>
          <w:sz w:val="24"/>
          <w:szCs w:val="24"/>
        </w:rPr>
        <w:t>Journal of Brand Management,</w:t>
      </w:r>
      <w:r w:rsidRPr="00AE1FA0">
        <w:rPr>
          <w:rFonts w:ascii="Arial" w:hAnsi="Arial" w:cs="Arial"/>
          <w:color w:val="000000" w:themeColor="text1"/>
          <w:kern w:val="0"/>
          <w:sz w:val="24"/>
          <w:szCs w:val="24"/>
        </w:rPr>
        <w:t xml:space="preserve"> 14(1-2): 196-206.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Kieser, A. (1994) Why organization theory needs historical analyses and how this should be performed. </w:t>
      </w:r>
      <w:r w:rsidRPr="00AE1FA0">
        <w:rPr>
          <w:rFonts w:ascii="Arial" w:hAnsi="Arial" w:cs="Arial"/>
          <w:i/>
          <w:iCs/>
          <w:color w:val="000000" w:themeColor="text1"/>
          <w:kern w:val="0"/>
          <w:sz w:val="24"/>
          <w:szCs w:val="24"/>
        </w:rPr>
        <w:t>Organization Science</w:t>
      </w:r>
      <w:r w:rsidRPr="00AE1FA0">
        <w:rPr>
          <w:rFonts w:ascii="Arial" w:hAnsi="Arial" w:cs="Arial"/>
          <w:color w:val="000000" w:themeColor="text1"/>
          <w:kern w:val="0"/>
          <w:sz w:val="24"/>
          <w:szCs w:val="24"/>
        </w:rPr>
        <w:t xml:space="preserve">, </w:t>
      </w:r>
      <w:r w:rsidRPr="00AE1FA0">
        <w:rPr>
          <w:rFonts w:ascii="Arial" w:hAnsi="Arial" w:cs="Arial"/>
          <w:i/>
          <w:iCs/>
          <w:color w:val="000000" w:themeColor="text1"/>
          <w:kern w:val="0"/>
          <w:sz w:val="24"/>
          <w:szCs w:val="24"/>
        </w:rPr>
        <w:t>5</w:t>
      </w:r>
      <w:r w:rsidRPr="00AE1FA0">
        <w:rPr>
          <w:rFonts w:ascii="Arial" w:hAnsi="Arial" w:cs="Arial"/>
          <w:color w:val="000000" w:themeColor="text1"/>
          <w:kern w:val="0"/>
          <w:sz w:val="24"/>
          <w:szCs w:val="24"/>
        </w:rPr>
        <w:t>(4): 608-620.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King, M. T. (2012) ‘Working with/in the archives’, in Gunn, S &amp; Faire, L. (eds.) </w:t>
      </w:r>
      <w:r w:rsidRPr="00AE1FA0">
        <w:rPr>
          <w:rFonts w:ascii="Arial" w:hAnsi="Arial" w:cs="Arial"/>
          <w:i/>
          <w:iCs/>
          <w:color w:val="000000" w:themeColor="text1"/>
          <w:kern w:val="0"/>
          <w:sz w:val="24"/>
          <w:szCs w:val="24"/>
        </w:rPr>
        <w:t>Research Methods for History</w:t>
      </w:r>
      <w:r w:rsidRPr="00AE1FA0">
        <w:rPr>
          <w:rFonts w:ascii="Arial" w:hAnsi="Arial" w:cs="Arial"/>
          <w:color w:val="000000" w:themeColor="text1"/>
          <w:kern w:val="0"/>
          <w:sz w:val="24"/>
          <w:szCs w:val="24"/>
        </w:rPr>
        <w:t>. Edinburgh: Edinburgh University Press. Pp.13-29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Kingma, S. F. (2008) Dutch casino space or the spatial organization of entertainment. </w:t>
      </w:r>
      <w:r w:rsidRPr="00AE1FA0">
        <w:rPr>
          <w:rFonts w:ascii="Arial" w:hAnsi="Arial" w:cs="Arial"/>
          <w:i/>
          <w:iCs/>
          <w:color w:val="000000" w:themeColor="text1"/>
          <w:kern w:val="0"/>
          <w:sz w:val="24"/>
          <w:szCs w:val="24"/>
        </w:rPr>
        <w:t>Culture and Organization</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14</w:t>
      </w:r>
      <w:r w:rsidRPr="00AE1FA0">
        <w:rPr>
          <w:rFonts w:ascii="Arial" w:hAnsi="Arial" w:cs="Arial"/>
          <w:color w:val="000000" w:themeColor="text1"/>
          <w:kern w:val="0"/>
          <w:sz w:val="24"/>
          <w:szCs w:val="24"/>
        </w:rPr>
        <w:t>(1): 31-48.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Kingston, R. (2010). Mind over matter? History and the spatial turn. </w:t>
      </w:r>
      <w:r w:rsidRPr="00AE1FA0">
        <w:rPr>
          <w:rFonts w:ascii="Arial" w:hAnsi="Arial" w:cs="Arial"/>
          <w:i/>
          <w:iCs/>
          <w:color w:val="000000" w:themeColor="text1"/>
          <w:kern w:val="0"/>
          <w:sz w:val="24"/>
          <w:szCs w:val="24"/>
        </w:rPr>
        <w:t>Cultural and Social History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7</w:t>
      </w:r>
      <w:r w:rsidRPr="00AE1FA0">
        <w:rPr>
          <w:rFonts w:ascii="Arial" w:hAnsi="Arial" w:cs="Arial"/>
          <w:color w:val="000000" w:themeColor="text1"/>
          <w:kern w:val="0"/>
          <w:sz w:val="24"/>
          <w:szCs w:val="24"/>
        </w:rPr>
        <w:t>(1): 111-121.</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Kipfer et al (2008) On the production of Henri Lefebvre in </w:t>
      </w:r>
      <w:bookmarkStart w:id="107" w:name="_Hlk525736486"/>
      <w:r w:rsidRPr="00AE1FA0">
        <w:rPr>
          <w:rFonts w:ascii="Arial" w:hAnsi="Arial" w:cs="Arial"/>
          <w:color w:val="000000" w:themeColor="text1"/>
          <w:kern w:val="0"/>
          <w:sz w:val="24"/>
          <w:szCs w:val="24"/>
        </w:rPr>
        <w:t xml:space="preserve">K. Goonewardena, S. Kipfer, R. Milgrom &amp; C. Schmid (eds) </w:t>
      </w:r>
      <w:r w:rsidRPr="00AE1FA0">
        <w:rPr>
          <w:rFonts w:ascii="Arial" w:hAnsi="Arial" w:cs="Arial"/>
          <w:i/>
          <w:color w:val="000000" w:themeColor="text1"/>
          <w:kern w:val="0"/>
          <w:sz w:val="24"/>
          <w:szCs w:val="24"/>
        </w:rPr>
        <w:t>Space, difference, everyday life: reading Henri Lefebvre.</w:t>
      </w:r>
      <w:r w:rsidRPr="00AE1FA0">
        <w:rPr>
          <w:rFonts w:ascii="Arial" w:hAnsi="Arial" w:cs="Arial"/>
          <w:color w:val="000000" w:themeColor="text1"/>
          <w:kern w:val="0"/>
          <w:sz w:val="24"/>
          <w:szCs w:val="24"/>
        </w:rPr>
        <w:t xml:space="preserve"> London: Routledge. Pp.1-25</w:t>
      </w:r>
    </w:p>
    <w:bookmarkEnd w:id="107"/>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Klein, H. and Myers, M. (1999) A Set of Principles for Conducting and Evaluating Interpretive Field Studies. </w:t>
      </w:r>
      <w:r w:rsidRPr="00AE1FA0">
        <w:rPr>
          <w:rFonts w:ascii="Arial" w:hAnsi="Arial" w:cs="Arial"/>
          <w:i/>
          <w:color w:val="000000" w:themeColor="text1"/>
          <w:kern w:val="0"/>
          <w:sz w:val="24"/>
          <w:szCs w:val="24"/>
        </w:rPr>
        <w:t>MIS Quarterly,</w:t>
      </w:r>
      <w:r w:rsidRPr="00AE1FA0">
        <w:rPr>
          <w:rFonts w:ascii="Arial" w:hAnsi="Arial" w:cs="Arial"/>
          <w:color w:val="000000" w:themeColor="text1"/>
          <w:kern w:val="0"/>
          <w:sz w:val="24"/>
          <w:szCs w:val="24"/>
        </w:rPr>
        <w:t xml:space="preserve"> 23(1):67-93.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Kornberger, M. and Clegg, S. (2004) Bringing space back in: Organizing the generative building. </w:t>
      </w:r>
      <w:r w:rsidRPr="00AE1FA0">
        <w:rPr>
          <w:rFonts w:ascii="Arial" w:hAnsi="Arial" w:cs="Arial"/>
          <w:i/>
          <w:color w:val="000000" w:themeColor="text1"/>
          <w:kern w:val="0"/>
          <w:sz w:val="24"/>
          <w:szCs w:val="24"/>
        </w:rPr>
        <w:t>Organization Studies</w:t>
      </w:r>
      <w:r w:rsidRPr="00AE1FA0">
        <w:rPr>
          <w:rFonts w:ascii="Arial" w:hAnsi="Arial" w:cs="Arial"/>
          <w:color w:val="000000" w:themeColor="text1"/>
          <w:kern w:val="0"/>
          <w:sz w:val="24"/>
          <w:szCs w:val="24"/>
        </w:rPr>
        <w:t>, 25(7): 1095-1114</w:t>
      </w:r>
    </w:p>
    <w:p w:rsidR="00AE1FA0" w:rsidRPr="00AE1FA0" w:rsidRDefault="00AE1FA0" w:rsidP="00AE1FA0">
      <w:pPr>
        <w:widowControl/>
        <w:spacing w:after="160" w:line="360" w:lineRule="auto"/>
        <w:ind w:left="360"/>
        <w:rPr>
          <w:rFonts w:ascii="Arial" w:hAnsi="Arial" w:cs="Arial"/>
          <w:color w:val="000000" w:themeColor="text1"/>
          <w:kern w:val="0"/>
          <w:sz w:val="24"/>
          <w:szCs w:val="24"/>
          <w:u w:val="single"/>
        </w:rPr>
      </w:pPr>
      <w:bookmarkStart w:id="108" w:name="_Hlk535073040"/>
      <w:r w:rsidRPr="00AE1FA0">
        <w:rPr>
          <w:rFonts w:ascii="Arial" w:hAnsi="Arial" w:cs="Arial"/>
          <w:color w:val="000000" w:themeColor="text1"/>
          <w:kern w:val="0"/>
          <w:sz w:val="24"/>
          <w:szCs w:val="24"/>
          <w:u w:val="single"/>
        </w:rPr>
        <w:t>Koskela, H. (2000</w:t>
      </w:r>
      <w:bookmarkEnd w:id="108"/>
      <w:r w:rsidRPr="00AE1FA0">
        <w:rPr>
          <w:rFonts w:ascii="Arial" w:hAnsi="Arial" w:cs="Arial"/>
          <w:color w:val="000000" w:themeColor="text1"/>
          <w:kern w:val="0"/>
          <w:sz w:val="24"/>
          <w:szCs w:val="24"/>
          <w:u w:val="single"/>
        </w:rPr>
        <w:t>). ‘The gaze without eyes’: video-surveillance and the changing nature of urban space. </w:t>
      </w:r>
      <w:r w:rsidRPr="00AE1FA0">
        <w:rPr>
          <w:rFonts w:ascii="Arial" w:hAnsi="Arial" w:cs="Arial"/>
          <w:i/>
          <w:iCs/>
          <w:color w:val="000000" w:themeColor="text1"/>
          <w:kern w:val="0"/>
          <w:sz w:val="24"/>
          <w:szCs w:val="24"/>
          <w:u w:val="single"/>
        </w:rPr>
        <w:t>Progress in Human Geography</w:t>
      </w:r>
      <w:r w:rsidRPr="00AE1FA0">
        <w:rPr>
          <w:rFonts w:ascii="Arial" w:hAnsi="Arial" w:cs="Arial"/>
          <w:color w:val="000000" w:themeColor="text1"/>
          <w:kern w:val="0"/>
          <w:sz w:val="24"/>
          <w:szCs w:val="24"/>
          <w:u w:val="single"/>
        </w:rPr>
        <w:t>, </w:t>
      </w:r>
      <w:r w:rsidRPr="00AE1FA0">
        <w:rPr>
          <w:rFonts w:ascii="Arial" w:hAnsi="Arial" w:cs="Arial"/>
          <w:i/>
          <w:iCs/>
          <w:color w:val="000000" w:themeColor="text1"/>
          <w:kern w:val="0"/>
          <w:sz w:val="24"/>
          <w:szCs w:val="24"/>
          <w:u w:val="single"/>
        </w:rPr>
        <w:t>24</w:t>
      </w:r>
      <w:r w:rsidRPr="00AE1FA0">
        <w:rPr>
          <w:rFonts w:ascii="Arial" w:hAnsi="Arial" w:cs="Arial"/>
          <w:color w:val="000000" w:themeColor="text1"/>
          <w:kern w:val="0"/>
          <w:sz w:val="24"/>
          <w:szCs w:val="24"/>
          <w:u w:val="single"/>
        </w:rPr>
        <w:t>(2), 243-265.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Krueger, C. L. (2002) </w:t>
      </w:r>
      <w:r w:rsidRPr="00AE1FA0">
        <w:rPr>
          <w:rFonts w:ascii="Arial" w:hAnsi="Arial" w:cs="Arial"/>
          <w:i/>
          <w:color w:val="000000" w:themeColor="text1"/>
          <w:kern w:val="0"/>
          <w:sz w:val="24"/>
          <w:szCs w:val="24"/>
        </w:rPr>
        <w:t>Functions of Victorian Culture at the Present Time</w:t>
      </w:r>
      <w:r w:rsidRPr="00AE1FA0">
        <w:rPr>
          <w:rFonts w:ascii="Arial" w:hAnsi="Arial" w:cs="Arial"/>
          <w:color w:val="000000" w:themeColor="text1"/>
          <w:kern w:val="0"/>
          <w:sz w:val="24"/>
          <w:szCs w:val="24"/>
        </w:rPr>
        <w:t>. Athens: Ohio University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Kuhn, T. and Nelson, N. (2002) Reengineering identity: A case study of multiplicity and duality in organizational identification. </w:t>
      </w:r>
      <w:r w:rsidRPr="00AE1FA0">
        <w:rPr>
          <w:rFonts w:ascii="Arial" w:hAnsi="Arial" w:cs="Arial"/>
          <w:i/>
          <w:iCs/>
          <w:color w:val="000000" w:themeColor="text1"/>
          <w:kern w:val="0"/>
          <w:sz w:val="24"/>
          <w:szCs w:val="24"/>
        </w:rPr>
        <w:t>Management Communication Quarterly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16</w:t>
      </w:r>
      <w:r w:rsidRPr="00AE1FA0">
        <w:rPr>
          <w:rFonts w:ascii="Arial" w:hAnsi="Arial" w:cs="Arial"/>
          <w:color w:val="000000" w:themeColor="text1"/>
          <w:kern w:val="0"/>
          <w:sz w:val="24"/>
          <w:szCs w:val="24"/>
        </w:rPr>
        <w:t>(1): 5-38.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Kuhn, T., Golden, A.G., Jorgenson, J., Buzzanell, P.M., Berkelaar, B.L., Kisselburgh, L.G., Kleinman, S. and Cruz, D. (2008) Cultural discourses and discursive resources for meaning/ful work: Constructing and disrupting identities in contemporary capitalism. </w:t>
      </w:r>
      <w:r w:rsidRPr="00AE1FA0">
        <w:rPr>
          <w:rFonts w:ascii="Arial" w:hAnsi="Arial" w:cs="Arial"/>
          <w:i/>
          <w:color w:val="000000" w:themeColor="text1"/>
          <w:kern w:val="0"/>
          <w:sz w:val="24"/>
          <w:szCs w:val="24"/>
        </w:rPr>
        <w:t>Management Communication Quarterly</w:t>
      </w:r>
      <w:r w:rsidRPr="00AE1FA0">
        <w:rPr>
          <w:rFonts w:ascii="Arial" w:hAnsi="Arial" w:cs="Arial"/>
          <w:color w:val="000000" w:themeColor="text1"/>
          <w:kern w:val="0"/>
          <w:sz w:val="24"/>
          <w:szCs w:val="24"/>
        </w:rPr>
        <w:t>, 22(1): 162-171.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Kümin, B., &amp; Usborne, C. (2013). At home and in the workplace: A historical introduction to the “spatial turn”. </w:t>
      </w:r>
      <w:r w:rsidRPr="00AE1FA0">
        <w:rPr>
          <w:rFonts w:ascii="Arial" w:hAnsi="Arial" w:cs="Arial"/>
          <w:i/>
          <w:color w:val="000000" w:themeColor="text1"/>
          <w:kern w:val="0"/>
          <w:sz w:val="24"/>
          <w:szCs w:val="24"/>
        </w:rPr>
        <w:t>History and Theory</w:t>
      </w:r>
      <w:r w:rsidRPr="00AE1FA0">
        <w:rPr>
          <w:rFonts w:ascii="Arial" w:hAnsi="Arial" w:cs="Arial"/>
          <w:color w:val="000000" w:themeColor="text1"/>
          <w:kern w:val="0"/>
          <w:sz w:val="24"/>
          <w:szCs w:val="24"/>
        </w:rPr>
        <w:t>, 52(3): 305-318.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Langley, A. (2007) Process thinking in strategic organization. </w:t>
      </w:r>
      <w:r w:rsidRPr="00AE1FA0">
        <w:rPr>
          <w:rFonts w:ascii="Arial" w:hAnsi="Arial" w:cs="Arial"/>
          <w:i/>
          <w:iCs/>
          <w:color w:val="000000" w:themeColor="text1"/>
          <w:kern w:val="0"/>
          <w:sz w:val="24"/>
          <w:szCs w:val="24"/>
        </w:rPr>
        <w:t>Strategic Organization</w:t>
      </w:r>
      <w:r w:rsidRPr="00AE1FA0">
        <w:rPr>
          <w:rFonts w:ascii="Arial" w:hAnsi="Arial" w:cs="Arial"/>
          <w:color w:val="000000" w:themeColor="text1"/>
          <w:kern w:val="0"/>
          <w:sz w:val="24"/>
          <w:szCs w:val="24"/>
        </w:rPr>
        <w:t xml:space="preserve">, </w:t>
      </w:r>
      <w:r w:rsidRPr="00AE1FA0">
        <w:rPr>
          <w:rFonts w:ascii="Arial" w:hAnsi="Arial" w:cs="Arial"/>
          <w:i/>
          <w:iCs/>
          <w:color w:val="000000" w:themeColor="text1"/>
          <w:kern w:val="0"/>
          <w:sz w:val="24"/>
          <w:szCs w:val="24"/>
        </w:rPr>
        <w:t>5</w:t>
      </w:r>
      <w:r w:rsidRPr="00AE1FA0">
        <w:rPr>
          <w:rFonts w:ascii="Arial" w:hAnsi="Arial" w:cs="Arial"/>
          <w:color w:val="000000" w:themeColor="text1"/>
          <w:kern w:val="0"/>
          <w:sz w:val="24"/>
          <w:szCs w:val="24"/>
        </w:rPr>
        <w:t>(3): 271-282.</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Langley, A., Smallman, C. Tsoukas, C. and Andrew H. (2013) Process studies of change in organization and management: Unveiling temporality, activity, and flow. </w:t>
      </w:r>
      <w:r w:rsidRPr="00AE1FA0">
        <w:rPr>
          <w:rFonts w:ascii="Arial" w:hAnsi="Arial" w:cs="Arial"/>
          <w:i/>
          <w:color w:val="000000" w:themeColor="text1"/>
          <w:kern w:val="0"/>
          <w:sz w:val="24"/>
          <w:szCs w:val="24"/>
        </w:rPr>
        <w:t>Academy of Management Journal,</w:t>
      </w:r>
      <w:r w:rsidRPr="00AE1FA0">
        <w:rPr>
          <w:rFonts w:ascii="Arial" w:hAnsi="Arial" w:cs="Arial"/>
          <w:color w:val="000000" w:themeColor="text1"/>
          <w:kern w:val="0"/>
          <w:sz w:val="24"/>
          <w:szCs w:val="24"/>
        </w:rPr>
        <w:t xml:space="preserve"> 56(1): 1-13.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Langley, A. and Tsoukas, H. (2010) Introducing perspectives on process organization studies. </w:t>
      </w:r>
      <w:r w:rsidRPr="00AE1FA0">
        <w:rPr>
          <w:rFonts w:ascii="Arial" w:hAnsi="Arial" w:cs="Arial"/>
          <w:i/>
          <w:color w:val="000000" w:themeColor="text1"/>
          <w:kern w:val="0"/>
          <w:sz w:val="24"/>
          <w:szCs w:val="24"/>
        </w:rPr>
        <w:t>Process, Sensemaking, and Organizing</w:t>
      </w:r>
      <w:r w:rsidRPr="00AE1FA0">
        <w:rPr>
          <w:rFonts w:ascii="Arial" w:hAnsi="Arial" w:cs="Arial"/>
          <w:color w:val="000000" w:themeColor="text1"/>
          <w:kern w:val="0"/>
          <w:sz w:val="24"/>
          <w:szCs w:val="24"/>
        </w:rPr>
        <w:t>, 1(9): 1-27.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hint="eastAsia"/>
          <w:color w:val="000000" w:themeColor="text1"/>
          <w:kern w:val="0"/>
          <w:sz w:val="24"/>
          <w:szCs w:val="24"/>
        </w:rPr>
        <w:t>L</w:t>
      </w:r>
      <w:r w:rsidRPr="00AE1FA0">
        <w:rPr>
          <w:rFonts w:ascii="Arial" w:hAnsi="Arial" w:cs="Arial"/>
          <w:color w:val="000000" w:themeColor="text1"/>
          <w:kern w:val="0"/>
          <w:sz w:val="24"/>
          <w:szCs w:val="24"/>
        </w:rPr>
        <w:t xml:space="preserve">aw, J. (1994) </w:t>
      </w:r>
      <w:r w:rsidRPr="00AE1FA0">
        <w:rPr>
          <w:rFonts w:ascii="Arial" w:hAnsi="Arial" w:cs="Arial"/>
          <w:i/>
          <w:color w:val="000000" w:themeColor="text1"/>
          <w:kern w:val="0"/>
          <w:sz w:val="24"/>
          <w:szCs w:val="24"/>
        </w:rPr>
        <w:t>Organising Modernity.</w:t>
      </w:r>
      <w:r w:rsidRPr="00AE1FA0">
        <w:rPr>
          <w:rFonts w:ascii="Arial" w:hAnsi="Arial" w:cs="Arial"/>
          <w:color w:val="000000" w:themeColor="text1"/>
          <w:kern w:val="0"/>
          <w:sz w:val="24"/>
          <w:szCs w:val="24"/>
        </w:rPr>
        <w:t xml:space="preserve"> Oxford: Blackwell. </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Leather, P., Pyrgas, M., Beale, D., and Lawrence, C. (1998) Windows in the workplace: Sunlight, view, and occupational stress. </w:t>
      </w:r>
      <w:r w:rsidRPr="00AE1FA0">
        <w:rPr>
          <w:rFonts w:ascii="Arial" w:hAnsi="Arial" w:cs="Arial"/>
          <w:i/>
          <w:iCs/>
          <w:color w:val="000000" w:themeColor="text1"/>
          <w:kern w:val="0"/>
          <w:sz w:val="24"/>
          <w:szCs w:val="24"/>
        </w:rPr>
        <w:t>Environment and Behavior</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30</w:t>
      </w:r>
      <w:r w:rsidRPr="00AE1FA0">
        <w:rPr>
          <w:rFonts w:ascii="Arial" w:hAnsi="Arial" w:cs="Arial"/>
          <w:color w:val="000000" w:themeColor="text1"/>
          <w:kern w:val="0"/>
          <w:sz w:val="24"/>
          <w:szCs w:val="24"/>
        </w:rPr>
        <w:t>(6): 739-762.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Lefebvre, H. (1991). </w:t>
      </w:r>
      <w:r w:rsidRPr="00AE1FA0">
        <w:rPr>
          <w:rFonts w:ascii="Arial" w:hAnsi="Arial" w:cs="Arial"/>
          <w:i/>
          <w:iCs/>
          <w:color w:val="000000" w:themeColor="text1"/>
          <w:kern w:val="0"/>
          <w:sz w:val="24"/>
          <w:szCs w:val="24"/>
        </w:rPr>
        <w:t>The production of space</w:t>
      </w:r>
      <w:r w:rsidRPr="00AE1FA0">
        <w:rPr>
          <w:rFonts w:ascii="Arial" w:hAnsi="Arial" w:cs="Arial"/>
          <w:color w:val="000000" w:themeColor="text1"/>
          <w:kern w:val="0"/>
          <w:sz w:val="24"/>
          <w:szCs w:val="24"/>
        </w:rPr>
        <w:t xml:space="preserve"> (Vol. 142). Blackwell: Oxford.</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Lefebvre, H. (2003) </w:t>
      </w:r>
      <w:r w:rsidRPr="00AE1FA0">
        <w:rPr>
          <w:rFonts w:ascii="Arial" w:hAnsi="Arial" w:cs="Arial"/>
          <w:i/>
          <w:color w:val="000000" w:themeColor="text1"/>
          <w:kern w:val="0"/>
          <w:sz w:val="24"/>
          <w:szCs w:val="24"/>
        </w:rPr>
        <w:t>The urban revolution</w:t>
      </w:r>
      <w:r w:rsidRPr="00AE1FA0">
        <w:rPr>
          <w:rFonts w:ascii="Arial" w:hAnsi="Arial" w:cs="Arial"/>
          <w:color w:val="000000" w:themeColor="text1"/>
          <w:kern w:val="0"/>
          <w:sz w:val="24"/>
          <w:szCs w:val="24"/>
        </w:rPr>
        <w:t>. Minneapolis: University of Minnesota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Lefebvre, H. (2004) </w:t>
      </w:r>
      <w:r w:rsidRPr="00AE1FA0">
        <w:rPr>
          <w:rFonts w:ascii="Arial" w:hAnsi="Arial" w:cs="Arial"/>
          <w:i/>
          <w:iCs/>
          <w:color w:val="000000" w:themeColor="text1"/>
          <w:kern w:val="0"/>
          <w:sz w:val="24"/>
          <w:szCs w:val="24"/>
        </w:rPr>
        <w:t>Rhythmanalysis: Space, time and everyday life</w:t>
      </w:r>
      <w:r w:rsidRPr="00AE1FA0">
        <w:rPr>
          <w:rFonts w:ascii="Arial" w:hAnsi="Arial" w:cs="Arial"/>
          <w:color w:val="000000" w:themeColor="text1"/>
          <w:kern w:val="0"/>
          <w:sz w:val="24"/>
          <w:szCs w:val="24"/>
        </w:rPr>
        <w:t>. London: Continuum.</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Lewin, K. (1947). Frontiers in group dynamics: Concept, method and reality in social science; social equilibria and social change. </w:t>
      </w:r>
      <w:r w:rsidRPr="00AE1FA0">
        <w:rPr>
          <w:rFonts w:ascii="Arial" w:hAnsi="Arial" w:cs="Arial"/>
          <w:i/>
          <w:iCs/>
          <w:color w:val="000000" w:themeColor="text1"/>
          <w:kern w:val="0"/>
          <w:sz w:val="24"/>
          <w:szCs w:val="24"/>
        </w:rPr>
        <w:t>Human Relations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w:t>
      </w:r>
      <w:r w:rsidRPr="00AE1FA0">
        <w:rPr>
          <w:rFonts w:ascii="Arial" w:hAnsi="Arial" w:cs="Arial"/>
          <w:color w:val="000000" w:themeColor="text1"/>
          <w:kern w:val="0"/>
          <w:sz w:val="24"/>
          <w:szCs w:val="24"/>
        </w:rPr>
        <w:t>(1): 5-41.</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Lico, G. (2001) Architecture and sexuality: The politics of gendered space. </w:t>
      </w:r>
      <w:r w:rsidRPr="00AE1FA0">
        <w:rPr>
          <w:rFonts w:ascii="Arial" w:hAnsi="Arial" w:cs="Arial"/>
          <w:i/>
          <w:color w:val="000000" w:themeColor="text1"/>
          <w:kern w:val="0"/>
          <w:sz w:val="24"/>
          <w:szCs w:val="24"/>
        </w:rPr>
        <w:t>Humanities Diliman</w:t>
      </w:r>
      <w:r w:rsidRPr="00AE1FA0">
        <w:rPr>
          <w:rFonts w:ascii="Arial" w:hAnsi="Arial" w:cs="Arial"/>
          <w:color w:val="000000" w:themeColor="text1"/>
          <w:kern w:val="0"/>
          <w:sz w:val="24"/>
          <w:szCs w:val="24"/>
        </w:rPr>
        <w:t>, 2(1): 30-44</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Liu, Y. and Grey, C. (2018) History, gendered space and organizational identity: An archival study of a university building. </w:t>
      </w:r>
      <w:r w:rsidRPr="00AE1FA0">
        <w:rPr>
          <w:rFonts w:ascii="Arial" w:hAnsi="Arial" w:cs="Arial"/>
          <w:i/>
          <w:color w:val="000000" w:themeColor="text1"/>
          <w:kern w:val="0"/>
          <w:sz w:val="24"/>
          <w:szCs w:val="24"/>
        </w:rPr>
        <w:t>Human Relations</w:t>
      </w:r>
      <w:r w:rsidRPr="00AE1FA0">
        <w:rPr>
          <w:rFonts w:ascii="Arial" w:hAnsi="Arial" w:cs="Arial"/>
          <w:color w:val="000000" w:themeColor="text1"/>
          <w:kern w:val="0"/>
          <w:sz w:val="24"/>
          <w:szCs w:val="24"/>
        </w:rPr>
        <w:t>, 71(5): 640-667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Loftus, D. (2011) </w:t>
      </w:r>
      <w:r w:rsidRPr="00AE1FA0">
        <w:rPr>
          <w:rFonts w:ascii="Arial" w:hAnsi="Arial" w:cs="Arial"/>
          <w:i/>
          <w:color w:val="000000" w:themeColor="text1"/>
          <w:kern w:val="0"/>
          <w:sz w:val="24"/>
          <w:szCs w:val="24"/>
        </w:rPr>
        <w:t>The Rise of the Victorian Middle Class</w:t>
      </w:r>
      <w:r w:rsidRPr="00AE1FA0">
        <w:rPr>
          <w:rFonts w:ascii="Arial" w:hAnsi="Arial" w:cs="Arial"/>
          <w:color w:val="000000" w:themeColor="text1"/>
          <w:kern w:val="0"/>
          <w:sz w:val="24"/>
          <w:szCs w:val="24"/>
        </w:rPr>
        <w:t xml:space="preserve">. Available: </w:t>
      </w:r>
      <w:hyperlink r:id="rId29" w:history="1">
        <w:r w:rsidRPr="00AE1FA0">
          <w:rPr>
            <w:rFonts w:ascii="Arial" w:hAnsi="Arial" w:cs="Arial"/>
            <w:iCs/>
            <w:color w:val="000000" w:themeColor="text1"/>
            <w:kern w:val="0"/>
            <w:sz w:val="24"/>
            <w:szCs w:val="24"/>
            <w:u w:val="single"/>
          </w:rPr>
          <w:t>http://www.bbc.co.uk/history/british/victorians/middle_classes_01.shtml</w:t>
        </w:r>
      </w:hyperlink>
      <w:r w:rsidRPr="00AE1FA0">
        <w:rPr>
          <w:rFonts w:ascii="Arial" w:hAnsi="Arial" w:cs="Arial"/>
          <w:i/>
          <w:iCs/>
          <w:color w:val="000000" w:themeColor="text1"/>
          <w:kern w:val="0"/>
          <w:sz w:val="24"/>
          <w:szCs w:val="24"/>
        </w:rPr>
        <w:t xml:space="preserve"> </w:t>
      </w:r>
      <w:r w:rsidRPr="00AE1FA0">
        <w:rPr>
          <w:rFonts w:ascii="Arial" w:hAnsi="Arial" w:cs="Arial"/>
          <w:iCs/>
          <w:color w:val="000000" w:themeColor="text1"/>
          <w:kern w:val="0"/>
          <w:sz w:val="24"/>
          <w:szCs w:val="24"/>
        </w:rPr>
        <w:t>(Accessed on 2017, April 06)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Lowenthal, D. (1975) Past time, present place: landscape and memory. </w:t>
      </w:r>
      <w:r w:rsidRPr="00AE1FA0">
        <w:rPr>
          <w:rFonts w:ascii="Arial" w:hAnsi="Arial" w:cs="Arial"/>
          <w:i/>
          <w:color w:val="000000" w:themeColor="text1"/>
          <w:kern w:val="0"/>
          <w:sz w:val="24"/>
          <w:szCs w:val="24"/>
        </w:rPr>
        <w:t>Geographical Review</w:t>
      </w:r>
      <w:r w:rsidRPr="00AE1FA0">
        <w:rPr>
          <w:rFonts w:ascii="Arial" w:hAnsi="Arial" w:cs="Arial"/>
          <w:color w:val="000000" w:themeColor="text1"/>
          <w:kern w:val="0"/>
          <w:sz w:val="24"/>
          <w:szCs w:val="24"/>
        </w:rPr>
        <w:t>, 65(1): 1-36.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Löw, M. (2006) The social construction of space and gender. </w:t>
      </w:r>
      <w:r w:rsidRPr="00AE1FA0">
        <w:rPr>
          <w:rFonts w:ascii="Arial" w:hAnsi="Arial" w:cs="Arial"/>
          <w:i/>
          <w:iCs/>
          <w:color w:val="000000" w:themeColor="text1"/>
          <w:kern w:val="0"/>
          <w:sz w:val="24"/>
          <w:szCs w:val="24"/>
        </w:rPr>
        <w:t>European Journal of Women's Studies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13</w:t>
      </w:r>
      <w:r w:rsidRPr="00AE1FA0">
        <w:rPr>
          <w:rFonts w:ascii="Arial" w:hAnsi="Arial" w:cs="Arial"/>
          <w:color w:val="000000" w:themeColor="text1"/>
          <w:kern w:val="0"/>
          <w:sz w:val="24"/>
          <w:szCs w:val="24"/>
        </w:rPr>
        <w:t>(2): 119-133.</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Lundgren, A. S. (2010) “In the good old days”: Insidious nostalgia and the constitution of old age identity. </w:t>
      </w:r>
      <w:r w:rsidRPr="00AE1FA0">
        <w:rPr>
          <w:rFonts w:ascii="Arial" w:hAnsi="Arial" w:cs="Arial"/>
          <w:i/>
          <w:color w:val="000000" w:themeColor="text1"/>
          <w:kern w:val="0"/>
          <w:sz w:val="24"/>
          <w:szCs w:val="24"/>
        </w:rPr>
        <w:t>Journal of Aging Studies</w:t>
      </w:r>
      <w:r w:rsidRPr="00AE1FA0">
        <w:rPr>
          <w:rFonts w:ascii="Arial" w:hAnsi="Arial" w:cs="Arial"/>
          <w:color w:val="000000" w:themeColor="text1"/>
          <w:kern w:val="0"/>
          <w:sz w:val="24"/>
          <w:szCs w:val="24"/>
        </w:rPr>
        <w:t>, 24(4): 248-256.</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Lynch, M. (2000) Against reflexivity as an academic virtue and source of privileged knowledge. </w:t>
      </w:r>
      <w:r w:rsidRPr="00AE1FA0">
        <w:rPr>
          <w:rFonts w:ascii="Arial" w:hAnsi="Arial" w:cs="Arial"/>
          <w:i/>
          <w:iCs/>
          <w:color w:val="000000" w:themeColor="text1"/>
          <w:kern w:val="0"/>
          <w:sz w:val="24"/>
          <w:szCs w:val="24"/>
        </w:rPr>
        <w:t>Theory, Culture &amp; Society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17</w:t>
      </w:r>
      <w:r w:rsidRPr="00AE1FA0">
        <w:rPr>
          <w:rFonts w:ascii="Arial" w:hAnsi="Arial" w:cs="Arial"/>
          <w:color w:val="000000" w:themeColor="text1"/>
          <w:kern w:val="0"/>
          <w:sz w:val="24"/>
          <w:szCs w:val="24"/>
        </w:rPr>
        <w:t>(3): 26-54.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Manderson, L., Bennett, E., and Andajani-Sutjahjo, S. (2006) The social dynamics of the interview: age, class, and gender. </w:t>
      </w:r>
      <w:r w:rsidRPr="00AE1FA0">
        <w:rPr>
          <w:rFonts w:ascii="Arial" w:hAnsi="Arial" w:cs="Arial"/>
          <w:i/>
          <w:iCs/>
          <w:color w:val="000000" w:themeColor="text1"/>
          <w:kern w:val="0"/>
          <w:sz w:val="24"/>
          <w:szCs w:val="24"/>
        </w:rPr>
        <w:t>Qualitative Health Research</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16</w:t>
      </w:r>
      <w:r w:rsidRPr="00AE1FA0">
        <w:rPr>
          <w:rFonts w:ascii="Arial" w:hAnsi="Arial" w:cs="Arial"/>
          <w:color w:val="000000" w:themeColor="text1"/>
          <w:kern w:val="0"/>
          <w:sz w:val="24"/>
          <w:szCs w:val="24"/>
        </w:rPr>
        <w:t>(10): 1317-1334.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Mason, J. (2017) </w:t>
      </w:r>
      <w:r w:rsidRPr="00AE1FA0">
        <w:rPr>
          <w:rFonts w:ascii="Arial" w:hAnsi="Arial" w:cs="Arial"/>
          <w:i/>
          <w:iCs/>
          <w:color w:val="000000" w:themeColor="text1"/>
          <w:kern w:val="0"/>
          <w:sz w:val="24"/>
          <w:szCs w:val="24"/>
        </w:rPr>
        <w:t>Qualitative researching</w:t>
      </w:r>
      <w:r w:rsidRPr="00AE1FA0">
        <w:rPr>
          <w:rFonts w:ascii="Arial" w:hAnsi="Arial" w:cs="Arial"/>
          <w:color w:val="000000" w:themeColor="text1"/>
          <w:kern w:val="0"/>
          <w:sz w:val="24"/>
          <w:szCs w:val="24"/>
        </w:rPr>
        <w:t>. 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Massey, D. (1994) </w:t>
      </w:r>
      <w:r w:rsidRPr="00AE1FA0">
        <w:rPr>
          <w:rFonts w:ascii="Arial" w:hAnsi="Arial" w:cs="Arial"/>
          <w:i/>
          <w:color w:val="000000" w:themeColor="text1"/>
          <w:kern w:val="0"/>
          <w:sz w:val="24"/>
          <w:szCs w:val="24"/>
        </w:rPr>
        <w:t>Space, place and gender.</w:t>
      </w:r>
      <w:r w:rsidRPr="00AE1FA0">
        <w:rPr>
          <w:rFonts w:ascii="Arial" w:hAnsi="Arial" w:cs="Arial"/>
          <w:color w:val="000000" w:themeColor="text1"/>
          <w:kern w:val="0"/>
          <w:sz w:val="24"/>
          <w:szCs w:val="24"/>
        </w:rPr>
        <w:t xml:space="preserve"> Cambridge: Polity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Mbembe, A. (2002) The Power of the Archive and its Limits. In Hamilton, C., Harris, V., Pickover, M., Reid, G., Saleh, R., &amp; Taylor, J. (eds) </w:t>
      </w:r>
      <w:r w:rsidRPr="00AE1FA0">
        <w:rPr>
          <w:rFonts w:ascii="Arial" w:hAnsi="Arial" w:cs="Arial"/>
          <w:i/>
          <w:iCs/>
          <w:color w:val="000000" w:themeColor="text1"/>
          <w:kern w:val="0"/>
          <w:sz w:val="24"/>
          <w:szCs w:val="24"/>
        </w:rPr>
        <w:t>Refiguring the archive.</w:t>
      </w:r>
      <w:r w:rsidRPr="00AE1FA0">
        <w:rPr>
          <w:rFonts w:ascii="Arial" w:hAnsi="Arial" w:cs="Arial"/>
          <w:color w:val="000000" w:themeColor="text1"/>
          <w:kern w:val="0"/>
          <w:sz w:val="24"/>
          <w:szCs w:val="24"/>
        </w:rPr>
        <w:t xml:space="preserve"> Dordrecht: Springer. Pp.19-27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McElroy, J. C. and Morrow, P. C. (2010) Employee reactions to office redesign: A naturally occurring quasi-field experiment in a multi-generational setting. </w:t>
      </w:r>
      <w:r w:rsidRPr="00AE1FA0">
        <w:rPr>
          <w:rFonts w:ascii="Arial" w:hAnsi="Arial" w:cs="Arial"/>
          <w:i/>
          <w:iCs/>
          <w:color w:val="000000" w:themeColor="text1"/>
          <w:kern w:val="0"/>
          <w:sz w:val="24"/>
          <w:szCs w:val="24"/>
        </w:rPr>
        <w:t>Human Relations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63</w:t>
      </w:r>
      <w:r w:rsidRPr="00AE1FA0">
        <w:rPr>
          <w:rFonts w:ascii="Arial" w:hAnsi="Arial" w:cs="Arial"/>
          <w:color w:val="000000" w:themeColor="text1"/>
          <w:kern w:val="0"/>
          <w:sz w:val="24"/>
          <w:szCs w:val="24"/>
        </w:rPr>
        <w:t>(5): 609-636.</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McLaren, P., Mills, A., and Weatherbee, T. (2015) </w:t>
      </w:r>
      <w:r w:rsidRPr="00AE1FA0">
        <w:rPr>
          <w:rFonts w:ascii="Arial" w:hAnsi="Arial" w:cs="Arial"/>
          <w:i/>
          <w:color w:val="000000" w:themeColor="text1"/>
          <w:kern w:val="0"/>
          <w:sz w:val="24"/>
          <w:szCs w:val="24"/>
        </w:rPr>
        <w:t>The Routledge companion to management &amp; organizational history</w:t>
      </w:r>
      <w:r w:rsidRPr="00AE1FA0">
        <w:rPr>
          <w:rFonts w:ascii="Arial" w:hAnsi="Arial" w:cs="Arial"/>
          <w:color w:val="000000" w:themeColor="text1"/>
          <w:kern w:val="0"/>
          <w:sz w:val="24"/>
          <w:szCs w:val="24"/>
        </w:rPr>
        <w:t>. London: Routledge</w:t>
      </w:r>
    </w:p>
    <w:p w:rsidR="00AE1FA0" w:rsidRPr="00AE1FA0" w:rsidRDefault="00AE1FA0" w:rsidP="00AE1FA0">
      <w:pPr>
        <w:widowControl/>
        <w:spacing w:after="160" w:line="360" w:lineRule="auto"/>
        <w:ind w:left="360"/>
        <w:rPr>
          <w:rFonts w:ascii="Arial" w:hAnsi="Arial" w:cs="Arial"/>
          <w:i/>
          <w:color w:val="000000" w:themeColor="text1"/>
          <w:kern w:val="0"/>
          <w:sz w:val="24"/>
          <w:szCs w:val="24"/>
        </w:rPr>
      </w:pPr>
      <w:r w:rsidRPr="00AE1FA0">
        <w:rPr>
          <w:rFonts w:ascii="Arial" w:hAnsi="Arial" w:cs="Arial"/>
          <w:color w:val="000000" w:themeColor="text1"/>
          <w:kern w:val="0"/>
          <w:sz w:val="24"/>
          <w:szCs w:val="24"/>
        </w:rPr>
        <w:t xml:space="preserve">Merleau-Ponty, M. (1962) </w:t>
      </w:r>
      <w:r w:rsidRPr="00AE1FA0">
        <w:rPr>
          <w:rFonts w:ascii="Arial" w:hAnsi="Arial" w:cs="Arial"/>
          <w:i/>
          <w:color w:val="000000" w:themeColor="text1"/>
          <w:kern w:val="0"/>
          <w:sz w:val="24"/>
          <w:szCs w:val="24"/>
        </w:rPr>
        <w:t>Phenomenology of Perception</w:t>
      </w:r>
      <w:r w:rsidRPr="00AE1FA0">
        <w:rPr>
          <w:rFonts w:ascii="Arial" w:hAnsi="Arial" w:cs="Arial"/>
          <w:color w:val="000000" w:themeColor="text1"/>
          <w:kern w:val="0"/>
          <w:sz w:val="24"/>
          <w:szCs w:val="24"/>
        </w:rPr>
        <w:t>, transl. C. Smith. London: Routledge &amp; Kegan Paul</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Merriam, S. B. and Tisdell, E. J. (2015) </w:t>
      </w:r>
      <w:r w:rsidRPr="00AE1FA0">
        <w:rPr>
          <w:rFonts w:ascii="Arial" w:hAnsi="Arial" w:cs="Arial"/>
          <w:i/>
          <w:iCs/>
          <w:color w:val="000000" w:themeColor="text1"/>
          <w:kern w:val="0"/>
          <w:sz w:val="24"/>
          <w:szCs w:val="24"/>
        </w:rPr>
        <w:t>Qualitative research: A guide to design and implementation</w:t>
      </w:r>
      <w:r w:rsidRPr="00AE1FA0">
        <w:rPr>
          <w:rFonts w:ascii="Arial" w:hAnsi="Arial" w:cs="Arial"/>
          <w:color w:val="000000" w:themeColor="text1"/>
          <w:kern w:val="0"/>
          <w:sz w:val="24"/>
          <w:szCs w:val="24"/>
        </w:rPr>
        <w:t>. London: John Wiley &amp; Sons.</w:t>
      </w:r>
    </w:p>
    <w:p w:rsidR="00AE1FA0" w:rsidRPr="00AE1FA0" w:rsidRDefault="00AE1FA0" w:rsidP="00AE1FA0">
      <w:pPr>
        <w:widowControl/>
        <w:spacing w:after="160" w:line="360" w:lineRule="auto"/>
        <w:ind w:left="360"/>
        <w:rPr>
          <w:rFonts w:ascii="Arial" w:hAnsi="Arial" w:cs="Arial"/>
          <w:iCs/>
          <w:color w:val="000000" w:themeColor="text1"/>
          <w:kern w:val="0"/>
          <w:sz w:val="24"/>
          <w:szCs w:val="24"/>
        </w:rPr>
      </w:pPr>
      <w:r w:rsidRPr="00AE1FA0">
        <w:rPr>
          <w:rFonts w:ascii="Arial" w:hAnsi="Arial" w:cs="Arial"/>
          <w:color w:val="000000" w:themeColor="text1"/>
          <w:kern w:val="0"/>
          <w:sz w:val="24"/>
          <w:szCs w:val="24"/>
        </w:rPr>
        <w:t xml:space="preserve">Merrifield, A. (2000) Henri Lefebvre: A socialist in space. In Crang, M. and Thrift, N. (eds) </w:t>
      </w:r>
      <w:r w:rsidRPr="00AE1FA0">
        <w:rPr>
          <w:rFonts w:ascii="Arial" w:hAnsi="Arial" w:cs="Arial"/>
          <w:i/>
          <w:iCs/>
          <w:color w:val="000000" w:themeColor="text1"/>
          <w:kern w:val="0"/>
          <w:sz w:val="24"/>
          <w:szCs w:val="24"/>
        </w:rPr>
        <w:t xml:space="preserve">Thinking space. </w:t>
      </w:r>
      <w:r w:rsidRPr="00AE1FA0">
        <w:rPr>
          <w:rFonts w:ascii="Arial" w:hAnsi="Arial" w:cs="Arial"/>
          <w:iCs/>
          <w:color w:val="000000" w:themeColor="text1"/>
          <w:kern w:val="0"/>
          <w:sz w:val="24"/>
          <w:szCs w:val="24"/>
        </w:rPr>
        <w:t>London: Routledge. Pp.167-185</w:t>
      </w:r>
    </w:p>
    <w:p w:rsidR="00AE1FA0" w:rsidRPr="00AE1FA0" w:rsidRDefault="00AE1FA0" w:rsidP="00AE1FA0">
      <w:pPr>
        <w:widowControl/>
        <w:spacing w:after="160" w:line="360" w:lineRule="auto"/>
        <w:ind w:left="360"/>
        <w:rPr>
          <w:rFonts w:ascii="Arial" w:hAnsi="Arial" w:cs="Arial"/>
          <w:iCs/>
          <w:color w:val="000000" w:themeColor="text1"/>
          <w:kern w:val="0"/>
          <w:sz w:val="24"/>
          <w:szCs w:val="24"/>
        </w:rPr>
      </w:pPr>
      <w:r w:rsidRPr="00AE1FA0">
        <w:rPr>
          <w:rFonts w:ascii="Arial" w:hAnsi="Arial" w:cs="Arial"/>
          <w:iCs/>
          <w:color w:val="000000" w:themeColor="text1"/>
          <w:kern w:val="0"/>
          <w:sz w:val="24"/>
          <w:szCs w:val="24"/>
        </w:rPr>
        <w:t xml:space="preserve">Merrifield, A. (1996) Public space: Integration and exclusion in urban life. </w:t>
      </w:r>
      <w:r w:rsidRPr="00AE1FA0">
        <w:rPr>
          <w:rFonts w:ascii="Arial" w:hAnsi="Arial" w:cs="Arial"/>
          <w:i/>
          <w:iCs/>
          <w:color w:val="000000" w:themeColor="text1"/>
          <w:kern w:val="0"/>
          <w:sz w:val="24"/>
          <w:szCs w:val="24"/>
        </w:rPr>
        <w:t>City</w:t>
      </w:r>
      <w:r w:rsidRPr="00AE1FA0">
        <w:rPr>
          <w:rFonts w:ascii="Arial" w:hAnsi="Arial" w:cs="Arial"/>
          <w:iCs/>
          <w:color w:val="000000" w:themeColor="text1"/>
          <w:kern w:val="0"/>
          <w:sz w:val="24"/>
          <w:szCs w:val="24"/>
        </w:rPr>
        <w:t>, 1(5-6): 52-72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iCs/>
          <w:color w:val="000000" w:themeColor="text1"/>
          <w:kern w:val="0"/>
          <w:sz w:val="24"/>
          <w:szCs w:val="24"/>
        </w:rPr>
        <w:t xml:space="preserve">Merrifield, A. (1993) Place and space: A Lefebvrian Reconciliation. </w:t>
      </w:r>
      <w:r w:rsidRPr="00AE1FA0">
        <w:rPr>
          <w:rFonts w:ascii="Arial" w:hAnsi="Arial" w:cs="Arial"/>
          <w:i/>
          <w:iCs/>
          <w:color w:val="000000" w:themeColor="text1"/>
          <w:kern w:val="0"/>
          <w:sz w:val="24"/>
          <w:szCs w:val="24"/>
        </w:rPr>
        <w:t>Transactions of the Institute of British Geographers,</w:t>
      </w:r>
      <w:r w:rsidRPr="00AE1FA0">
        <w:rPr>
          <w:rFonts w:ascii="Arial" w:hAnsi="Arial" w:cs="Arial"/>
          <w:iCs/>
          <w:color w:val="000000" w:themeColor="text1"/>
          <w:kern w:val="0"/>
          <w:sz w:val="24"/>
          <w:szCs w:val="24"/>
        </w:rPr>
        <w:t xml:space="preserve"> 18 (4): 516-531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Mills, A. J. and Mills, J. C. H. (2017) Digging Archeology: Postpositivist Theory and Archival Research in Case Study Development. In Mills, A. J. (ed) </w:t>
      </w:r>
      <w:r w:rsidRPr="00AE1FA0">
        <w:rPr>
          <w:rFonts w:ascii="Arial" w:hAnsi="Arial" w:cs="Arial"/>
          <w:i/>
          <w:iCs/>
          <w:color w:val="000000" w:themeColor="text1"/>
          <w:kern w:val="0"/>
          <w:sz w:val="24"/>
          <w:szCs w:val="24"/>
        </w:rPr>
        <w:t>Insights and Research on the Study of Gender and Intersectionality in International Airline Cultures</w:t>
      </w:r>
      <w:r w:rsidRPr="00AE1FA0">
        <w:rPr>
          <w:rFonts w:ascii="Arial" w:hAnsi="Arial" w:cs="Arial"/>
          <w:color w:val="000000" w:themeColor="text1"/>
          <w:kern w:val="0"/>
          <w:sz w:val="24"/>
          <w:szCs w:val="24"/>
        </w:rPr>
        <w:t>. London: Emerald Publishing Limited. Pp.93-109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Mitchell, S. (1996) </w:t>
      </w:r>
      <w:r w:rsidRPr="00AE1FA0">
        <w:rPr>
          <w:rFonts w:ascii="Arial" w:hAnsi="Arial" w:cs="Arial"/>
          <w:i/>
          <w:color w:val="000000" w:themeColor="text1"/>
          <w:kern w:val="0"/>
          <w:sz w:val="24"/>
          <w:szCs w:val="24"/>
        </w:rPr>
        <w:t>Daily Life in Victorian England</w:t>
      </w:r>
      <w:r w:rsidRPr="00AE1FA0">
        <w:rPr>
          <w:rFonts w:ascii="Arial" w:hAnsi="Arial" w:cs="Arial"/>
          <w:color w:val="000000" w:themeColor="text1"/>
          <w:kern w:val="0"/>
          <w:sz w:val="24"/>
          <w:szCs w:val="24"/>
        </w:rPr>
        <w:t>. London: Greenwood Publishing Group.</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Moore, F. P. (2010) Tales from the archive: methodological and ethical issues in historical geography research. </w:t>
      </w:r>
      <w:r w:rsidRPr="00AE1FA0">
        <w:rPr>
          <w:rFonts w:ascii="Arial" w:hAnsi="Arial" w:cs="Arial"/>
          <w:i/>
          <w:iCs/>
          <w:color w:val="000000" w:themeColor="text1"/>
          <w:kern w:val="0"/>
          <w:sz w:val="24"/>
          <w:szCs w:val="24"/>
        </w:rPr>
        <w:t>Area</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42</w:t>
      </w:r>
      <w:r w:rsidRPr="00AE1FA0">
        <w:rPr>
          <w:rFonts w:ascii="Arial" w:hAnsi="Arial" w:cs="Arial"/>
          <w:color w:val="000000" w:themeColor="text1"/>
          <w:kern w:val="0"/>
          <w:sz w:val="24"/>
          <w:szCs w:val="24"/>
        </w:rPr>
        <w:t>(3): 262-270.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Murdoch, L. (2013) </w:t>
      </w:r>
      <w:r w:rsidRPr="00AE1FA0">
        <w:rPr>
          <w:rFonts w:ascii="Arial" w:hAnsi="Arial" w:cs="Arial"/>
          <w:i/>
          <w:iCs/>
          <w:color w:val="000000" w:themeColor="text1"/>
          <w:kern w:val="0"/>
          <w:sz w:val="24"/>
          <w:szCs w:val="24"/>
        </w:rPr>
        <w:t>Daily Life of Victorian Women</w:t>
      </w:r>
      <w:r w:rsidRPr="00AE1FA0">
        <w:rPr>
          <w:rFonts w:ascii="Arial" w:hAnsi="Arial" w:cs="Arial"/>
          <w:color w:val="000000" w:themeColor="text1"/>
          <w:kern w:val="0"/>
          <w:sz w:val="24"/>
          <w:szCs w:val="24"/>
        </w:rPr>
        <w:t>. Oxford: ABC-CLIO.</w:t>
      </w:r>
    </w:p>
    <w:p w:rsidR="00AE1FA0" w:rsidRPr="00AE1FA0" w:rsidRDefault="00AE1FA0" w:rsidP="00AE1FA0">
      <w:pPr>
        <w:widowControl/>
        <w:spacing w:after="160" w:line="360" w:lineRule="auto"/>
        <w:ind w:left="360"/>
        <w:rPr>
          <w:rFonts w:ascii="Arial" w:hAnsi="Arial" w:cs="Arial"/>
          <w:i/>
          <w:iCs/>
          <w:color w:val="000000" w:themeColor="text1"/>
          <w:kern w:val="0"/>
          <w:sz w:val="24"/>
          <w:szCs w:val="24"/>
        </w:rPr>
      </w:pPr>
      <w:r w:rsidRPr="00AE1FA0">
        <w:rPr>
          <w:rFonts w:ascii="Arial" w:hAnsi="Arial" w:cs="Arial"/>
          <w:color w:val="000000" w:themeColor="text1"/>
          <w:kern w:val="0"/>
          <w:sz w:val="24"/>
          <w:szCs w:val="24"/>
        </w:rPr>
        <w:t xml:space="preserve">Myers, J. C. (2016) Phenomenology of place: Re-grounding environmental ethics through story. </w:t>
      </w:r>
      <w:r w:rsidRPr="00AE1FA0">
        <w:rPr>
          <w:rFonts w:ascii="Arial" w:hAnsi="Arial" w:cs="Arial"/>
          <w:i/>
          <w:iCs/>
          <w:color w:val="000000" w:themeColor="text1"/>
          <w:kern w:val="0"/>
          <w:sz w:val="24"/>
          <w:szCs w:val="24"/>
        </w:rPr>
        <w:t xml:space="preserve">Journal of Sustainability Education, </w:t>
      </w:r>
      <w:r w:rsidRPr="00AE1FA0">
        <w:rPr>
          <w:rFonts w:ascii="Arial" w:hAnsi="Arial" w:cs="Arial"/>
          <w:color w:val="000000" w:themeColor="text1"/>
          <w:kern w:val="0"/>
          <w:sz w:val="24"/>
          <w:szCs w:val="24"/>
        </w:rPr>
        <w:t>1): 1-7.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Nayak, A. and Chia, R. (2011) Thinking becoming and emergence: process philosophy and organization studies. </w:t>
      </w:r>
      <w:r w:rsidRPr="00AE1FA0">
        <w:rPr>
          <w:rFonts w:ascii="Arial" w:hAnsi="Arial" w:cs="Arial"/>
          <w:i/>
          <w:color w:val="000000" w:themeColor="text1"/>
          <w:kern w:val="0"/>
          <w:sz w:val="24"/>
          <w:szCs w:val="24"/>
        </w:rPr>
        <w:t>Research in the Sociology of Organizations</w:t>
      </w:r>
      <w:r w:rsidRPr="00AE1FA0">
        <w:rPr>
          <w:rFonts w:ascii="Arial" w:hAnsi="Arial" w:cs="Arial"/>
          <w:color w:val="000000" w:themeColor="text1"/>
          <w:kern w:val="0"/>
          <w:sz w:val="24"/>
          <w:szCs w:val="24"/>
        </w:rPr>
        <w:t>, 32: 281–309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Newton, K. M. (1988) </w:t>
      </w:r>
      <w:r w:rsidRPr="00AE1FA0">
        <w:rPr>
          <w:rFonts w:ascii="Arial" w:hAnsi="Arial" w:cs="Arial"/>
          <w:i/>
          <w:iCs/>
          <w:color w:val="000000" w:themeColor="text1"/>
          <w:kern w:val="0"/>
          <w:sz w:val="24"/>
          <w:szCs w:val="24"/>
        </w:rPr>
        <w:t>Twentieth Century Literary Theory: A reader</w:t>
      </w:r>
      <w:r w:rsidRPr="00AE1FA0">
        <w:rPr>
          <w:rFonts w:ascii="Arial" w:hAnsi="Arial" w:cs="Arial"/>
          <w:color w:val="000000" w:themeColor="text1"/>
          <w:kern w:val="0"/>
          <w:sz w:val="24"/>
          <w:szCs w:val="24"/>
        </w:rPr>
        <w:t>. London: Palgrave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Oldham, G. R. and Rotchford, N. L. (1983) Relationships between office characteristics and employee reactions: A study of the physical environment. </w:t>
      </w:r>
      <w:r w:rsidRPr="00AE1FA0">
        <w:rPr>
          <w:rFonts w:ascii="Arial" w:hAnsi="Arial" w:cs="Arial"/>
          <w:i/>
          <w:iCs/>
          <w:color w:val="000000" w:themeColor="text1"/>
          <w:kern w:val="0"/>
          <w:sz w:val="24"/>
          <w:szCs w:val="24"/>
        </w:rPr>
        <w:t>Administrative Science Quarterly</w:t>
      </w:r>
      <w:r w:rsidRPr="00AE1FA0">
        <w:rPr>
          <w:rFonts w:ascii="Arial" w:hAnsi="Arial" w:cs="Arial"/>
          <w:color w:val="000000" w:themeColor="text1"/>
          <w:kern w:val="0"/>
          <w:sz w:val="24"/>
          <w:szCs w:val="24"/>
        </w:rPr>
        <w:t>, 28(4): 542-556.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Oliver, C. (1997) Sustainable competitive advantage: Combining institutional and resource-based views. </w:t>
      </w:r>
      <w:r w:rsidRPr="00AE1FA0">
        <w:rPr>
          <w:rFonts w:ascii="Arial" w:hAnsi="Arial" w:cs="Arial"/>
          <w:i/>
          <w:iCs/>
          <w:color w:val="000000" w:themeColor="text1"/>
          <w:kern w:val="0"/>
          <w:sz w:val="24"/>
          <w:szCs w:val="24"/>
        </w:rPr>
        <w:t>Strategic Management Journal</w:t>
      </w:r>
      <w:r w:rsidRPr="00AE1FA0">
        <w:rPr>
          <w:rFonts w:ascii="Arial" w:hAnsi="Arial" w:cs="Arial"/>
          <w:color w:val="000000" w:themeColor="text1"/>
          <w:kern w:val="0"/>
          <w:sz w:val="24"/>
          <w:szCs w:val="24"/>
        </w:rPr>
        <w:t>, 18(9): 697-713.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Orlikowski, W. (2007). Sociomaterial practices: Exploring technology at work.</w:t>
      </w:r>
      <w:r w:rsidRPr="00AE1FA0">
        <w:rPr>
          <w:rFonts w:ascii="Arial" w:hAnsi="Arial" w:cs="Arial"/>
          <w:i/>
          <w:color w:val="000000" w:themeColor="text1"/>
          <w:kern w:val="0"/>
          <w:sz w:val="24"/>
          <w:szCs w:val="24"/>
        </w:rPr>
        <w:t>Organization Studies</w:t>
      </w:r>
      <w:r w:rsidRPr="00AE1FA0">
        <w:rPr>
          <w:rFonts w:ascii="Arial" w:hAnsi="Arial" w:cs="Arial"/>
          <w:color w:val="000000" w:themeColor="text1"/>
          <w:kern w:val="0"/>
          <w:sz w:val="24"/>
          <w:szCs w:val="24"/>
        </w:rPr>
        <w:t>, 28(9): 1435-1448.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Oswick, C., Fleming, P., and Hanlon, G. (2011) From borrowing to blending: Rethinking the processes of organizational theory building. </w:t>
      </w:r>
      <w:r w:rsidRPr="00AE1FA0">
        <w:rPr>
          <w:rFonts w:ascii="Arial" w:hAnsi="Arial" w:cs="Arial"/>
          <w:i/>
          <w:iCs/>
          <w:color w:val="000000" w:themeColor="text1"/>
          <w:kern w:val="0"/>
          <w:sz w:val="24"/>
          <w:szCs w:val="24"/>
        </w:rPr>
        <w:t>Academy of Management Review</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36</w:t>
      </w:r>
      <w:r w:rsidRPr="00AE1FA0">
        <w:rPr>
          <w:rFonts w:ascii="Arial" w:hAnsi="Arial" w:cs="Arial"/>
          <w:color w:val="000000" w:themeColor="text1"/>
          <w:kern w:val="0"/>
          <w:sz w:val="24"/>
          <w:szCs w:val="24"/>
        </w:rPr>
        <w:t>(2): 318-337.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Parker, R. G. (1995) Reminiscence: A continuity theory framework. </w:t>
      </w:r>
      <w:r w:rsidRPr="00AE1FA0">
        <w:rPr>
          <w:rFonts w:ascii="Arial" w:hAnsi="Arial" w:cs="Arial"/>
          <w:i/>
          <w:iCs/>
          <w:color w:val="000000" w:themeColor="text1"/>
          <w:kern w:val="0"/>
          <w:sz w:val="24"/>
          <w:szCs w:val="24"/>
        </w:rPr>
        <w:t>The Gerontologist</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35</w:t>
      </w:r>
      <w:r w:rsidRPr="00AE1FA0">
        <w:rPr>
          <w:rFonts w:ascii="Arial" w:hAnsi="Arial" w:cs="Arial"/>
          <w:color w:val="000000" w:themeColor="text1"/>
          <w:kern w:val="0"/>
          <w:sz w:val="24"/>
          <w:szCs w:val="24"/>
        </w:rPr>
        <w:t>(4): 515-525.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Parker, L. D. (2009) Photo-elicitation: An ethno-historical accounting and management research prospect. </w:t>
      </w:r>
      <w:r w:rsidRPr="00AE1FA0">
        <w:rPr>
          <w:rFonts w:ascii="Arial" w:hAnsi="Arial" w:cs="Arial"/>
          <w:i/>
          <w:iCs/>
          <w:color w:val="000000" w:themeColor="text1"/>
          <w:kern w:val="0"/>
          <w:sz w:val="24"/>
          <w:szCs w:val="24"/>
        </w:rPr>
        <w:t>Accounting, Auditing &amp; Accountability Journal</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22</w:t>
      </w:r>
      <w:r w:rsidRPr="00AE1FA0">
        <w:rPr>
          <w:rFonts w:ascii="Arial" w:hAnsi="Arial" w:cs="Arial"/>
          <w:color w:val="000000" w:themeColor="text1"/>
          <w:kern w:val="0"/>
          <w:sz w:val="24"/>
          <w:szCs w:val="24"/>
        </w:rPr>
        <w:t>(7): 1111-1129.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Parry, O. and Mauthner, N. S. (2004) Whose data are they anyway? Practical, legal and ethical issues in archiving qualitative research data. </w:t>
      </w:r>
      <w:r w:rsidRPr="00AE1FA0">
        <w:rPr>
          <w:rFonts w:ascii="Arial" w:hAnsi="Arial" w:cs="Arial"/>
          <w:i/>
          <w:iCs/>
          <w:color w:val="000000" w:themeColor="text1"/>
          <w:kern w:val="0"/>
          <w:sz w:val="24"/>
          <w:szCs w:val="24"/>
        </w:rPr>
        <w:t>Sociology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38</w:t>
      </w:r>
      <w:r w:rsidRPr="00AE1FA0">
        <w:rPr>
          <w:rFonts w:ascii="Arial" w:hAnsi="Arial" w:cs="Arial"/>
          <w:color w:val="000000" w:themeColor="text1"/>
          <w:kern w:val="0"/>
          <w:sz w:val="24"/>
          <w:szCs w:val="24"/>
        </w:rPr>
        <w:t>(1): 139-152.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Pedersen, J. S. (1979) The reform of women's secondary and higher education: institutional change and social values in mid and late Victorian England. </w:t>
      </w:r>
      <w:r w:rsidRPr="00AE1FA0">
        <w:rPr>
          <w:rFonts w:ascii="Arial" w:hAnsi="Arial" w:cs="Arial"/>
          <w:i/>
          <w:iCs/>
          <w:color w:val="000000" w:themeColor="text1"/>
          <w:kern w:val="0"/>
          <w:sz w:val="24"/>
          <w:szCs w:val="24"/>
        </w:rPr>
        <w:t>History of Education Quarterly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19</w:t>
      </w:r>
      <w:r w:rsidRPr="00AE1FA0">
        <w:rPr>
          <w:rFonts w:ascii="Arial" w:hAnsi="Arial" w:cs="Arial"/>
          <w:color w:val="000000" w:themeColor="text1"/>
          <w:kern w:val="0"/>
          <w:sz w:val="24"/>
          <w:szCs w:val="24"/>
        </w:rPr>
        <w:t>(1): 61-91.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Peltonen, T. (2011) Multiple architectures and the production of organizational space in a Finnish university. </w:t>
      </w:r>
      <w:r w:rsidRPr="00AE1FA0">
        <w:rPr>
          <w:rFonts w:ascii="Arial" w:hAnsi="Arial" w:cs="Arial"/>
          <w:i/>
          <w:iCs/>
          <w:color w:val="000000" w:themeColor="text1"/>
          <w:kern w:val="0"/>
          <w:sz w:val="24"/>
          <w:szCs w:val="24"/>
        </w:rPr>
        <w:t>Journal of Organizational Change Management</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24</w:t>
      </w:r>
      <w:r w:rsidRPr="00AE1FA0">
        <w:rPr>
          <w:rFonts w:ascii="Arial" w:hAnsi="Arial" w:cs="Arial"/>
          <w:color w:val="000000" w:themeColor="text1"/>
          <w:kern w:val="0"/>
          <w:sz w:val="24"/>
          <w:szCs w:val="24"/>
        </w:rPr>
        <w:t>(6): 806-821.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Persson, M. and J. Napier, C. (2014) The Australian accounting academic in the 1950s: RJ Chambers and networks of accounting research. </w:t>
      </w:r>
      <w:r w:rsidRPr="00AE1FA0">
        <w:rPr>
          <w:rFonts w:ascii="Arial" w:hAnsi="Arial" w:cs="Arial"/>
          <w:i/>
          <w:iCs/>
          <w:color w:val="000000" w:themeColor="text1"/>
          <w:kern w:val="0"/>
          <w:sz w:val="24"/>
          <w:szCs w:val="24"/>
        </w:rPr>
        <w:t>Meditari Accountancy Research</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22</w:t>
      </w:r>
      <w:r w:rsidRPr="00AE1FA0">
        <w:rPr>
          <w:rFonts w:ascii="Arial" w:hAnsi="Arial" w:cs="Arial"/>
          <w:color w:val="000000" w:themeColor="text1"/>
          <w:kern w:val="0"/>
          <w:sz w:val="24"/>
          <w:szCs w:val="24"/>
        </w:rPr>
        <w:t>(1): 54-76.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Picture Gallery (2017) </w:t>
      </w:r>
      <w:r w:rsidRPr="00AE1FA0">
        <w:rPr>
          <w:rFonts w:ascii="Arial" w:hAnsi="Arial" w:cs="Arial"/>
          <w:i/>
          <w:color w:val="000000" w:themeColor="text1"/>
          <w:kern w:val="0"/>
          <w:sz w:val="24"/>
          <w:szCs w:val="24"/>
        </w:rPr>
        <w:t>Arts collection and Picture Gallery</w:t>
      </w:r>
      <w:r w:rsidRPr="00AE1FA0">
        <w:rPr>
          <w:rFonts w:ascii="Arial" w:hAnsi="Arial" w:cs="Arial"/>
          <w:color w:val="000000" w:themeColor="text1"/>
          <w:kern w:val="0"/>
          <w:sz w:val="24"/>
          <w:szCs w:val="24"/>
        </w:rPr>
        <w:t xml:space="preserve">. Available: </w:t>
      </w:r>
      <w:hyperlink r:id="rId30" w:history="1">
        <w:r w:rsidRPr="00AE1FA0">
          <w:rPr>
            <w:rFonts w:ascii="Arial" w:hAnsi="Arial" w:cs="Arial"/>
            <w:color w:val="000000" w:themeColor="text1"/>
            <w:kern w:val="0"/>
            <w:sz w:val="24"/>
            <w:szCs w:val="24"/>
            <w:u w:val="single"/>
          </w:rPr>
          <w:t>https://www.royalholloway.ac.uk/aboutus/artcollectionandpicturegallery/home.aspx</w:t>
        </w:r>
      </w:hyperlink>
      <w:r w:rsidRPr="00AE1FA0">
        <w:rPr>
          <w:rFonts w:ascii="Arial" w:hAnsi="Arial" w:cs="Arial"/>
          <w:color w:val="000000" w:themeColor="text1"/>
          <w:kern w:val="0"/>
          <w:sz w:val="24"/>
          <w:szCs w:val="24"/>
        </w:rPr>
        <w:t xml:space="preserve"> (Accessed on 2017, November 21)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Pieters, J. (2000) New historicism: Postmodern historiography between narrativism and heterology. </w:t>
      </w:r>
      <w:r w:rsidRPr="00AE1FA0">
        <w:rPr>
          <w:rFonts w:ascii="Arial" w:hAnsi="Arial" w:cs="Arial"/>
          <w:i/>
          <w:iCs/>
          <w:color w:val="000000" w:themeColor="text1"/>
          <w:kern w:val="0"/>
          <w:sz w:val="24"/>
          <w:szCs w:val="24"/>
        </w:rPr>
        <w:t>History and Theory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39</w:t>
      </w:r>
      <w:r w:rsidRPr="00AE1FA0">
        <w:rPr>
          <w:rFonts w:ascii="Arial" w:hAnsi="Arial" w:cs="Arial"/>
          <w:color w:val="000000" w:themeColor="text1"/>
          <w:kern w:val="0"/>
          <w:sz w:val="24"/>
          <w:szCs w:val="24"/>
        </w:rPr>
        <w:t>(1): 21-38.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Philo, C. (1995) </w:t>
      </w:r>
      <w:r w:rsidRPr="00AE1FA0">
        <w:rPr>
          <w:rFonts w:ascii="Arial" w:hAnsi="Arial" w:cs="Arial"/>
          <w:i/>
          <w:iCs/>
          <w:color w:val="000000" w:themeColor="text1"/>
          <w:kern w:val="0"/>
          <w:sz w:val="24"/>
          <w:szCs w:val="24"/>
        </w:rPr>
        <w:t>Off the map: The social geography of poverty in the UK</w:t>
      </w:r>
      <w:r w:rsidRPr="00AE1FA0">
        <w:rPr>
          <w:rFonts w:ascii="Arial" w:hAnsi="Arial" w:cs="Arial"/>
          <w:color w:val="000000" w:themeColor="text1"/>
          <w:kern w:val="0"/>
          <w:sz w:val="24"/>
          <w:szCs w:val="24"/>
        </w:rPr>
        <w:t xml:space="preserve"> (No. 91). London: Child Poverty Action Group</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Prasad, A. (2002) The contest over meaning: Hermeneutics as an interpretive methodology for understanding texts. </w:t>
      </w:r>
      <w:r w:rsidRPr="00AE1FA0">
        <w:rPr>
          <w:rFonts w:ascii="Arial" w:hAnsi="Arial" w:cs="Arial"/>
          <w:i/>
          <w:color w:val="000000" w:themeColor="text1"/>
          <w:kern w:val="0"/>
          <w:sz w:val="24"/>
          <w:szCs w:val="24"/>
        </w:rPr>
        <w:t>Organizational Research Methods</w:t>
      </w:r>
      <w:r w:rsidRPr="00AE1FA0">
        <w:rPr>
          <w:rFonts w:ascii="Arial" w:hAnsi="Arial" w:cs="Arial"/>
          <w:color w:val="000000" w:themeColor="text1"/>
          <w:kern w:val="0"/>
          <w:sz w:val="24"/>
          <w:szCs w:val="24"/>
        </w:rPr>
        <w:t>, 5(1): 12-33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Pred, A. (1985) The social becomes the spatial, the spatial becomes the social: enclosures, social change and the becoming of places in Skåne. In Gregory, D. and Urry, J. (eds) </w:t>
      </w:r>
      <w:r w:rsidRPr="00AE1FA0">
        <w:rPr>
          <w:rFonts w:ascii="Arial" w:hAnsi="Arial" w:cs="Arial"/>
          <w:i/>
          <w:iCs/>
          <w:color w:val="000000" w:themeColor="text1"/>
          <w:kern w:val="0"/>
          <w:sz w:val="24"/>
          <w:szCs w:val="24"/>
        </w:rPr>
        <w:t>Social relations and spatial structures.</w:t>
      </w:r>
      <w:r w:rsidRPr="00AE1FA0">
        <w:rPr>
          <w:rFonts w:ascii="Arial" w:hAnsi="Arial" w:cs="Arial"/>
          <w:color w:val="000000" w:themeColor="text1"/>
          <w:kern w:val="0"/>
          <w:sz w:val="24"/>
          <w:szCs w:val="24"/>
        </w:rPr>
        <w:t xml:space="preserve"> London: Palgrave. Pp.337-365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Prigge, W. (2008) Reading the urban revolution: Space and representation. In Goonewardena, K., Kipfer, S., Milgrom, R., and Schmid, C. (eds.) </w:t>
      </w:r>
      <w:r w:rsidRPr="00AE1FA0">
        <w:rPr>
          <w:rFonts w:ascii="Arial" w:hAnsi="Arial" w:cs="Arial"/>
          <w:i/>
          <w:iCs/>
          <w:color w:val="000000" w:themeColor="text1"/>
          <w:kern w:val="0"/>
          <w:sz w:val="24"/>
          <w:szCs w:val="24"/>
        </w:rPr>
        <w:t>Space, Difference, Everyday Life: Reading Henri Lefebvre</w:t>
      </w:r>
      <w:r w:rsidRPr="00AE1FA0">
        <w:rPr>
          <w:rFonts w:ascii="Arial" w:hAnsi="Arial" w:cs="Arial"/>
          <w:color w:val="000000" w:themeColor="text1"/>
          <w:kern w:val="0"/>
          <w:sz w:val="24"/>
          <w:szCs w:val="24"/>
        </w:rPr>
        <w:t>. London: Routledge. Pp.46-61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Ranade, S. (2007) The way she moves: Mapping the everyday production of gender-space. </w:t>
      </w:r>
      <w:r w:rsidRPr="00AE1FA0">
        <w:rPr>
          <w:rFonts w:ascii="Arial" w:hAnsi="Arial" w:cs="Arial"/>
          <w:i/>
          <w:iCs/>
          <w:color w:val="000000" w:themeColor="text1"/>
          <w:kern w:val="0"/>
          <w:sz w:val="24"/>
          <w:szCs w:val="24"/>
        </w:rPr>
        <w:t>Economic and Political Weekly</w:t>
      </w:r>
      <w:r w:rsidRPr="00AE1FA0">
        <w:rPr>
          <w:rFonts w:ascii="Arial" w:hAnsi="Arial" w:cs="Arial"/>
          <w:color w:val="000000" w:themeColor="text1"/>
          <w:kern w:val="0"/>
          <w:sz w:val="24"/>
          <w:szCs w:val="24"/>
        </w:rPr>
        <w:t>, 42(17): 1519-1526.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Rapley, T. J. (2001) The art (fulness) of open-ended interviewing: some considerations on analysing interviews. </w:t>
      </w:r>
      <w:r w:rsidRPr="00AE1FA0">
        <w:rPr>
          <w:rFonts w:ascii="Arial" w:hAnsi="Arial" w:cs="Arial"/>
          <w:i/>
          <w:iCs/>
          <w:color w:val="000000" w:themeColor="text1"/>
          <w:kern w:val="0"/>
          <w:sz w:val="24"/>
          <w:szCs w:val="24"/>
        </w:rPr>
        <w:t>Qualitative Research</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w:t>
      </w:r>
      <w:r w:rsidRPr="00AE1FA0">
        <w:rPr>
          <w:rFonts w:ascii="Arial" w:hAnsi="Arial" w:cs="Arial"/>
          <w:color w:val="000000" w:themeColor="text1"/>
          <w:kern w:val="0"/>
          <w:sz w:val="24"/>
          <w:szCs w:val="24"/>
        </w:rPr>
        <w:t>(3): 303-323.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Rescher, N. (1996) </w:t>
      </w:r>
      <w:r w:rsidRPr="00AE1FA0">
        <w:rPr>
          <w:rFonts w:ascii="Arial" w:hAnsi="Arial" w:cs="Arial"/>
          <w:i/>
          <w:iCs/>
          <w:color w:val="000000" w:themeColor="text1"/>
          <w:kern w:val="0"/>
          <w:sz w:val="24"/>
          <w:szCs w:val="24"/>
        </w:rPr>
        <w:t>Process metaphysics: An introduction to process philosophy</w:t>
      </w:r>
      <w:r w:rsidRPr="00AE1FA0">
        <w:rPr>
          <w:rFonts w:ascii="Arial" w:hAnsi="Arial" w:cs="Arial"/>
          <w:color w:val="000000" w:themeColor="text1"/>
          <w:kern w:val="0"/>
          <w:sz w:val="24"/>
          <w:szCs w:val="24"/>
        </w:rPr>
        <w:t xml:space="preserve">. New York: State University of New York Press. </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RHUL Archive (2016) </w:t>
      </w:r>
      <w:r w:rsidRPr="00AE1FA0">
        <w:rPr>
          <w:rFonts w:ascii="Arial" w:hAnsi="Arial" w:cs="Arial"/>
          <w:i/>
          <w:color w:val="000000" w:themeColor="text1"/>
          <w:kern w:val="0"/>
          <w:sz w:val="24"/>
          <w:szCs w:val="24"/>
        </w:rPr>
        <w:t>Below stairs</w:t>
      </w:r>
      <w:r w:rsidRPr="00AE1FA0">
        <w:rPr>
          <w:rFonts w:ascii="Arial" w:hAnsi="Arial" w:cs="Arial"/>
          <w:color w:val="000000" w:themeColor="text1"/>
          <w:kern w:val="0"/>
          <w:sz w:val="24"/>
          <w:szCs w:val="24"/>
        </w:rPr>
        <w:t xml:space="preserve">. Available: </w:t>
      </w:r>
      <w:hyperlink r:id="rId31" w:history="1">
        <w:r w:rsidRPr="00AE1FA0">
          <w:rPr>
            <w:rFonts w:ascii="Arial" w:hAnsi="Arial" w:cs="Arial"/>
            <w:color w:val="000000" w:themeColor="text1"/>
            <w:kern w:val="0"/>
            <w:sz w:val="24"/>
            <w:szCs w:val="24"/>
            <w:u w:val="single"/>
          </w:rPr>
          <w:t>https://www.royalholloway.ac.uk/archives/exhibitions/community/belowstairs.aspx</w:t>
        </w:r>
      </w:hyperlink>
      <w:r w:rsidRPr="00AE1FA0">
        <w:rPr>
          <w:rFonts w:ascii="Arial" w:hAnsi="Arial" w:cs="Arial"/>
          <w:color w:val="000000" w:themeColor="text1"/>
          <w:kern w:val="0"/>
          <w:sz w:val="24"/>
          <w:szCs w:val="24"/>
        </w:rPr>
        <w:t xml:space="preserve"> (Accessed on 2016, May 25)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Rose, G (2000) Practising photography: an archive, a study, some photographs and a researcher. </w:t>
      </w:r>
      <w:r w:rsidRPr="00AE1FA0">
        <w:rPr>
          <w:rFonts w:ascii="Arial" w:hAnsi="Arial" w:cs="Arial"/>
          <w:i/>
          <w:iCs/>
          <w:color w:val="000000" w:themeColor="text1"/>
          <w:kern w:val="0"/>
          <w:sz w:val="24"/>
          <w:szCs w:val="24"/>
        </w:rPr>
        <w:t>Journal of Historical Geography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26</w:t>
      </w:r>
      <w:r w:rsidRPr="00AE1FA0">
        <w:rPr>
          <w:rFonts w:ascii="Arial" w:hAnsi="Arial" w:cs="Arial"/>
          <w:color w:val="000000" w:themeColor="text1"/>
          <w:kern w:val="0"/>
          <w:sz w:val="24"/>
          <w:szCs w:val="24"/>
        </w:rPr>
        <w:t>(4): 555-571.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Ross, K. (1988) </w:t>
      </w:r>
      <w:r w:rsidRPr="00AE1FA0">
        <w:rPr>
          <w:rFonts w:ascii="Arial" w:hAnsi="Arial" w:cs="Arial"/>
          <w:i/>
          <w:color w:val="000000" w:themeColor="text1"/>
          <w:kern w:val="0"/>
          <w:sz w:val="24"/>
          <w:szCs w:val="24"/>
        </w:rPr>
        <w:t>The emergence of social space: Rrmbaud and the Paris Commune.</w:t>
      </w:r>
      <w:r w:rsidRPr="00AE1FA0">
        <w:rPr>
          <w:rFonts w:ascii="Arial" w:hAnsi="Arial" w:cs="Arial"/>
          <w:color w:val="000000" w:themeColor="text1"/>
          <w:kern w:val="0"/>
          <w:sz w:val="24"/>
          <w:szCs w:val="24"/>
        </w:rPr>
        <w:t xml:space="preserve"> Minneapolis: The University of Minnesota Press. </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Rowlinson, M., Hassard, J., and Decker, S. (2014) Research strategies for organizational history: A dialogue between historical theory and organization theory. </w:t>
      </w:r>
      <w:r w:rsidRPr="00AE1FA0">
        <w:rPr>
          <w:rFonts w:ascii="Arial" w:hAnsi="Arial" w:cs="Arial"/>
          <w:i/>
          <w:iCs/>
          <w:color w:val="000000" w:themeColor="text1"/>
          <w:kern w:val="0"/>
          <w:sz w:val="24"/>
          <w:szCs w:val="24"/>
        </w:rPr>
        <w:t>Academy of Management Review</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39</w:t>
      </w:r>
      <w:r w:rsidRPr="00AE1FA0">
        <w:rPr>
          <w:rFonts w:ascii="Arial" w:hAnsi="Arial" w:cs="Arial"/>
          <w:color w:val="000000" w:themeColor="text1"/>
          <w:kern w:val="0"/>
          <w:sz w:val="24"/>
          <w:szCs w:val="24"/>
        </w:rPr>
        <w:t>(3): 250-274.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Russon, J. (1994) Embodiment and responsibility: Merleau-Ponty and the ontology of nature. </w:t>
      </w:r>
      <w:proofErr w:type="gramStart"/>
      <w:r w:rsidRPr="00AE1FA0">
        <w:rPr>
          <w:rFonts w:ascii="Arial" w:hAnsi="Arial" w:cs="Arial"/>
          <w:i/>
          <w:iCs/>
          <w:color w:val="000000" w:themeColor="text1"/>
          <w:kern w:val="0"/>
          <w:sz w:val="24"/>
          <w:szCs w:val="24"/>
        </w:rPr>
        <w:t>Man</w:t>
      </w:r>
      <w:proofErr w:type="gramEnd"/>
      <w:r w:rsidRPr="00AE1FA0">
        <w:rPr>
          <w:rFonts w:ascii="Arial" w:hAnsi="Arial" w:cs="Arial"/>
          <w:i/>
          <w:iCs/>
          <w:color w:val="000000" w:themeColor="text1"/>
          <w:kern w:val="0"/>
          <w:sz w:val="24"/>
          <w:szCs w:val="24"/>
        </w:rPr>
        <w:t xml:space="preserve"> and World</w:t>
      </w:r>
      <w:r w:rsidRPr="00AE1FA0">
        <w:rPr>
          <w:rFonts w:ascii="Arial" w:hAnsi="Arial" w:cs="Arial"/>
          <w:color w:val="000000" w:themeColor="text1"/>
          <w:kern w:val="0"/>
          <w:sz w:val="24"/>
          <w:szCs w:val="24"/>
        </w:rPr>
        <w:t xml:space="preserve">, </w:t>
      </w:r>
      <w:r w:rsidRPr="00AE1FA0">
        <w:rPr>
          <w:rFonts w:ascii="Arial" w:hAnsi="Arial" w:cs="Arial"/>
          <w:i/>
          <w:iCs/>
          <w:color w:val="000000" w:themeColor="text1"/>
          <w:kern w:val="0"/>
          <w:sz w:val="24"/>
          <w:szCs w:val="24"/>
        </w:rPr>
        <w:t>27</w:t>
      </w:r>
      <w:r w:rsidRPr="00AE1FA0">
        <w:rPr>
          <w:rFonts w:ascii="Arial" w:hAnsi="Arial" w:cs="Arial"/>
          <w:color w:val="000000" w:themeColor="text1"/>
          <w:kern w:val="0"/>
          <w:sz w:val="24"/>
          <w:szCs w:val="24"/>
        </w:rPr>
        <w:t>(3): 291-308.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Salt, C. and Bennett, L. (1986) </w:t>
      </w:r>
      <w:r w:rsidRPr="00AE1FA0">
        <w:rPr>
          <w:rFonts w:ascii="Arial" w:hAnsi="Arial" w:cs="Arial"/>
          <w:i/>
          <w:iCs/>
          <w:color w:val="000000" w:themeColor="text1"/>
          <w:kern w:val="0"/>
          <w:sz w:val="24"/>
          <w:szCs w:val="24"/>
        </w:rPr>
        <w:t>College Lives: Royal Holloway and Bedford New College University of London</w:t>
      </w:r>
      <w:r w:rsidRPr="00AE1FA0">
        <w:rPr>
          <w:rFonts w:ascii="Arial" w:hAnsi="Arial" w:cs="Arial"/>
          <w:color w:val="000000" w:themeColor="text1"/>
          <w:kern w:val="0"/>
          <w:sz w:val="24"/>
          <w:szCs w:val="24"/>
        </w:rPr>
        <w:t>, London: Royal Holloway and Bedford New College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Sandberg, J. (2005) How do we justify knowledge produced within interpretive approaches? </w:t>
      </w:r>
      <w:r w:rsidRPr="00AE1FA0">
        <w:rPr>
          <w:rFonts w:ascii="Arial" w:hAnsi="Arial" w:cs="Arial"/>
          <w:i/>
          <w:color w:val="000000" w:themeColor="text1"/>
          <w:kern w:val="0"/>
          <w:sz w:val="24"/>
          <w:szCs w:val="24"/>
        </w:rPr>
        <w:t>Organizational Research Methods</w:t>
      </w:r>
      <w:r w:rsidRPr="00AE1FA0">
        <w:rPr>
          <w:rFonts w:ascii="Arial" w:hAnsi="Arial" w:cs="Arial"/>
          <w:color w:val="000000" w:themeColor="text1"/>
          <w:kern w:val="0"/>
          <w:sz w:val="24"/>
          <w:szCs w:val="24"/>
        </w:rPr>
        <w:t>, 8(1): 41-68.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Sanders, P. (1982) Phenomenology: A new way of viewing organizational research. </w:t>
      </w:r>
      <w:r w:rsidRPr="00AE1FA0">
        <w:rPr>
          <w:rFonts w:ascii="Arial" w:hAnsi="Arial" w:cs="Arial"/>
          <w:i/>
          <w:iCs/>
          <w:color w:val="000000" w:themeColor="text1"/>
          <w:kern w:val="0"/>
          <w:sz w:val="24"/>
          <w:szCs w:val="24"/>
        </w:rPr>
        <w:t>Academy of Management Review</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7</w:t>
      </w:r>
      <w:r w:rsidRPr="00AE1FA0">
        <w:rPr>
          <w:rFonts w:ascii="Arial" w:hAnsi="Arial" w:cs="Arial"/>
          <w:color w:val="000000" w:themeColor="text1"/>
          <w:kern w:val="0"/>
          <w:sz w:val="24"/>
          <w:szCs w:val="24"/>
        </w:rPr>
        <w:t>(3), 353-360.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Schmid, C. (2008) Henri Lefebvre’s theory of the production of space: Towards a three-dimensional dialectic. </w:t>
      </w:r>
      <w:r w:rsidRPr="00AE1FA0">
        <w:rPr>
          <w:rFonts w:ascii="Arial" w:hAnsi="Arial" w:cs="Arial"/>
          <w:iCs/>
          <w:color w:val="000000" w:themeColor="text1"/>
          <w:kern w:val="0"/>
          <w:sz w:val="24"/>
          <w:szCs w:val="24"/>
        </w:rPr>
        <w:t xml:space="preserve">In </w:t>
      </w:r>
      <w:r w:rsidRPr="00AE1FA0">
        <w:rPr>
          <w:rFonts w:ascii="Arial" w:hAnsi="Arial" w:cs="Arial"/>
          <w:i/>
          <w:iCs/>
          <w:color w:val="000000" w:themeColor="text1"/>
          <w:kern w:val="0"/>
          <w:sz w:val="24"/>
          <w:szCs w:val="24"/>
        </w:rPr>
        <w:t xml:space="preserve">Goonewardena, K., Kipfer, S., Milgrom, R., and Schmid, C. (eds.) Space, Difference, Everyday Life: Reading Henri Lefebvre. </w:t>
      </w:r>
      <w:r w:rsidRPr="00AE1FA0">
        <w:rPr>
          <w:rFonts w:ascii="Arial" w:hAnsi="Arial" w:cs="Arial"/>
          <w:iCs/>
          <w:color w:val="000000" w:themeColor="text1"/>
          <w:kern w:val="0"/>
          <w:sz w:val="24"/>
          <w:szCs w:val="24"/>
        </w:rPr>
        <w:t>London: Routledge. Pp.27-45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lang w:val="en"/>
        </w:rPr>
        <w:lastRenderedPageBreak/>
        <w:t xml:space="preserve">Schwartz, J. M. (2000) Photography, archives, and the illusion of control. </w:t>
      </w:r>
      <w:r w:rsidRPr="00AE1FA0">
        <w:rPr>
          <w:rFonts w:ascii="Arial" w:hAnsi="Arial" w:cs="Arial"/>
          <w:i/>
          <w:iCs/>
          <w:color w:val="000000" w:themeColor="text1"/>
          <w:kern w:val="0"/>
          <w:sz w:val="24"/>
          <w:szCs w:val="24"/>
          <w:lang w:val="en"/>
        </w:rPr>
        <w:t>Archivaria</w:t>
      </w:r>
      <w:r w:rsidRPr="00AE1FA0">
        <w:rPr>
          <w:rFonts w:ascii="Arial" w:hAnsi="Arial" w:cs="Arial"/>
          <w:color w:val="000000" w:themeColor="text1"/>
          <w:kern w:val="0"/>
          <w:sz w:val="24"/>
          <w:szCs w:val="24"/>
          <w:lang w:val="en"/>
        </w:rPr>
        <w:t>, 50: 1–40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Schwartz, J. M. and Cook, T. (2002) Archives, records, and power: The making of modern memory. </w:t>
      </w:r>
      <w:r w:rsidRPr="00AE1FA0">
        <w:rPr>
          <w:rFonts w:ascii="Arial" w:hAnsi="Arial" w:cs="Arial"/>
          <w:i/>
          <w:iCs/>
          <w:color w:val="000000" w:themeColor="text1"/>
          <w:kern w:val="0"/>
          <w:sz w:val="24"/>
          <w:szCs w:val="24"/>
        </w:rPr>
        <w:t>Archival Science</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w:t>
      </w:r>
      <w:r w:rsidRPr="00AE1FA0">
        <w:rPr>
          <w:rFonts w:ascii="Arial" w:hAnsi="Arial" w:cs="Arial"/>
          <w:color w:val="000000" w:themeColor="text1"/>
          <w:kern w:val="0"/>
          <w:sz w:val="24"/>
          <w:szCs w:val="24"/>
        </w:rPr>
        <w:t>(1-2): 1-19.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Seale, C. (1998) Qualitative interviewing. In Seal, C. (ed) </w:t>
      </w:r>
      <w:r w:rsidRPr="00AE1FA0">
        <w:rPr>
          <w:rFonts w:ascii="Arial" w:hAnsi="Arial" w:cs="Arial"/>
          <w:i/>
          <w:iCs/>
          <w:color w:val="000000" w:themeColor="text1"/>
          <w:kern w:val="0"/>
          <w:sz w:val="24"/>
          <w:szCs w:val="24"/>
        </w:rPr>
        <w:t>Researching society and culture. 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Shankar, A. and Patterson, M. (2001) Interpreting the past, writing the future. </w:t>
      </w:r>
      <w:r w:rsidRPr="00AE1FA0">
        <w:rPr>
          <w:rFonts w:ascii="Arial" w:hAnsi="Arial" w:cs="Arial"/>
          <w:i/>
          <w:iCs/>
          <w:color w:val="000000" w:themeColor="text1"/>
          <w:kern w:val="0"/>
          <w:sz w:val="24"/>
          <w:szCs w:val="24"/>
        </w:rPr>
        <w:t>Journal of Marketing Management</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17</w:t>
      </w:r>
      <w:r w:rsidRPr="00AE1FA0">
        <w:rPr>
          <w:rFonts w:ascii="Arial" w:hAnsi="Arial" w:cs="Arial"/>
          <w:color w:val="000000" w:themeColor="text1"/>
          <w:kern w:val="0"/>
          <w:sz w:val="24"/>
          <w:szCs w:val="24"/>
        </w:rPr>
        <w:t>(5-6): 481-501.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Shields, R. (1999) </w:t>
      </w:r>
      <w:r w:rsidRPr="00AE1FA0">
        <w:rPr>
          <w:rFonts w:ascii="Arial" w:hAnsi="Arial" w:cs="Arial"/>
          <w:i/>
          <w:color w:val="000000" w:themeColor="text1"/>
          <w:kern w:val="0"/>
          <w:sz w:val="24"/>
          <w:szCs w:val="24"/>
        </w:rPr>
        <w:t>Lefebvre, love and struggle</w:t>
      </w:r>
      <w:r w:rsidRPr="00AE1FA0">
        <w:rPr>
          <w:rFonts w:ascii="Arial" w:hAnsi="Arial" w:cs="Arial"/>
          <w:color w:val="000000" w:themeColor="text1"/>
          <w:kern w:val="0"/>
          <w:sz w:val="24"/>
          <w:szCs w:val="24"/>
        </w:rPr>
        <w:t>. London: 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Simonsen, K. (2005) Bodies, sensations, space and time: The contribution from Henri Lefebvre. </w:t>
      </w:r>
      <w:r w:rsidRPr="00AE1FA0">
        <w:rPr>
          <w:rFonts w:ascii="Arial" w:hAnsi="Arial" w:cs="Arial"/>
          <w:i/>
          <w:iCs/>
          <w:color w:val="000000" w:themeColor="text1"/>
          <w:kern w:val="0"/>
          <w:sz w:val="24"/>
          <w:szCs w:val="24"/>
        </w:rPr>
        <w:t>Geografiska Annaler: Series B, Human Geography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87</w:t>
      </w:r>
      <w:r w:rsidRPr="00AE1FA0">
        <w:rPr>
          <w:rFonts w:ascii="Arial" w:hAnsi="Arial" w:cs="Arial"/>
          <w:color w:val="000000" w:themeColor="text1"/>
          <w:kern w:val="0"/>
          <w:sz w:val="24"/>
          <w:szCs w:val="24"/>
        </w:rPr>
        <w:t>(1): 1-14.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Sin, C. H. (2003) Interviewing in ‘place’: the socio</w:t>
      </w:r>
      <w:r w:rsidRPr="00AE1FA0">
        <w:rPr>
          <w:rFonts w:ascii="Cambria Math" w:hAnsi="Cambria Math" w:cs="Cambria Math"/>
          <w:color w:val="000000" w:themeColor="text1"/>
          <w:kern w:val="0"/>
          <w:sz w:val="24"/>
          <w:szCs w:val="24"/>
        </w:rPr>
        <w:t>‐</w:t>
      </w:r>
      <w:r w:rsidRPr="00AE1FA0">
        <w:rPr>
          <w:rFonts w:ascii="Arial" w:hAnsi="Arial" w:cs="Arial"/>
          <w:color w:val="000000" w:themeColor="text1"/>
          <w:kern w:val="0"/>
          <w:sz w:val="24"/>
          <w:szCs w:val="24"/>
        </w:rPr>
        <w:t xml:space="preserve">spatial construction of interview data. </w:t>
      </w:r>
      <w:r w:rsidRPr="00AE1FA0">
        <w:rPr>
          <w:rFonts w:ascii="Arial" w:hAnsi="Arial" w:cs="Arial"/>
          <w:i/>
          <w:iCs/>
          <w:color w:val="000000" w:themeColor="text1"/>
          <w:kern w:val="0"/>
          <w:sz w:val="24"/>
          <w:szCs w:val="24"/>
        </w:rPr>
        <w:t>Area</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35</w:t>
      </w:r>
      <w:r w:rsidRPr="00AE1FA0">
        <w:rPr>
          <w:rFonts w:ascii="Arial" w:hAnsi="Arial" w:cs="Arial"/>
          <w:color w:val="000000" w:themeColor="text1"/>
          <w:kern w:val="0"/>
          <w:sz w:val="24"/>
          <w:szCs w:val="24"/>
        </w:rPr>
        <w:t>(3): 305-312.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Shilling, C. (1991) Social space, gender inequalities and educational differentiation. </w:t>
      </w:r>
      <w:r w:rsidRPr="00AE1FA0">
        <w:rPr>
          <w:rFonts w:ascii="Arial" w:hAnsi="Arial" w:cs="Arial"/>
          <w:i/>
          <w:iCs/>
          <w:color w:val="000000" w:themeColor="text1"/>
          <w:kern w:val="0"/>
          <w:sz w:val="24"/>
          <w:szCs w:val="24"/>
        </w:rPr>
        <w:t>British Journal of Sociology of Education</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12</w:t>
      </w:r>
      <w:r w:rsidRPr="00AE1FA0">
        <w:rPr>
          <w:rFonts w:ascii="Arial" w:hAnsi="Arial" w:cs="Arial"/>
          <w:color w:val="000000" w:themeColor="text1"/>
          <w:kern w:val="0"/>
          <w:sz w:val="24"/>
          <w:szCs w:val="24"/>
        </w:rPr>
        <w:t>(1): 23-44.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Silverman, D. (2016) </w:t>
      </w:r>
      <w:r w:rsidRPr="00AE1FA0">
        <w:rPr>
          <w:rFonts w:ascii="Arial" w:hAnsi="Arial" w:cs="Arial"/>
          <w:i/>
          <w:iCs/>
          <w:color w:val="000000" w:themeColor="text1"/>
          <w:kern w:val="0"/>
          <w:sz w:val="24"/>
          <w:szCs w:val="24"/>
        </w:rPr>
        <w:t>Qualitative research</w:t>
      </w:r>
      <w:r w:rsidRPr="00AE1FA0">
        <w:rPr>
          <w:rFonts w:ascii="Arial" w:hAnsi="Arial" w:cs="Arial"/>
          <w:color w:val="000000" w:themeColor="text1"/>
          <w:kern w:val="0"/>
          <w:sz w:val="24"/>
          <w:szCs w:val="24"/>
        </w:rPr>
        <w:t>. 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Singer, J., Rexhaj, B., and Baddeley, J. (2007) Older, wiser, and happier? Comparing older adults’ and college students’ self-defining memories. </w:t>
      </w:r>
      <w:r w:rsidRPr="00AE1FA0">
        <w:rPr>
          <w:rFonts w:ascii="Arial" w:hAnsi="Arial" w:cs="Arial"/>
          <w:i/>
          <w:iCs/>
          <w:color w:val="000000" w:themeColor="text1"/>
          <w:kern w:val="0"/>
          <w:sz w:val="24"/>
          <w:szCs w:val="24"/>
        </w:rPr>
        <w:t>Memory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15</w:t>
      </w:r>
      <w:r w:rsidRPr="00AE1FA0">
        <w:rPr>
          <w:rFonts w:ascii="Arial" w:hAnsi="Arial" w:cs="Arial"/>
          <w:color w:val="000000" w:themeColor="text1"/>
          <w:kern w:val="0"/>
          <w:sz w:val="24"/>
          <w:szCs w:val="24"/>
        </w:rPr>
        <w:t>(8): 886-898.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Soja, E. W. (1989) </w:t>
      </w:r>
      <w:r w:rsidRPr="00AE1FA0">
        <w:rPr>
          <w:rFonts w:ascii="Arial" w:hAnsi="Arial" w:cs="Arial"/>
          <w:i/>
          <w:iCs/>
          <w:color w:val="000000" w:themeColor="text1"/>
          <w:kern w:val="0"/>
          <w:sz w:val="24"/>
          <w:szCs w:val="24"/>
        </w:rPr>
        <w:t>Postmodern geographies: The reassertion of space in critical social theory</w:t>
      </w:r>
      <w:r w:rsidRPr="00AE1FA0">
        <w:rPr>
          <w:rFonts w:ascii="Arial" w:hAnsi="Arial" w:cs="Arial"/>
          <w:color w:val="000000" w:themeColor="text1"/>
          <w:kern w:val="0"/>
          <w:sz w:val="24"/>
          <w:szCs w:val="24"/>
        </w:rPr>
        <w:t>. London: Verso.</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Stake, R. E. (1995) </w:t>
      </w:r>
      <w:r w:rsidRPr="00AE1FA0">
        <w:rPr>
          <w:rFonts w:ascii="Arial" w:hAnsi="Arial" w:cs="Arial"/>
          <w:i/>
          <w:iCs/>
          <w:color w:val="000000" w:themeColor="text1"/>
          <w:kern w:val="0"/>
          <w:sz w:val="24"/>
          <w:szCs w:val="24"/>
        </w:rPr>
        <w:t>The art of case study research</w:t>
      </w:r>
      <w:r w:rsidRPr="00AE1FA0">
        <w:rPr>
          <w:rFonts w:ascii="Arial" w:hAnsi="Arial" w:cs="Arial"/>
          <w:color w:val="000000" w:themeColor="text1"/>
          <w:kern w:val="0"/>
          <w:sz w:val="24"/>
          <w:szCs w:val="24"/>
        </w:rPr>
        <w:t>. 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Stanek, L. (2008) Space as concrete abstraction: Hegel, Marx, and modern urbanism in Henri Lefebvre. In Goonewardena, K., Kipfer, S., Milgrom, R. &amp; Schmid, C. (eds) </w:t>
      </w:r>
      <w:r w:rsidRPr="00AE1FA0">
        <w:rPr>
          <w:rFonts w:ascii="Arial" w:hAnsi="Arial" w:cs="Arial"/>
          <w:i/>
          <w:iCs/>
          <w:color w:val="000000" w:themeColor="text1"/>
          <w:kern w:val="0"/>
          <w:sz w:val="24"/>
          <w:szCs w:val="24"/>
        </w:rPr>
        <w:t xml:space="preserve">Space, Difference, Everyday Life: Reading Henri Lefebvre. </w:t>
      </w:r>
      <w:r w:rsidRPr="00AE1FA0">
        <w:rPr>
          <w:rFonts w:ascii="Arial" w:hAnsi="Arial" w:cs="Arial"/>
          <w:iCs/>
          <w:color w:val="000000" w:themeColor="text1"/>
          <w:kern w:val="0"/>
          <w:sz w:val="24"/>
          <w:szCs w:val="24"/>
        </w:rPr>
        <w:t>London: Routledge. Pp.62-79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Stewart, L. (1995) Bodies, visions, and spatial politics: a review essay on Henri Lefebvre's The Production of Space. </w:t>
      </w:r>
      <w:r w:rsidRPr="00AE1FA0">
        <w:rPr>
          <w:rFonts w:ascii="Arial" w:hAnsi="Arial" w:cs="Arial"/>
          <w:i/>
          <w:iCs/>
          <w:color w:val="000000" w:themeColor="text1"/>
          <w:kern w:val="0"/>
          <w:sz w:val="24"/>
          <w:szCs w:val="24"/>
        </w:rPr>
        <w:t>Environment and Planning D: Society and Space</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13</w:t>
      </w:r>
      <w:r w:rsidRPr="00AE1FA0">
        <w:rPr>
          <w:rFonts w:ascii="Arial" w:hAnsi="Arial" w:cs="Arial"/>
          <w:color w:val="000000" w:themeColor="text1"/>
          <w:kern w:val="0"/>
          <w:sz w:val="24"/>
          <w:szCs w:val="24"/>
        </w:rPr>
        <w:t>(5): 609-618.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Strati, A. (2000) </w:t>
      </w:r>
      <w:r w:rsidRPr="00AE1FA0">
        <w:rPr>
          <w:rFonts w:ascii="Arial" w:hAnsi="Arial" w:cs="Arial"/>
          <w:i/>
          <w:color w:val="000000" w:themeColor="text1"/>
          <w:kern w:val="0"/>
          <w:sz w:val="24"/>
          <w:szCs w:val="24"/>
        </w:rPr>
        <w:t>Theory and method in organization studies: Paradigms and choices</w:t>
      </w:r>
      <w:r w:rsidRPr="00AE1FA0">
        <w:rPr>
          <w:rFonts w:ascii="Arial" w:hAnsi="Arial" w:cs="Arial"/>
          <w:color w:val="000000" w:themeColor="text1"/>
          <w:kern w:val="0"/>
          <w:sz w:val="24"/>
          <w:szCs w:val="24"/>
        </w:rPr>
        <w:t>. 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Suddaby, R., Foster, W. M., and Quinn Trank, C. (2010) Rhetorical history as a source of competitive advantage. </w:t>
      </w:r>
      <w:r w:rsidRPr="00AE1FA0">
        <w:rPr>
          <w:rFonts w:ascii="Arial" w:hAnsi="Arial" w:cs="Arial"/>
          <w:i/>
          <w:color w:val="000000" w:themeColor="text1"/>
          <w:kern w:val="0"/>
          <w:sz w:val="24"/>
          <w:szCs w:val="24"/>
        </w:rPr>
        <w:t>Advances in Strategic Management</w:t>
      </w:r>
      <w:r w:rsidRPr="00AE1FA0">
        <w:rPr>
          <w:rFonts w:ascii="Arial" w:hAnsi="Arial" w:cs="Arial"/>
          <w:color w:val="000000" w:themeColor="text1"/>
          <w:kern w:val="0"/>
          <w:sz w:val="24"/>
          <w:szCs w:val="24"/>
        </w:rPr>
        <w:t>, 27: 147–173</w:t>
      </w:r>
    </w:p>
    <w:p w:rsidR="00AE1FA0" w:rsidRPr="00AE1FA0" w:rsidRDefault="00AE1FA0" w:rsidP="00AE1FA0">
      <w:pPr>
        <w:widowControl/>
        <w:spacing w:after="160" w:line="360" w:lineRule="auto"/>
        <w:ind w:left="360"/>
        <w:rPr>
          <w:rFonts w:ascii="Arial" w:hAnsi="Arial" w:cs="Arial"/>
          <w:i/>
          <w:color w:val="000000" w:themeColor="text1"/>
          <w:kern w:val="0"/>
          <w:sz w:val="24"/>
          <w:szCs w:val="24"/>
        </w:rPr>
      </w:pPr>
      <w:r w:rsidRPr="00AE1FA0">
        <w:rPr>
          <w:rFonts w:ascii="Arial" w:hAnsi="Arial" w:cs="Arial"/>
          <w:color w:val="000000" w:themeColor="text1"/>
          <w:kern w:val="0"/>
          <w:sz w:val="24"/>
          <w:szCs w:val="24"/>
        </w:rPr>
        <w:t>Sydow, J. (2004). Towards a Spatial Turn in Organization Science? A Long Wait</w:t>
      </w:r>
      <w:r w:rsidRPr="00AE1FA0">
        <w:rPr>
          <w:rFonts w:ascii="Arial" w:hAnsi="Arial" w:cs="Arial"/>
          <w:i/>
          <w:color w:val="000000" w:themeColor="text1"/>
          <w:kern w:val="0"/>
          <w:sz w:val="24"/>
          <w:szCs w:val="24"/>
        </w:rPr>
        <w:t>. in SECONS Discussion Forum, University of Bonn Contribution No. 8, pp.1–11.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Taylor, S. and Spicer, A. (2007) Time for space: A narrative review of research on organizational spaces. </w:t>
      </w:r>
      <w:r w:rsidRPr="00AE1FA0">
        <w:rPr>
          <w:rFonts w:ascii="Arial" w:hAnsi="Arial" w:cs="Arial"/>
          <w:i/>
          <w:iCs/>
          <w:color w:val="000000" w:themeColor="text1"/>
          <w:kern w:val="0"/>
          <w:sz w:val="24"/>
          <w:szCs w:val="24"/>
        </w:rPr>
        <w:t>International Journal of Management Reviews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9</w:t>
      </w:r>
      <w:r w:rsidRPr="00AE1FA0">
        <w:rPr>
          <w:rFonts w:ascii="Arial" w:hAnsi="Arial" w:cs="Arial"/>
          <w:color w:val="000000" w:themeColor="text1"/>
          <w:kern w:val="0"/>
          <w:sz w:val="24"/>
          <w:szCs w:val="24"/>
        </w:rPr>
        <w:t>(4): 325-346.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Taylor, S. and Wetherell, M. (1999) A suitable time and place: Speakers’ use of ‘time’ to do discursive work in narratives of nation and personal lie. </w:t>
      </w:r>
      <w:r w:rsidRPr="00AE1FA0">
        <w:rPr>
          <w:rFonts w:ascii="Arial" w:hAnsi="Arial" w:cs="Arial"/>
          <w:i/>
          <w:color w:val="000000" w:themeColor="text1"/>
          <w:kern w:val="0"/>
          <w:sz w:val="24"/>
          <w:szCs w:val="24"/>
        </w:rPr>
        <w:t>Time &amp; Society</w:t>
      </w:r>
      <w:r w:rsidRPr="00AE1FA0">
        <w:rPr>
          <w:rFonts w:ascii="Arial" w:hAnsi="Arial" w:cs="Arial"/>
          <w:color w:val="000000" w:themeColor="text1"/>
          <w:kern w:val="0"/>
          <w:sz w:val="24"/>
          <w:szCs w:val="24"/>
        </w:rPr>
        <w:t>, 8(1): 39-58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Tuomaala, K. A., Helenius, R., Keskinen, E., and Hongisto, V. (2009). Effects of acoustic environment on work in private office rooms and open-plan offices–longitudinal study during relocation. </w:t>
      </w:r>
      <w:r w:rsidRPr="00AE1FA0">
        <w:rPr>
          <w:rFonts w:ascii="Arial" w:hAnsi="Arial" w:cs="Arial"/>
          <w:i/>
          <w:iCs/>
          <w:color w:val="000000" w:themeColor="text1"/>
          <w:kern w:val="0"/>
          <w:sz w:val="24"/>
          <w:szCs w:val="24"/>
        </w:rPr>
        <w:t>Ergonomics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52</w:t>
      </w:r>
      <w:r w:rsidRPr="00AE1FA0">
        <w:rPr>
          <w:rFonts w:ascii="Arial" w:hAnsi="Arial" w:cs="Arial"/>
          <w:color w:val="000000" w:themeColor="text1"/>
          <w:kern w:val="0"/>
          <w:sz w:val="24"/>
          <w:szCs w:val="24"/>
        </w:rPr>
        <w:t>(11): 1423-1444.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Tosh, J. (2009) </w:t>
      </w:r>
      <w:r w:rsidRPr="00AE1FA0">
        <w:rPr>
          <w:rFonts w:ascii="Arial" w:hAnsi="Arial" w:cs="Arial"/>
          <w:i/>
          <w:color w:val="000000" w:themeColor="text1"/>
          <w:kern w:val="0"/>
          <w:sz w:val="24"/>
          <w:szCs w:val="24"/>
        </w:rPr>
        <w:t>The pursuit of history</w:t>
      </w:r>
      <w:r w:rsidRPr="00AE1FA0">
        <w:rPr>
          <w:rFonts w:ascii="Arial" w:hAnsi="Arial" w:cs="Arial"/>
          <w:color w:val="000000" w:themeColor="text1"/>
          <w:kern w:val="0"/>
          <w:sz w:val="24"/>
          <w:szCs w:val="24"/>
        </w:rPr>
        <w:t>. London: 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Toyoki, S. (2004) Constructive spatial criticism on critical spatial construction. </w:t>
      </w:r>
      <w:r w:rsidRPr="00AE1FA0">
        <w:rPr>
          <w:rFonts w:ascii="Arial" w:hAnsi="Arial" w:cs="Arial"/>
          <w:i/>
          <w:iCs/>
          <w:color w:val="000000" w:themeColor="text1"/>
          <w:kern w:val="0"/>
          <w:sz w:val="24"/>
          <w:szCs w:val="24"/>
        </w:rPr>
        <w:t>Ephemera: Theory and Politics in Organisation</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w:t>
      </w:r>
      <w:r w:rsidRPr="00AE1FA0">
        <w:rPr>
          <w:rFonts w:ascii="Arial" w:hAnsi="Arial" w:cs="Arial"/>
          <w:color w:val="000000" w:themeColor="text1"/>
          <w:kern w:val="0"/>
          <w:sz w:val="24"/>
          <w:szCs w:val="24"/>
        </w:rPr>
        <w:t>(4): 376-384.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Tsoukas, H. and Chia, R. (2002) On organizational becoming: Rethinking organizational change. </w:t>
      </w:r>
      <w:r w:rsidRPr="00AE1FA0">
        <w:rPr>
          <w:rFonts w:ascii="Arial" w:hAnsi="Arial" w:cs="Arial"/>
          <w:i/>
          <w:iCs/>
          <w:color w:val="000000" w:themeColor="text1"/>
          <w:kern w:val="0"/>
          <w:sz w:val="24"/>
          <w:szCs w:val="24"/>
        </w:rPr>
        <w:t>Organization science</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13</w:t>
      </w:r>
      <w:r w:rsidRPr="00AE1FA0">
        <w:rPr>
          <w:rFonts w:ascii="Arial" w:hAnsi="Arial" w:cs="Arial"/>
          <w:color w:val="000000" w:themeColor="text1"/>
          <w:kern w:val="0"/>
          <w:sz w:val="24"/>
          <w:szCs w:val="24"/>
        </w:rPr>
        <w:t>(5): 567-582.</w:t>
      </w:r>
    </w:p>
    <w:p w:rsidR="00AE1FA0" w:rsidRPr="00AE1FA0" w:rsidRDefault="00AE1FA0" w:rsidP="00AE1FA0">
      <w:pPr>
        <w:widowControl/>
        <w:spacing w:after="160" w:line="360" w:lineRule="auto"/>
        <w:ind w:left="360"/>
        <w:rPr>
          <w:rFonts w:ascii="Arial" w:hAnsi="Arial" w:cs="Arial"/>
          <w:i/>
          <w:color w:val="000000" w:themeColor="text1"/>
          <w:kern w:val="0"/>
          <w:sz w:val="24"/>
          <w:szCs w:val="24"/>
        </w:rPr>
      </w:pPr>
      <w:r w:rsidRPr="00AE1FA0">
        <w:rPr>
          <w:rFonts w:ascii="Arial" w:hAnsi="Arial" w:cs="Arial"/>
          <w:color w:val="000000" w:themeColor="text1"/>
          <w:kern w:val="0"/>
          <w:sz w:val="24"/>
          <w:szCs w:val="24"/>
        </w:rPr>
        <w:t xml:space="preserve">Tsoukas, H. (2000) New times, fresh challenges: Reflections on the past and the future of organization theory. In Tsoukas, H. and Knudsen, C. (eds) </w:t>
      </w:r>
      <w:r w:rsidRPr="00AE1FA0">
        <w:rPr>
          <w:rFonts w:ascii="Arial" w:hAnsi="Arial" w:cs="Arial"/>
          <w:i/>
          <w:color w:val="000000" w:themeColor="text1"/>
          <w:kern w:val="0"/>
          <w:sz w:val="24"/>
          <w:szCs w:val="24"/>
        </w:rPr>
        <w:t xml:space="preserve">The Oxford Handbook of Organization Theory. </w:t>
      </w:r>
      <w:r w:rsidRPr="00AE1FA0">
        <w:rPr>
          <w:rFonts w:ascii="Arial" w:hAnsi="Arial" w:cs="Arial"/>
          <w:color w:val="000000" w:themeColor="text1"/>
          <w:kern w:val="0"/>
          <w:sz w:val="24"/>
          <w:szCs w:val="24"/>
        </w:rPr>
        <w:t>Oxford: Oxford University Press. Pp.607-622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Tyler, M. and Cohen, L. (2010) Spaces that matter: Gender performativity and organizational space. </w:t>
      </w:r>
      <w:r w:rsidRPr="00AE1FA0">
        <w:rPr>
          <w:rFonts w:ascii="Arial" w:hAnsi="Arial" w:cs="Arial"/>
          <w:i/>
          <w:iCs/>
          <w:color w:val="000000" w:themeColor="text1"/>
          <w:kern w:val="0"/>
          <w:sz w:val="24"/>
          <w:szCs w:val="24"/>
        </w:rPr>
        <w:t>Organization Studies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31</w:t>
      </w:r>
      <w:r w:rsidRPr="00AE1FA0">
        <w:rPr>
          <w:rFonts w:ascii="Arial" w:hAnsi="Arial" w:cs="Arial"/>
          <w:color w:val="000000" w:themeColor="text1"/>
          <w:kern w:val="0"/>
          <w:sz w:val="24"/>
          <w:szCs w:val="24"/>
        </w:rPr>
        <w:t>(2): 175-198.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Unwin, T. (2000) A waste of space? Towards a critique of the social production of space. </w:t>
      </w:r>
      <w:r w:rsidRPr="00AE1FA0">
        <w:rPr>
          <w:rFonts w:ascii="Arial" w:hAnsi="Arial" w:cs="Arial"/>
          <w:i/>
          <w:iCs/>
          <w:color w:val="000000" w:themeColor="text1"/>
          <w:kern w:val="0"/>
          <w:sz w:val="24"/>
          <w:szCs w:val="24"/>
        </w:rPr>
        <w:t>Transactions of the Institute of British Geographers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25</w:t>
      </w:r>
      <w:r w:rsidRPr="00AE1FA0">
        <w:rPr>
          <w:rFonts w:ascii="Arial" w:hAnsi="Arial" w:cs="Arial"/>
          <w:color w:val="000000" w:themeColor="text1"/>
          <w:kern w:val="0"/>
          <w:sz w:val="24"/>
          <w:szCs w:val="24"/>
        </w:rPr>
        <w:t>(1): 11-29.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Üsdiken, B. and Kieser, A. (2004) Introduction: History in organisation studies. </w:t>
      </w:r>
      <w:r w:rsidRPr="00AE1FA0">
        <w:rPr>
          <w:rFonts w:ascii="Arial" w:hAnsi="Arial" w:cs="Arial"/>
          <w:i/>
          <w:iCs/>
          <w:color w:val="000000" w:themeColor="text1"/>
          <w:kern w:val="0"/>
          <w:sz w:val="24"/>
          <w:szCs w:val="24"/>
        </w:rPr>
        <w:t>Business History</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46</w:t>
      </w:r>
      <w:r w:rsidRPr="00AE1FA0">
        <w:rPr>
          <w:rFonts w:ascii="Arial" w:hAnsi="Arial" w:cs="Arial"/>
          <w:color w:val="000000" w:themeColor="text1"/>
          <w:kern w:val="0"/>
          <w:sz w:val="24"/>
          <w:szCs w:val="24"/>
        </w:rPr>
        <w:t>(3): 321-330.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Valand, M. and Georg, S. (2014) The socio-materiality of designing organizational change. </w:t>
      </w:r>
      <w:r w:rsidRPr="00AE1FA0">
        <w:rPr>
          <w:rFonts w:ascii="Arial" w:hAnsi="Arial" w:cs="Arial"/>
          <w:i/>
          <w:color w:val="000000" w:themeColor="text1"/>
          <w:kern w:val="0"/>
          <w:sz w:val="24"/>
          <w:szCs w:val="24"/>
        </w:rPr>
        <w:t>Journal of Organizational Change Management</w:t>
      </w:r>
      <w:r w:rsidRPr="00AE1FA0">
        <w:rPr>
          <w:rFonts w:ascii="Arial" w:hAnsi="Arial" w:cs="Arial"/>
          <w:color w:val="000000" w:themeColor="text1"/>
          <w:kern w:val="0"/>
          <w:sz w:val="24"/>
          <w:szCs w:val="24"/>
        </w:rPr>
        <w:t>, 27(3): 391-406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Van Ingen, C. (2003) Geographies of gender, sexuality and race: Reframing the focus on space in sport sociology. </w:t>
      </w:r>
      <w:r w:rsidRPr="00AE1FA0">
        <w:rPr>
          <w:rFonts w:ascii="Arial" w:hAnsi="Arial" w:cs="Arial"/>
          <w:i/>
          <w:iCs/>
          <w:color w:val="000000" w:themeColor="text1"/>
          <w:kern w:val="0"/>
          <w:sz w:val="24"/>
          <w:szCs w:val="24"/>
        </w:rPr>
        <w:t>International Review for the Sociology of Sport</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38</w:t>
      </w:r>
      <w:r w:rsidRPr="00AE1FA0">
        <w:rPr>
          <w:rFonts w:ascii="Arial" w:hAnsi="Arial" w:cs="Arial"/>
          <w:color w:val="000000" w:themeColor="text1"/>
          <w:kern w:val="0"/>
          <w:sz w:val="24"/>
          <w:szCs w:val="24"/>
        </w:rPr>
        <w:t>(2): 201-216.</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Van Leeuwen, E., Van Knippenberg, D., and Ellemers, N. (2003) Continuing and changing group identities: The effects of merging on social identification and ingroup bias. </w:t>
      </w:r>
      <w:r w:rsidRPr="00AE1FA0">
        <w:rPr>
          <w:rFonts w:ascii="Arial" w:hAnsi="Arial" w:cs="Arial"/>
          <w:i/>
          <w:color w:val="000000" w:themeColor="text1"/>
          <w:kern w:val="0"/>
          <w:sz w:val="24"/>
          <w:szCs w:val="24"/>
        </w:rPr>
        <w:t>Personality and Social Psychology Bulletin</w:t>
      </w:r>
      <w:r w:rsidRPr="00AE1FA0">
        <w:rPr>
          <w:rFonts w:ascii="Arial" w:hAnsi="Arial" w:cs="Arial"/>
          <w:color w:val="000000" w:themeColor="text1"/>
          <w:kern w:val="0"/>
          <w:sz w:val="24"/>
          <w:szCs w:val="24"/>
        </w:rPr>
        <w:t>, 29(6): 679-690.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Van Maanen, J. (2011) Ethnography as work: Some rules of engagement. </w:t>
      </w:r>
      <w:r w:rsidRPr="00AE1FA0">
        <w:rPr>
          <w:rFonts w:ascii="Arial" w:hAnsi="Arial" w:cs="Arial"/>
          <w:i/>
          <w:iCs/>
          <w:color w:val="000000" w:themeColor="text1"/>
          <w:kern w:val="0"/>
          <w:sz w:val="24"/>
          <w:szCs w:val="24"/>
        </w:rPr>
        <w:t>Journal of Management Studies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48</w:t>
      </w:r>
      <w:r w:rsidRPr="00AE1FA0">
        <w:rPr>
          <w:rFonts w:ascii="Arial" w:hAnsi="Arial" w:cs="Arial"/>
          <w:color w:val="000000" w:themeColor="text1"/>
          <w:kern w:val="0"/>
          <w:sz w:val="24"/>
          <w:szCs w:val="24"/>
        </w:rPr>
        <w:t>(1): 218-234.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Van Marrewijk, A. (2011) Aesthetic experiences of designed organisational space. </w:t>
      </w:r>
      <w:r w:rsidRPr="00AE1FA0">
        <w:rPr>
          <w:rFonts w:ascii="Arial" w:hAnsi="Arial" w:cs="Arial"/>
          <w:i/>
          <w:color w:val="000000" w:themeColor="text1"/>
          <w:kern w:val="0"/>
          <w:sz w:val="24"/>
          <w:szCs w:val="24"/>
        </w:rPr>
        <w:t>International Journal of Work Organisation and Emotion</w:t>
      </w:r>
      <w:r w:rsidRPr="00AE1FA0">
        <w:rPr>
          <w:rFonts w:ascii="Arial" w:hAnsi="Arial" w:cs="Arial"/>
          <w:color w:val="000000" w:themeColor="text1"/>
          <w:kern w:val="0"/>
          <w:sz w:val="24"/>
          <w:szCs w:val="24"/>
        </w:rPr>
        <w:t>, 4(1): 61-77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Van Meel, J. and Vos, P. (2001) Funky offices: reflections on office design in the ‘new economy’. </w:t>
      </w:r>
      <w:r w:rsidRPr="00AE1FA0">
        <w:rPr>
          <w:rFonts w:ascii="Arial" w:hAnsi="Arial" w:cs="Arial"/>
          <w:i/>
          <w:iCs/>
          <w:color w:val="000000" w:themeColor="text1"/>
          <w:kern w:val="0"/>
          <w:sz w:val="24"/>
          <w:szCs w:val="24"/>
        </w:rPr>
        <w:t>Journal of Corporate Real Estate</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w:t>
      </w:r>
      <w:r w:rsidRPr="00AE1FA0">
        <w:rPr>
          <w:rFonts w:ascii="Arial" w:hAnsi="Arial" w:cs="Arial"/>
          <w:color w:val="000000" w:themeColor="text1"/>
          <w:kern w:val="0"/>
          <w:sz w:val="24"/>
          <w:szCs w:val="24"/>
        </w:rPr>
        <w:t>(4): 322-334.</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Vassar (2016) </w:t>
      </w:r>
      <w:r w:rsidRPr="00AE1FA0">
        <w:rPr>
          <w:rFonts w:ascii="Arial" w:hAnsi="Arial" w:cs="Arial"/>
          <w:i/>
          <w:color w:val="000000" w:themeColor="text1"/>
          <w:kern w:val="0"/>
          <w:sz w:val="24"/>
          <w:szCs w:val="24"/>
        </w:rPr>
        <w:t>A history of Vassar College</w:t>
      </w:r>
      <w:r w:rsidRPr="00AE1FA0">
        <w:rPr>
          <w:rFonts w:ascii="Arial" w:hAnsi="Arial" w:cs="Arial"/>
          <w:color w:val="000000" w:themeColor="text1"/>
          <w:kern w:val="0"/>
          <w:sz w:val="24"/>
          <w:szCs w:val="24"/>
        </w:rPr>
        <w:t xml:space="preserve">. Available: </w:t>
      </w:r>
      <w:hyperlink r:id="rId32" w:history="1">
        <w:r w:rsidRPr="00AE1FA0">
          <w:rPr>
            <w:rFonts w:ascii="Arial" w:hAnsi="Arial" w:cs="Arial"/>
            <w:color w:val="000000" w:themeColor="text1"/>
            <w:kern w:val="0"/>
            <w:sz w:val="24"/>
            <w:szCs w:val="24"/>
            <w:u w:val="single"/>
          </w:rPr>
          <w:t>http://info.vassar.edu/about/vassar/history.html</w:t>
        </w:r>
      </w:hyperlink>
      <w:r w:rsidRPr="00AE1FA0">
        <w:rPr>
          <w:rFonts w:ascii="Arial" w:hAnsi="Arial" w:cs="Arial"/>
          <w:color w:val="000000" w:themeColor="text1"/>
          <w:kern w:val="0"/>
          <w:sz w:val="24"/>
          <w:szCs w:val="24"/>
        </w:rPr>
        <w:t xml:space="preserve"> (Accessed on 2016, February 08)</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Vasquez, C. (2013) Spacing organization: Or how to be here and there at the same time. In Robichaud, D. and Cooren, F. (eds) </w:t>
      </w:r>
      <w:r w:rsidRPr="00AE1FA0">
        <w:rPr>
          <w:rFonts w:ascii="Arial" w:hAnsi="Arial" w:cs="Arial"/>
          <w:i/>
          <w:color w:val="000000" w:themeColor="text1"/>
          <w:kern w:val="0"/>
          <w:sz w:val="24"/>
          <w:szCs w:val="24"/>
        </w:rPr>
        <w:t xml:space="preserve">Organization and </w:t>
      </w:r>
      <w:proofErr w:type="gramStart"/>
      <w:r w:rsidRPr="00AE1FA0">
        <w:rPr>
          <w:rFonts w:ascii="Arial" w:hAnsi="Arial" w:cs="Arial"/>
          <w:i/>
          <w:color w:val="000000" w:themeColor="text1"/>
          <w:kern w:val="0"/>
          <w:sz w:val="24"/>
          <w:szCs w:val="24"/>
        </w:rPr>
        <w:t>organizing:</w:t>
      </w:r>
      <w:proofErr w:type="gramEnd"/>
      <w:r w:rsidRPr="00AE1FA0">
        <w:rPr>
          <w:rFonts w:ascii="Arial" w:hAnsi="Arial" w:cs="Arial"/>
          <w:i/>
          <w:color w:val="000000" w:themeColor="text1"/>
          <w:kern w:val="0"/>
          <w:sz w:val="24"/>
          <w:szCs w:val="24"/>
        </w:rPr>
        <w:t xml:space="preserve"> materiality, agency and discourse.</w:t>
      </w:r>
      <w:r w:rsidRPr="00AE1FA0">
        <w:rPr>
          <w:rFonts w:ascii="Arial" w:hAnsi="Arial" w:cs="Arial"/>
          <w:color w:val="000000" w:themeColor="text1"/>
          <w:kern w:val="0"/>
          <w:sz w:val="24"/>
          <w:szCs w:val="24"/>
        </w:rPr>
        <w:t xml:space="preserve"> Oxon: Routledge. Pp.127-149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Vickery, M. (1999) </w:t>
      </w:r>
      <w:r w:rsidRPr="00AE1FA0">
        <w:rPr>
          <w:rFonts w:ascii="Arial" w:hAnsi="Arial" w:cs="Arial"/>
          <w:i/>
          <w:color w:val="000000" w:themeColor="text1"/>
          <w:kern w:val="0"/>
          <w:sz w:val="24"/>
          <w:szCs w:val="24"/>
        </w:rPr>
        <w:t>Buildings for bluestocking: the architecture and social history of women’s colleges in late Victorian England</w:t>
      </w:r>
      <w:r w:rsidRPr="00AE1FA0">
        <w:rPr>
          <w:rFonts w:ascii="Arial" w:hAnsi="Arial" w:cs="Arial"/>
          <w:color w:val="000000" w:themeColor="text1"/>
          <w:kern w:val="0"/>
          <w:sz w:val="24"/>
          <w:szCs w:val="24"/>
        </w:rPr>
        <w:t>. London: Associated University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Vilnai-Yavetz, I., Rafaeli, A., and Yaacov, C. S. (2005) Instrumentality, aesthetics, and symbolism of office design. </w:t>
      </w:r>
      <w:r w:rsidRPr="00AE1FA0">
        <w:rPr>
          <w:rFonts w:ascii="Arial" w:hAnsi="Arial" w:cs="Arial"/>
          <w:i/>
          <w:iCs/>
          <w:color w:val="000000" w:themeColor="text1"/>
          <w:kern w:val="0"/>
          <w:sz w:val="24"/>
          <w:szCs w:val="24"/>
        </w:rPr>
        <w:t>Environment and Behavior</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37</w:t>
      </w:r>
      <w:r w:rsidRPr="00AE1FA0">
        <w:rPr>
          <w:rFonts w:ascii="Arial" w:hAnsi="Arial" w:cs="Arial"/>
          <w:color w:val="000000" w:themeColor="text1"/>
          <w:kern w:val="0"/>
          <w:sz w:val="24"/>
          <w:szCs w:val="24"/>
        </w:rPr>
        <w:t>(4): 533-551.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Veeser, H. (2013) </w:t>
      </w:r>
      <w:r w:rsidRPr="00AE1FA0">
        <w:rPr>
          <w:rFonts w:ascii="Arial" w:hAnsi="Arial" w:cs="Arial"/>
          <w:i/>
          <w:iCs/>
          <w:color w:val="000000" w:themeColor="text1"/>
          <w:kern w:val="0"/>
          <w:sz w:val="24"/>
          <w:szCs w:val="24"/>
        </w:rPr>
        <w:t>The new historicism</w:t>
      </w:r>
      <w:r w:rsidRPr="00AE1FA0">
        <w:rPr>
          <w:rFonts w:ascii="Arial" w:hAnsi="Arial" w:cs="Arial"/>
          <w:color w:val="000000" w:themeColor="text1"/>
          <w:kern w:val="0"/>
          <w:sz w:val="24"/>
          <w:szCs w:val="24"/>
        </w:rPr>
        <w:t>. London: 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Wachterhauser, B. R. (1986) </w:t>
      </w:r>
      <w:r w:rsidRPr="00AE1FA0">
        <w:rPr>
          <w:rFonts w:ascii="Arial" w:hAnsi="Arial" w:cs="Arial"/>
          <w:i/>
          <w:iCs/>
          <w:color w:val="000000" w:themeColor="text1"/>
          <w:kern w:val="0"/>
          <w:sz w:val="24"/>
          <w:szCs w:val="24"/>
        </w:rPr>
        <w:t>Hermeneutics and modern philosophy</w:t>
      </w:r>
      <w:r w:rsidRPr="00AE1FA0">
        <w:rPr>
          <w:rFonts w:ascii="Arial" w:hAnsi="Arial" w:cs="Arial"/>
          <w:color w:val="000000" w:themeColor="text1"/>
          <w:kern w:val="0"/>
          <w:sz w:val="24"/>
          <w:szCs w:val="24"/>
        </w:rPr>
        <w:t>. New York: State University of New York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Wagner, P. (2003) As intellectual history meets historical sociology: historical sociology after the linguistic turn. In Delanty, G. &amp; Isin, E. (eds) </w:t>
      </w:r>
      <w:r w:rsidRPr="00AE1FA0">
        <w:rPr>
          <w:rFonts w:ascii="Arial" w:hAnsi="Arial" w:cs="Arial"/>
          <w:i/>
          <w:iCs/>
          <w:color w:val="000000" w:themeColor="text1"/>
          <w:kern w:val="0"/>
          <w:sz w:val="24"/>
          <w:szCs w:val="24"/>
        </w:rPr>
        <w:t>Handbook of historical sociology</w:t>
      </w:r>
      <w:r w:rsidRPr="00AE1FA0">
        <w:rPr>
          <w:rFonts w:ascii="Arial" w:hAnsi="Arial" w:cs="Arial"/>
          <w:color w:val="000000" w:themeColor="text1"/>
          <w:kern w:val="0"/>
          <w:sz w:val="24"/>
          <w:szCs w:val="24"/>
        </w:rPr>
        <w:t>. London: Sage. Pp.168-179</w:t>
      </w:r>
    </w:p>
    <w:p w:rsidR="00AE1FA0" w:rsidRPr="00AE1FA0" w:rsidRDefault="00AE1FA0" w:rsidP="00AE1FA0">
      <w:pPr>
        <w:widowControl/>
        <w:spacing w:after="160" w:line="360" w:lineRule="auto"/>
        <w:ind w:left="360"/>
        <w:jc w:val="left"/>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Wapshott, R. and Mallett, O. (2012) The spatial implications of homeworking: A lefebvrian approach to the rewards and challenges of home-based work. </w:t>
      </w:r>
      <w:r w:rsidRPr="00AE1FA0">
        <w:rPr>
          <w:rFonts w:ascii="Arial" w:hAnsi="Arial" w:cs="Arial"/>
          <w:i/>
          <w:color w:val="000000" w:themeColor="text1"/>
          <w:kern w:val="0"/>
          <w:sz w:val="24"/>
          <w:szCs w:val="24"/>
        </w:rPr>
        <w:t>Organisation</w:t>
      </w:r>
      <w:r w:rsidRPr="00AE1FA0">
        <w:rPr>
          <w:rFonts w:ascii="Arial" w:hAnsi="Arial" w:cs="Arial"/>
          <w:color w:val="000000" w:themeColor="text1"/>
          <w:kern w:val="0"/>
          <w:sz w:val="24"/>
          <w:szCs w:val="24"/>
        </w:rPr>
        <w:t>, 19(1),63-79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Warren, S. (2009) Visual methods in organizational research. In A. Bryman, &amp; D. Buchanan (eds.) </w:t>
      </w:r>
      <w:r w:rsidRPr="00AE1FA0">
        <w:rPr>
          <w:rFonts w:ascii="Arial" w:hAnsi="Arial" w:cs="Arial"/>
          <w:i/>
          <w:color w:val="000000" w:themeColor="text1"/>
          <w:kern w:val="0"/>
          <w:sz w:val="24"/>
          <w:szCs w:val="24"/>
        </w:rPr>
        <w:t>Handbook of organizational research methods</w:t>
      </w:r>
      <w:r w:rsidRPr="00AE1FA0">
        <w:rPr>
          <w:rFonts w:ascii="Arial" w:hAnsi="Arial" w:cs="Arial"/>
          <w:color w:val="000000" w:themeColor="text1"/>
          <w:kern w:val="0"/>
          <w:sz w:val="24"/>
          <w:szCs w:val="24"/>
        </w:rPr>
        <w:t>. London: Sage. Pp.566-582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Wasserman, V. (2011) To be (alike) or not to be (at all): aesthetic isomorphism in organisational spaces. </w:t>
      </w:r>
      <w:r w:rsidRPr="00AE1FA0">
        <w:rPr>
          <w:rFonts w:ascii="Arial" w:hAnsi="Arial" w:cs="Arial"/>
          <w:i/>
          <w:iCs/>
          <w:color w:val="000000" w:themeColor="text1"/>
          <w:kern w:val="0"/>
          <w:sz w:val="24"/>
          <w:szCs w:val="24"/>
        </w:rPr>
        <w:t>International Journal of Work Organisation and Emotion</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4</w:t>
      </w:r>
      <w:r w:rsidRPr="00AE1FA0">
        <w:rPr>
          <w:rFonts w:ascii="Arial" w:hAnsi="Arial" w:cs="Arial"/>
          <w:color w:val="000000" w:themeColor="text1"/>
          <w:kern w:val="0"/>
          <w:sz w:val="24"/>
          <w:szCs w:val="24"/>
        </w:rPr>
        <w:t>(1): 22-41.</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Watkins, C. (2005) Representations of space, spatial practices and spaces of representation: An application of Lefebvre’s spatial triad. </w:t>
      </w:r>
      <w:r w:rsidRPr="00AE1FA0">
        <w:rPr>
          <w:rFonts w:ascii="Arial" w:hAnsi="Arial" w:cs="Arial"/>
          <w:i/>
          <w:color w:val="000000" w:themeColor="text1"/>
          <w:kern w:val="0"/>
          <w:sz w:val="24"/>
          <w:szCs w:val="24"/>
        </w:rPr>
        <w:t>Culture and Organization</w:t>
      </w:r>
      <w:r w:rsidRPr="00AE1FA0">
        <w:rPr>
          <w:rFonts w:ascii="Arial" w:hAnsi="Arial" w:cs="Arial"/>
          <w:color w:val="000000" w:themeColor="text1"/>
          <w:kern w:val="0"/>
          <w:sz w:val="24"/>
          <w:szCs w:val="24"/>
        </w:rPr>
        <w:t>, 11(3): 209-220.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Watkins, C. (2006) A spatial consideration of organisational performance: an excess of representation? </w:t>
      </w:r>
      <w:r w:rsidRPr="00AE1FA0">
        <w:rPr>
          <w:rFonts w:ascii="Arial" w:hAnsi="Arial" w:cs="Arial"/>
          <w:i/>
          <w:iCs/>
          <w:color w:val="000000" w:themeColor="text1"/>
          <w:kern w:val="0"/>
          <w:sz w:val="24"/>
          <w:szCs w:val="24"/>
        </w:rPr>
        <w:t>International Journal of Productivity and Performance Management</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56</w:t>
      </w:r>
      <w:r w:rsidRPr="00AE1FA0">
        <w:rPr>
          <w:rFonts w:ascii="Arial" w:hAnsi="Arial" w:cs="Arial"/>
          <w:color w:val="000000" w:themeColor="text1"/>
          <w:kern w:val="0"/>
          <w:sz w:val="24"/>
          <w:szCs w:val="24"/>
        </w:rPr>
        <w:t>(1): 76-89.</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Warf, B. and Arias, S. (2008) </w:t>
      </w:r>
      <w:r w:rsidRPr="00AE1FA0">
        <w:rPr>
          <w:rFonts w:ascii="Arial" w:hAnsi="Arial" w:cs="Arial"/>
          <w:i/>
          <w:iCs/>
          <w:color w:val="000000" w:themeColor="text1"/>
          <w:kern w:val="0"/>
          <w:sz w:val="24"/>
          <w:szCs w:val="24"/>
        </w:rPr>
        <w:t>The spatial turn: Interdisciplinary perspectives</w:t>
      </w:r>
      <w:r w:rsidRPr="00AE1FA0">
        <w:rPr>
          <w:rFonts w:ascii="Arial" w:hAnsi="Arial" w:cs="Arial"/>
          <w:color w:val="000000" w:themeColor="text1"/>
          <w:kern w:val="0"/>
          <w:sz w:val="24"/>
          <w:szCs w:val="24"/>
        </w:rPr>
        <w:t>. London: Routledge.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Weick, K. E. (1995) </w:t>
      </w:r>
      <w:r w:rsidRPr="00AE1FA0">
        <w:rPr>
          <w:rFonts w:ascii="Arial" w:hAnsi="Arial" w:cs="Arial"/>
          <w:i/>
          <w:iCs/>
          <w:color w:val="000000" w:themeColor="text1"/>
          <w:kern w:val="0"/>
          <w:sz w:val="24"/>
          <w:szCs w:val="24"/>
        </w:rPr>
        <w:t>Sensemaking in organizations</w:t>
      </w:r>
      <w:r w:rsidRPr="00AE1FA0">
        <w:rPr>
          <w:rFonts w:ascii="Arial" w:hAnsi="Arial" w:cs="Arial"/>
          <w:color w:val="000000" w:themeColor="text1"/>
          <w:kern w:val="0"/>
          <w:sz w:val="24"/>
          <w:szCs w:val="24"/>
        </w:rPr>
        <w:t>. London: Sage.</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Whitehead, A. N. (2011) </w:t>
      </w:r>
      <w:r w:rsidRPr="00AE1FA0">
        <w:rPr>
          <w:rFonts w:ascii="Arial" w:hAnsi="Arial" w:cs="Arial"/>
          <w:i/>
          <w:iCs/>
          <w:color w:val="000000" w:themeColor="text1"/>
          <w:kern w:val="0"/>
          <w:sz w:val="24"/>
          <w:szCs w:val="24"/>
        </w:rPr>
        <w:t>Science and the modern world</w:t>
      </w:r>
      <w:r w:rsidRPr="00AE1FA0">
        <w:rPr>
          <w:rFonts w:ascii="Arial" w:hAnsi="Arial" w:cs="Arial"/>
          <w:color w:val="000000" w:themeColor="text1"/>
          <w:kern w:val="0"/>
          <w:sz w:val="24"/>
          <w:szCs w:val="24"/>
        </w:rPr>
        <w:t>. Cambridge: Cambridge University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William, R. (1993) </w:t>
      </w:r>
      <w:r w:rsidRPr="00AE1FA0">
        <w:rPr>
          <w:rFonts w:ascii="Arial" w:hAnsi="Arial" w:cs="Arial"/>
          <w:i/>
          <w:color w:val="000000" w:themeColor="text1"/>
          <w:kern w:val="0"/>
          <w:sz w:val="24"/>
          <w:szCs w:val="24"/>
        </w:rPr>
        <w:t>Royal Holloway College: A pictorial history</w:t>
      </w:r>
      <w:r w:rsidRPr="00AE1FA0">
        <w:rPr>
          <w:rFonts w:ascii="Arial" w:hAnsi="Arial" w:cs="Arial"/>
          <w:color w:val="000000" w:themeColor="text1"/>
          <w:kern w:val="0"/>
          <w:sz w:val="24"/>
          <w:szCs w:val="24"/>
        </w:rPr>
        <w:t>. London: Royal Holloway University of London</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Wilson, J. R. (2000) Fundamentals of ergonomics in theory and practice. </w:t>
      </w:r>
      <w:r w:rsidRPr="00AE1FA0">
        <w:rPr>
          <w:rFonts w:ascii="Arial" w:hAnsi="Arial" w:cs="Arial"/>
          <w:i/>
          <w:iCs/>
          <w:color w:val="000000" w:themeColor="text1"/>
          <w:kern w:val="0"/>
          <w:sz w:val="24"/>
          <w:szCs w:val="24"/>
        </w:rPr>
        <w:t>Applied Ergonomics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31</w:t>
      </w:r>
      <w:r w:rsidRPr="00AE1FA0">
        <w:rPr>
          <w:rFonts w:ascii="Arial" w:hAnsi="Arial" w:cs="Arial"/>
          <w:color w:val="000000" w:themeColor="text1"/>
          <w:kern w:val="0"/>
          <w:sz w:val="24"/>
          <w:szCs w:val="24"/>
        </w:rPr>
        <w:t>(6): 557-567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Wong, P. T. and Watt, L. M. (1991) What types of reminiscence are associated with successful aging? </w:t>
      </w:r>
      <w:r w:rsidRPr="00AE1FA0">
        <w:rPr>
          <w:rFonts w:ascii="Arial" w:hAnsi="Arial" w:cs="Arial"/>
          <w:i/>
          <w:iCs/>
          <w:color w:val="000000" w:themeColor="text1"/>
          <w:kern w:val="0"/>
          <w:sz w:val="24"/>
          <w:szCs w:val="24"/>
        </w:rPr>
        <w:t>Psychology and Aging</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6</w:t>
      </w:r>
      <w:r w:rsidRPr="00AE1FA0">
        <w:rPr>
          <w:rFonts w:ascii="Arial" w:hAnsi="Arial" w:cs="Arial"/>
          <w:color w:val="000000" w:themeColor="text1"/>
          <w:kern w:val="0"/>
          <w:sz w:val="24"/>
          <w:szCs w:val="24"/>
        </w:rPr>
        <w:t>(2): 272.</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lastRenderedPageBreak/>
        <w:t xml:space="preserve">Yanow, D. (1998) Space stories: studying museum buildings as organisational spaces while reflecting on interpretive methods and their narration. </w:t>
      </w:r>
      <w:r w:rsidRPr="00AE1FA0">
        <w:rPr>
          <w:rFonts w:ascii="Arial" w:hAnsi="Arial" w:cs="Arial"/>
          <w:i/>
          <w:color w:val="000000" w:themeColor="text1"/>
          <w:kern w:val="0"/>
          <w:sz w:val="24"/>
          <w:szCs w:val="24"/>
        </w:rPr>
        <w:t>Journal of Management Inquiry</w:t>
      </w:r>
      <w:r w:rsidRPr="00AE1FA0">
        <w:rPr>
          <w:rFonts w:ascii="Arial" w:hAnsi="Arial" w:cs="Arial"/>
          <w:color w:val="000000" w:themeColor="text1"/>
          <w:kern w:val="0"/>
          <w:sz w:val="24"/>
          <w:szCs w:val="24"/>
        </w:rPr>
        <w:t>, 7(3): 215.</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Ybema, S. (2014) The invention of transitions: History as a symbolic site for discursive struggles over organizational change. </w:t>
      </w:r>
      <w:r w:rsidRPr="00AE1FA0">
        <w:rPr>
          <w:rFonts w:ascii="Arial" w:hAnsi="Arial" w:cs="Arial"/>
          <w:i/>
          <w:color w:val="000000" w:themeColor="text1"/>
          <w:kern w:val="0"/>
          <w:sz w:val="24"/>
          <w:szCs w:val="24"/>
        </w:rPr>
        <w:t>Organization</w:t>
      </w:r>
      <w:r w:rsidRPr="00AE1FA0">
        <w:rPr>
          <w:rFonts w:ascii="Arial" w:hAnsi="Arial" w:cs="Arial"/>
          <w:color w:val="000000" w:themeColor="text1"/>
          <w:kern w:val="0"/>
          <w:sz w:val="24"/>
          <w:szCs w:val="24"/>
        </w:rPr>
        <w:t>, 21(4): 495-513.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Zeitlyn, D. (2015). Looking forward, looking back. </w:t>
      </w:r>
      <w:r w:rsidRPr="00AE1FA0">
        <w:rPr>
          <w:rFonts w:ascii="Arial" w:hAnsi="Arial" w:cs="Arial"/>
          <w:i/>
          <w:color w:val="000000" w:themeColor="text1"/>
          <w:kern w:val="0"/>
          <w:sz w:val="24"/>
          <w:szCs w:val="24"/>
        </w:rPr>
        <w:t>History and Anthropology</w:t>
      </w:r>
      <w:r w:rsidRPr="00AE1FA0">
        <w:rPr>
          <w:rFonts w:ascii="Arial" w:hAnsi="Arial" w:cs="Arial"/>
          <w:color w:val="000000" w:themeColor="text1"/>
          <w:kern w:val="0"/>
          <w:sz w:val="24"/>
          <w:szCs w:val="24"/>
        </w:rPr>
        <w:t>, 26(4), 381-407.</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Zelizer, B. (1992) </w:t>
      </w:r>
      <w:r w:rsidRPr="00AE1FA0">
        <w:rPr>
          <w:rFonts w:ascii="Arial" w:hAnsi="Arial" w:cs="Arial"/>
          <w:i/>
          <w:iCs/>
          <w:color w:val="000000" w:themeColor="text1"/>
          <w:kern w:val="0"/>
          <w:sz w:val="24"/>
          <w:szCs w:val="24"/>
        </w:rPr>
        <w:t>Covering the body: The Kennedy assassination, the media, and the shaping of collective memory</w:t>
      </w:r>
      <w:r w:rsidRPr="00AE1FA0">
        <w:rPr>
          <w:rFonts w:ascii="Arial" w:hAnsi="Arial" w:cs="Arial"/>
          <w:color w:val="000000" w:themeColor="text1"/>
          <w:kern w:val="0"/>
          <w:sz w:val="24"/>
          <w:szCs w:val="24"/>
        </w:rPr>
        <w:t>. Chicago: University of Chicago Press.</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Zhang, Z. (2006). ‘What is lived space?’ </w:t>
      </w:r>
      <w:r w:rsidRPr="00AE1FA0">
        <w:rPr>
          <w:rFonts w:ascii="Arial" w:hAnsi="Arial" w:cs="Arial"/>
          <w:i/>
          <w:color w:val="000000" w:themeColor="text1"/>
          <w:kern w:val="0"/>
          <w:sz w:val="24"/>
          <w:szCs w:val="24"/>
        </w:rPr>
        <w:t>Ephemera,</w:t>
      </w:r>
      <w:r w:rsidRPr="00AE1FA0">
        <w:rPr>
          <w:rFonts w:ascii="Arial" w:hAnsi="Arial" w:cs="Arial"/>
          <w:color w:val="000000" w:themeColor="text1"/>
          <w:kern w:val="0"/>
          <w:sz w:val="24"/>
          <w:szCs w:val="24"/>
        </w:rPr>
        <w:t xml:space="preserve"> 6(2): 219-223</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Zhang, Z., Spicer, A., and Hancock, P. (2008). Hyper-organizational space in the work of JG Ballard. </w:t>
      </w:r>
      <w:r w:rsidRPr="00AE1FA0">
        <w:rPr>
          <w:rFonts w:ascii="Arial" w:hAnsi="Arial" w:cs="Arial"/>
          <w:i/>
          <w:iCs/>
          <w:color w:val="000000" w:themeColor="text1"/>
          <w:kern w:val="0"/>
          <w:sz w:val="24"/>
          <w:szCs w:val="24"/>
        </w:rPr>
        <w:t>Organization</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15</w:t>
      </w:r>
      <w:r w:rsidRPr="00AE1FA0">
        <w:rPr>
          <w:rFonts w:ascii="Arial" w:hAnsi="Arial" w:cs="Arial"/>
          <w:color w:val="000000" w:themeColor="text1"/>
          <w:kern w:val="0"/>
          <w:sz w:val="24"/>
          <w:szCs w:val="24"/>
        </w:rPr>
        <w:t>(6): 889-910.</w:t>
      </w:r>
    </w:p>
    <w:p w:rsidR="00AE1FA0" w:rsidRPr="00AE1FA0" w:rsidRDefault="00AE1FA0" w:rsidP="00AE1FA0">
      <w:pPr>
        <w:widowControl/>
        <w:spacing w:after="160" w:line="360" w:lineRule="auto"/>
        <w:ind w:left="360"/>
        <w:rPr>
          <w:rFonts w:ascii="Arial" w:hAnsi="Arial" w:cs="Arial"/>
          <w:color w:val="000000" w:themeColor="text1"/>
          <w:kern w:val="0"/>
          <w:sz w:val="24"/>
          <w:szCs w:val="24"/>
        </w:rPr>
      </w:pPr>
      <w:r w:rsidRPr="00AE1FA0">
        <w:rPr>
          <w:rFonts w:ascii="Arial" w:hAnsi="Arial" w:cs="Arial"/>
          <w:color w:val="000000" w:themeColor="text1"/>
          <w:kern w:val="0"/>
          <w:sz w:val="24"/>
          <w:szCs w:val="24"/>
        </w:rPr>
        <w:t xml:space="preserve">Zhang, Z. and Spicer, A. (2014). ‘Leader, you first’: The everyday production of hierarchical space in a Chinese bureaucracy. </w:t>
      </w:r>
      <w:r w:rsidRPr="00AE1FA0">
        <w:rPr>
          <w:rFonts w:ascii="Arial" w:hAnsi="Arial" w:cs="Arial"/>
          <w:i/>
          <w:iCs/>
          <w:color w:val="000000" w:themeColor="text1"/>
          <w:kern w:val="0"/>
          <w:sz w:val="24"/>
          <w:szCs w:val="24"/>
        </w:rPr>
        <w:t>Human Relations</w:t>
      </w:r>
      <w:r w:rsidRPr="00AE1FA0">
        <w:rPr>
          <w:rFonts w:ascii="Arial" w:hAnsi="Arial" w:cs="Arial"/>
          <w:color w:val="000000" w:themeColor="text1"/>
          <w:kern w:val="0"/>
          <w:sz w:val="24"/>
          <w:szCs w:val="24"/>
        </w:rPr>
        <w:t xml:space="preserve">, </w:t>
      </w:r>
      <w:r w:rsidRPr="00AE1FA0">
        <w:rPr>
          <w:rFonts w:ascii="Arial" w:hAnsi="Arial" w:cs="Arial"/>
          <w:iCs/>
          <w:color w:val="000000" w:themeColor="text1"/>
          <w:kern w:val="0"/>
          <w:sz w:val="24"/>
          <w:szCs w:val="24"/>
        </w:rPr>
        <w:t>67</w:t>
      </w:r>
      <w:r w:rsidRPr="00AE1FA0">
        <w:rPr>
          <w:rFonts w:ascii="Arial" w:hAnsi="Arial" w:cs="Arial"/>
          <w:color w:val="000000" w:themeColor="text1"/>
          <w:kern w:val="0"/>
          <w:sz w:val="24"/>
          <w:szCs w:val="24"/>
        </w:rPr>
        <w:t>(6): 739-762.</w:t>
      </w: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jc w:val="left"/>
        <w:rPr>
          <w:rFonts w:ascii="Arial" w:hAnsi="Arial" w:cs="Arial"/>
          <w:kern w:val="0"/>
          <w:sz w:val="22"/>
        </w:rPr>
      </w:pPr>
    </w:p>
    <w:p w:rsidR="00AE1FA0" w:rsidRPr="00AE1FA0" w:rsidRDefault="00AE1FA0" w:rsidP="00AE1FA0">
      <w:pPr>
        <w:widowControl/>
        <w:spacing w:after="160" w:line="360" w:lineRule="auto"/>
        <w:rPr>
          <w:rFonts w:ascii="Arial" w:eastAsiaTheme="minorHAnsi" w:hAnsi="Arial" w:cs="Arial"/>
          <w:kern w:val="0"/>
          <w:sz w:val="28"/>
          <w:szCs w:val="28"/>
          <w:lang w:eastAsia="en-US"/>
        </w:rPr>
      </w:pPr>
    </w:p>
    <w:p w:rsidR="00AE1FA0" w:rsidRPr="00AE1FA0" w:rsidRDefault="00AE1FA0" w:rsidP="00AE1FA0">
      <w:pPr>
        <w:widowControl/>
        <w:spacing w:after="160" w:line="360" w:lineRule="auto"/>
        <w:rPr>
          <w:rFonts w:ascii="Arial" w:eastAsiaTheme="minorHAnsi" w:hAnsi="Arial" w:cs="Arial"/>
          <w:kern w:val="0"/>
          <w:sz w:val="28"/>
          <w:szCs w:val="28"/>
          <w:lang w:eastAsia="en-US"/>
        </w:rPr>
      </w:pPr>
    </w:p>
    <w:p w:rsidR="00AE1FA0" w:rsidRPr="00AE1FA0" w:rsidRDefault="00AE1FA0" w:rsidP="00AE1FA0">
      <w:pPr>
        <w:widowControl/>
        <w:spacing w:after="160" w:line="360" w:lineRule="auto"/>
        <w:rPr>
          <w:rFonts w:ascii="Arial" w:eastAsiaTheme="minorHAnsi" w:hAnsi="Arial" w:cs="Arial"/>
          <w:kern w:val="0"/>
          <w:sz w:val="28"/>
          <w:szCs w:val="28"/>
          <w:lang w:eastAsia="en-US"/>
        </w:rPr>
      </w:pPr>
    </w:p>
    <w:p w:rsidR="00AE1FA0" w:rsidRPr="00AE1FA0" w:rsidRDefault="00AE1FA0" w:rsidP="00AE1FA0">
      <w:pPr>
        <w:widowControl/>
        <w:spacing w:after="160" w:line="360" w:lineRule="auto"/>
        <w:rPr>
          <w:rFonts w:ascii="Arial" w:eastAsiaTheme="minorHAnsi" w:hAnsi="Arial" w:cs="Arial"/>
          <w:kern w:val="0"/>
          <w:sz w:val="28"/>
          <w:szCs w:val="28"/>
          <w:lang w:eastAsia="en-US"/>
        </w:rPr>
      </w:pPr>
    </w:p>
    <w:p w:rsidR="00AE1FA0" w:rsidRPr="00AE1FA0" w:rsidRDefault="00AE1FA0" w:rsidP="00AE1FA0">
      <w:pPr>
        <w:widowControl/>
        <w:spacing w:after="160" w:line="360" w:lineRule="auto"/>
        <w:rPr>
          <w:rFonts w:ascii="Arial" w:eastAsiaTheme="minorHAnsi" w:hAnsi="Arial" w:cs="Arial"/>
          <w:kern w:val="0"/>
          <w:sz w:val="28"/>
          <w:szCs w:val="28"/>
          <w:lang w:eastAsia="en-US"/>
        </w:rPr>
      </w:pPr>
    </w:p>
    <w:p w:rsidR="00AE1FA0" w:rsidRPr="00AE1FA0" w:rsidRDefault="00AE1FA0" w:rsidP="00AE1FA0">
      <w:pPr>
        <w:widowControl/>
        <w:spacing w:after="160" w:line="360" w:lineRule="auto"/>
        <w:rPr>
          <w:rFonts w:ascii="Arial" w:eastAsiaTheme="minorHAnsi" w:hAnsi="Arial" w:cs="Arial"/>
          <w:kern w:val="0"/>
          <w:sz w:val="28"/>
          <w:szCs w:val="28"/>
          <w:lang w:eastAsia="en-US"/>
        </w:rPr>
      </w:pPr>
    </w:p>
    <w:p w:rsidR="00AE1FA0" w:rsidRPr="00AE1FA0" w:rsidRDefault="00AE1FA0" w:rsidP="00AE1FA0">
      <w:pPr>
        <w:widowControl/>
        <w:spacing w:after="160" w:line="360" w:lineRule="auto"/>
        <w:rPr>
          <w:rFonts w:ascii="Arial" w:eastAsiaTheme="minorHAnsi" w:hAnsi="Arial" w:cs="Arial"/>
          <w:kern w:val="0"/>
          <w:sz w:val="28"/>
          <w:szCs w:val="28"/>
          <w:lang w:eastAsia="en-US"/>
        </w:rPr>
      </w:pPr>
    </w:p>
    <w:p w:rsidR="00AE1FA0" w:rsidRPr="00AE1FA0" w:rsidRDefault="00AE1FA0" w:rsidP="00AE1FA0">
      <w:pPr>
        <w:widowControl/>
        <w:spacing w:after="160" w:line="360" w:lineRule="auto"/>
        <w:rPr>
          <w:rFonts w:ascii="Arial" w:eastAsiaTheme="minorHAnsi" w:hAnsi="Arial" w:cs="Arial"/>
          <w:kern w:val="0"/>
          <w:sz w:val="28"/>
          <w:szCs w:val="28"/>
          <w:lang w:eastAsia="en-US"/>
        </w:rPr>
      </w:pPr>
    </w:p>
    <w:p w:rsidR="00AE1FA0" w:rsidRPr="00AE1FA0" w:rsidRDefault="00AE1FA0" w:rsidP="00AE1FA0">
      <w:pPr>
        <w:widowControl/>
        <w:spacing w:after="160" w:line="360" w:lineRule="auto"/>
        <w:rPr>
          <w:rFonts w:ascii="Arial" w:eastAsiaTheme="minorHAnsi" w:hAnsi="Arial" w:cs="Arial"/>
          <w:kern w:val="0"/>
          <w:sz w:val="28"/>
          <w:szCs w:val="28"/>
          <w:lang w:eastAsia="en-US"/>
        </w:rPr>
      </w:pPr>
    </w:p>
    <w:p w:rsidR="00AE1FA0" w:rsidRPr="00AE1FA0" w:rsidRDefault="00AE1FA0" w:rsidP="00AE1FA0">
      <w:pPr>
        <w:keepNext/>
        <w:keepLines/>
        <w:widowControl/>
        <w:spacing w:before="240" w:line="259" w:lineRule="auto"/>
        <w:jc w:val="center"/>
        <w:outlineLvl w:val="0"/>
        <w:rPr>
          <w:rFonts w:ascii="Arial" w:eastAsiaTheme="majorEastAsia" w:hAnsi="Arial" w:cs="Arial"/>
          <w:color w:val="000000" w:themeColor="text1"/>
          <w:kern w:val="0"/>
          <w:sz w:val="32"/>
          <w:szCs w:val="32"/>
          <w:lang w:eastAsia="en-US"/>
        </w:rPr>
      </w:pPr>
      <w:bookmarkStart w:id="109" w:name="_Toc534732427"/>
      <w:r w:rsidRPr="00AE1FA0">
        <w:rPr>
          <w:rFonts w:ascii="Arial" w:eastAsiaTheme="majorEastAsia" w:hAnsi="Arial" w:cs="Arial"/>
          <w:color w:val="000000" w:themeColor="text1"/>
          <w:kern w:val="0"/>
          <w:sz w:val="32"/>
          <w:szCs w:val="32"/>
          <w:lang w:eastAsia="en-US"/>
        </w:rPr>
        <w:lastRenderedPageBreak/>
        <w:t>Appendix 1 Sample of interviewing questions list</w:t>
      </w:r>
      <w:bookmarkEnd w:id="109"/>
    </w:p>
    <w:p w:rsidR="00AE1FA0" w:rsidRPr="00AE1FA0" w:rsidRDefault="00AE1FA0" w:rsidP="00AE1FA0">
      <w:pPr>
        <w:widowControl/>
        <w:spacing w:after="160" w:line="259" w:lineRule="auto"/>
        <w:jc w:val="left"/>
        <w:rPr>
          <w:rFonts w:ascii="Arial" w:hAnsi="Arial" w:cs="Arial"/>
          <w:kern w:val="0"/>
          <w:sz w:val="22"/>
          <w:lang w:eastAsia="en-US"/>
        </w:rPr>
      </w:pPr>
    </w:p>
    <w:tbl>
      <w:tblPr>
        <w:tblStyle w:val="TableGrid"/>
        <w:tblW w:w="0" w:type="auto"/>
        <w:tblLook w:val="04A0" w:firstRow="1" w:lastRow="0" w:firstColumn="1" w:lastColumn="0" w:noHBand="0" w:noVBand="1"/>
      </w:tblPr>
      <w:tblGrid>
        <w:gridCol w:w="2461"/>
        <w:gridCol w:w="6781"/>
      </w:tblGrid>
      <w:tr w:rsidR="00AE1FA0" w:rsidRPr="00AE1FA0" w:rsidTr="003E6B09">
        <w:tc>
          <w:tcPr>
            <w:tcW w:w="0" w:type="auto"/>
          </w:tcPr>
          <w:p w:rsidR="00AE1FA0" w:rsidRPr="00AE1FA0" w:rsidRDefault="00AE1FA0" w:rsidP="00AE1FA0">
            <w:pPr>
              <w:widowControl/>
              <w:spacing w:after="160" w:line="360" w:lineRule="auto"/>
              <w:jc w:val="left"/>
              <w:rPr>
                <w:rFonts w:ascii="Arial" w:hAnsi="Arial" w:cs="Arial"/>
                <w:sz w:val="24"/>
              </w:rPr>
            </w:pPr>
          </w:p>
        </w:tc>
        <w:tc>
          <w:tcPr>
            <w:tcW w:w="0" w:type="auto"/>
          </w:tcPr>
          <w:p w:rsidR="00AE1FA0" w:rsidRPr="00AE1FA0" w:rsidRDefault="00AE1FA0" w:rsidP="00AE1FA0">
            <w:pPr>
              <w:widowControl/>
              <w:spacing w:after="160" w:line="360" w:lineRule="auto"/>
              <w:jc w:val="left"/>
              <w:rPr>
                <w:rFonts w:ascii="Arial" w:hAnsi="Arial" w:cs="Arial"/>
                <w:sz w:val="24"/>
              </w:rPr>
            </w:pPr>
            <w:r w:rsidRPr="00AE1FA0">
              <w:rPr>
                <w:rFonts w:ascii="Arial" w:hAnsi="Arial" w:cs="Arial"/>
                <w:sz w:val="24"/>
              </w:rPr>
              <w:t>Interviewing questions</w:t>
            </w:r>
          </w:p>
        </w:tc>
      </w:tr>
      <w:tr w:rsidR="00AE1FA0" w:rsidRPr="00AE1FA0" w:rsidTr="003E6B09">
        <w:tc>
          <w:tcPr>
            <w:tcW w:w="0" w:type="auto"/>
          </w:tcPr>
          <w:p w:rsidR="00AE1FA0" w:rsidRPr="00AE1FA0" w:rsidRDefault="00AE1FA0" w:rsidP="00AE1FA0">
            <w:pPr>
              <w:widowControl/>
              <w:spacing w:after="160" w:line="360" w:lineRule="auto"/>
              <w:jc w:val="left"/>
              <w:rPr>
                <w:rFonts w:ascii="Arial" w:hAnsi="Arial" w:cs="Arial"/>
                <w:sz w:val="24"/>
              </w:rPr>
            </w:pPr>
            <w:r w:rsidRPr="00AE1FA0">
              <w:rPr>
                <w:rFonts w:ascii="Arial" w:hAnsi="Arial" w:cs="Arial"/>
                <w:sz w:val="24"/>
              </w:rPr>
              <w:t xml:space="preserve">Biographical </w:t>
            </w:r>
          </w:p>
        </w:tc>
        <w:tc>
          <w:tcPr>
            <w:tcW w:w="0" w:type="auto"/>
          </w:tcPr>
          <w:p w:rsidR="00AE1FA0" w:rsidRPr="00AE1FA0" w:rsidRDefault="00AE1FA0" w:rsidP="00AE1FA0">
            <w:pPr>
              <w:widowControl/>
              <w:numPr>
                <w:ilvl w:val="0"/>
                <w:numId w:val="43"/>
              </w:numPr>
              <w:spacing w:after="160" w:line="360" w:lineRule="auto"/>
              <w:contextualSpacing/>
              <w:jc w:val="left"/>
              <w:rPr>
                <w:rFonts w:ascii="Arial" w:hAnsi="Arial" w:cs="Arial"/>
                <w:sz w:val="24"/>
              </w:rPr>
            </w:pPr>
            <w:r w:rsidRPr="00AE1FA0">
              <w:rPr>
                <w:rFonts w:ascii="Arial" w:hAnsi="Arial" w:cs="Arial"/>
                <w:sz w:val="24"/>
              </w:rPr>
              <w:t>What is your job at RHUL?</w:t>
            </w:r>
          </w:p>
          <w:p w:rsidR="00AE1FA0" w:rsidRPr="00AE1FA0" w:rsidRDefault="00AE1FA0" w:rsidP="00AE1FA0">
            <w:pPr>
              <w:widowControl/>
              <w:numPr>
                <w:ilvl w:val="0"/>
                <w:numId w:val="43"/>
              </w:numPr>
              <w:spacing w:after="160" w:line="360" w:lineRule="auto"/>
              <w:contextualSpacing/>
              <w:jc w:val="left"/>
              <w:rPr>
                <w:rFonts w:ascii="Arial" w:hAnsi="Arial" w:cs="Arial"/>
                <w:sz w:val="24"/>
              </w:rPr>
            </w:pPr>
            <w:r w:rsidRPr="00AE1FA0">
              <w:rPr>
                <w:rFonts w:ascii="Arial" w:hAnsi="Arial" w:cs="Arial"/>
                <w:sz w:val="24"/>
              </w:rPr>
              <w:t>How long have you been working as…?</w:t>
            </w:r>
          </w:p>
          <w:p w:rsidR="00AE1FA0" w:rsidRPr="00AE1FA0" w:rsidRDefault="00AE1FA0" w:rsidP="00AE1FA0">
            <w:pPr>
              <w:widowControl/>
              <w:numPr>
                <w:ilvl w:val="0"/>
                <w:numId w:val="43"/>
              </w:numPr>
              <w:spacing w:after="160" w:line="360" w:lineRule="auto"/>
              <w:contextualSpacing/>
              <w:jc w:val="left"/>
              <w:rPr>
                <w:rFonts w:ascii="Arial" w:hAnsi="Arial" w:cs="Arial"/>
                <w:sz w:val="24"/>
              </w:rPr>
            </w:pPr>
            <w:r w:rsidRPr="00AE1FA0">
              <w:rPr>
                <w:rFonts w:ascii="Arial" w:hAnsi="Arial" w:cs="Arial"/>
                <w:sz w:val="24"/>
              </w:rPr>
              <w:t>Where do you usually work?</w:t>
            </w:r>
          </w:p>
          <w:p w:rsidR="00AE1FA0" w:rsidRPr="00AE1FA0" w:rsidRDefault="00AE1FA0" w:rsidP="00AE1FA0">
            <w:pPr>
              <w:widowControl/>
              <w:numPr>
                <w:ilvl w:val="0"/>
                <w:numId w:val="43"/>
              </w:numPr>
              <w:spacing w:after="160" w:line="360" w:lineRule="auto"/>
              <w:contextualSpacing/>
              <w:jc w:val="left"/>
              <w:rPr>
                <w:rFonts w:ascii="Arial" w:hAnsi="Arial" w:cs="Arial"/>
                <w:sz w:val="24"/>
              </w:rPr>
            </w:pPr>
            <w:r w:rsidRPr="00AE1FA0">
              <w:rPr>
                <w:rFonts w:ascii="Arial" w:hAnsi="Arial" w:cs="Arial"/>
                <w:sz w:val="24"/>
              </w:rPr>
              <w:t>How long have you worked in the…(office)?</w:t>
            </w:r>
          </w:p>
          <w:p w:rsidR="00AE1FA0" w:rsidRPr="00AE1FA0" w:rsidRDefault="00AE1FA0" w:rsidP="00AE1FA0">
            <w:pPr>
              <w:widowControl/>
              <w:numPr>
                <w:ilvl w:val="0"/>
                <w:numId w:val="43"/>
              </w:numPr>
              <w:spacing w:after="160" w:line="360" w:lineRule="auto"/>
              <w:contextualSpacing/>
              <w:jc w:val="left"/>
              <w:rPr>
                <w:rFonts w:ascii="Arial" w:hAnsi="Arial" w:cs="Arial"/>
                <w:sz w:val="24"/>
              </w:rPr>
            </w:pPr>
            <w:r w:rsidRPr="00AE1FA0">
              <w:rPr>
                <w:rFonts w:ascii="Arial" w:hAnsi="Arial" w:cs="Arial"/>
                <w:sz w:val="24"/>
              </w:rPr>
              <w:t>Which department or who do you usually work with and communicate regularly?</w:t>
            </w:r>
          </w:p>
        </w:tc>
      </w:tr>
      <w:tr w:rsidR="00AE1FA0" w:rsidRPr="00AE1FA0" w:rsidTr="003E6B09">
        <w:tc>
          <w:tcPr>
            <w:tcW w:w="0" w:type="auto"/>
          </w:tcPr>
          <w:p w:rsidR="00AE1FA0" w:rsidRPr="00AE1FA0" w:rsidRDefault="00AE1FA0" w:rsidP="00AE1FA0">
            <w:pPr>
              <w:widowControl/>
              <w:spacing w:after="160" w:line="360" w:lineRule="auto"/>
              <w:jc w:val="left"/>
              <w:rPr>
                <w:rFonts w:ascii="Arial" w:hAnsi="Arial" w:cs="Arial"/>
                <w:sz w:val="24"/>
              </w:rPr>
            </w:pPr>
            <w:r w:rsidRPr="00AE1FA0">
              <w:rPr>
                <w:rFonts w:ascii="Arial" w:hAnsi="Arial" w:cs="Arial"/>
                <w:sz w:val="24"/>
              </w:rPr>
              <w:t>General impression of Founder’s Building</w:t>
            </w:r>
          </w:p>
        </w:tc>
        <w:tc>
          <w:tcPr>
            <w:tcW w:w="0" w:type="auto"/>
          </w:tcPr>
          <w:p w:rsidR="00AE1FA0" w:rsidRPr="00AE1FA0" w:rsidRDefault="00AE1FA0" w:rsidP="00AE1FA0">
            <w:pPr>
              <w:widowControl/>
              <w:numPr>
                <w:ilvl w:val="0"/>
                <w:numId w:val="45"/>
              </w:numPr>
              <w:spacing w:after="160" w:line="360" w:lineRule="auto"/>
              <w:contextualSpacing/>
              <w:jc w:val="left"/>
              <w:rPr>
                <w:rFonts w:ascii="Arial" w:hAnsi="Arial" w:cs="Arial"/>
                <w:sz w:val="24"/>
              </w:rPr>
            </w:pPr>
            <w:r w:rsidRPr="00AE1FA0">
              <w:rPr>
                <w:rFonts w:ascii="Arial" w:hAnsi="Arial" w:cs="Arial"/>
                <w:sz w:val="24"/>
              </w:rPr>
              <w:t>When did you first see the Founder’s Building?</w:t>
            </w:r>
          </w:p>
          <w:p w:rsidR="00AE1FA0" w:rsidRPr="00AE1FA0" w:rsidRDefault="00AE1FA0" w:rsidP="00AE1FA0">
            <w:pPr>
              <w:widowControl/>
              <w:numPr>
                <w:ilvl w:val="0"/>
                <w:numId w:val="45"/>
              </w:numPr>
              <w:spacing w:after="160" w:line="360" w:lineRule="auto"/>
              <w:contextualSpacing/>
              <w:jc w:val="left"/>
              <w:rPr>
                <w:rFonts w:ascii="Arial" w:hAnsi="Arial" w:cs="Arial"/>
                <w:sz w:val="24"/>
              </w:rPr>
            </w:pPr>
            <w:r w:rsidRPr="00AE1FA0">
              <w:rPr>
                <w:rFonts w:ascii="Arial" w:hAnsi="Arial" w:cs="Arial"/>
                <w:sz w:val="24"/>
              </w:rPr>
              <w:t>What was your first impression of it?</w:t>
            </w:r>
          </w:p>
          <w:p w:rsidR="00AE1FA0" w:rsidRPr="00AE1FA0" w:rsidRDefault="00AE1FA0" w:rsidP="00AE1FA0">
            <w:pPr>
              <w:widowControl/>
              <w:numPr>
                <w:ilvl w:val="0"/>
                <w:numId w:val="45"/>
              </w:numPr>
              <w:spacing w:after="160" w:line="360" w:lineRule="auto"/>
              <w:contextualSpacing/>
              <w:jc w:val="left"/>
              <w:rPr>
                <w:rFonts w:ascii="Arial" w:hAnsi="Arial" w:cs="Arial"/>
                <w:sz w:val="24"/>
              </w:rPr>
            </w:pPr>
            <w:r w:rsidRPr="00AE1FA0">
              <w:rPr>
                <w:rFonts w:ascii="Arial" w:hAnsi="Arial" w:cs="Arial"/>
                <w:sz w:val="24"/>
              </w:rPr>
              <w:t xml:space="preserve">Has this impression changed? If yes, how? </w:t>
            </w:r>
          </w:p>
          <w:p w:rsidR="00AE1FA0" w:rsidRPr="00AE1FA0" w:rsidRDefault="00AE1FA0" w:rsidP="00AE1FA0">
            <w:pPr>
              <w:widowControl/>
              <w:numPr>
                <w:ilvl w:val="0"/>
                <w:numId w:val="45"/>
              </w:numPr>
              <w:spacing w:after="160" w:line="360" w:lineRule="auto"/>
              <w:contextualSpacing/>
              <w:jc w:val="left"/>
              <w:rPr>
                <w:rFonts w:ascii="Arial" w:hAnsi="Arial" w:cs="Arial"/>
                <w:sz w:val="24"/>
              </w:rPr>
            </w:pPr>
            <w:r w:rsidRPr="00AE1FA0">
              <w:rPr>
                <w:rFonts w:ascii="Arial" w:hAnsi="Arial" w:cs="Arial"/>
                <w:sz w:val="24"/>
              </w:rPr>
              <w:t>Can you think of any key words to describe your impression in Founder’s Building?</w:t>
            </w:r>
          </w:p>
          <w:p w:rsidR="00AE1FA0" w:rsidRPr="00AE1FA0" w:rsidRDefault="00AE1FA0" w:rsidP="00AE1FA0">
            <w:pPr>
              <w:widowControl/>
              <w:numPr>
                <w:ilvl w:val="0"/>
                <w:numId w:val="45"/>
              </w:numPr>
              <w:spacing w:after="160" w:line="360" w:lineRule="auto"/>
              <w:contextualSpacing/>
              <w:jc w:val="left"/>
              <w:rPr>
                <w:rFonts w:ascii="Arial" w:hAnsi="Arial" w:cs="Arial"/>
                <w:sz w:val="24"/>
              </w:rPr>
            </w:pPr>
            <w:r w:rsidRPr="00AE1FA0">
              <w:rPr>
                <w:rFonts w:ascii="Arial" w:hAnsi="Arial" w:cs="Arial"/>
                <w:sz w:val="24"/>
              </w:rPr>
              <w:t>Apart from your work place, where do you visit most often in Founder’s Building?</w:t>
            </w:r>
          </w:p>
          <w:p w:rsidR="00AE1FA0" w:rsidRPr="00AE1FA0" w:rsidRDefault="00AE1FA0" w:rsidP="00AE1FA0">
            <w:pPr>
              <w:widowControl/>
              <w:numPr>
                <w:ilvl w:val="0"/>
                <w:numId w:val="45"/>
              </w:numPr>
              <w:spacing w:after="160" w:line="360" w:lineRule="auto"/>
              <w:contextualSpacing/>
              <w:jc w:val="left"/>
              <w:rPr>
                <w:rFonts w:ascii="Arial" w:hAnsi="Arial" w:cs="Arial"/>
                <w:sz w:val="24"/>
              </w:rPr>
            </w:pPr>
            <w:r w:rsidRPr="00AE1FA0">
              <w:rPr>
                <w:rFonts w:ascii="Arial" w:hAnsi="Arial" w:cs="Arial"/>
                <w:sz w:val="24"/>
              </w:rPr>
              <w:t>Can you think of anything you dislike about Founder’s Building?</w:t>
            </w:r>
          </w:p>
        </w:tc>
      </w:tr>
      <w:tr w:rsidR="00AE1FA0" w:rsidRPr="00AE1FA0" w:rsidTr="003E6B09">
        <w:tc>
          <w:tcPr>
            <w:tcW w:w="0" w:type="auto"/>
          </w:tcPr>
          <w:p w:rsidR="00AE1FA0" w:rsidRPr="00AE1FA0" w:rsidRDefault="00AE1FA0" w:rsidP="00AE1FA0">
            <w:pPr>
              <w:widowControl/>
              <w:spacing w:after="160" w:line="360" w:lineRule="auto"/>
              <w:jc w:val="left"/>
              <w:rPr>
                <w:rFonts w:ascii="Arial" w:hAnsi="Arial" w:cs="Arial"/>
                <w:sz w:val="24"/>
              </w:rPr>
            </w:pPr>
            <w:r w:rsidRPr="00AE1FA0">
              <w:rPr>
                <w:rFonts w:ascii="Arial" w:hAnsi="Arial" w:cs="Arial"/>
                <w:sz w:val="24"/>
              </w:rPr>
              <w:t>Encounter with the personal space</w:t>
            </w:r>
          </w:p>
        </w:tc>
        <w:tc>
          <w:tcPr>
            <w:tcW w:w="0" w:type="auto"/>
          </w:tcPr>
          <w:p w:rsidR="00AE1FA0" w:rsidRPr="00AE1FA0" w:rsidRDefault="00AE1FA0" w:rsidP="00AE1FA0">
            <w:pPr>
              <w:widowControl/>
              <w:numPr>
                <w:ilvl w:val="0"/>
                <w:numId w:val="44"/>
              </w:numPr>
              <w:spacing w:after="160" w:line="360" w:lineRule="auto"/>
              <w:contextualSpacing/>
              <w:jc w:val="left"/>
              <w:rPr>
                <w:rFonts w:ascii="Arial" w:hAnsi="Arial" w:cs="Arial"/>
                <w:sz w:val="24"/>
              </w:rPr>
            </w:pPr>
            <w:r w:rsidRPr="00AE1FA0">
              <w:rPr>
                <w:rFonts w:ascii="Arial" w:hAnsi="Arial" w:cs="Arial"/>
                <w:sz w:val="24"/>
              </w:rPr>
              <w:t>What was your first impression of Founder’s Library and has that impression changed after you working there?</w:t>
            </w:r>
          </w:p>
          <w:p w:rsidR="00AE1FA0" w:rsidRPr="00AE1FA0" w:rsidRDefault="00AE1FA0" w:rsidP="00AE1FA0">
            <w:pPr>
              <w:widowControl/>
              <w:numPr>
                <w:ilvl w:val="0"/>
                <w:numId w:val="44"/>
              </w:numPr>
              <w:spacing w:after="160" w:line="360" w:lineRule="auto"/>
              <w:contextualSpacing/>
              <w:jc w:val="left"/>
              <w:rPr>
                <w:rFonts w:ascii="Arial" w:hAnsi="Arial" w:cs="Arial"/>
                <w:sz w:val="24"/>
              </w:rPr>
            </w:pPr>
            <w:r w:rsidRPr="00AE1FA0">
              <w:rPr>
                <w:rFonts w:ascii="Arial" w:hAnsi="Arial" w:cs="Arial"/>
                <w:sz w:val="24"/>
              </w:rPr>
              <w:t>What do you think of your work space in general?</w:t>
            </w:r>
          </w:p>
          <w:p w:rsidR="00AE1FA0" w:rsidRPr="00AE1FA0" w:rsidRDefault="00AE1FA0" w:rsidP="00AE1FA0">
            <w:pPr>
              <w:widowControl/>
              <w:numPr>
                <w:ilvl w:val="0"/>
                <w:numId w:val="44"/>
              </w:numPr>
              <w:spacing w:after="160" w:line="360" w:lineRule="auto"/>
              <w:contextualSpacing/>
              <w:jc w:val="left"/>
              <w:rPr>
                <w:rFonts w:ascii="Arial" w:hAnsi="Arial" w:cs="Arial"/>
                <w:sz w:val="24"/>
              </w:rPr>
            </w:pPr>
            <w:r w:rsidRPr="00AE1FA0">
              <w:rPr>
                <w:rFonts w:ascii="Arial" w:hAnsi="Arial" w:cs="Arial"/>
                <w:sz w:val="24"/>
              </w:rPr>
              <w:t>Have you had any difficulty with your work/office space?</w:t>
            </w:r>
          </w:p>
          <w:p w:rsidR="00AE1FA0" w:rsidRPr="00AE1FA0" w:rsidRDefault="00AE1FA0" w:rsidP="00AE1FA0">
            <w:pPr>
              <w:widowControl/>
              <w:numPr>
                <w:ilvl w:val="0"/>
                <w:numId w:val="44"/>
              </w:numPr>
              <w:spacing w:after="160" w:line="360" w:lineRule="auto"/>
              <w:contextualSpacing/>
              <w:jc w:val="left"/>
              <w:rPr>
                <w:rFonts w:ascii="Arial" w:hAnsi="Arial" w:cs="Arial"/>
                <w:sz w:val="24"/>
              </w:rPr>
            </w:pPr>
            <w:r w:rsidRPr="00AE1FA0">
              <w:rPr>
                <w:rFonts w:ascii="Arial" w:hAnsi="Arial" w:cs="Arial"/>
                <w:sz w:val="24"/>
              </w:rPr>
              <w:t>Do you think your working environment influences your work? If so, in what ways? Can you give me some examples?</w:t>
            </w:r>
          </w:p>
          <w:p w:rsidR="00AE1FA0" w:rsidRPr="00AE1FA0" w:rsidRDefault="00AE1FA0" w:rsidP="00AE1FA0">
            <w:pPr>
              <w:widowControl/>
              <w:numPr>
                <w:ilvl w:val="0"/>
                <w:numId w:val="44"/>
              </w:numPr>
              <w:spacing w:after="160" w:line="360" w:lineRule="auto"/>
              <w:contextualSpacing/>
              <w:jc w:val="left"/>
              <w:rPr>
                <w:rFonts w:ascii="Arial" w:hAnsi="Arial" w:cs="Arial"/>
                <w:sz w:val="24"/>
              </w:rPr>
            </w:pPr>
            <w:r w:rsidRPr="00AE1FA0">
              <w:rPr>
                <w:rFonts w:ascii="Arial" w:hAnsi="Arial" w:cs="Arial"/>
                <w:sz w:val="24"/>
              </w:rPr>
              <w:t>Have you had any personal decorations in your work place, if so, can you tell me about the decorations?</w:t>
            </w:r>
          </w:p>
          <w:p w:rsidR="00AE1FA0" w:rsidRPr="00AE1FA0" w:rsidRDefault="00AE1FA0" w:rsidP="00AE1FA0">
            <w:pPr>
              <w:widowControl/>
              <w:numPr>
                <w:ilvl w:val="0"/>
                <w:numId w:val="44"/>
              </w:numPr>
              <w:spacing w:after="160" w:line="360" w:lineRule="auto"/>
              <w:contextualSpacing/>
              <w:jc w:val="left"/>
              <w:rPr>
                <w:rFonts w:ascii="Arial" w:hAnsi="Arial" w:cs="Arial"/>
                <w:sz w:val="24"/>
              </w:rPr>
            </w:pPr>
            <w:r w:rsidRPr="00AE1FA0">
              <w:rPr>
                <w:rFonts w:ascii="Arial" w:hAnsi="Arial" w:cs="Arial"/>
                <w:sz w:val="24"/>
              </w:rPr>
              <w:t xml:space="preserve">What has influenced the decorations of your office? </w:t>
            </w:r>
          </w:p>
          <w:p w:rsidR="00AE1FA0" w:rsidRPr="00AE1FA0" w:rsidRDefault="00AE1FA0" w:rsidP="00AE1FA0">
            <w:pPr>
              <w:widowControl/>
              <w:numPr>
                <w:ilvl w:val="0"/>
                <w:numId w:val="44"/>
              </w:numPr>
              <w:spacing w:after="160" w:line="360" w:lineRule="auto"/>
              <w:contextualSpacing/>
              <w:jc w:val="left"/>
              <w:rPr>
                <w:rFonts w:ascii="Arial" w:hAnsi="Arial" w:cs="Arial"/>
                <w:sz w:val="24"/>
              </w:rPr>
            </w:pPr>
            <w:r w:rsidRPr="00AE1FA0">
              <w:rPr>
                <w:rFonts w:ascii="Arial" w:hAnsi="Arial" w:cs="Arial"/>
                <w:sz w:val="24"/>
              </w:rPr>
              <w:t>Have you made any big changes in your work place, like rearranging the furniture or shelving?</w:t>
            </w:r>
          </w:p>
          <w:p w:rsidR="00AE1FA0" w:rsidRPr="00AE1FA0" w:rsidRDefault="00AE1FA0" w:rsidP="00AE1FA0">
            <w:pPr>
              <w:widowControl/>
              <w:numPr>
                <w:ilvl w:val="0"/>
                <w:numId w:val="44"/>
              </w:numPr>
              <w:spacing w:after="160" w:line="360" w:lineRule="auto"/>
              <w:contextualSpacing/>
              <w:jc w:val="left"/>
              <w:rPr>
                <w:rFonts w:ascii="Arial" w:hAnsi="Arial" w:cs="Arial"/>
                <w:sz w:val="24"/>
              </w:rPr>
            </w:pPr>
            <w:r w:rsidRPr="00AE1FA0">
              <w:rPr>
                <w:rFonts w:ascii="Arial" w:hAnsi="Arial" w:cs="Arial"/>
                <w:sz w:val="24"/>
              </w:rPr>
              <w:t xml:space="preserve">Can you think of any particularly interesting experience </w:t>
            </w:r>
            <w:r w:rsidRPr="00AE1FA0">
              <w:rPr>
                <w:rFonts w:ascii="Arial" w:hAnsi="Arial" w:cs="Arial"/>
                <w:sz w:val="24"/>
              </w:rPr>
              <w:lastRenderedPageBreak/>
              <w:t>to do with your work space? Or something special, unique compared to your previous work space?</w:t>
            </w:r>
          </w:p>
          <w:p w:rsidR="00AE1FA0" w:rsidRPr="00AE1FA0" w:rsidRDefault="00AE1FA0" w:rsidP="00AE1FA0">
            <w:pPr>
              <w:widowControl/>
              <w:numPr>
                <w:ilvl w:val="0"/>
                <w:numId w:val="44"/>
              </w:numPr>
              <w:spacing w:after="160" w:line="360" w:lineRule="auto"/>
              <w:contextualSpacing/>
              <w:jc w:val="left"/>
              <w:rPr>
                <w:rFonts w:ascii="Arial" w:hAnsi="Arial" w:cs="Arial"/>
                <w:sz w:val="24"/>
              </w:rPr>
            </w:pPr>
            <w:r w:rsidRPr="00AE1FA0">
              <w:rPr>
                <w:rFonts w:ascii="Arial" w:hAnsi="Arial" w:cs="Arial"/>
                <w:sz w:val="24"/>
              </w:rPr>
              <w:t>What changes you would like to make if you can make any changes you want in your work place?</w:t>
            </w:r>
          </w:p>
          <w:p w:rsidR="00AE1FA0" w:rsidRPr="00AE1FA0" w:rsidRDefault="00AE1FA0" w:rsidP="00AE1FA0">
            <w:pPr>
              <w:widowControl/>
              <w:spacing w:after="160" w:line="360" w:lineRule="auto"/>
              <w:jc w:val="left"/>
              <w:rPr>
                <w:rFonts w:ascii="Arial" w:hAnsi="Arial" w:cs="Arial"/>
                <w:sz w:val="24"/>
              </w:rPr>
            </w:pPr>
          </w:p>
          <w:p w:rsidR="00AE1FA0" w:rsidRPr="00AE1FA0" w:rsidRDefault="00AE1FA0" w:rsidP="00AE1FA0">
            <w:pPr>
              <w:widowControl/>
              <w:spacing w:after="160" w:line="360" w:lineRule="auto"/>
              <w:ind w:left="720"/>
              <w:contextualSpacing/>
              <w:jc w:val="left"/>
              <w:rPr>
                <w:rFonts w:ascii="Arial" w:hAnsi="Arial" w:cs="Arial"/>
                <w:sz w:val="24"/>
              </w:rPr>
            </w:pPr>
          </w:p>
        </w:tc>
      </w:tr>
      <w:tr w:rsidR="00AE1FA0" w:rsidRPr="00AE1FA0" w:rsidTr="003E6B09">
        <w:tc>
          <w:tcPr>
            <w:tcW w:w="0" w:type="auto"/>
          </w:tcPr>
          <w:p w:rsidR="00AE1FA0" w:rsidRPr="00AE1FA0" w:rsidRDefault="00AE1FA0" w:rsidP="00AE1FA0">
            <w:pPr>
              <w:widowControl/>
              <w:spacing w:after="160" w:line="360" w:lineRule="auto"/>
              <w:jc w:val="left"/>
              <w:rPr>
                <w:rFonts w:ascii="Arial" w:hAnsi="Arial" w:cs="Arial"/>
                <w:sz w:val="24"/>
              </w:rPr>
            </w:pPr>
            <w:r w:rsidRPr="00AE1FA0">
              <w:rPr>
                <w:rFonts w:ascii="Arial" w:hAnsi="Arial" w:cs="Arial"/>
                <w:sz w:val="24"/>
              </w:rPr>
              <w:lastRenderedPageBreak/>
              <w:t xml:space="preserve">Founder’s Building and history </w:t>
            </w:r>
          </w:p>
        </w:tc>
        <w:tc>
          <w:tcPr>
            <w:tcW w:w="0" w:type="auto"/>
          </w:tcPr>
          <w:p w:rsidR="00AE1FA0" w:rsidRPr="00AE1FA0" w:rsidRDefault="00AE1FA0" w:rsidP="00AE1FA0">
            <w:pPr>
              <w:widowControl/>
              <w:numPr>
                <w:ilvl w:val="0"/>
                <w:numId w:val="46"/>
              </w:numPr>
              <w:spacing w:after="160" w:line="360" w:lineRule="auto"/>
              <w:contextualSpacing/>
              <w:jc w:val="left"/>
              <w:rPr>
                <w:rFonts w:ascii="Arial" w:hAnsi="Arial" w:cs="Arial"/>
                <w:sz w:val="24"/>
              </w:rPr>
            </w:pPr>
            <w:r w:rsidRPr="00AE1FA0">
              <w:rPr>
                <w:rFonts w:ascii="Arial" w:hAnsi="Arial" w:cs="Arial"/>
                <w:sz w:val="24"/>
              </w:rPr>
              <w:t>Do you know that Founder’s Building is the original building of RHUL?</w:t>
            </w:r>
          </w:p>
          <w:p w:rsidR="00AE1FA0" w:rsidRPr="00AE1FA0" w:rsidRDefault="00AE1FA0" w:rsidP="00AE1FA0">
            <w:pPr>
              <w:widowControl/>
              <w:numPr>
                <w:ilvl w:val="0"/>
                <w:numId w:val="46"/>
              </w:numPr>
              <w:spacing w:after="160" w:line="360" w:lineRule="auto"/>
              <w:contextualSpacing/>
              <w:jc w:val="left"/>
              <w:rPr>
                <w:rFonts w:ascii="Arial" w:hAnsi="Arial" w:cs="Arial"/>
                <w:sz w:val="24"/>
              </w:rPr>
            </w:pPr>
            <w:r w:rsidRPr="00AE1FA0">
              <w:rPr>
                <w:rFonts w:ascii="Arial" w:hAnsi="Arial" w:cs="Arial"/>
                <w:sz w:val="24"/>
              </w:rPr>
              <w:t>How do you feel working in a building with a history of more than a hundred years? Are you conscious of it at all?</w:t>
            </w:r>
          </w:p>
          <w:p w:rsidR="00AE1FA0" w:rsidRPr="00AE1FA0" w:rsidRDefault="00AE1FA0" w:rsidP="00AE1FA0">
            <w:pPr>
              <w:widowControl/>
              <w:numPr>
                <w:ilvl w:val="0"/>
                <w:numId w:val="46"/>
              </w:numPr>
              <w:spacing w:after="160" w:line="360" w:lineRule="auto"/>
              <w:contextualSpacing/>
              <w:jc w:val="left"/>
              <w:rPr>
                <w:rFonts w:ascii="Arial" w:hAnsi="Arial" w:cs="Arial"/>
                <w:sz w:val="24"/>
              </w:rPr>
            </w:pPr>
            <w:r w:rsidRPr="00AE1FA0">
              <w:rPr>
                <w:rFonts w:ascii="Arial" w:hAnsi="Arial" w:cs="Arial"/>
                <w:sz w:val="24"/>
              </w:rPr>
              <w:t xml:space="preserve">Do you know how Founder’s Library was organised originally? </w:t>
            </w:r>
          </w:p>
          <w:p w:rsidR="00AE1FA0" w:rsidRPr="00AE1FA0" w:rsidRDefault="00AE1FA0" w:rsidP="00AE1FA0">
            <w:pPr>
              <w:widowControl/>
              <w:numPr>
                <w:ilvl w:val="0"/>
                <w:numId w:val="46"/>
              </w:numPr>
              <w:spacing w:after="160" w:line="360" w:lineRule="auto"/>
              <w:contextualSpacing/>
              <w:jc w:val="left"/>
              <w:rPr>
                <w:rFonts w:ascii="Arial" w:hAnsi="Arial" w:cs="Arial"/>
                <w:sz w:val="24"/>
              </w:rPr>
            </w:pPr>
            <w:r w:rsidRPr="00AE1FA0">
              <w:rPr>
                <w:rFonts w:ascii="Arial" w:hAnsi="Arial" w:cs="Arial"/>
                <w:sz w:val="24"/>
              </w:rPr>
              <w:t>Are there any changes happened in recent years about the space in Founder’s Library?</w:t>
            </w:r>
          </w:p>
          <w:p w:rsidR="00AE1FA0" w:rsidRPr="00AE1FA0" w:rsidRDefault="00AE1FA0" w:rsidP="00AE1FA0">
            <w:pPr>
              <w:widowControl/>
              <w:numPr>
                <w:ilvl w:val="0"/>
                <w:numId w:val="46"/>
              </w:numPr>
              <w:spacing w:after="160" w:line="360" w:lineRule="auto"/>
              <w:contextualSpacing/>
              <w:jc w:val="left"/>
              <w:rPr>
                <w:rFonts w:ascii="Arial" w:hAnsi="Arial" w:cs="Arial"/>
                <w:sz w:val="24"/>
              </w:rPr>
            </w:pPr>
            <w:r w:rsidRPr="00AE1FA0">
              <w:rPr>
                <w:rFonts w:ascii="Arial" w:hAnsi="Arial" w:cs="Arial"/>
                <w:sz w:val="24"/>
              </w:rPr>
              <w:t>Can you discover any clues showing how this space was used before?</w:t>
            </w:r>
          </w:p>
          <w:p w:rsidR="00AE1FA0" w:rsidRPr="00AE1FA0" w:rsidRDefault="00AE1FA0" w:rsidP="00AE1FA0">
            <w:pPr>
              <w:widowControl/>
              <w:numPr>
                <w:ilvl w:val="0"/>
                <w:numId w:val="46"/>
              </w:numPr>
              <w:spacing w:after="160" w:line="360" w:lineRule="auto"/>
              <w:contextualSpacing/>
              <w:jc w:val="left"/>
              <w:rPr>
                <w:rFonts w:ascii="Arial" w:hAnsi="Arial" w:cs="Arial"/>
                <w:sz w:val="24"/>
              </w:rPr>
            </w:pPr>
            <w:r w:rsidRPr="00AE1FA0">
              <w:rPr>
                <w:rFonts w:ascii="Arial" w:hAnsi="Arial" w:cs="Arial"/>
                <w:sz w:val="24"/>
              </w:rPr>
              <w:t>Can you think of advantages or disadvantages of working in a historical building?</w:t>
            </w:r>
          </w:p>
          <w:p w:rsidR="00AE1FA0" w:rsidRPr="00AE1FA0" w:rsidRDefault="00AE1FA0" w:rsidP="00AE1FA0">
            <w:pPr>
              <w:widowControl/>
              <w:numPr>
                <w:ilvl w:val="0"/>
                <w:numId w:val="46"/>
              </w:numPr>
              <w:spacing w:after="160" w:line="360" w:lineRule="auto"/>
              <w:contextualSpacing/>
              <w:jc w:val="left"/>
              <w:rPr>
                <w:rFonts w:ascii="Arial" w:hAnsi="Arial" w:cs="Arial"/>
                <w:sz w:val="24"/>
              </w:rPr>
            </w:pPr>
            <w:r w:rsidRPr="00AE1FA0">
              <w:rPr>
                <w:rFonts w:ascii="Arial" w:hAnsi="Arial" w:cs="Arial"/>
                <w:sz w:val="24"/>
              </w:rPr>
              <w:t>Can you think of tradition you stick to when working in Founder’s Building?</w:t>
            </w:r>
          </w:p>
          <w:p w:rsidR="00AE1FA0" w:rsidRPr="00AE1FA0" w:rsidRDefault="00AE1FA0" w:rsidP="00AE1FA0">
            <w:pPr>
              <w:widowControl/>
              <w:numPr>
                <w:ilvl w:val="0"/>
                <w:numId w:val="46"/>
              </w:numPr>
              <w:spacing w:after="160" w:line="360" w:lineRule="auto"/>
              <w:contextualSpacing/>
              <w:jc w:val="left"/>
              <w:rPr>
                <w:rFonts w:ascii="Arial" w:hAnsi="Arial" w:cs="Arial"/>
                <w:sz w:val="24"/>
              </w:rPr>
            </w:pPr>
            <w:r w:rsidRPr="00AE1FA0">
              <w:rPr>
                <w:rFonts w:ascii="Arial" w:hAnsi="Arial" w:cs="Arial"/>
                <w:sz w:val="24"/>
              </w:rPr>
              <w:t>Are you aware of that the university was a women college until 1965 and Founder’s Library was designed for female staff and students only?</w:t>
            </w:r>
          </w:p>
          <w:p w:rsidR="00AE1FA0" w:rsidRPr="00AE1FA0" w:rsidRDefault="00AE1FA0" w:rsidP="00AE1FA0">
            <w:pPr>
              <w:widowControl/>
              <w:numPr>
                <w:ilvl w:val="0"/>
                <w:numId w:val="46"/>
              </w:numPr>
              <w:spacing w:after="160" w:line="360" w:lineRule="auto"/>
              <w:contextualSpacing/>
              <w:jc w:val="left"/>
              <w:rPr>
                <w:rFonts w:ascii="Arial" w:hAnsi="Arial" w:cs="Arial"/>
                <w:sz w:val="24"/>
              </w:rPr>
            </w:pPr>
            <w:r w:rsidRPr="00AE1FA0">
              <w:rPr>
                <w:rFonts w:ascii="Arial" w:hAnsi="Arial" w:cs="Arial"/>
                <w:sz w:val="24"/>
              </w:rPr>
              <w:t>How you feel about that? Is it something important to you?</w:t>
            </w:r>
          </w:p>
        </w:tc>
      </w:tr>
    </w:tbl>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Pr="00AE1FA0" w:rsidRDefault="00AE1FA0" w:rsidP="00AE1FA0">
      <w:pPr>
        <w:widowControl/>
        <w:spacing w:after="160" w:line="259" w:lineRule="auto"/>
        <w:jc w:val="left"/>
        <w:rPr>
          <w:rFonts w:ascii="Arial" w:hAnsi="Arial" w:cs="Arial"/>
          <w:kern w:val="0"/>
          <w:sz w:val="22"/>
          <w:lang w:eastAsia="en-US"/>
        </w:rPr>
      </w:pPr>
    </w:p>
    <w:p w:rsidR="00AE1FA0" w:rsidRDefault="00AE1FA0" w:rsidP="00AE1FA0">
      <w:pPr>
        <w:spacing w:line="360" w:lineRule="auto"/>
        <w:rPr>
          <w:rFonts w:ascii="Arial" w:eastAsia="宋体" w:hAnsi="Arial" w:cs="Arial"/>
          <w:sz w:val="24"/>
        </w:rPr>
      </w:pPr>
    </w:p>
    <w:p w:rsidR="00AE1FA0" w:rsidRDefault="00AE1FA0" w:rsidP="00AE1FA0">
      <w:pPr>
        <w:spacing w:line="360" w:lineRule="auto"/>
        <w:rPr>
          <w:rFonts w:ascii="Arial" w:eastAsia="宋体" w:hAnsi="Arial" w:cs="Arial"/>
          <w:sz w:val="24"/>
        </w:rPr>
      </w:pPr>
    </w:p>
    <w:p w:rsidR="00AE1FA0" w:rsidRPr="00AE1FA0" w:rsidRDefault="00AE1FA0" w:rsidP="00AE1FA0">
      <w:pPr>
        <w:spacing w:line="360" w:lineRule="auto"/>
        <w:rPr>
          <w:rFonts w:ascii="Arial" w:eastAsia="宋体" w:hAnsi="Arial" w:cs="Arial" w:hint="eastAsia"/>
          <w:sz w:val="24"/>
        </w:rPr>
      </w:pPr>
    </w:p>
    <w:p w:rsidR="00AE1FA0" w:rsidRPr="00AE1FA0" w:rsidRDefault="00AE1FA0" w:rsidP="00AE1FA0">
      <w:pPr>
        <w:keepNext/>
        <w:keepLines/>
        <w:widowControl/>
        <w:spacing w:before="240" w:line="259" w:lineRule="auto"/>
        <w:jc w:val="center"/>
        <w:outlineLvl w:val="0"/>
        <w:rPr>
          <w:rFonts w:ascii="Arial" w:eastAsiaTheme="majorEastAsia" w:hAnsi="Arial" w:cs="Arial"/>
          <w:color w:val="000000" w:themeColor="text1"/>
          <w:kern w:val="0"/>
          <w:sz w:val="32"/>
          <w:szCs w:val="32"/>
          <w:lang w:eastAsia="en-US"/>
        </w:rPr>
      </w:pPr>
      <w:bookmarkStart w:id="110" w:name="_Toc534732428"/>
      <w:r w:rsidRPr="00AE1FA0">
        <w:rPr>
          <w:rFonts w:ascii="Arial" w:eastAsiaTheme="majorEastAsia" w:hAnsi="Arial" w:cs="Arial"/>
          <w:color w:val="000000" w:themeColor="text1"/>
          <w:kern w:val="0"/>
          <w:sz w:val="32"/>
          <w:szCs w:val="32"/>
          <w:lang w:eastAsia="en-US"/>
        </w:rPr>
        <w:lastRenderedPageBreak/>
        <w:t>Appendix 2 Sample of information sheet and consent form</w:t>
      </w:r>
      <w:bookmarkEnd w:id="110"/>
    </w:p>
    <w:p w:rsidR="00AE1FA0" w:rsidRPr="00AE1FA0" w:rsidRDefault="00AE1FA0" w:rsidP="00AE1FA0">
      <w:pPr>
        <w:widowControl/>
        <w:spacing w:after="160" w:line="259" w:lineRule="auto"/>
        <w:jc w:val="center"/>
        <w:rPr>
          <w:rFonts w:ascii="Arial" w:hAnsi="Arial" w:cs="Arial"/>
          <w:kern w:val="0"/>
          <w:sz w:val="28"/>
          <w:szCs w:val="28"/>
        </w:rPr>
      </w:pPr>
    </w:p>
    <w:p w:rsidR="00AE1FA0" w:rsidRPr="00AE1FA0" w:rsidRDefault="00AE1FA0" w:rsidP="00AE1FA0">
      <w:pPr>
        <w:widowControl/>
        <w:spacing w:after="160" w:line="360" w:lineRule="auto"/>
        <w:jc w:val="left"/>
        <w:rPr>
          <w:rFonts w:ascii="Arial" w:hAnsi="Arial" w:cs="Arial"/>
          <w:kern w:val="0"/>
          <w:sz w:val="24"/>
          <w:szCs w:val="24"/>
        </w:rPr>
      </w:pPr>
      <w:r w:rsidRPr="00AE1FA0">
        <w:rPr>
          <w:rFonts w:ascii="Arial" w:hAnsi="Arial" w:cs="Arial"/>
          <w:kern w:val="0"/>
          <w:sz w:val="24"/>
          <w:szCs w:val="24"/>
        </w:rPr>
        <w:t>Dear potential participant,</w:t>
      </w: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widowControl/>
        <w:spacing w:after="160" w:line="360" w:lineRule="auto"/>
        <w:rPr>
          <w:rFonts w:ascii="Arial" w:hAnsi="Arial" w:cs="Arial"/>
          <w:bCs/>
          <w:kern w:val="0"/>
          <w:sz w:val="24"/>
          <w:szCs w:val="24"/>
          <w:lang w:val="en-US"/>
        </w:rPr>
      </w:pPr>
      <w:r w:rsidRPr="00AE1FA0">
        <w:rPr>
          <w:rFonts w:ascii="Arial" w:hAnsi="Arial" w:cs="Arial"/>
          <w:kern w:val="0"/>
          <w:sz w:val="24"/>
          <w:szCs w:val="24"/>
        </w:rPr>
        <w:t>You are invited to participate in a research project for a PhD thesis. The title of this research project is:</w:t>
      </w:r>
      <w:r w:rsidRPr="00AE1FA0">
        <w:rPr>
          <w:rFonts w:ascii="Arial" w:hAnsi="Arial" w:cs="Arial"/>
          <w:i/>
          <w:kern w:val="0"/>
          <w:sz w:val="24"/>
          <w:szCs w:val="24"/>
        </w:rPr>
        <w:t xml:space="preserve"> </w:t>
      </w:r>
      <w:r w:rsidRPr="00AE1FA0">
        <w:rPr>
          <w:rFonts w:ascii="Arial" w:hAnsi="Arial" w:cs="Arial"/>
          <w:bCs/>
          <w:i/>
          <w:kern w:val="0"/>
          <w:sz w:val="24"/>
          <w:szCs w:val="24"/>
        </w:rPr>
        <w:t>W</w:t>
      </w:r>
      <w:r w:rsidRPr="00AE1FA0">
        <w:rPr>
          <w:rFonts w:ascii="Arial" w:hAnsi="Arial" w:cs="Arial"/>
          <w:bCs/>
          <w:i/>
          <w:kern w:val="0"/>
          <w:sz w:val="24"/>
          <w:szCs w:val="24"/>
          <w:lang w:val="en-US"/>
        </w:rPr>
        <w:t>here the past is always present: A case study of the historicity of organizational space.</w:t>
      </w:r>
      <w:r w:rsidRPr="00AE1FA0">
        <w:rPr>
          <w:rFonts w:ascii="Arial" w:hAnsi="Arial" w:cs="Arial"/>
          <w:bCs/>
          <w:kern w:val="0"/>
          <w:sz w:val="24"/>
          <w:szCs w:val="24"/>
          <w:lang w:val="en-US"/>
        </w:rPr>
        <w:t xml:space="preserve"> The Founder’s Building in Royal Holloway is the empirical site for this research project. The researcher is a PhD student from School of Management in Royal Holloway, University of London and this research project will be conducted in compliance with Royal Holloway’s Ethics Guidance.</w:t>
      </w:r>
    </w:p>
    <w:p w:rsidR="00AE1FA0" w:rsidRPr="00AE1FA0" w:rsidRDefault="00AE1FA0" w:rsidP="00AE1FA0">
      <w:pPr>
        <w:autoSpaceDE w:val="0"/>
        <w:autoSpaceDN w:val="0"/>
        <w:adjustRightInd w:val="0"/>
        <w:spacing w:line="360" w:lineRule="auto"/>
        <w:rPr>
          <w:rFonts w:ascii="Arial" w:hAnsi="Arial" w:cs="Arial"/>
          <w:color w:val="000000"/>
          <w:kern w:val="0"/>
          <w:sz w:val="24"/>
          <w:szCs w:val="24"/>
          <w:lang w:val="en-US"/>
        </w:rPr>
      </w:pPr>
    </w:p>
    <w:p w:rsidR="00AE1FA0" w:rsidRPr="00AE1FA0" w:rsidRDefault="00AE1FA0" w:rsidP="00AE1FA0">
      <w:pPr>
        <w:autoSpaceDE w:val="0"/>
        <w:autoSpaceDN w:val="0"/>
        <w:adjustRightInd w:val="0"/>
        <w:spacing w:line="360" w:lineRule="auto"/>
        <w:rPr>
          <w:rFonts w:ascii="Arial" w:hAnsi="Arial" w:cs="Arial"/>
          <w:color w:val="000000"/>
          <w:kern w:val="0"/>
          <w:sz w:val="24"/>
          <w:szCs w:val="24"/>
          <w:lang w:val="en-US"/>
        </w:rPr>
      </w:pPr>
      <w:r w:rsidRPr="00AE1FA0">
        <w:rPr>
          <w:rFonts w:ascii="Arial" w:hAnsi="Arial" w:cs="Arial"/>
          <w:color w:val="000000"/>
          <w:kern w:val="0"/>
          <w:sz w:val="24"/>
          <w:szCs w:val="24"/>
          <w:lang w:val="en-US"/>
        </w:rPr>
        <w:t xml:space="preserve">Before agreeing to participate in this research, you are strongly encouraged to read the following explanation of this research project: </w:t>
      </w:r>
    </w:p>
    <w:p w:rsidR="00AE1FA0" w:rsidRPr="00AE1FA0" w:rsidRDefault="00AE1FA0" w:rsidP="00AE1FA0">
      <w:pPr>
        <w:autoSpaceDE w:val="0"/>
        <w:autoSpaceDN w:val="0"/>
        <w:adjustRightInd w:val="0"/>
        <w:spacing w:line="360" w:lineRule="auto"/>
        <w:rPr>
          <w:rFonts w:ascii="Arial" w:hAnsi="Arial" w:cs="Arial"/>
          <w:color w:val="000000"/>
          <w:kern w:val="0"/>
          <w:sz w:val="24"/>
          <w:szCs w:val="24"/>
          <w:lang w:val="en-US"/>
        </w:rPr>
      </w:pPr>
    </w:p>
    <w:p w:rsidR="00AE1FA0" w:rsidRPr="00AE1FA0" w:rsidRDefault="00AE1FA0" w:rsidP="00AE1FA0">
      <w:pPr>
        <w:autoSpaceDE w:val="0"/>
        <w:autoSpaceDN w:val="0"/>
        <w:adjustRightInd w:val="0"/>
        <w:spacing w:line="360" w:lineRule="auto"/>
        <w:rPr>
          <w:rFonts w:ascii="Arial" w:hAnsi="Arial" w:cs="Arial"/>
          <w:color w:val="000000"/>
          <w:kern w:val="0"/>
          <w:sz w:val="24"/>
          <w:szCs w:val="24"/>
          <w:u w:val="single"/>
          <w:lang w:val="en-US"/>
        </w:rPr>
      </w:pPr>
      <w:r w:rsidRPr="00AE1FA0">
        <w:rPr>
          <w:rFonts w:ascii="Arial" w:hAnsi="Arial" w:cs="Arial"/>
          <w:color w:val="000000"/>
          <w:kern w:val="0"/>
          <w:sz w:val="24"/>
          <w:szCs w:val="24"/>
          <w:u w:val="single"/>
          <w:lang w:val="en-US"/>
        </w:rPr>
        <w:t>Research Procedures</w:t>
      </w:r>
    </w:p>
    <w:p w:rsidR="00AE1FA0" w:rsidRPr="00AE1FA0" w:rsidRDefault="00AE1FA0" w:rsidP="00AE1FA0">
      <w:pPr>
        <w:autoSpaceDE w:val="0"/>
        <w:autoSpaceDN w:val="0"/>
        <w:adjustRightInd w:val="0"/>
        <w:spacing w:line="360" w:lineRule="auto"/>
        <w:rPr>
          <w:rFonts w:ascii="Arial" w:hAnsi="Arial" w:cs="Arial"/>
          <w:color w:val="000000"/>
          <w:kern w:val="0"/>
          <w:sz w:val="24"/>
          <w:szCs w:val="24"/>
          <w:lang w:val="en-US"/>
        </w:rPr>
      </w:pPr>
      <w:r w:rsidRPr="00AE1FA0">
        <w:rPr>
          <w:rFonts w:ascii="Arial" w:hAnsi="Arial" w:cs="Arial"/>
          <w:color w:val="000000"/>
          <w:kern w:val="0"/>
          <w:sz w:val="24"/>
          <w:szCs w:val="24"/>
          <w:lang w:val="en-US"/>
        </w:rPr>
        <w:t xml:space="preserve">This research project is designed to examine the ways in which people make sense of organizational space from a historical perspective. The Founder’s Building is chosen to be the empirical site of an organizational space. Participation in the study will involve a face-to-face interview, which might last for approximately one to two hours. The interviews will be conducted in either the interviewees’ office or the meeting rooms in Royal Holloway, University of London depending on interviewees’ preferences. The interviews will be conducted by the researcher, audio-taped and later transcribed for the purpose of data analysis. </w:t>
      </w:r>
    </w:p>
    <w:p w:rsidR="00AE1FA0" w:rsidRPr="00AE1FA0" w:rsidRDefault="00AE1FA0" w:rsidP="00AE1FA0">
      <w:pPr>
        <w:autoSpaceDE w:val="0"/>
        <w:autoSpaceDN w:val="0"/>
        <w:adjustRightInd w:val="0"/>
        <w:spacing w:line="360" w:lineRule="auto"/>
        <w:rPr>
          <w:rFonts w:ascii="Arial" w:hAnsi="Arial" w:cs="Arial"/>
          <w:color w:val="000000"/>
          <w:kern w:val="0"/>
          <w:sz w:val="24"/>
          <w:szCs w:val="24"/>
          <w:u w:val="single"/>
          <w:lang w:val="en-US"/>
        </w:rPr>
      </w:pPr>
    </w:p>
    <w:p w:rsidR="00AE1FA0" w:rsidRPr="00AE1FA0" w:rsidRDefault="00AE1FA0" w:rsidP="00AE1FA0">
      <w:pPr>
        <w:autoSpaceDE w:val="0"/>
        <w:autoSpaceDN w:val="0"/>
        <w:adjustRightInd w:val="0"/>
        <w:spacing w:line="360" w:lineRule="auto"/>
        <w:jc w:val="left"/>
        <w:rPr>
          <w:rFonts w:ascii="Arial" w:hAnsi="Arial" w:cs="Arial"/>
          <w:color w:val="000000"/>
          <w:kern w:val="0"/>
          <w:sz w:val="24"/>
          <w:szCs w:val="24"/>
          <w:u w:val="single"/>
          <w:lang w:val="en-US"/>
        </w:rPr>
      </w:pPr>
      <w:r w:rsidRPr="00AE1FA0">
        <w:rPr>
          <w:rFonts w:ascii="Arial" w:hAnsi="Arial" w:cs="Arial"/>
          <w:color w:val="000000"/>
          <w:kern w:val="0"/>
          <w:sz w:val="24"/>
          <w:szCs w:val="24"/>
          <w:u w:val="single"/>
          <w:lang w:val="en-US"/>
        </w:rPr>
        <w:t xml:space="preserve">Withdrawal without Prejudice </w:t>
      </w:r>
    </w:p>
    <w:p w:rsidR="00AE1FA0" w:rsidRPr="00AE1FA0" w:rsidRDefault="00AE1FA0" w:rsidP="00AE1FA0">
      <w:pPr>
        <w:widowControl/>
        <w:numPr>
          <w:ilvl w:val="0"/>
          <w:numId w:val="40"/>
        </w:numPr>
        <w:autoSpaceDE w:val="0"/>
        <w:autoSpaceDN w:val="0"/>
        <w:adjustRightInd w:val="0"/>
        <w:spacing w:after="200" w:line="360" w:lineRule="auto"/>
        <w:contextualSpacing/>
        <w:jc w:val="left"/>
        <w:rPr>
          <w:rFonts w:ascii="Arial" w:hAnsi="Arial" w:cs="Arial"/>
          <w:color w:val="000000"/>
          <w:sz w:val="24"/>
          <w:szCs w:val="24"/>
          <w:lang w:val="en-US"/>
        </w:rPr>
      </w:pPr>
      <w:r w:rsidRPr="00AE1FA0">
        <w:rPr>
          <w:rFonts w:ascii="Arial" w:hAnsi="Arial" w:cs="Arial"/>
          <w:color w:val="000000"/>
          <w:sz w:val="24"/>
          <w:szCs w:val="24"/>
          <w:lang w:val="en-US"/>
        </w:rPr>
        <w:t xml:space="preserve">Participation is entirely voluntary. </w:t>
      </w:r>
    </w:p>
    <w:p w:rsidR="00AE1FA0" w:rsidRPr="00AE1FA0" w:rsidRDefault="00AE1FA0" w:rsidP="00AE1FA0">
      <w:pPr>
        <w:widowControl/>
        <w:numPr>
          <w:ilvl w:val="0"/>
          <w:numId w:val="40"/>
        </w:numPr>
        <w:autoSpaceDE w:val="0"/>
        <w:autoSpaceDN w:val="0"/>
        <w:adjustRightInd w:val="0"/>
        <w:spacing w:after="200" w:line="360" w:lineRule="auto"/>
        <w:contextualSpacing/>
        <w:jc w:val="left"/>
        <w:rPr>
          <w:rFonts w:ascii="Arial" w:hAnsi="Arial" w:cs="Arial"/>
          <w:color w:val="000000"/>
          <w:sz w:val="24"/>
          <w:szCs w:val="24"/>
          <w:lang w:val="en-US"/>
        </w:rPr>
      </w:pPr>
      <w:r w:rsidRPr="00AE1FA0">
        <w:rPr>
          <w:rFonts w:ascii="Arial" w:hAnsi="Arial" w:cs="Arial"/>
          <w:color w:val="000000"/>
          <w:sz w:val="24"/>
          <w:szCs w:val="24"/>
          <w:lang w:val="en-US"/>
        </w:rPr>
        <w:t xml:space="preserve">Participation is anonymous and confidential (only seen by me and supervisors) </w:t>
      </w:r>
    </w:p>
    <w:p w:rsidR="00AE1FA0" w:rsidRPr="00AE1FA0" w:rsidRDefault="00AE1FA0" w:rsidP="00AE1FA0">
      <w:pPr>
        <w:widowControl/>
        <w:numPr>
          <w:ilvl w:val="0"/>
          <w:numId w:val="40"/>
        </w:numPr>
        <w:autoSpaceDE w:val="0"/>
        <w:autoSpaceDN w:val="0"/>
        <w:adjustRightInd w:val="0"/>
        <w:spacing w:after="200" w:line="360" w:lineRule="auto"/>
        <w:contextualSpacing/>
        <w:jc w:val="left"/>
        <w:rPr>
          <w:rFonts w:ascii="Arial" w:hAnsi="Arial" w:cs="Arial"/>
          <w:color w:val="000000"/>
          <w:sz w:val="24"/>
          <w:szCs w:val="24"/>
          <w:lang w:val="en-US"/>
        </w:rPr>
      </w:pPr>
      <w:r w:rsidRPr="00AE1FA0">
        <w:rPr>
          <w:rFonts w:ascii="Arial" w:hAnsi="Arial" w:cs="Arial"/>
          <w:color w:val="000000"/>
          <w:sz w:val="24"/>
          <w:szCs w:val="24"/>
          <w:lang w:val="en-US"/>
        </w:rPr>
        <w:t xml:space="preserve">Participants can decide not to answer any question if they prefer not to. </w:t>
      </w:r>
    </w:p>
    <w:p w:rsidR="00AE1FA0" w:rsidRPr="00AE1FA0" w:rsidRDefault="00AE1FA0" w:rsidP="00AE1FA0">
      <w:pPr>
        <w:widowControl/>
        <w:numPr>
          <w:ilvl w:val="0"/>
          <w:numId w:val="40"/>
        </w:numPr>
        <w:autoSpaceDE w:val="0"/>
        <w:autoSpaceDN w:val="0"/>
        <w:adjustRightInd w:val="0"/>
        <w:spacing w:after="200" w:line="360" w:lineRule="auto"/>
        <w:contextualSpacing/>
        <w:jc w:val="left"/>
        <w:rPr>
          <w:rFonts w:ascii="Arial" w:hAnsi="Arial" w:cs="Arial"/>
          <w:color w:val="000000"/>
          <w:sz w:val="24"/>
          <w:szCs w:val="24"/>
          <w:lang w:val="en-US"/>
        </w:rPr>
      </w:pPr>
      <w:r w:rsidRPr="00AE1FA0">
        <w:rPr>
          <w:rFonts w:ascii="Arial" w:hAnsi="Arial" w:cs="Arial"/>
          <w:color w:val="000000"/>
          <w:sz w:val="24"/>
          <w:szCs w:val="24"/>
          <w:lang w:val="en-US"/>
        </w:rPr>
        <w:t xml:space="preserve">Participants can withdraw at any time without giving a reason </w:t>
      </w:r>
    </w:p>
    <w:p w:rsidR="00AE1FA0" w:rsidRPr="00AE1FA0" w:rsidRDefault="00AE1FA0" w:rsidP="00AE1FA0">
      <w:pPr>
        <w:autoSpaceDE w:val="0"/>
        <w:autoSpaceDN w:val="0"/>
        <w:adjustRightInd w:val="0"/>
        <w:spacing w:line="360" w:lineRule="auto"/>
        <w:jc w:val="left"/>
        <w:rPr>
          <w:rFonts w:ascii="Arial" w:hAnsi="Arial" w:cs="Arial"/>
          <w:color w:val="000000"/>
          <w:kern w:val="0"/>
          <w:sz w:val="24"/>
          <w:szCs w:val="24"/>
          <w:lang w:val="en-US"/>
        </w:rPr>
      </w:pPr>
    </w:p>
    <w:p w:rsidR="00AE1FA0" w:rsidRPr="00AE1FA0" w:rsidRDefault="00AE1FA0" w:rsidP="00AE1FA0">
      <w:pPr>
        <w:autoSpaceDE w:val="0"/>
        <w:autoSpaceDN w:val="0"/>
        <w:adjustRightInd w:val="0"/>
        <w:spacing w:line="360" w:lineRule="auto"/>
        <w:jc w:val="left"/>
        <w:rPr>
          <w:rFonts w:ascii="Arial" w:hAnsi="Arial" w:cs="Arial"/>
          <w:color w:val="000000"/>
          <w:kern w:val="0"/>
          <w:sz w:val="24"/>
          <w:szCs w:val="24"/>
          <w:u w:val="single"/>
          <w:lang w:val="en-US"/>
        </w:rPr>
      </w:pPr>
      <w:r w:rsidRPr="00AE1FA0">
        <w:rPr>
          <w:rFonts w:ascii="Arial" w:hAnsi="Arial" w:cs="Arial"/>
          <w:color w:val="000000"/>
          <w:kern w:val="0"/>
          <w:sz w:val="24"/>
          <w:szCs w:val="24"/>
          <w:u w:val="single"/>
          <w:lang w:val="en-US"/>
        </w:rPr>
        <w:t xml:space="preserve">Confidentiality </w:t>
      </w:r>
    </w:p>
    <w:p w:rsidR="00AE1FA0" w:rsidRPr="00AE1FA0" w:rsidRDefault="00AE1FA0" w:rsidP="00AE1FA0">
      <w:pPr>
        <w:widowControl/>
        <w:numPr>
          <w:ilvl w:val="0"/>
          <w:numId w:val="41"/>
        </w:numPr>
        <w:autoSpaceDE w:val="0"/>
        <w:autoSpaceDN w:val="0"/>
        <w:adjustRightInd w:val="0"/>
        <w:spacing w:after="200" w:line="360" w:lineRule="auto"/>
        <w:contextualSpacing/>
        <w:jc w:val="left"/>
        <w:rPr>
          <w:rFonts w:ascii="Arial" w:hAnsi="Arial" w:cs="Arial"/>
          <w:color w:val="000000"/>
          <w:sz w:val="24"/>
          <w:szCs w:val="24"/>
          <w:lang w:val="en-US"/>
        </w:rPr>
      </w:pPr>
      <w:r w:rsidRPr="00AE1FA0">
        <w:rPr>
          <w:rFonts w:ascii="Arial" w:hAnsi="Arial" w:cs="Arial"/>
          <w:color w:val="000000"/>
          <w:sz w:val="24"/>
          <w:szCs w:val="24"/>
          <w:lang w:val="en-US"/>
        </w:rPr>
        <w:lastRenderedPageBreak/>
        <w:t>The information gathered during this study will remain confidential in secure premises during this project. (Only the researcher will have access to the study data and information.)</w:t>
      </w:r>
    </w:p>
    <w:p w:rsidR="00AE1FA0" w:rsidRPr="00AE1FA0" w:rsidRDefault="00AE1FA0" w:rsidP="00AE1FA0">
      <w:pPr>
        <w:widowControl/>
        <w:numPr>
          <w:ilvl w:val="0"/>
          <w:numId w:val="41"/>
        </w:numPr>
        <w:autoSpaceDE w:val="0"/>
        <w:autoSpaceDN w:val="0"/>
        <w:adjustRightInd w:val="0"/>
        <w:spacing w:after="200" w:line="360" w:lineRule="auto"/>
        <w:contextualSpacing/>
        <w:jc w:val="left"/>
        <w:rPr>
          <w:rFonts w:ascii="Arial" w:hAnsi="Arial" w:cs="Arial"/>
          <w:color w:val="000000"/>
          <w:sz w:val="24"/>
          <w:szCs w:val="24"/>
          <w:lang w:val="en-US"/>
        </w:rPr>
      </w:pPr>
      <w:r w:rsidRPr="00AE1FA0">
        <w:rPr>
          <w:rFonts w:ascii="Arial" w:hAnsi="Arial" w:cs="Arial"/>
          <w:color w:val="000000"/>
          <w:sz w:val="24"/>
          <w:szCs w:val="24"/>
          <w:lang w:val="en-US"/>
        </w:rPr>
        <w:t>There will not be any identifying names on the interview transcripts</w:t>
      </w:r>
    </w:p>
    <w:p w:rsidR="00AE1FA0" w:rsidRPr="00AE1FA0" w:rsidRDefault="00AE1FA0" w:rsidP="00AE1FA0">
      <w:pPr>
        <w:widowControl/>
        <w:numPr>
          <w:ilvl w:val="0"/>
          <w:numId w:val="41"/>
        </w:numPr>
        <w:autoSpaceDE w:val="0"/>
        <w:autoSpaceDN w:val="0"/>
        <w:adjustRightInd w:val="0"/>
        <w:spacing w:after="200" w:line="360" w:lineRule="auto"/>
        <w:contextualSpacing/>
        <w:jc w:val="left"/>
        <w:rPr>
          <w:rFonts w:ascii="Arial" w:hAnsi="Arial" w:cs="Arial"/>
          <w:color w:val="000000"/>
          <w:sz w:val="24"/>
          <w:szCs w:val="24"/>
          <w:lang w:val="en-US"/>
        </w:rPr>
      </w:pPr>
      <w:r w:rsidRPr="00AE1FA0">
        <w:rPr>
          <w:rFonts w:ascii="Arial" w:hAnsi="Arial" w:cs="Arial"/>
          <w:color w:val="000000"/>
          <w:sz w:val="24"/>
          <w:szCs w:val="24"/>
          <w:lang w:val="en-US"/>
        </w:rPr>
        <w:t xml:space="preserve">Your names and any other identifying details will never be revealed in any publication of the results of this study. </w:t>
      </w:r>
    </w:p>
    <w:p w:rsidR="00AE1FA0" w:rsidRPr="00AE1FA0" w:rsidRDefault="00AE1FA0" w:rsidP="00AE1FA0">
      <w:pPr>
        <w:widowControl/>
        <w:numPr>
          <w:ilvl w:val="0"/>
          <w:numId w:val="41"/>
        </w:numPr>
        <w:autoSpaceDE w:val="0"/>
        <w:autoSpaceDN w:val="0"/>
        <w:adjustRightInd w:val="0"/>
        <w:spacing w:after="160" w:line="360" w:lineRule="auto"/>
        <w:jc w:val="left"/>
        <w:rPr>
          <w:rFonts w:ascii="Arial" w:hAnsi="Arial" w:cs="Arial"/>
          <w:color w:val="000000"/>
          <w:kern w:val="0"/>
          <w:sz w:val="24"/>
          <w:szCs w:val="24"/>
          <w:lang w:val="en-US"/>
        </w:rPr>
      </w:pPr>
      <w:r w:rsidRPr="00AE1FA0">
        <w:rPr>
          <w:rFonts w:ascii="Arial" w:hAnsi="Arial" w:cs="Arial"/>
          <w:color w:val="000000"/>
          <w:kern w:val="0"/>
          <w:sz w:val="24"/>
          <w:szCs w:val="24"/>
          <w:lang w:val="en-US"/>
        </w:rPr>
        <w:t xml:space="preserve">Your signed consent form will be stored separately from the responses you provide </w:t>
      </w:r>
    </w:p>
    <w:p w:rsidR="00AE1FA0" w:rsidRPr="00AE1FA0" w:rsidRDefault="00AE1FA0" w:rsidP="00AE1FA0">
      <w:pPr>
        <w:widowControl/>
        <w:numPr>
          <w:ilvl w:val="0"/>
          <w:numId w:val="41"/>
        </w:numPr>
        <w:autoSpaceDE w:val="0"/>
        <w:autoSpaceDN w:val="0"/>
        <w:adjustRightInd w:val="0"/>
        <w:spacing w:after="200" w:line="360" w:lineRule="auto"/>
        <w:contextualSpacing/>
        <w:jc w:val="left"/>
        <w:rPr>
          <w:rFonts w:ascii="Arial" w:hAnsi="Arial" w:cs="Arial"/>
          <w:color w:val="000000"/>
          <w:sz w:val="24"/>
          <w:szCs w:val="24"/>
          <w:lang w:val="en-US"/>
        </w:rPr>
      </w:pPr>
      <w:r w:rsidRPr="00AE1FA0">
        <w:rPr>
          <w:rFonts w:ascii="Arial" w:hAnsi="Arial" w:cs="Arial"/>
          <w:color w:val="000000"/>
          <w:sz w:val="24"/>
          <w:szCs w:val="24"/>
          <w:lang w:val="en-US"/>
        </w:rPr>
        <w:t xml:space="preserve">The results of the research will be published in the form of a PhD thesis and research papers may be published in professional journals or presented at professional meetings. It may also be published in book form. </w:t>
      </w: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autoSpaceDE w:val="0"/>
        <w:autoSpaceDN w:val="0"/>
        <w:adjustRightInd w:val="0"/>
        <w:spacing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center"/>
        <w:rPr>
          <w:rFonts w:ascii="Arial" w:hAnsi="Arial" w:cs="Arial"/>
          <w:color w:val="000000"/>
          <w:kern w:val="0"/>
          <w:sz w:val="24"/>
          <w:szCs w:val="24"/>
          <w:lang w:val="en-US"/>
        </w:rPr>
      </w:pPr>
      <w:r w:rsidRPr="00AE1FA0">
        <w:rPr>
          <w:rFonts w:ascii="Arial" w:hAnsi="Arial" w:cs="Arial"/>
          <w:bCs/>
          <w:color w:val="000000"/>
          <w:kern w:val="0"/>
          <w:sz w:val="24"/>
          <w:szCs w:val="24"/>
          <w:lang w:val="en-US"/>
        </w:rPr>
        <w:lastRenderedPageBreak/>
        <w:t>CONSENT FORM</w:t>
      </w: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r w:rsidRPr="00AE1FA0">
        <w:rPr>
          <w:rFonts w:ascii="Arial" w:hAnsi="Arial" w:cs="Arial"/>
          <w:color w:val="000000"/>
          <w:kern w:val="0"/>
          <w:sz w:val="24"/>
          <w:szCs w:val="24"/>
          <w:lang w:val="en-US"/>
        </w:rPr>
        <w:t>Research project title:</w:t>
      </w:r>
      <w:r w:rsidRPr="00AE1FA0">
        <w:rPr>
          <w:rFonts w:ascii="Arial" w:hAnsi="Arial" w:cs="Arial"/>
          <w:kern w:val="0"/>
          <w:sz w:val="24"/>
          <w:szCs w:val="24"/>
        </w:rPr>
        <w:t xml:space="preserve"> </w:t>
      </w:r>
      <w:r w:rsidRPr="00AE1FA0">
        <w:rPr>
          <w:rFonts w:ascii="Arial" w:hAnsi="Arial" w:cs="Arial"/>
          <w:color w:val="000000"/>
          <w:kern w:val="0"/>
          <w:sz w:val="24"/>
          <w:szCs w:val="24"/>
          <w:lang w:val="en-US"/>
        </w:rPr>
        <w:t>Where the past is always present: A case study of the historicity of organizational space.</w:t>
      </w: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r w:rsidRPr="00AE1FA0">
        <w:rPr>
          <w:rFonts w:ascii="Arial" w:hAnsi="Arial" w:cs="Arial"/>
          <w:color w:val="000000"/>
          <w:kern w:val="0"/>
          <w:sz w:val="24"/>
          <w:szCs w:val="24"/>
          <w:lang w:val="en-US"/>
        </w:rPr>
        <w:t>Name of researcher: Liu Yihan</w:t>
      </w: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r w:rsidRPr="00AE1FA0">
        <w:rPr>
          <w:rFonts w:ascii="Arial" w:hAnsi="Arial" w:cs="Arial"/>
          <w:color w:val="000000"/>
          <w:kern w:val="0"/>
          <w:sz w:val="24"/>
          <w:szCs w:val="24"/>
          <w:u w:val="single"/>
          <w:lang w:val="en-US"/>
        </w:rPr>
        <w:t>Please indicate</w:t>
      </w:r>
      <w:r w:rsidRPr="00AE1FA0">
        <w:rPr>
          <w:rFonts w:ascii="Arial" w:hAnsi="Arial" w:cs="Arial"/>
          <w:color w:val="000000"/>
          <w:kern w:val="0"/>
          <w:sz w:val="24"/>
          <w:szCs w:val="24"/>
          <w:lang w:val="en-US"/>
        </w:rPr>
        <w:t xml:space="preserve">: </w:t>
      </w: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p>
    <w:p w:rsidR="00AE1FA0" w:rsidRPr="00AE1FA0" w:rsidRDefault="00AE1FA0" w:rsidP="00AE1FA0">
      <w:pPr>
        <w:widowControl/>
        <w:numPr>
          <w:ilvl w:val="0"/>
          <w:numId w:val="42"/>
        </w:numPr>
        <w:autoSpaceDE w:val="0"/>
        <w:autoSpaceDN w:val="0"/>
        <w:adjustRightInd w:val="0"/>
        <w:spacing w:after="200" w:line="360" w:lineRule="auto"/>
        <w:contextualSpacing/>
        <w:jc w:val="distribute"/>
        <w:rPr>
          <w:rFonts w:ascii="Arial" w:hAnsi="Arial" w:cs="Arial"/>
          <w:color w:val="000000"/>
          <w:sz w:val="24"/>
          <w:szCs w:val="24"/>
          <w:lang w:val="en-US"/>
        </w:rPr>
      </w:pPr>
      <w:r w:rsidRPr="00AE1FA0">
        <w:rPr>
          <w:rFonts w:ascii="Arial" w:hAnsi="Arial" w:cs="Arial"/>
          <w:color w:val="000000"/>
          <w:sz w:val="24"/>
          <w:szCs w:val="24"/>
          <w:lang w:val="en-US"/>
        </w:rPr>
        <w:t xml:space="preserve">I have read the information sheet about this study              </w:t>
      </w:r>
      <w:proofErr w:type="gramStart"/>
      <w:r w:rsidRPr="00AE1FA0">
        <w:rPr>
          <w:rFonts w:ascii="Arial" w:hAnsi="Arial" w:cs="Arial"/>
          <w:color w:val="000000"/>
          <w:sz w:val="24"/>
          <w:szCs w:val="24"/>
          <w:lang w:val="en-US"/>
        </w:rPr>
        <w:t xml:space="preserve">   (</w:t>
      </w:r>
      <w:proofErr w:type="gramEnd"/>
      <w:r w:rsidRPr="00AE1FA0">
        <w:rPr>
          <w:rFonts w:ascii="Arial" w:hAnsi="Arial" w:cs="Arial"/>
          <w:color w:val="000000"/>
          <w:sz w:val="24"/>
          <w:szCs w:val="24"/>
          <w:lang w:val="en-US"/>
        </w:rPr>
        <w:t xml:space="preserve">YES/NO) </w:t>
      </w:r>
    </w:p>
    <w:p w:rsidR="00AE1FA0" w:rsidRPr="00AE1FA0" w:rsidRDefault="00AE1FA0" w:rsidP="00AE1FA0">
      <w:pPr>
        <w:widowControl/>
        <w:numPr>
          <w:ilvl w:val="0"/>
          <w:numId w:val="42"/>
        </w:numPr>
        <w:autoSpaceDE w:val="0"/>
        <w:autoSpaceDN w:val="0"/>
        <w:adjustRightInd w:val="0"/>
        <w:spacing w:after="200" w:line="360" w:lineRule="auto"/>
        <w:contextualSpacing/>
        <w:jc w:val="distribute"/>
        <w:rPr>
          <w:rFonts w:ascii="Arial" w:hAnsi="Arial" w:cs="Arial"/>
          <w:color w:val="000000"/>
          <w:sz w:val="24"/>
          <w:szCs w:val="24"/>
          <w:lang w:val="en-US"/>
        </w:rPr>
      </w:pPr>
      <w:r w:rsidRPr="00AE1FA0">
        <w:rPr>
          <w:rFonts w:ascii="Arial" w:hAnsi="Arial" w:cs="Arial"/>
          <w:color w:val="000000"/>
          <w:sz w:val="24"/>
          <w:szCs w:val="24"/>
          <w:lang w:val="en-US"/>
        </w:rPr>
        <w:t xml:space="preserve">I have had the opportunity to ask questions                   </w:t>
      </w:r>
      <w:proofErr w:type="gramStart"/>
      <w:r w:rsidRPr="00AE1FA0">
        <w:rPr>
          <w:rFonts w:ascii="Arial" w:hAnsi="Arial" w:cs="Arial"/>
          <w:color w:val="000000"/>
          <w:sz w:val="24"/>
          <w:szCs w:val="24"/>
          <w:lang w:val="en-US"/>
        </w:rPr>
        <w:t xml:space="preserve">   (</w:t>
      </w:r>
      <w:proofErr w:type="gramEnd"/>
      <w:r w:rsidRPr="00AE1FA0">
        <w:rPr>
          <w:rFonts w:ascii="Arial" w:hAnsi="Arial" w:cs="Arial"/>
          <w:color w:val="000000"/>
          <w:sz w:val="24"/>
          <w:szCs w:val="24"/>
          <w:lang w:val="en-US"/>
        </w:rPr>
        <w:t xml:space="preserve">YES/NO) </w:t>
      </w:r>
    </w:p>
    <w:p w:rsidR="00AE1FA0" w:rsidRPr="00AE1FA0" w:rsidRDefault="00AE1FA0" w:rsidP="00AE1FA0">
      <w:pPr>
        <w:widowControl/>
        <w:numPr>
          <w:ilvl w:val="0"/>
          <w:numId w:val="42"/>
        </w:numPr>
        <w:autoSpaceDE w:val="0"/>
        <w:autoSpaceDN w:val="0"/>
        <w:adjustRightInd w:val="0"/>
        <w:spacing w:after="200" w:line="360" w:lineRule="auto"/>
        <w:contextualSpacing/>
        <w:jc w:val="distribute"/>
        <w:rPr>
          <w:rFonts w:ascii="Arial" w:hAnsi="Arial" w:cs="Arial"/>
          <w:color w:val="000000"/>
          <w:sz w:val="24"/>
          <w:szCs w:val="24"/>
          <w:lang w:val="en-US"/>
        </w:rPr>
      </w:pPr>
      <w:r w:rsidRPr="00AE1FA0">
        <w:rPr>
          <w:rFonts w:ascii="Arial" w:hAnsi="Arial" w:cs="Arial"/>
          <w:color w:val="000000"/>
          <w:sz w:val="24"/>
          <w:szCs w:val="24"/>
          <w:lang w:val="en-US"/>
        </w:rPr>
        <w:t xml:space="preserve">I have received satisfactory answers to any questions           </w:t>
      </w:r>
      <w:proofErr w:type="gramStart"/>
      <w:r w:rsidRPr="00AE1FA0">
        <w:rPr>
          <w:rFonts w:ascii="Arial" w:hAnsi="Arial" w:cs="Arial"/>
          <w:color w:val="000000"/>
          <w:sz w:val="24"/>
          <w:szCs w:val="24"/>
          <w:lang w:val="en-US"/>
        </w:rPr>
        <w:t xml:space="preserve">   (</w:t>
      </w:r>
      <w:proofErr w:type="gramEnd"/>
      <w:r w:rsidRPr="00AE1FA0">
        <w:rPr>
          <w:rFonts w:ascii="Arial" w:hAnsi="Arial" w:cs="Arial"/>
          <w:color w:val="000000"/>
          <w:sz w:val="24"/>
          <w:szCs w:val="24"/>
          <w:lang w:val="en-US"/>
        </w:rPr>
        <w:t xml:space="preserve">YES/NO) </w:t>
      </w:r>
    </w:p>
    <w:p w:rsidR="00AE1FA0" w:rsidRPr="00AE1FA0" w:rsidRDefault="00AE1FA0" w:rsidP="00AE1FA0">
      <w:pPr>
        <w:widowControl/>
        <w:numPr>
          <w:ilvl w:val="0"/>
          <w:numId w:val="42"/>
        </w:numPr>
        <w:autoSpaceDE w:val="0"/>
        <w:autoSpaceDN w:val="0"/>
        <w:adjustRightInd w:val="0"/>
        <w:spacing w:after="200" w:line="360" w:lineRule="auto"/>
        <w:contextualSpacing/>
        <w:jc w:val="distribute"/>
        <w:rPr>
          <w:rFonts w:ascii="Arial" w:hAnsi="Arial" w:cs="Arial"/>
          <w:color w:val="000000"/>
          <w:sz w:val="24"/>
          <w:szCs w:val="24"/>
          <w:lang w:val="en-US"/>
        </w:rPr>
      </w:pPr>
      <w:r w:rsidRPr="00AE1FA0">
        <w:rPr>
          <w:rFonts w:ascii="Arial" w:hAnsi="Arial" w:cs="Arial"/>
          <w:color w:val="000000"/>
          <w:sz w:val="24"/>
          <w:szCs w:val="24"/>
          <w:lang w:val="en-US"/>
        </w:rPr>
        <w:t xml:space="preserve">I understand that I am free to withdraw from the study at any time, without giving a reason                                               </w:t>
      </w:r>
      <w:proofErr w:type="gramStart"/>
      <w:r w:rsidRPr="00AE1FA0">
        <w:rPr>
          <w:rFonts w:ascii="Arial" w:hAnsi="Arial" w:cs="Arial"/>
          <w:color w:val="000000"/>
          <w:sz w:val="24"/>
          <w:szCs w:val="24"/>
          <w:lang w:val="en-US"/>
        </w:rPr>
        <w:t xml:space="preserve">   (</w:t>
      </w:r>
      <w:proofErr w:type="gramEnd"/>
      <w:r w:rsidRPr="00AE1FA0">
        <w:rPr>
          <w:rFonts w:ascii="Arial" w:hAnsi="Arial" w:cs="Arial"/>
          <w:color w:val="000000"/>
          <w:sz w:val="24"/>
          <w:szCs w:val="24"/>
          <w:lang w:val="en-US"/>
        </w:rPr>
        <w:t xml:space="preserve">YES/NO) </w:t>
      </w:r>
    </w:p>
    <w:p w:rsidR="00AE1FA0" w:rsidRPr="00AE1FA0" w:rsidRDefault="00AE1FA0" w:rsidP="00AE1FA0">
      <w:pPr>
        <w:widowControl/>
        <w:numPr>
          <w:ilvl w:val="0"/>
          <w:numId w:val="42"/>
        </w:numPr>
        <w:autoSpaceDE w:val="0"/>
        <w:autoSpaceDN w:val="0"/>
        <w:adjustRightInd w:val="0"/>
        <w:spacing w:after="200" w:line="360" w:lineRule="auto"/>
        <w:contextualSpacing/>
        <w:jc w:val="distribute"/>
        <w:rPr>
          <w:rFonts w:ascii="Arial" w:hAnsi="Arial" w:cs="Arial"/>
          <w:color w:val="000000"/>
          <w:sz w:val="24"/>
          <w:szCs w:val="24"/>
          <w:lang w:val="en-US"/>
        </w:rPr>
      </w:pPr>
      <w:r w:rsidRPr="00AE1FA0">
        <w:rPr>
          <w:rFonts w:ascii="Arial" w:hAnsi="Arial" w:cs="Arial"/>
          <w:color w:val="000000"/>
          <w:sz w:val="24"/>
          <w:szCs w:val="24"/>
          <w:lang w:val="en-US"/>
        </w:rPr>
        <w:t xml:space="preserve">I agree to participate in this study.                             (YES/NO) </w:t>
      </w:r>
    </w:p>
    <w:p w:rsidR="00AE1FA0" w:rsidRPr="00AE1FA0" w:rsidRDefault="00AE1FA0" w:rsidP="00AE1FA0">
      <w:pPr>
        <w:widowControl/>
        <w:spacing w:after="160" w:line="360" w:lineRule="auto"/>
        <w:contextualSpacing/>
        <w:jc w:val="left"/>
        <w:rPr>
          <w:rFonts w:ascii="Arial" w:hAnsi="Arial" w:cs="Arial"/>
          <w:b/>
          <w:kern w:val="0"/>
          <w:sz w:val="24"/>
          <w:szCs w:val="24"/>
        </w:rPr>
      </w:pPr>
    </w:p>
    <w:p w:rsidR="00AE1FA0" w:rsidRPr="00AE1FA0" w:rsidRDefault="00AE1FA0" w:rsidP="00AE1FA0">
      <w:pPr>
        <w:widowControl/>
        <w:spacing w:after="160" w:line="360" w:lineRule="auto"/>
        <w:contextualSpacing/>
        <w:jc w:val="left"/>
        <w:rPr>
          <w:rFonts w:ascii="Arial" w:hAnsi="Arial" w:cs="Arial"/>
          <w:b/>
          <w:kern w:val="0"/>
          <w:sz w:val="24"/>
          <w:szCs w:val="24"/>
        </w:rPr>
      </w:pPr>
    </w:p>
    <w:p w:rsidR="00AE1FA0" w:rsidRPr="00AE1FA0" w:rsidRDefault="00AE1FA0" w:rsidP="00AE1FA0">
      <w:pPr>
        <w:widowControl/>
        <w:spacing w:after="160" w:line="360" w:lineRule="auto"/>
        <w:contextualSpacing/>
        <w:jc w:val="left"/>
        <w:rPr>
          <w:rFonts w:ascii="Arial" w:hAnsi="Arial" w:cs="Arial"/>
          <w:b/>
          <w:kern w:val="0"/>
          <w:sz w:val="24"/>
          <w:szCs w:val="24"/>
        </w:rPr>
      </w:pPr>
    </w:p>
    <w:p w:rsidR="00AE1FA0" w:rsidRPr="00AE1FA0" w:rsidRDefault="00AE1FA0" w:rsidP="00AE1FA0">
      <w:pPr>
        <w:widowControl/>
        <w:spacing w:after="160" w:line="360" w:lineRule="auto"/>
        <w:contextualSpacing/>
        <w:jc w:val="left"/>
        <w:rPr>
          <w:rFonts w:ascii="Arial" w:hAnsi="Arial" w:cs="Arial"/>
          <w:b/>
          <w:kern w:val="0"/>
          <w:sz w:val="24"/>
          <w:szCs w:val="24"/>
        </w:rPr>
      </w:pPr>
    </w:p>
    <w:p w:rsidR="00AE1FA0" w:rsidRPr="00AE1FA0" w:rsidRDefault="00AE1FA0" w:rsidP="00AE1FA0">
      <w:pPr>
        <w:widowControl/>
        <w:spacing w:after="160" w:line="360" w:lineRule="auto"/>
        <w:contextualSpacing/>
        <w:jc w:val="left"/>
        <w:rPr>
          <w:rFonts w:ascii="Arial" w:hAnsi="Arial" w:cs="Arial"/>
          <w:b/>
          <w:kern w:val="0"/>
          <w:sz w:val="24"/>
          <w:szCs w:val="24"/>
        </w:rPr>
      </w:pPr>
      <w:r w:rsidRPr="00AE1FA0">
        <w:rPr>
          <w:rFonts w:ascii="Arial" w:hAnsi="Arial" w:cs="Arial"/>
          <w:b/>
          <w:kern w:val="0"/>
          <w:sz w:val="24"/>
          <w:szCs w:val="24"/>
        </w:rPr>
        <w:t xml:space="preserve">Participant:  </w:t>
      </w:r>
    </w:p>
    <w:p w:rsidR="00AE1FA0" w:rsidRPr="00AE1FA0" w:rsidRDefault="00AE1FA0" w:rsidP="00AE1FA0">
      <w:pPr>
        <w:widowControl/>
        <w:spacing w:after="160" w:line="360" w:lineRule="auto"/>
        <w:contextualSpacing/>
        <w:jc w:val="left"/>
        <w:rPr>
          <w:rFonts w:ascii="Arial" w:hAnsi="Arial" w:cs="Arial"/>
          <w:kern w:val="0"/>
          <w:sz w:val="24"/>
          <w:szCs w:val="24"/>
        </w:rPr>
      </w:pPr>
    </w:p>
    <w:p w:rsidR="00AE1FA0" w:rsidRPr="00AE1FA0" w:rsidRDefault="00AE1FA0" w:rsidP="00AE1FA0">
      <w:pPr>
        <w:widowControl/>
        <w:spacing w:after="160" w:line="360" w:lineRule="auto"/>
        <w:contextualSpacing/>
        <w:jc w:val="left"/>
        <w:rPr>
          <w:rFonts w:ascii="Arial" w:hAnsi="Arial" w:cs="Arial"/>
          <w:kern w:val="0"/>
          <w:sz w:val="24"/>
          <w:szCs w:val="24"/>
        </w:rPr>
      </w:pPr>
      <w:r w:rsidRPr="00AE1FA0">
        <w:rPr>
          <w:rFonts w:ascii="Arial" w:hAnsi="Arial" w:cs="Arial"/>
          <w:kern w:val="0"/>
          <w:sz w:val="24"/>
          <w:szCs w:val="24"/>
        </w:rPr>
        <w:t>_______________</w:t>
      </w:r>
      <w:r w:rsidRPr="00AE1FA0">
        <w:rPr>
          <w:rFonts w:ascii="Arial" w:hAnsi="Arial" w:cs="Arial"/>
          <w:kern w:val="0"/>
          <w:sz w:val="24"/>
          <w:szCs w:val="24"/>
        </w:rPr>
        <w:tab/>
        <w:t>____________________</w:t>
      </w:r>
      <w:r w:rsidRPr="00AE1FA0">
        <w:rPr>
          <w:rFonts w:ascii="Arial" w:hAnsi="Arial" w:cs="Arial"/>
          <w:kern w:val="0"/>
          <w:sz w:val="24"/>
          <w:szCs w:val="24"/>
        </w:rPr>
        <w:tab/>
        <w:t>________________</w:t>
      </w:r>
    </w:p>
    <w:p w:rsidR="00AE1FA0" w:rsidRPr="00AE1FA0" w:rsidRDefault="00AE1FA0" w:rsidP="00AE1FA0">
      <w:pPr>
        <w:widowControl/>
        <w:spacing w:after="160" w:line="360" w:lineRule="auto"/>
        <w:contextualSpacing/>
        <w:jc w:val="left"/>
        <w:rPr>
          <w:rFonts w:ascii="Arial" w:hAnsi="Arial" w:cs="Arial"/>
          <w:kern w:val="0"/>
          <w:sz w:val="24"/>
          <w:szCs w:val="24"/>
        </w:rPr>
      </w:pPr>
      <w:r w:rsidRPr="00AE1FA0">
        <w:rPr>
          <w:rFonts w:ascii="Arial" w:hAnsi="Arial" w:cs="Arial"/>
          <w:kern w:val="0"/>
          <w:sz w:val="24"/>
          <w:szCs w:val="24"/>
        </w:rPr>
        <w:t>Name of Participant</w:t>
      </w:r>
      <w:r w:rsidRPr="00AE1FA0">
        <w:rPr>
          <w:rFonts w:ascii="Arial" w:hAnsi="Arial" w:cs="Arial"/>
          <w:kern w:val="0"/>
          <w:sz w:val="24"/>
          <w:szCs w:val="24"/>
        </w:rPr>
        <w:tab/>
      </w:r>
      <w:r w:rsidRPr="00AE1FA0">
        <w:rPr>
          <w:rFonts w:ascii="Arial" w:hAnsi="Arial" w:cs="Arial"/>
          <w:kern w:val="0"/>
          <w:sz w:val="24"/>
          <w:szCs w:val="24"/>
        </w:rPr>
        <w:tab/>
        <w:t xml:space="preserve">          Signature</w:t>
      </w:r>
      <w:r w:rsidRPr="00AE1FA0">
        <w:rPr>
          <w:rFonts w:ascii="Arial" w:hAnsi="Arial" w:cs="Arial"/>
          <w:kern w:val="0"/>
          <w:sz w:val="24"/>
          <w:szCs w:val="24"/>
        </w:rPr>
        <w:tab/>
        <w:t xml:space="preserve">         Date</w:t>
      </w:r>
    </w:p>
    <w:p w:rsidR="00AE1FA0" w:rsidRPr="00AE1FA0" w:rsidRDefault="00AE1FA0" w:rsidP="00AE1FA0">
      <w:pPr>
        <w:widowControl/>
        <w:spacing w:after="160" w:line="360" w:lineRule="auto"/>
        <w:contextualSpacing/>
        <w:jc w:val="left"/>
        <w:rPr>
          <w:rFonts w:ascii="Arial" w:hAnsi="Arial" w:cs="Arial"/>
          <w:kern w:val="0"/>
          <w:sz w:val="24"/>
          <w:szCs w:val="24"/>
        </w:rPr>
      </w:pPr>
    </w:p>
    <w:p w:rsidR="00AE1FA0" w:rsidRPr="00AE1FA0" w:rsidRDefault="00AE1FA0" w:rsidP="00AE1FA0">
      <w:pPr>
        <w:widowControl/>
        <w:spacing w:after="160" w:line="360" w:lineRule="auto"/>
        <w:contextualSpacing/>
        <w:jc w:val="left"/>
        <w:rPr>
          <w:rFonts w:ascii="Arial" w:hAnsi="Arial" w:cs="Arial"/>
          <w:kern w:val="0"/>
          <w:sz w:val="24"/>
          <w:szCs w:val="24"/>
        </w:rPr>
      </w:pPr>
    </w:p>
    <w:p w:rsidR="00AE1FA0" w:rsidRPr="00AE1FA0" w:rsidRDefault="00AE1FA0" w:rsidP="00AE1FA0">
      <w:pPr>
        <w:widowControl/>
        <w:spacing w:after="160" w:line="360" w:lineRule="auto"/>
        <w:contextualSpacing/>
        <w:jc w:val="left"/>
        <w:rPr>
          <w:rFonts w:ascii="Arial" w:hAnsi="Arial" w:cs="Arial"/>
          <w:b/>
          <w:kern w:val="0"/>
          <w:sz w:val="24"/>
          <w:szCs w:val="24"/>
        </w:rPr>
      </w:pPr>
      <w:r w:rsidRPr="00AE1FA0">
        <w:rPr>
          <w:rFonts w:ascii="Arial" w:hAnsi="Arial" w:cs="Arial"/>
          <w:b/>
          <w:kern w:val="0"/>
          <w:sz w:val="24"/>
          <w:szCs w:val="24"/>
        </w:rPr>
        <w:t>Researcher:</w:t>
      </w:r>
    </w:p>
    <w:p w:rsidR="00AE1FA0" w:rsidRPr="00AE1FA0" w:rsidRDefault="00AE1FA0" w:rsidP="00AE1FA0">
      <w:pPr>
        <w:widowControl/>
        <w:spacing w:after="160" w:line="360" w:lineRule="auto"/>
        <w:contextualSpacing/>
        <w:jc w:val="left"/>
        <w:rPr>
          <w:rFonts w:ascii="Arial" w:hAnsi="Arial" w:cs="Arial"/>
          <w:kern w:val="0"/>
          <w:sz w:val="24"/>
          <w:szCs w:val="24"/>
        </w:rPr>
      </w:pPr>
    </w:p>
    <w:p w:rsidR="00AE1FA0" w:rsidRPr="00AE1FA0" w:rsidRDefault="00AE1FA0" w:rsidP="00AE1FA0">
      <w:pPr>
        <w:widowControl/>
        <w:spacing w:after="160" w:line="360" w:lineRule="auto"/>
        <w:contextualSpacing/>
        <w:jc w:val="left"/>
        <w:rPr>
          <w:rFonts w:ascii="Arial" w:hAnsi="Arial" w:cs="Arial"/>
          <w:kern w:val="0"/>
          <w:sz w:val="24"/>
          <w:szCs w:val="24"/>
        </w:rPr>
      </w:pPr>
      <w:r w:rsidRPr="00AE1FA0">
        <w:rPr>
          <w:rFonts w:ascii="Arial" w:hAnsi="Arial" w:cs="Arial"/>
          <w:kern w:val="0"/>
          <w:sz w:val="24"/>
          <w:szCs w:val="24"/>
        </w:rPr>
        <w:t>_______________</w:t>
      </w:r>
      <w:r w:rsidRPr="00AE1FA0">
        <w:rPr>
          <w:rFonts w:ascii="Arial" w:hAnsi="Arial" w:cs="Arial"/>
          <w:kern w:val="0"/>
          <w:sz w:val="24"/>
          <w:szCs w:val="24"/>
        </w:rPr>
        <w:tab/>
        <w:t>_______________________</w:t>
      </w:r>
      <w:r w:rsidRPr="00AE1FA0">
        <w:rPr>
          <w:rFonts w:ascii="Arial" w:hAnsi="Arial" w:cs="Arial"/>
          <w:kern w:val="0"/>
          <w:sz w:val="24"/>
          <w:szCs w:val="24"/>
        </w:rPr>
        <w:tab/>
        <w:t>________________</w:t>
      </w:r>
    </w:p>
    <w:p w:rsidR="00AE1FA0" w:rsidRPr="00AE1FA0" w:rsidRDefault="00AE1FA0" w:rsidP="00AE1FA0">
      <w:pPr>
        <w:widowControl/>
        <w:spacing w:after="160" w:line="360" w:lineRule="auto"/>
        <w:contextualSpacing/>
        <w:jc w:val="left"/>
        <w:rPr>
          <w:rFonts w:ascii="Arial" w:hAnsi="Arial" w:cs="Arial"/>
          <w:kern w:val="0"/>
          <w:sz w:val="24"/>
          <w:szCs w:val="24"/>
        </w:rPr>
      </w:pPr>
      <w:r w:rsidRPr="00AE1FA0">
        <w:rPr>
          <w:rFonts w:ascii="Arial" w:hAnsi="Arial" w:cs="Arial"/>
          <w:kern w:val="0"/>
          <w:sz w:val="24"/>
          <w:szCs w:val="24"/>
        </w:rPr>
        <w:t>Name of Researcher</w:t>
      </w:r>
      <w:r w:rsidRPr="00AE1FA0">
        <w:rPr>
          <w:rFonts w:ascii="Arial" w:hAnsi="Arial" w:cs="Arial"/>
          <w:kern w:val="0"/>
          <w:sz w:val="24"/>
          <w:szCs w:val="24"/>
        </w:rPr>
        <w:tab/>
      </w:r>
      <w:r w:rsidRPr="00AE1FA0">
        <w:rPr>
          <w:rFonts w:ascii="Arial" w:hAnsi="Arial" w:cs="Arial"/>
          <w:kern w:val="0"/>
          <w:sz w:val="24"/>
          <w:szCs w:val="24"/>
        </w:rPr>
        <w:tab/>
        <w:t xml:space="preserve"> Signature</w:t>
      </w:r>
      <w:r w:rsidRPr="00AE1FA0">
        <w:rPr>
          <w:rFonts w:ascii="Arial" w:hAnsi="Arial" w:cs="Arial"/>
          <w:kern w:val="0"/>
          <w:sz w:val="24"/>
          <w:szCs w:val="24"/>
        </w:rPr>
        <w:tab/>
      </w:r>
      <w:r w:rsidRPr="00AE1FA0">
        <w:rPr>
          <w:rFonts w:ascii="Arial" w:hAnsi="Arial" w:cs="Arial"/>
          <w:kern w:val="0"/>
          <w:sz w:val="24"/>
          <w:szCs w:val="24"/>
        </w:rPr>
        <w:tab/>
        <w:t>Date</w:t>
      </w:r>
    </w:p>
    <w:p w:rsidR="00AE1FA0" w:rsidRPr="00AE1FA0" w:rsidRDefault="00AE1FA0" w:rsidP="00AE1FA0">
      <w:pPr>
        <w:widowControl/>
        <w:autoSpaceDE w:val="0"/>
        <w:autoSpaceDN w:val="0"/>
        <w:adjustRightInd w:val="0"/>
        <w:spacing w:after="160" w:line="360" w:lineRule="auto"/>
        <w:jc w:val="left"/>
        <w:rPr>
          <w:rFonts w:ascii="Arial" w:hAnsi="Arial" w:cs="Arial"/>
          <w:color w:val="000000"/>
          <w:kern w:val="0"/>
          <w:sz w:val="24"/>
          <w:szCs w:val="24"/>
          <w:lang w:val="en-US"/>
        </w:rPr>
      </w:pPr>
      <w:r w:rsidRPr="00AE1FA0">
        <w:rPr>
          <w:rFonts w:ascii="Arial" w:hAnsi="Arial" w:cs="Arial"/>
          <w:color w:val="000000"/>
          <w:kern w:val="0"/>
          <w:sz w:val="24"/>
          <w:szCs w:val="24"/>
          <w:lang w:val="en-US"/>
        </w:rPr>
        <w:t xml:space="preserve">NB: This Consent form will be stored separately from the responses you provide. </w:t>
      </w:r>
    </w:p>
    <w:p w:rsidR="00AE1FA0" w:rsidRPr="00AE1FA0" w:rsidRDefault="00AE1FA0" w:rsidP="00AE1FA0">
      <w:pPr>
        <w:widowControl/>
        <w:spacing w:after="160" w:line="360" w:lineRule="auto"/>
        <w:jc w:val="left"/>
        <w:rPr>
          <w:rFonts w:ascii="Arial" w:hAnsi="Arial" w:cs="Arial"/>
          <w:kern w:val="0"/>
          <w:sz w:val="24"/>
          <w:szCs w:val="24"/>
          <w:lang w:val="en-US"/>
        </w:rPr>
      </w:pPr>
    </w:p>
    <w:p w:rsidR="00AE1FA0" w:rsidRPr="00AE1FA0" w:rsidRDefault="00AE1FA0" w:rsidP="00AE1FA0">
      <w:pPr>
        <w:widowControl/>
        <w:spacing w:after="160" w:line="360" w:lineRule="auto"/>
        <w:rPr>
          <w:rFonts w:ascii="Arial" w:hAnsi="Arial" w:cs="Arial"/>
          <w:kern w:val="0"/>
          <w:sz w:val="24"/>
          <w:szCs w:val="24"/>
        </w:rPr>
      </w:pPr>
    </w:p>
    <w:p w:rsidR="00AE1FA0" w:rsidRPr="00AE1FA0" w:rsidRDefault="00AE1FA0" w:rsidP="00AE1FA0">
      <w:pPr>
        <w:keepNext/>
        <w:keepLines/>
        <w:widowControl/>
        <w:spacing w:before="240" w:line="259" w:lineRule="auto"/>
        <w:jc w:val="center"/>
        <w:outlineLvl w:val="0"/>
        <w:rPr>
          <w:rFonts w:ascii="Arial" w:eastAsiaTheme="majorEastAsia" w:hAnsi="Arial" w:cs="Arial"/>
          <w:color w:val="000000" w:themeColor="text1"/>
          <w:kern w:val="0"/>
          <w:sz w:val="32"/>
          <w:szCs w:val="32"/>
          <w:lang w:eastAsia="en-US"/>
        </w:rPr>
      </w:pPr>
      <w:bookmarkStart w:id="111" w:name="_Toc534732429"/>
      <w:bookmarkStart w:id="112" w:name="_GoBack"/>
      <w:bookmarkEnd w:id="112"/>
      <w:r w:rsidRPr="00AE1FA0">
        <w:rPr>
          <w:rFonts w:ascii="Arial" w:eastAsiaTheme="majorEastAsia" w:hAnsi="Arial" w:cs="Arial"/>
          <w:color w:val="000000" w:themeColor="text1"/>
          <w:kern w:val="0"/>
          <w:sz w:val="32"/>
          <w:szCs w:val="32"/>
          <w:lang w:eastAsia="en-US"/>
        </w:rPr>
        <w:lastRenderedPageBreak/>
        <w:t>Appendix 3 Summary of empirical materials</w:t>
      </w:r>
      <w:bookmarkEnd w:id="111"/>
    </w:p>
    <w:p w:rsidR="00AE1FA0" w:rsidRPr="00AE1FA0" w:rsidRDefault="00AE1FA0" w:rsidP="00AE1FA0">
      <w:pPr>
        <w:widowControl/>
        <w:spacing w:after="160" w:line="259" w:lineRule="auto"/>
        <w:jc w:val="left"/>
        <w:rPr>
          <w:kern w:val="0"/>
          <w:sz w:val="22"/>
        </w:rPr>
      </w:pPr>
    </w:p>
    <w:tbl>
      <w:tblPr>
        <w:tblStyle w:val="TableGrid"/>
        <w:tblW w:w="9834" w:type="dxa"/>
        <w:tblLayout w:type="fixed"/>
        <w:tblLook w:val="04A0" w:firstRow="1" w:lastRow="0" w:firstColumn="1" w:lastColumn="0" w:noHBand="0" w:noVBand="1"/>
      </w:tblPr>
      <w:tblGrid>
        <w:gridCol w:w="1966"/>
        <w:gridCol w:w="1966"/>
        <w:gridCol w:w="5902"/>
      </w:tblGrid>
      <w:tr w:rsidR="00AE1FA0" w:rsidRPr="00AE1FA0" w:rsidTr="003E6B09">
        <w:trPr>
          <w:trHeight w:val="839"/>
        </w:trPr>
        <w:tc>
          <w:tcPr>
            <w:tcW w:w="1966"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Interviewing Participants</w:t>
            </w:r>
          </w:p>
        </w:tc>
        <w:tc>
          <w:tcPr>
            <w:tcW w:w="1966"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No. </w:t>
            </w:r>
          </w:p>
        </w:tc>
        <w:tc>
          <w:tcPr>
            <w:tcW w:w="5902"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Duration</w:t>
            </w:r>
          </w:p>
        </w:tc>
      </w:tr>
      <w:tr w:rsidR="00AE1FA0" w:rsidRPr="00AE1FA0" w:rsidTr="003E6B09">
        <w:trPr>
          <w:trHeight w:val="451"/>
        </w:trPr>
        <w:tc>
          <w:tcPr>
            <w:tcW w:w="1966"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Academic Staff</w:t>
            </w:r>
          </w:p>
        </w:tc>
        <w:tc>
          <w:tcPr>
            <w:tcW w:w="1966"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28</w:t>
            </w:r>
          </w:p>
        </w:tc>
        <w:tc>
          <w:tcPr>
            <w:tcW w:w="5902"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60-90 minutes</w:t>
            </w:r>
          </w:p>
        </w:tc>
      </w:tr>
      <w:tr w:rsidR="00AE1FA0" w:rsidRPr="00AE1FA0" w:rsidTr="003E6B09">
        <w:trPr>
          <w:trHeight w:val="451"/>
        </w:trPr>
        <w:tc>
          <w:tcPr>
            <w:tcW w:w="1966"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Administrative Staff</w:t>
            </w:r>
          </w:p>
        </w:tc>
        <w:tc>
          <w:tcPr>
            <w:tcW w:w="1966"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8</w:t>
            </w:r>
          </w:p>
        </w:tc>
        <w:tc>
          <w:tcPr>
            <w:tcW w:w="5902"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60 minutes</w:t>
            </w:r>
          </w:p>
        </w:tc>
      </w:tr>
      <w:tr w:rsidR="00AE1FA0" w:rsidRPr="00AE1FA0" w:rsidTr="003E6B09">
        <w:trPr>
          <w:trHeight w:val="451"/>
        </w:trPr>
        <w:tc>
          <w:tcPr>
            <w:tcW w:w="1966"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Students</w:t>
            </w:r>
          </w:p>
        </w:tc>
        <w:tc>
          <w:tcPr>
            <w:tcW w:w="1966"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11</w:t>
            </w:r>
          </w:p>
        </w:tc>
        <w:tc>
          <w:tcPr>
            <w:tcW w:w="5902"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45-80 minutes</w:t>
            </w:r>
          </w:p>
        </w:tc>
      </w:tr>
    </w:tbl>
    <w:p w:rsidR="00AE1FA0" w:rsidRPr="00AE1FA0" w:rsidRDefault="00AE1FA0" w:rsidP="00AE1FA0">
      <w:pPr>
        <w:widowControl/>
        <w:spacing w:after="160" w:line="259" w:lineRule="auto"/>
        <w:jc w:val="left"/>
        <w:rPr>
          <w:kern w:val="0"/>
          <w:sz w:val="22"/>
        </w:rPr>
      </w:pPr>
    </w:p>
    <w:p w:rsidR="00AE1FA0" w:rsidRPr="00AE1FA0" w:rsidRDefault="00AE1FA0" w:rsidP="00AE1FA0">
      <w:pPr>
        <w:widowControl/>
        <w:spacing w:after="160" w:line="259" w:lineRule="auto"/>
        <w:jc w:val="left"/>
        <w:rPr>
          <w:kern w:val="0"/>
          <w:sz w:val="22"/>
        </w:rPr>
      </w:pPr>
    </w:p>
    <w:tbl>
      <w:tblPr>
        <w:tblStyle w:val="TableGrid"/>
        <w:tblW w:w="9918" w:type="dxa"/>
        <w:tblLayout w:type="fixed"/>
        <w:tblLook w:val="04A0" w:firstRow="1" w:lastRow="0" w:firstColumn="1" w:lastColumn="0" w:noHBand="0" w:noVBand="1"/>
      </w:tblPr>
      <w:tblGrid>
        <w:gridCol w:w="2478"/>
        <w:gridCol w:w="7440"/>
      </w:tblGrid>
      <w:tr w:rsidR="00AE1FA0" w:rsidRPr="00AE1FA0" w:rsidTr="003E6B09">
        <w:tc>
          <w:tcPr>
            <w:tcW w:w="2478"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Archive materials</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(Date from 1881-1985) </w:t>
            </w:r>
          </w:p>
          <w:p w:rsidR="00AE1FA0" w:rsidRPr="00AE1FA0" w:rsidRDefault="00AE1FA0" w:rsidP="00AE1FA0">
            <w:pPr>
              <w:widowControl/>
              <w:spacing w:after="160" w:line="259" w:lineRule="auto"/>
              <w:jc w:val="left"/>
              <w:rPr>
                <w:rFonts w:ascii="Arial" w:hAnsi="Arial" w:cs="Arial"/>
                <w:color w:val="000000"/>
                <w:sz w:val="24"/>
                <w:szCs w:val="24"/>
                <w:lang w:val="en-US"/>
              </w:rPr>
            </w:pPr>
          </w:p>
        </w:tc>
        <w:tc>
          <w:tcPr>
            <w:tcW w:w="7440" w:type="dxa"/>
          </w:tcPr>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RHC GB/132/2 - Deeds</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RHC GB/140/4 - 'The Royal Holloway College, Mount Lee, Egham, Surrey'</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RHC GB/140/1 - 'Holloway College for Women'  </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RHC GB/140/2 - 'The Royal Holloway College opened by Her Majesty the Queen on the 30th June 1886</w:t>
            </w:r>
          </w:p>
          <w:p w:rsidR="00AE1FA0" w:rsidRPr="00AE1FA0" w:rsidRDefault="00AE1FA0" w:rsidP="00AE1FA0">
            <w:pPr>
              <w:widowControl/>
              <w:spacing w:after="160" w:line="259" w:lineRule="auto"/>
              <w:jc w:val="left"/>
              <w:rPr>
                <w:rFonts w:ascii="Arial" w:hAnsi="Arial" w:cs="Arial"/>
                <w:color w:val="000000"/>
                <w:sz w:val="24"/>
                <w:szCs w:val="24"/>
                <w:lang w:val="en-US"/>
              </w:rPr>
            </w:pPr>
            <w:hyperlink r:id="rId33" w:anchor="details/ecatalogue/7973" w:history="1">
              <w:r w:rsidRPr="00AE1FA0">
                <w:rPr>
                  <w:rFonts w:ascii="Arial" w:hAnsi="Arial" w:cs="Arial"/>
                  <w:color w:val="000000"/>
                  <w:sz w:val="24"/>
                  <w:szCs w:val="24"/>
                  <w:lang w:val="en-US"/>
                </w:rPr>
                <w:t xml:space="preserve">RHC GB/141 - Records of the opening ceremony </w:t>
              </w:r>
            </w:hyperlink>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RHC AL/900-930 - Papers of the Royal Holloway College Library</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RHC AL/100-110 - Papers of the Royal Holloway College Staff Meeting (1889-1912)/ Academic Board (1912-)</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RHC AS/100-102 - Papers of Staff/Student Bodies at Royal Holloway College</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RHC AS/100-102 - Papers of Staff/Student Bodies at Royal Holloway College  </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RHC AS/120-164 - Papers of the Royal Holloway College Student's Meeting/Union  </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RHC AS/200-203 - Royal Holloway College Magazines  </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RHC AS/211-235 - Papers of Clubs and Societies at Royal Holloway College </w:t>
            </w:r>
            <w:r w:rsidRPr="00AE1FA0">
              <w:rPr>
                <w:rFonts w:ascii="Arial" w:hAnsi="Arial" w:cs="Arial"/>
                <w:color w:val="000000"/>
                <w:sz w:val="24"/>
                <w:szCs w:val="24"/>
                <w:lang w:val="en-US"/>
              </w:rPr>
              <w:tab/>
              <w:t xml:space="preserve"> </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RHC AS/902 - Papers of the Royal Holloway College Association  </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RHC RF/131-132, RF/137-139 - Reminiscences of former staff and students of Royal Holloway College  </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 xml:space="preserve">RHC RF/120-130 - Press Cuttings and Publications about the College  </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lastRenderedPageBreak/>
              <w:t xml:space="preserve">RHC RF/145-150 - Drawings, prints and watercolours  </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RHC RF/100-103 - Material relating to Thomas Holloway and his business</w:t>
            </w:r>
          </w:p>
          <w:p w:rsidR="00AE1FA0" w:rsidRPr="00AE1FA0" w:rsidRDefault="00AE1FA0" w:rsidP="00AE1FA0">
            <w:pPr>
              <w:widowControl/>
              <w:spacing w:after="160" w:line="259" w:lineRule="auto"/>
              <w:jc w:val="left"/>
              <w:rPr>
                <w:rFonts w:ascii="Arial" w:hAnsi="Arial" w:cs="Arial"/>
                <w:color w:val="000000"/>
                <w:sz w:val="24"/>
                <w:szCs w:val="24"/>
                <w:lang w:val="en-US"/>
              </w:rPr>
            </w:pPr>
            <w:r w:rsidRPr="00AE1FA0">
              <w:rPr>
                <w:rFonts w:ascii="Arial" w:hAnsi="Arial" w:cs="Arial"/>
                <w:color w:val="000000"/>
                <w:sz w:val="24"/>
                <w:szCs w:val="24"/>
                <w:lang w:val="en-US"/>
              </w:rPr>
              <w:t>N.B. This is not an inclusive list of archive materials cited in this thesis, instead, it works as a sample of materials I consulted with.</w:t>
            </w:r>
          </w:p>
        </w:tc>
      </w:tr>
    </w:tbl>
    <w:p w:rsidR="00AE1FA0" w:rsidRPr="00AE1FA0" w:rsidRDefault="00AE1FA0" w:rsidP="00AE1FA0">
      <w:pPr>
        <w:widowControl/>
        <w:spacing w:after="160" w:line="259" w:lineRule="auto"/>
        <w:jc w:val="left"/>
        <w:rPr>
          <w:kern w:val="0"/>
          <w:sz w:val="22"/>
        </w:rPr>
      </w:pPr>
    </w:p>
    <w:p w:rsidR="00541076" w:rsidRPr="00AE1FA0" w:rsidRDefault="00541076"/>
    <w:sectPr w:rsidR="00541076" w:rsidRPr="00AE1FA0" w:rsidSect="004567BD">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FA0" w:rsidRDefault="00AE1FA0" w:rsidP="00AE1FA0">
      <w:r>
        <w:separator/>
      </w:r>
    </w:p>
  </w:endnote>
  <w:endnote w:type="continuationSeparator" w:id="0">
    <w:p w:rsidR="00AE1FA0" w:rsidRDefault="00AE1FA0" w:rsidP="00AE1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FA0" w:rsidRDefault="00AE1FA0" w:rsidP="00AE1FA0">
      <w:r>
        <w:separator/>
      </w:r>
    </w:p>
  </w:footnote>
  <w:footnote w:type="continuationSeparator" w:id="0">
    <w:p w:rsidR="00AE1FA0" w:rsidRDefault="00AE1FA0" w:rsidP="00AE1FA0">
      <w:r>
        <w:continuationSeparator/>
      </w:r>
    </w:p>
  </w:footnote>
  <w:footnote w:id="1">
    <w:p w:rsidR="00AE1FA0" w:rsidRDefault="00AE1FA0" w:rsidP="00AE1FA0">
      <w:pPr>
        <w:pStyle w:val="FootnoteText"/>
      </w:pPr>
      <w:r>
        <w:rPr>
          <w:rStyle w:val="FootnoteReference"/>
        </w:rPr>
        <w:footnoteRef/>
      </w:r>
      <w:r>
        <w:t xml:space="preserve"> </w:t>
      </w:r>
      <w:r w:rsidRPr="00764390">
        <w:t xml:space="preserve"> In the interests of concision, I will refer to the institution as RHUL when talking about the present day</w:t>
      </w:r>
      <w:r>
        <w:t xml:space="preserve"> and</w:t>
      </w:r>
      <w:r w:rsidRPr="00764390">
        <w:t xml:space="preserve"> </w:t>
      </w:r>
      <w:r>
        <w:t>as</w:t>
      </w:r>
      <w:r w:rsidRPr="00764390">
        <w:t xml:space="preserve"> RHC when referring to the period</w:t>
      </w:r>
      <w:r>
        <w:t xml:space="preserve"> before 1985, when it was</w:t>
      </w:r>
      <w:r w:rsidRPr="00764390">
        <w:t xml:space="preserve"> Royal Holloway College. RHUL was previously named Royal Holloway and Bedford New College (RHBNC), reflecting the merger in 1985 of the original Royal Holloway College and Bedford College, another 19th </w:t>
      </w:r>
      <w:r>
        <w:t>c</w:t>
      </w:r>
      <w:r w:rsidRPr="00764390">
        <w:t>entury women’s college. In 1900 both became colleges of the University of London. In 1992 RHBNC was renamed RHUL.</w:t>
      </w:r>
    </w:p>
  </w:footnote>
  <w:footnote w:id="2">
    <w:p w:rsidR="00AE1FA0" w:rsidRDefault="00AE1FA0" w:rsidP="00AE1FA0">
      <w:pPr>
        <w:pStyle w:val="FootnoteText"/>
      </w:pPr>
      <w:r>
        <w:rPr>
          <w:rStyle w:val="FootnoteReference"/>
        </w:rPr>
        <w:footnoteRef/>
      </w:r>
      <w:r>
        <w:t>RHUL website, 2017</w:t>
      </w:r>
    </w:p>
  </w:footnote>
  <w:footnote w:id="3">
    <w:p w:rsidR="00AE1FA0" w:rsidRPr="00CC21CB" w:rsidRDefault="00AE1FA0" w:rsidP="00AE1FA0">
      <w:pPr>
        <w:pStyle w:val="FootnoteText"/>
        <w:rPr>
          <w:rFonts w:ascii="Arial" w:hAnsi="Arial" w:cs="Arial"/>
          <w:kern w:val="2"/>
          <w:sz w:val="18"/>
        </w:rPr>
      </w:pPr>
      <w:r w:rsidRPr="00CC21CB">
        <w:rPr>
          <w:rStyle w:val="FootnoteReference"/>
          <w:rFonts w:ascii="Arial" w:hAnsi="Arial" w:cs="Arial"/>
          <w:sz w:val="18"/>
        </w:rPr>
        <w:footnoteRef/>
      </w:r>
      <w:r w:rsidRPr="00CC21CB">
        <w:rPr>
          <w:rFonts w:ascii="Arial" w:hAnsi="Arial" w:cs="Arial"/>
          <w:kern w:val="2"/>
          <w:sz w:val="18"/>
        </w:rPr>
        <w:t>In line with the conventions of archival history, here and hereafter I use the RHUL archive catalogue identifiers when referencing archive material.</w:t>
      </w:r>
    </w:p>
    <w:p w:rsidR="00AE1FA0" w:rsidRPr="00CC21CB" w:rsidRDefault="00AE1FA0" w:rsidP="00AE1FA0">
      <w:pPr>
        <w:pStyle w:val="FootnoteText"/>
        <w:rPr>
          <w:rFonts w:ascii="Arial" w:hAnsi="Arial" w:cs="Arial"/>
          <w:kern w:val="2"/>
          <w:sz w:val="18"/>
        </w:rPr>
      </w:pPr>
    </w:p>
  </w:footnote>
  <w:footnote w:id="4">
    <w:p w:rsidR="00AE1FA0" w:rsidRDefault="00AE1FA0" w:rsidP="00AE1FA0">
      <w:pPr>
        <w:pStyle w:val="FootnoteText"/>
      </w:pPr>
      <w:r>
        <w:rPr>
          <w:rStyle w:val="FootnoteReference"/>
        </w:rPr>
        <w:footnoteRef/>
      </w:r>
      <w:r w:rsidRPr="00CC21CB">
        <w:rPr>
          <w:rFonts w:ascii="Arial" w:hAnsi="Arial" w:cs="Arial"/>
          <w:kern w:val="2"/>
          <w:sz w:val="18"/>
        </w:rPr>
        <w:t>RHC/PH/285/1, East Wing Common Room, 1928</w:t>
      </w:r>
    </w:p>
  </w:footnote>
  <w:footnote w:id="5">
    <w:p w:rsidR="00AE1FA0" w:rsidRPr="00CC21CB" w:rsidRDefault="00AE1FA0" w:rsidP="00AE1FA0">
      <w:pPr>
        <w:pStyle w:val="FootnoteText"/>
        <w:rPr>
          <w:rFonts w:ascii="Arial" w:hAnsi="Arial" w:cs="Arial"/>
          <w:sz w:val="18"/>
        </w:rPr>
      </w:pPr>
      <w:r w:rsidRPr="00CC21CB">
        <w:rPr>
          <w:rStyle w:val="FootnoteReference"/>
          <w:rFonts w:ascii="Arial" w:hAnsi="Arial" w:cs="Arial"/>
          <w:sz w:val="18"/>
        </w:rPr>
        <w:footnoteRef/>
      </w:r>
      <w:r w:rsidRPr="00CC21CB">
        <w:rPr>
          <w:rFonts w:ascii="Arial" w:hAnsi="Arial" w:cs="Arial"/>
          <w:sz w:val="18"/>
        </w:rPr>
        <w:t>RHC RF/132/5, 1940-1943</w:t>
      </w:r>
    </w:p>
  </w:footnote>
  <w:footnote w:id="6">
    <w:p w:rsidR="00AE1FA0" w:rsidRDefault="00AE1FA0" w:rsidP="00AE1FA0">
      <w:pPr>
        <w:pStyle w:val="FootnoteText"/>
      </w:pPr>
      <w:r>
        <w:rPr>
          <w:rStyle w:val="FootnoteReference"/>
        </w:rPr>
        <w:footnoteRef/>
      </w:r>
      <w:r>
        <w:t>RHUL website, 2018</w:t>
      </w:r>
    </w:p>
  </w:footnote>
  <w:footnote w:id="7">
    <w:p w:rsidR="00AE1FA0" w:rsidRDefault="00AE1FA0" w:rsidP="00AE1FA0">
      <w:pPr>
        <w:pStyle w:val="FootnoteText"/>
      </w:pPr>
      <w:r w:rsidRPr="00CC21CB">
        <w:rPr>
          <w:rStyle w:val="FootnoteReference"/>
          <w:rFonts w:ascii="Arial" w:hAnsi="Arial" w:cs="Arial"/>
          <w:sz w:val="18"/>
        </w:rPr>
        <w:footnoteRef/>
      </w:r>
      <w:r w:rsidRPr="00CC21CB">
        <w:rPr>
          <w:rFonts w:ascii="Arial" w:hAnsi="Arial" w:cs="Arial"/>
          <w:sz w:val="18"/>
        </w:rPr>
        <w:t>RHC RF/132/7, 1941-1943</w:t>
      </w:r>
    </w:p>
  </w:footnote>
  <w:footnote w:id="8">
    <w:p w:rsidR="00AE1FA0" w:rsidRPr="00CC21CB" w:rsidRDefault="00AE1FA0" w:rsidP="00AE1FA0">
      <w:pPr>
        <w:pStyle w:val="FootnoteText"/>
        <w:rPr>
          <w:rFonts w:ascii="Arial" w:hAnsi="Arial" w:cs="Arial"/>
        </w:rPr>
      </w:pPr>
      <w:r w:rsidRPr="00CC21CB">
        <w:rPr>
          <w:rStyle w:val="FootnoteReference"/>
          <w:rFonts w:ascii="Arial" w:hAnsi="Arial" w:cs="Arial"/>
          <w:sz w:val="18"/>
        </w:rPr>
        <w:footnoteRef/>
      </w:r>
      <w:r w:rsidRPr="00CC21CB">
        <w:rPr>
          <w:rFonts w:ascii="Arial" w:hAnsi="Arial" w:cs="Arial"/>
          <w:sz w:val="18"/>
        </w:rPr>
        <w:t>RHC AS/200/17, 1957</w:t>
      </w:r>
    </w:p>
  </w:footnote>
  <w:footnote w:id="9">
    <w:p w:rsidR="00AE1FA0" w:rsidRPr="00CC21CB" w:rsidRDefault="00AE1FA0" w:rsidP="00AE1FA0">
      <w:pPr>
        <w:pStyle w:val="FootnoteText"/>
        <w:rPr>
          <w:rFonts w:ascii="Arial" w:hAnsi="Arial" w:cs="Arial"/>
        </w:rPr>
      </w:pPr>
      <w:r w:rsidRPr="00CC21CB">
        <w:rPr>
          <w:rStyle w:val="FootnoteReference"/>
          <w:rFonts w:ascii="Arial" w:hAnsi="Arial" w:cs="Arial"/>
          <w:sz w:val="18"/>
        </w:rPr>
        <w:footnoteRef/>
      </w:r>
      <w:r w:rsidRPr="00CC21CB">
        <w:rPr>
          <w:rFonts w:ascii="Arial" w:hAnsi="Arial" w:cs="Arial"/>
          <w:sz w:val="18"/>
        </w:rPr>
        <w:t>RHC RF/132/6, 1950-1953</w:t>
      </w:r>
    </w:p>
  </w:footnote>
  <w:footnote w:id="10">
    <w:p w:rsidR="00AE1FA0" w:rsidRDefault="00AE1FA0" w:rsidP="00AE1FA0">
      <w:pPr>
        <w:pStyle w:val="FootnoteText"/>
      </w:pPr>
      <w:r>
        <w:rPr>
          <w:rStyle w:val="FootnoteReference"/>
        </w:rPr>
        <w:footnoteRef/>
      </w:r>
      <w:r>
        <w:t>RHUL website, 2017</w:t>
      </w:r>
    </w:p>
  </w:footnote>
  <w:footnote w:id="11">
    <w:p w:rsidR="00AE1FA0" w:rsidRDefault="00AE1FA0" w:rsidP="00AE1FA0">
      <w:pPr>
        <w:pStyle w:val="FootnoteText"/>
      </w:pPr>
      <w:r>
        <w:rPr>
          <w:rStyle w:val="FootnoteReference"/>
        </w:rPr>
        <w:footnoteRef/>
      </w:r>
      <w:r w:rsidRPr="00CC21CB">
        <w:rPr>
          <w:rFonts w:ascii="Arial" w:hAnsi="Arial" w:cs="Arial"/>
          <w:sz w:val="18"/>
        </w:rPr>
        <w:t>RHC AS/200/17, 1957</w:t>
      </w:r>
    </w:p>
  </w:footnote>
  <w:footnote w:id="12">
    <w:p w:rsidR="00AE1FA0" w:rsidRDefault="00AE1FA0" w:rsidP="00AE1FA0">
      <w:pPr>
        <w:pStyle w:val="FootnoteText"/>
      </w:pPr>
      <w:r w:rsidRPr="00CC21CB">
        <w:rPr>
          <w:rStyle w:val="FootnoteReference"/>
          <w:rFonts w:ascii="Arial" w:hAnsi="Arial" w:cs="Arial"/>
          <w:sz w:val="18"/>
        </w:rPr>
        <w:footnoteRef/>
      </w:r>
      <w:r w:rsidRPr="00CC21CB">
        <w:rPr>
          <w:rFonts w:ascii="Arial" w:hAnsi="Arial" w:cs="Arial"/>
          <w:sz w:val="18"/>
        </w:rPr>
        <w:t>RHC RF/132/22, 1939-1942</w:t>
      </w:r>
    </w:p>
  </w:footnote>
  <w:footnote w:id="13">
    <w:p w:rsidR="00AE1FA0" w:rsidRPr="00CC21CB" w:rsidRDefault="00AE1FA0" w:rsidP="00AE1FA0">
      <w:pPr>
        <w:pStyle w:val="FootnoteText"/>
        <w:rPr>
          <w:rFonts w:ascii="Arial" w:hAnsi="Arial" w:cs="Arial"/>
          <w:sz w:val="18"/>
          <w:szCs w:val="18"/>
        </w:rPr>
      </w:pPr>
      <w:r w:rsidRPr="00CC21CB">
        <w:rPr>
          <w:rStyle w:val="FootnoteReference"/>
          <w:rFonts w:ascii="Arial" w:hAnsi="Arial" w:cs="Arial"/>
          <w:sz w:val="18"/>
          <w:szCs w:val="18"/>
        </w:rPr>
        <w:footnoteRef/>
      </w:r>
      <w:r w:rsidRPr="00CC21CB">
        <w:rPr>
          <w:rFonts w:ascii="Arial" w:hAnsi="Arial" w:cs="Arial"/>
          <w:sz w:val="18"/>
          <w:szCs w:val="18"/>
        </w:rPr>
        <w:t>RHC RF/131/12, 1910-1913</w:t>
      </w:r>
    </w:p>
  </w:footnote>
  <w:footnote w:id="14">
    <w:p w:rsidR="00AE1FA0" w:rsidRDefault="00AE1FA0" w:rsidP="00AE1FA0">
      <w:pPr>
        <w:pStyle w:val="FootnoteText"/>
      </w:pPr>
      <w:r w:rsidRPr="00CC21CB">
        <w:rPr>
          <w:rStyle w:val="FootnoteReference"/>
          <w:rFonts w:ascii="Arial" w:hAnsi="Arial" w:cs="Arial"/>
          <w:sz w:val="18"/>
          <w:szCs w:val="18"/>
        </w:rPr>
        <w:footnoteRef/>
      </w:r>
      <w:r w:rsidRPr="00CC21CB">
        <w:rPr>
          <w:rFonts w:ascii="Arial" w:hAnsi="Arial" w:cs="Arial"/>
          <w:sz w:val="18"/>
          <w:szCs w:val="18"/>
        </w:rPr>
        <w:t>RHC RF/131/8</w:t>
      </w:r>
      <w:r>
        <w:rPr>
          <w:rFonts w:ascii="Arial" w:hAnsi="Arial" w:cs="Arial"/>
          <w:sz w:val="18"/>
          <w:szCs w:val="18"/>
        </w:rPr>
        <w:t>, 1950</w:t>
      </w:r>
    </w:p>
  </w:footnote>
  <w:footnote w:id="15">
    <w:p w:rsidR="00AE1FA0" w:rsidRPr="007D4DE4" w:rsidRDefault="00AE1FA0" w:rsidP="00AE1FA0">
      <w:pPr>
        <w:pStyle w:val="FootnoteText"/>
        <w:rPr>
          <w:rFonts w:ascii="Arial" w:hAnsi="Arial" w:cs="Arial"/>
          <w:sz w:val="18"/>
        </w:rPr>
      </w:pPr>
      <w:r>
        <w:rPr>
          <w:rStyle w:val="FootnoteReference"/>
        </w:rPr>
        <w:footnoteRef/>
      </w:r>
      <w:r>
        <w:rPr>
          <w:rFonts w:ascii="Arial" w:hAnsi="Arial" w:cs="Arial" w:hint="cs"/>
          <w:sz w:val="18"/>
        </w:rPr>
        <w:t>R</w:t>
      </w:r>
      <w:r>
        <w:rPr>
          <w:rFonts w:ascii="Arial" w:hAnsi="Arial" w:cs="Arial"/>
          <w:sz w:val="18"/>
        </w:rPr>
        <w:t>HC AR/161/1, 1914</w:t>
      </w:r>
    </w:p>
  </w:footnote>
  <w:footnote w:id="16">
    <w:p w:rsidR="00AE1FA0" w:rsidRPr="00CC21CB" w:rsidRDefault="00AE1FA0" w:rsidP="00AE1FA0">
      <w:pPr>
        <w:pStyle w:val="FootnoteText"/>
        <w:rPr>
          <w:rFonts w:ascii="Arial" w:hAnsi="Arial" w:cs="Arial"/>
          <w:sz w:val="18"/>
        </w:rPr>
      </w:pPr>
      <w:r w:rsidRPr="00CC21CB">
        <w:rPr>
          <w:rStyle w:val="FootnoteReference"/>
          <w:rFonts w:ascii="Arial" w:hAnsi="Arial" w:cs="Arial"/>
          <w:sz w:val="18"/>
        </w:rPr>
        <w:footnoteRef/>
      </w:r>
      <w:r w:rsidRPr="00CC21CB">
        <w:rPr>
          <w:rFonts w:ascii="Arial" w:hAnsi="Arial" w:cs="Arial"/>
          <w:sz w:val="18"/>
        </w:rPr>
        <w:t>RHC RF/132/4,1944-1947</w:t>
      </w:r>
    </w:p>
  </w:footnote>
  <w:footnote w:id="17">
    <w:p w:rsidR="00AE1FA0" w:rsidRDefault="00AE1FA0" w:rsidP="00AE1FA0">
      <w:pPr>
        <w:pStyle w:val="FootnoteText"/>
      </w:pPr>
      <w:r w:rsidRPr="00CC21CB">
        <w:rPr>
          <w:rStyle w:val="FootnoteReference"/>
          <w:rFonts w:ascii="Arial" w:hAnsi="Arial" w:cs="Arial"/>
          <w:sz w:val="18"/>
        </w:rPr>
        <w:footnoteRef/>
      </w:r>
      <w:r w:rsidRPr="00CC21CB">
        <w:rPr>
          <w:rFonts w:ascii="Arial" w:hAnsi="Arial" w:cs="Arial"/>
          <w:sz w:val="18"/>
        </w:rPr>
        <w:t>RHC RF/120/25/1, 1962</w:t>
      </w:r>
    </w:p>
  </w:footnote>
  <w:footnote w:id="18">
    <w:p w:rsidR="00AE1FA0" w:rsidRPr="00CC21CB" w:rsidRDefault="00AE1FA0" w:rsidP="00AE1FA0">
      <w:pPr>
        <w:pStyle w:val="FootnoteText"/>
        <w:rPr>
          <w:rFonts w:ascii="Arial" w:hAnsi="Arial" w:cs="Arial"/>
          <w:sz w:val="18"/>
          <w:szCs w:val="18"/>
        </w:rPr>
      </w:pPr>
      <w:r w:rsidRPr="00CC21CB">
        <w:rPr>
          <w:rStyle w:val="FootnoteReference"/>
          <w:rFonts w:ascii="Arial" w:hAnsi="Arial" w:cs="Arial"/>
          <w:sz w:val="18"/>
          <w:szCs w:val="18"/>
        </w:rPr>
        <w:footnoteRef/>
      </w:r>
      <w:r w:rsidRPr="00CC21CB">
        <w:rPr>
          <w:rFonts w:ascii="Arial" w:hAnsi="Arial" w:cs="Arial"/>
          <w:sz w:val="18"/>
          <w:szCs w:val="18"/>
        </w:rPr>
        <w:t>RHC RF/132/5</w:t>
      </w:r>
      <w:r>
        <w:rPr>
          <w:rFonts w:ascii="Arial" w:hAnsi="Arial" w:cs="Arial"/>
          <w:sz w:val="18"/>
          <w:szCs w:val="18"/>
        </w:rPr>
        <w:t>, 1949</w:t>
      </w:r>
    </w:p>
  </w:footnote>
  <w:footnote w:id="19">
    <w:p w:rsidR="00AE1FA0" w:rsidRPr="00CC21CB" w:rsidRDefault="00AE1FA0" w:rsidP="00AE1FA0">
      <w:pPr>
        <w:pStyle w:val="FootnoteText"/>
        <w:rPr>
          <w:rFonts w:ascii="Arial" w:hAnsi="Arial" w:cs="Arial"/>
          <w:sz w:val="18"/>
          <w:szCs w:val="18"/>
        </w:rPr>
      </w:pPr>
      <w:r w:rsidRPr="00CC21CB">
        <w:rPr>
          <w:rStyle w:val="FootnoteReference"/>
          <w:rFonts w:ascii="Arial" w:hAnsi="Arial" w:cs="Arial"/>
          <w:sz w:val="18"/>
          <w:szCs w:val="18"/>
        </w:rPr>
        <w:footnoteRef/>
      </w:r>
      <w:r w:rsidRPr="00CC21CB">
        <w:rPr>
          <w:rFonts w:ascii="Arial" w:hAnsi="Arial" w:cs="Arial"/>
          <w:sz w:val="18"/>
          <w:szCs w:val="18"/>
        </w:rPr>
        <w:t>RHC GB/203/2</w:t>
      </w:r>
    </w:p>
  </w:footnote>
  <w:footnote w:id="20">
    <w:p w:rsidR="00AE1FA0" w:rsidRDefault="00AE1FA0" w:rsidP="00AE1FA0">
      <w:pPr>
        <w:pStyle w:val="FootnoteText"/>
      </w:pPr>
      <w:r w:rsidRPr="00CC21CB">
        <w:rPr>
          <w:rStyle w:val="FootnoteReference"/>
          <w:rFonts w:ascii="Arial" w:hAnsi="Arial" w:cs="Arial"/>
          <w:sz w:val="18"/>
          <w:szCs w:val="18"/>
        </w:rPr>
        <w:footnoteRef/>
      </w:r>
      <w:r w:rsidRPr="00CC21CB">
        <w:rPr>
          <w:rFonts w:ascii="Arial" w:hAnsi="Arial" w:cs="Arial"/>
          <w:sz w:val="18"/>
          <w:szCs w:val="18"/>
        </w:rPr>
        <w:t>RHC RF/132/6, 1970-1973</w:t>
      </w:r>
    </w:p>
  </w:footnote>
  <w:footnote w:id="21">
    <w:p w:rsidR="00AE1FA0" w:rsidRPr="00CC21CB" w:rsidRDefault="00AE1FA0" w:rsidP="00AE1FA0">
      <w:pPr>
        <w:pStyle w:val="FootnoteText"/>
        <w:rPr>
          <w:rFonts w:ascii="Arial" w:hAnsi="Arial" w:cs="Arial"/>
          <w:sz w:val="18"/>
          <w:szCs w:val="18"/>
        </w:rPr>
      </w:pPr>
      <w:r w:rsidRPr="00CC21CB">
        <w:rPr>
          <w:rStyle w:val="FootnoteReference"/>
          <w:rFonts w:ascii="Arial" w:hAnsi="Arial" w:cs="Arial"/>
          <w:sz w:val="18"/>
          <w:szCs w:val="18"/>
        </w:rPr>
        <w:footnoteRef/>
      </w:r>
      <w:r w:rsidRPr="00CC21CB">
        <w:rPr>
          <w:rFonts w:ascii="Arial" w:hAnsi="Arial" w:cs="Arial"/>
          <w:sz w:val="18"/>
          <w:szCs w:val="18"/>
        </w:rPr>
        <w:t>RHC AR</w:t>
      </w:r>
      <w:r>
        <w:rPr>
          <w:rFonts w:ascii="Arial" w:hAnsi="Arial" w:cs="Arial"/>
          <w:sz w:val="18"/>
          <w:szCs w:val="18"/>
        </w:rPr>
        <w:t>/</w:t>
      </w:r>
      <w:r w:rsidRPr="00CC21CB">
        <w:rPr>
          <w:rFonts w:ascii="Arial" w:hAnsi="Arial" w:cs="Arial"/>
          <w:sz w:val="18"/>
          <w:szCs w:val="18"/>
        </w:rPr>
        <w:t>241/1, Governors, 1937-1938</w:t>
      </w:r>
    </w:p>
  </w:footnote>
  <w:footnote w:id="22">
    <w:p w:rsidR="00AE1FA0" w:rsidRDefault="00AE1FA0" w:rsidP="00AE1FA0">
      <w:pPr>
        <w:pStyle w:val="FootnoteText"/>
      </w:pPr>
      <w:r w:rsidRPr="00CC21CB">
        <w:rPr>
          <w:rStyle w:val="FootnoteReference"/>
          <w:rFonts w:ascii="Arial" w:hAnsi="Arial" w:cs="Arial"/>
          <w:sz w:val="18"/>
          <w:szCs w:val="18"/>
        </w:rPr>
        <w:footnoteRef/>
      </w:r>
      <w:r w:rsidRPr="00CC21CB">
        <w:rPr>
          <w:rFonts w:ascii="Arial" w:hAnsi="Arial" w:cs="Arial"/>
          <w:sz w:val="18"/>
          <w:szCs w:val="18"/>
        </w:rPr>
        <w:t>RHC/1/1/4, 1912</w:t>
      </w:r>
    </w:p>
  </w:footnote>
  <w:footnote w:id="23">
    <w:p w:rsidR="00AE1FA0" w:rsidRPr="00CC21CB" w:rsidRDefault="00AE1FA0" w:rsidP="00AE1FA0">
      <w:pPr>
        <w:pStyle w:val="FootnoteText"/>
        <w:rPr>
          <w:rFonts w:ascii="Arial" w:hAnsi="Arial" w:cs="Arial"/>
        </w:rPr>
      </w:pPr>
      <w:r w:rsidRPr="00CC21CB">
        <w:rPr>
          <w:rStyle w:val="FootnoteReference"/>
          <w:rFonts w:ascii="Arial" w:hAnsi="Arial" w:cs="Arial"/>
          <w:sz w:val="18"/>
        </w:rPr>
        <w:footnoteRef/>
      </w:r>
      <w:r w:rsidRPr="00CC21CB">
        <w:rPr>
          <w:rFonts w:ascii="Arial" w:hAnsi="Arial" w:cs="Arial"/>
          <w:sz w:val="18"/>
        </w:rPr>
        <w:t>RHC RF/102/1, 1874-1875</w:t>
      </w:r>
    </w:p>
  </w:footnote>
  <w:footnote w:id="24">
    <w:p w:rsidR="00AE1FA0" w:rsidRDefault="00AE1FA0" w:rsidP="00AE1FA0">
      <w:pPr>
        <w:pStyle w:val="FootnoteText"/>
      </w:pPr>
    </w:p>
  </w:footnote>
  <w:footnote w:id="25">
    <w:p w:rsidR="00AE1FA0" w:rsidRPr="00961FF7" w:rsidRDefault="00AE1FA0" w:rsidP="00AE1FA0">
      <w:pPr>
        <w:pStyle w:val="FootnoteText"/>
        <w:rPr>
          <w:rFonts w:ascii="Arial" w:hAnsi="Arial" w:cs="Arial"/>
        </w:rPr>
      </w:pPr>
      <w:r w:rsidRPr="00961FF7">
        <w:rPr>
          <w:rStyle w:val="FootnoteReference"/>
          <w:rFonts w:ascii="Arial" w:hAnsi="Arial" w:cs="Arial"/>
          <w:sz w:val="18"/>
        </w:rPr>
        <w:footnoteRef/>
      </w:r>
      <w:r w:rsidRPr="00961FF7">
        <w:rPr>
          <w:rFonts w:ascii="Arial" w:hAnsi="Arial" w:cs="Arial"/>
          <w:sz w:val="18"/>
        </w:rPr>
        <w:t>RHC G13/102/1, 1883</w:t>
      </w:r>
    </w:p>
  </w:footnote>
  <w:footnote w:id="26">
    <w:p w:rsidR="00AE1FA0" w:rsidRPr="00CC21CB" w:rsidRDefault="00AE1FA0" w:rsidP="00AE1FA0">
      <w:pPr>
        <w:pStyle w:val="FootnoteText"/>
        <w:rPr>
          <w:rFonts w:ascii="Arial" w:hAnsi="Arial" w:cs="Arial"/>
          <w:sz w:val="18"/>
          <w:szCs w:val="18"/>
        </w:rPr>
      </w:pPr>
      <w:r w:rsidRPr="00CC21CB">
        <w:rPr>
          <w:rStyle w:val="FootnoteReference"/>
          <w:rFonts w:ascii="Arial" w:hAnsi="Arial" w:cs="Arial"/>
          <w:sz w:val="18"/>
          <w:szCs w:val="18"/>
        </w:rPr>
        <w:footnoteRef/>
      </w:r>
      <w:r w:rsidRPr="00CC21CB">
        <w:rPr>
          <w:rFonts w:ascii="Arial" w:hAnsi="Arial" w:cs="Arial"/>
          <w:sz w:val="18"/>
          <w:szCs w:val="18"/>
        </w:rPr>
        <w:t>RHC RF</w:t>
      </w:r>
      <w:r>
        <w:rPr>
          <w:rFonts w:ascii="Arial" w:hAnsi="Arial" w:cs="Arial"/>
          <w:sz w:val="18"/>
          <w:szCs w:val="18"/>
        </w:rPr>
        <w:t>/</w:t>
      </w:r>
      <w:r w:rsidRPr="00CC21CB">
        <w:rPr>
          <w:rFonts w:ascii="Arial" w:hAnsi="Arial" w:cs="Arial"/>
          <w:sz w:val="18"/>
          <w:szCs w:val="18"/>
        </w:rPr>
        <w:t>131/12, 1910-1913</w:t>
      </w:r>
    </w:p>
  </w:footnote>
  <w:footnote w:id="27">
    <w:p w:rsidR="00AE1FA0" w:rsidRPr="00CC21CB" w:rsidRDefault="00AE1FA0" w:rsidP="00AE1FA0">
      <w:pPr>
        <w:rPr>
          <w:rFonts w:ascii="Arial" w:eastAsia="宋体" w:hAnsi="Arial" w:cs="Arial"/>
          <w:color w:val="000000"/>
          <w:sz w:val="18"/>
          <w:szCs w:val="18"/>
          <w:lang w:val="en-US"/>
        </w:rPr>
      </w:pPr>
      <w:r w:rsidRPr="00CC21CB">
        <w:rPr>
          <w:rStyle w:val="FootnoteReference"/>
          <w:rFonts w:ascii="Arial" w:hAnsi="Arial" w:cs="Arial"/>
          <w:sz w:val="18"/>
          <w:szCs w:val="18"/>
        </w:rPr>
        <w:footnoteRef/>
      </w:r>
      <w:r w:rsidRPr="00CC21CB">
        <w:rPr>
          <w:rFonts w:ascii="Arial" w:hAnsi="Arial" w:cs="Arial"/>
          <w:sz w:val="18"/>
          <w:szCs w:val="18"/>
        </w:rPr>
        <w:t>RHC RF/120/14</w:t>
      </w:r>
      <w:r w:rsidRPr="00CC21CB">
        <w:rPr>
          <w:rFonts w:ascii="Arial" w:eastAsia="宋体" w:hAnsi="Arial" w:cs="Arial"/>
          <w:color w:val="000000"/>
          <w:sz w:val="18"/>
          <w:szCs w:val="18"/>
          <w:lang w:val="en-US"/>
        </w:rPr>
        <w:t xml:space="preserve">, </w:t>
      </w:r>
      <w:r w:rsidRPr="00CC21CB">
        <w:rPr>
          <w:rFonts w:ascii="Arial" w:eastAsia="宋体" w:hAnsi="Arial" w:cs="Arial"/>
          <w:color w:val="000000"/>
          <w:sz w:val="18"/>
          <w:szCs w:val="18"/>
        </w:rPr>
        <w:t xml:space="preserve">The Work of the Royal Holloway College. An important Woman's College in Surrey. </w:t>
      </w:r>
      <w:r>
        <w:rPr>
          <w:rFonts w:ascii="Arial" w:eastAsia="宋体" w:hAnsi="Arial" w:cs="Arial"/>
          <w:color w:val="000000"/>
          <w:sz w:val="18"/>
          <w:szCs w:val="18"/>
          <w:lang w:val="en-US"/>
        </w:rPr>
        <w:t xml:space="preserve">The Sphere, </w:t>
      </w:r>
      <w:r w:rsidRPr="00CC21CB">
        <w:rPr>
          <w:rFonts w:ascii="Arial" w:eastAsia="宋体" w:hAnsi="Arial" w:cs="Arial"/>
          <w:color w:val="000000"/>
          <w:sz w:val="18"/>
          <w:szCs w:val="18"/>
          <w:lang w:val="en-US"/>
        </w:rPr>
        <w:t>1922</w:t>
      </w:r>
    </w:p>
  </w:footnote>
  <w:footnote w:id="28">
    <w:p w:rsidR="00AE1FA0" w:rsidRPr="00D35351" w:rsidRDefault="00AE1FA0" w:rsidP="00AE1FA0">
      <w:pPr>
        <w:pStyle w:val="FootnoteText"/>
        <w:rPr>
          <w:rFonts w:ascii="Arial" w:hAnsi="Arial" w:cs="Arial"/>
          <w:sz w:val="18"/>
          <w:szCs w:val="18"/>
        </w:rPr>
      </w:pPr>
      <w:r w:rsidRPr="00CC21CB">
        <w:rPr>
          <w:rStyle w:val="FootnoteReference"/>
          <w:rFonts w:ascii="Arial" w:hAnsi="Arial" w:cs="Arial"/>
          <w:sz w:val="18"/>
          <w:szCs w:val="18"/>
        </w:rPr>
        <w:footnoteRef/>
      </w:r>
      <w:r w:rsidRPr="00CC21CB">
        <w:rPr>
          <w:rFonts w:ascii="Arial" w:hAnsi="Arial" w:cs="Arial"/>
          <w:sz w:val="18"/>
          <w:szCs w:val="18"/>
        </w:rPr>
        <w:t>RHC RF/120/6,The Higher Education of Women-Life at Holloway College: Study and Recreation</w:t>
      </w:r>
      <w:r>
        <w:rPr>
          <w:rFonts w:ascii="Arial" w:hAnsi="Arial" w:cs="Arial"/>
          <w:sz w:val="18"/>
          <w:szCs w:val="18"/>
        </w:rPr>
        <w:t>, 1891</w:t>
      </w:r>
    </w:p>
  </w:footnote>
  <w:footnote w:id="29">
    <w:p w:rsidR="00AE1FA0" w:rsidRPr="00CC21CB" w:rsidRDefault="00AE1FA0" w:rsidP="00AE1FA0">
      <w:pPr>
        <w:pStyle w:val="FootnoteText"/>
        <w:rPr>
          <w:sz w:val="18"/>
        </w:rPr>
      </w:pPr>
      <w:r w:rsidRPr="00CC21CB">
        <w:rPr>
          <w:rStyle w:val="FootnoteReference"/>
          <w:rFonts w:ascii="Arial" w:hAnsi="Arial" w:cs="Arial"/>
          <w:sz w:val="18"/>
        </w:rPr>
        <w:footnoteRef/>
      </w:r>
      <w:r w:rsidRPr="00CC21CB">
        <w:rPr>
          <w:rFonts w:ascii="Arial" w:hAnsi="Arial" w:cs="Arial"/>
          <w:sz w:val="18"/>
        </w:rPr>
        <w:t>RHC RF/132/3, 1939-1942</w:t>
      </w:r>
    </w:p>
  </w:footnote>
  <w:footnote w:id="30">
    <w:p w:rsidR="00AE1FA0" w:rsidRPr="00CD223B" w:rsidRDefault="00AE1FA0" w:rsidP="00AE1FA0">
      <w:pPr>
        <w:pStyle w:val="FootnoteText"/>
        <w:rPr>
          <w:rFonts w:ascii="Arial" w:hAnsi="Arial" w:cs="Arial"/>
        </w:rPr>
      </w:pPr>
      <w:r w:rsidRPr="00CC21CB">
        <w:rPr>
          <w:rStyle w:val="FootnoteReference"/>
          <w:rFonts w:ascii="Arial" w:hAnsi="Arial" w:cs="Arial"/>
          <w:sz w:val="18"/>
        </w:rPr>
        <w:footnoteRef/>
      </w:r>
      <w:r w:rsidRPr="00CC21CB">
        <w:rPr>
          <w:rFonts w:ascii="Arial" w:hAnsi="Arial" w:cs="Arial"/>
          <w:sz w:val="18"/>
        </w:rPr>
        <w:t>RHC AS/200/17, 1957</w:t>
      </w:r>
    </w:p>
  </w:footnote>
  <w:footnote w:id="31">
    <w:p w:rsidR="00AE1FA0" w:rsidRPr="007D4DE4" w:rsidRDefault="00AE1FA0" w:rsidP="00AE1FA0">
      <w:pPr>
        <w:pStyle w:val="FootnoteText"/>
        <w:rPr>
          <w:rFonts w:ascii="Arial" w:hAnsi="Arial" w:cs="Arial"/>
          <w:sz w:val="18"/>
        </w:rPr>
      </w:pPr>
      <w:r w:rsidRPr="007D4DE4">
        <w:rPr>
          <w:rStyle w:val="FootnoteReference"/>
          <w:rFonts w:ascii="Arial" w:hAnsi="Arial" w:cs="Arial"/>
          <w:sz w:val="18"/>
        </w:rPr>
        <w:footnoteRef/>
      </w:r>
      <w:r w:rsidRPr="007D4DE4">
        <w:rPr>
          <w:rFonts w:ascii="Arial" w:hAnsi="Arial" w:cs="Arial"/>
          <w:sz w:val="18"/>
        </w:rPr>
        <w:t>RHC RF/125/3, 1887</w:t>
      </w:r>
    </w:p>
  </w:footnote>
  <w:footnote w:id="32">
    <w:p w:rsidR="00AE1FA0" w:rsidRDefault="00AE1FA0" w:rsidP="00AE1FA0">
      <w:pPr>
        <w:pStyle w:val="FootnoteText"/>
      </w:pPr>
      <w:r w:rsidRPr="007D4DE4">
        <w:rPr>
          <w:rStyle w:val="FootnoteReference"/>
          <w:rFonts w:ascii="Arial" w:hAnsi="Arial" w:cs="Arial"/>
          <w:sz w:val="18"/>
        </w:rPr>
        <w:footnoteRef/>
      </w:r>
      <w:r w:rsidRPr="007D4DE4">
        <w:rPr>
          <w:rFonts w:ascii="Arial" w:hAnsi="Arial" w:cs="Arial"/>
          <w:sz w:val="18"/>
        </w:rPr>
        <w:t>RHC RF/125/3, 1881</w:t>
      </w:r>
    </w:p>
  </w:footnote>
  <w:footnote w:id="33">
    <w:p w:rsidR="00AE1FA0" w:rsidRPr="00CC21CB" w:rsidRDefault="00AE1FA0" w:rsidP="00AE1FA0">
      <w:pPr>
        <w:pStyle w:val="FootnoteText"/>
        <w:rPr>
          <w:rFonts w:ascii="Arial" w:hAnsi="Arial" w:cs="Arial"/>
        </w:rPr>
      </w:pPr>
      <w:r w:rsidRPr="00CC21CB">
        <w:rPr>
          <w:rStyle w:val="FootnoteReference"/>
          <w:rFonts w:ascii="Arial" w:hAnsi="Arial" w:cs="Arial"/>
          <w:sz w:val="18"/>
        </w:rPr>
        <w:footnoteRef/>
      </w:r>
      <w:r w:rsidRPr="00CC21CB">
        <w:rPr>
          <w:rFonts w:ascii="Arial" w:hAnsi="Arial" w:cs="Arial"/>
          <w:sz w:val="18"/>
        </w:rPr>
        <w:t>RHC RF/102/1, 1874</w:t>
      </w:r>
    </w:p>
  </w:footnote>
  <w:footnote w:id="34">
    <w:p w:rsidR="00AE1FA0" w:rsidRPr="00CC21CB" w:rsidRDefault="00AE1FA0" w:rsidP="00AE1FA0">
      <w:pPr>
        <w:pStyle w:val="FootnoteText"/>
        <w:rPr>
          <w:rFonts w:ascii="Arial" w:hAnsi="Arial" w:cs="Arial"/>
          <w:sz w:val="18"/>
          <w:szCs w:val="16"/>
        </w:rPr>
      </w:pPr>
      <w:r w:rsidRPr="00CC21CB">
        <w:rPr>
          <w:rStyle w:val="FootnoteReference"/>
          <w:rFonts w:ascii="Arial" w:hAnsi="Arial" w:cs="Arial"/>
          <w:sz w:val="18"/>
          <w:szCs w:val="16"/>
        </w:rPr>
        <w:footnoteRef/>
      </w:r>
      <w:r w:rsidRPr="00CC21CB">
        <w:rPr>
          <w:rFonts w:ascii="Arial" w:hAnsi="Arial" w:cs="Arial"/>
          <w:sz w:val="18"/>
          <w:szCs w:val="16"/>
        </w:rPr>
        <w:t>RHC RF/132/4, 1919-1921</w:t>
      </w:r>
    </w:p>
  </w:footnote>
  <w:footnote w:id="35">
    <w:p w:rsidR="00AE1FA0" w:rsidRPr="00CD223B" w:rsidRDefault="00AE1FA0" w:rsidP="00AE1FA0">
      <w:pPr>
        <w:pStyle w:val="FootnoteText"/>
        <w:rPr>
          <w:rFonts w:ascii="Arial" w:hAnsi="Arial" w:cs="Arial"/>
          <w:sz w:val="16"/>
          <w:szCs w:val="16"/>
        </w:rPr>
      </w:pPr>
      <w:r w:rsidRPr="00CC21CB">
        <w:rPr>
          <w:rStyle w:val="FootnoteReference"/>
          <w:rFonts w:ascii="Arial" w:hAnsi="Arial" w:cs="Arial"/>
          <w:sz w:val="18"/>
          <w:szCs w:val="16"/>
        </w:rPr>
        <w:footnoteRef/>
      </w:r>
      <w:r w:rsidRPr="00CC21CB">
        <w:rPr>
          <w:rFonts w:ascii="Arial" w:hAnsi="Arial" w:cs="Arial"/>
          <w:sz w:val="18"/>
          <w:szCs w:val="16"/>
        </w:rPr>
        <w:t>RHC RF/132/3, 1935-1938</w:t>
      </w:r>
    </w:p>
  </w:footnote>
  <w:footnote w:id="36">
    <w:p w:rsidR="00AE1FA0" w:rsidRPr="00CC21CB" w:rsidRDefault="00AE1FA0" w:rsidP="00AE1FA0">
      <w:pPr>
        <w:pStyle w:val="FootnoteText"/>
        <w:rPr>
          <w:sz w:val="21"/>
        </w:rPr>
      </w:pPr>
      <w:r w:rsidRPr="00CC21CB">
        <w:rPr>
          <w:rStyle w:val="FootnoteReference"/>
          <w:rFonts w:ascii="Arial" w:hAnsi="Arial" w:cs="Arial"/>
          <w:sz w:val="18"/>
          <w:szCs w:val="16"/>
        </w:rPr>
        <w:footnoteRef/>
      </w:r>
      <w:r w:rsidRPr="00CC21CB">
        <w:rPr>
          <w:rFonts w:ascii="Arial" w:hAnsi="Arial" w:cs="Arial"/>
          <w:sz w:val="18"/>
          <w:szCs w:val="16"/>
        </w:rPr>
        <w:t>RHC RF/131/6, 1908-1914</w:t>
      </w:r>
    </w:p>
  </w:footnote>
  <w:footnote w:id="37">
    <w:p w:rsidR="00AE1FA0" w:rsidRPr="00CD223B" w:rsidRDefault="00AE1FA0" w:rsidP="00AE1FA0">
      <w:pPr>
        <w:pStyle w:val="FootnoteText"/>
        <w:rPr>
          <w:rFonts w:ascii="Arial" w:hAnsi="Arial" w:cs="Arial"/>
          <w:sz w:val="16"/>
          <w:szCs w:val="16"/>
        </w:rPr>
      </w:pPr>
      <w:r w:rsidRPr="00CC21CB">
        <w:rPr>
          <w:rStyle w:val="FootnoteReference"/>
          <w:rFonts w:ascii="Arial" w:hAnsi="Arial" w:cs="Arial"/>
          <w:sz w:val="18"/>
          <w:szCs w:val="16"/>
        </w:rPr>
        <w:footnoteRef/>
      </w:r>
      <w:r w:rsidRPr="00CC21CB">
        <w:rPr>
          <w:rFonts w:ascii="Arial" w:hAnsi="Arial" w:cs="Arial"/>
          <w:sz w:val="18"/>
          <w:szCs w:val="16"/>
        </w:rPr>
        <w:t>RHC RF/132/6, 1950</w:t>
      </w:r>
    </w:p>
  </w:footnote>
  <w:footnote w:id="38">
    <w:p w:rsidR="00AE1FA0" w:rsidRPr="00CC21CB" w:rsidRDefault="00AE1FA0" w:rsidP="00AE1FA0">
      <w:pPr>
        <w:pStyle w:val="FootnoteText"/>
        <w:rPr>
          <w:sz w:val="21"/>
        </w:rPr>
      </w:pPr>
      <w:r w:rsidRPr="00CC21CB">
        <w:rPr>
          <w:rStyle w:val="FootnoteReference"/>
          <w:rFonts w:ascii="Arial" w:hAnsi="Arial" w:cs="Arial"/>
          <w:sz w:val="18"/>
          <w:szCs w:val="16"/>
        </w:rPr>
        <w:footnoteRef/>
      </w:r>
      <w:r w:rsidRPr="00CC21CB">
        <w:rPr>
          <w:rFonts w:ascii="Arial" w:eastAsia="宋体" w:hAnsi="Arial" w:cs="Arial"/>
          <w:color w:val="000000"/>
          <w:kern w:val="24"/>
          <w:sz w:val="18"/>
          <w:szCs w:val="16"/>
        </w:rPr>
        <w:t>RHC RF/132/4</w:t>
      </w:r>
    </w:p>
  </w:footnote>
  <w:footnote w:id="39">
    <w:p w:rsidR="00AE1FA0" w:rsidRPr="00CD223B" w:rsidRDefault="00AE1FA0" w:rsidP="00AE1FA0">
      <w:pPr>
        <w:pStyle w:val="NormalWeb"/>
        <w:spacing w:before="0" w:beforeAutospacing="0" w:after="0" w:afterAutospacing="0"/>
        <w:jc w:val="both"/>
        <w:rPr>
          <w:rFonts w:ascii="Arial" w:hAnsi="Arial" w:cs="Arial"/>
          <w:sz w:val="16"/>
          <w:szCs w:val="16"/>
        </w:rPr>
      </w:pPr>
      <w:r w:rsidRPr="00CC21CB">
        <w:rPr>
          <w:rStyle w:val="FootnoteReference"/>
          <w:rFonts w:ascii="Arial" w:hAnsi="Arial" w:cs="Arial"/>
          <w:sz w:val="18"/>
          <w:szCs w:val="16"/>
        </w:rPr>
        <w:footnoteRef/>
      </w:r>
      <w:r w:rsidRPr="00CC21CB">
        <w:rPr>
          <w:rFonts w:ascii="Arial" w:hAnsi="Arial" w:cs="Arial"/>
          <w:color w:val="000000"/>
          <w:kern w:val="24"/>
          <w:sz w:val="18"/>
          <w:szCs w:val="16"/>
        </w:rPr>
        <w:t>RHC RF/132/4, c1947</w:t>
      </w:r>
    </w:p>
  </w:footnote>
  <w:footnote w:id="40">
    <w:p w:rsidR="00AE1FA0" w:rsidRPr="00543B84" w:rsidRDefault="00AE1FA0" w:rsidP="00AE1FA0">
      <w:pPr>
        <w:pStyle w:val="NormalWeb"/>
        <w:spacing w:before="0" w:beforeAutospacing="0" w:after="0" w:afterAutospacing="0"/>
        <w:jc w:val="both"/>
        <w:rPr>
          <w:rFonts w:ascii="Arial" w:hAnsi="Arial" w:cs="Arial"/>
          <w:color w:val="000000"/>
          <w:kern w:val="24"/>
          <w:sz w:val="18"/>
          <w:szCs w:val="18"/>
        </w:rPr>
      </w:pPr>
      <w:r w:rsidRPr="00CC21CB">
        <w:rPr>
          <w:rStyle w:val="FootnoteReference"/>
          <w:rFonts w:ascii="Arial" w:hAnsi="Arial" w:cs="Arial"/>
          <w:sz w:val="18"/>
          <w:szCs w:val="18"/>
        </w:rPr>
        <w:footnoteRef/>
      </w:r>
      <w:r w:rsidRPr="00CC21CB">
        <w:rPr>
          <w:rFonts w:ascii="Arial" w:hAnsi="Arial" w:cs="Arial"/>
          <w:color w:val="000000"/>
          <w:kern w:val="24"/>
          <w:sz w:val="18"/>
          <w:szCs w:val="18"/>
        </w:rPr>
        <w:t>RHC RF/132/7,</w:t>
      </w:r>
      <w:r>
        <w:rPr>
          <w:rFonts w:ascii="Arial" w:hAnsi="Arial" w:cs="Arial"/>
          <w:color w:val="000000"/>
          <w:kern w:val="24"/>
          <w:sz w:val="18"/>
          <w:szCs w:val="18"/>
        </w:rPr>
        <w:t xml:space="preserve"> </w:t>
      </w:r>
      <w:r w:rsidRPr="00CC21CB">
        <w:rPr>
          <w:rFonts w:ascii="Arial" w:hAnsi="Arial" w:cs="Arial"/>
          <w:color w:val="000000"/>
          <w:kern w:val="24"/>
          <w:sz w:val="18"/>
          <w:szCs w:val="18"/>
        </w:rPr>
        <w:t>1936-1976</w:t>
      </w:r>
    </w:p>
  </w:footnote>
  <w:footnote w:id="41">
    <w:p w:rsidR="00AE1FA0" w:rsidRDefault="00AE1FA0" w:rsidP="00AE1FA0">
      <w:pPr>
        <w:pStyle w:val="FootnoteText"/>
      </w:pPr>
      <w:r w:rsidRPr="00CC21CB">
        <w:rPr>
          <w:rStyle w:val="FootnoteReference"/>
          <w:rFonts w:ascii="Arial" w:hAnsi="Arial" w:cs="Arial"/>
          <w:sz w:val="18"/>
          <w:szCs w:val="18"/>
        </w:rPr>
        <w:footnoteRef/>
      </w:r>
      <w:r>
        <w:rPr>
          <w:rFonts w:ascii="Arial" w:hAnsi="Arial" w:cs="Arial"/>
          <w:sz w:val="18"/>
          <w:szCs w:val="18"/>
        </w:rPr>
        <w:t xml:space="preserve">RHC RF/132/3, </w:t>
      </w:r>
      <w:r w:rsidRPr="00CC21CB">
        <w:rPr>
          <w:rFonts w:ascii="Arial" w:hAnsi="Arial" w:cs="Arial"/>
          <w:sz w:val="18"/>
          <w:szCs w:val="18"/>
        </w:rPr>
        <w:t>1965-1968</w:t>
      </w:r>
    </w:p>
  </w:footnote>
  <w:footnote w:id="42">
    <w:p w:rsidR="00AE1FA0" w:rsidRPr="00CC21CB" w:rsidRDefault="00AE1FA0" w:rsidP="00AE1FA0">
      <w:pPr>
        <w:pStyle w:val="FootnoteText"/>
        <w:rPr>
          <w:rFonts w:ascii="Arial" w:hAnsi="Arial" w:cs="Arial"/>
        </w:rPr>
      </w:pPr>
      <w:r w:rsidRPr="00CC21CB">
        <w:rPr>
          <w:rStyle w:val="FootnoteReference"/>
          <w:rFonts w:ascii="Arial" w:hAnsi="Arial" w:cs="Arial"/>
          <w:sz w:val="18"/>
        </w:rPr>
        <w:footnoteRef/>
      </w:r>
      <w:r w:rsidRPr="00CC21CB">
        <w:rPr>
          <w:rFonts w:ascii="Arial" w:hAnsi="Arial" w:cs="Arial"/>
          <w:sz w:val="18"/>
        </w:rPr>
        <w:t>HB/CM/Pubs/2/3/21, Restoration of the Large and Small Board Rooms, 1991</w:t>
      </w:r>
    </w:p>
  </w:footnote>
  <w:footnote w:id="43">
    <w:p w:rsidR="00AE1FA0" w:rsidRDefault="00AE1FA0" w:rsidP="00AE1FA0">
      <w:pPr>
        <w:pStyle w:val="FootnoteText"/>
      </w:pPr>
      <w:r>
        <w:rPr>
          <w:rStyle w:val="FootnoteReference"/>
        </w:rPr>
        <w:footnoteRef/>
      </w:r>
      <w:r>
        <w:t>RHUL website, 2017</w:t>
      </w:r>
    </w:p>
  </w:footnote>
  <w:footnote w:id="44">
    <w:p w:rsidR="00AE1FA0" w:rsidRPr="00CC21CB" w:rsidRDefault="00AE1FA0" w:rsidP="00AE1FA0">
      <w:pPr>
        <w:pStyle w:val="FootnoteText"/>
        <w:rPr>
          <w:rFonts w:ascii="Arial" w:hAnsi="Arial" w:cs="Arial"/>
        </w:rPr>
      </w:pPr>
      <w:r w:rsidRPr="00CC21CB">
        <w:rPr>
          <w:rStyle w:val="FootnoteReference"/>
          <w:rFonts w:ascii="Arial" w:hAnsi="Arial" w:cs="Arial"/>
          <w:sz w:val="18"/>
        </w:rPr>
        <w:footnoteRef/>
      </w:r>
      <w:r w:rsidRPr="00CC21CB">
        <w:rPr>
          <w:rFonts w:ascii="Arial" w:hAnsi="Arial" w:cs="Arial"/>
          <w:sz w:val="18"/>
        </w:rPr>
        <w:t xml:space="preserve"> RHC RF/132/3, 1939-1941</w:t>
      </w:r>
    </w:p>
  </w:footnote>
  <w:footnote w:id="45">
    <w:p w:rsidR="00AE1FA0" w:rsidRDefault="00AE1FA0" w:rsidP="00AE1FA0">
      <w:pPr>
        <w:pStyle w:val="FootnoteText"/>
      </w:pPr>
      <w:r>
        <w:rPr>
          <w:rStyle w:val="FootnoteReference"/>
        </w:rPr>
        <w:footnoteRef/>
      </w:r>
      <w:r>
        <w:t>RHUL website, 2018</w:t>
      </w:r>
    </w:p>
  </w:footnote>
  <w:footnote w:id="46">
    <w:p w:rsidR="00AE1FA0" w:rsidRPr="00CC21CB" w:rsidRDefault="00AE1FA0" w:rsidP="00AE1FA0">
      <w:pPr>
        <w:pStyle w:val="FootnoteText"/>
        <w:rPr>
          <w:rFonts w:ascii="Arial" w:hAnsi="Arial" w:cs="Arial"/>
          <w:sz w:val="18"/>
          <w:szCs w:val="16"/>
        </w:rPr>
      </w:pPr>
      <w:r w:rsidRPr="00CC21CB">
        <w:rPr>
          <w:rStyle w:val="FootnoteReference"/>
          <w:rFonts w:ascii="Arial" w:hAnsi="Arial" w:cs="Arial"/>
          <w:sz w:val="18"/>
          <w:szCs w:val="16"/>
        </w:rPr>
        <w:footnoteRef/>
      </w:r>
      <w:r w:rsidRPr="00CC21CB">
        <w:rPr>
          <w:rFonts w:ascii="Arial" w:hAnsi="Arial" w:cs="Arial"/>
          <w:sz w:val="18"/>
          <w:szCs w:val="16"/>
        </w:rPr>
        <w:t>RHC RF/131/7, 1887-1901</w:t>
      </w:r>
    </w:p>
    <w:p w:rsidR="00AE1FA0" w:rsidRDefault="00AE1FA0" w:rsidP="00AE1FA0">
      <w:pPr>
        <w:pStyle w:val="FootnoteText"/>
      </w:pPr>
    </w:p>
  </w:footnote>
  <w:footnote w:id="47">
    <w:p w:rsidR="00AE1FA0" w:rsidRPr="00E5684D" w:rsidRDefault="00AE1FA0" w:rsidP="00AE1FA0">
      <w:pPr>
        <w:pStyle w:val="FootnoteText"/>
        <w:rPr>
          <w:rFonts w:ascii="Arial" w:hAnsi="Arial" w:cs="Arial"/>
          <w:sz w:val="16"/>
          <w:szCs w:val="16"/>
        </w:rPr>
      </w:pPr>
      <w:r w:rsidRPr="00CC21CB">
        <w:rPr>
          <w:rStyle w:val="FootnoteReference"/>
          <w:rFonts w:ascii="Arial" w:hAnsi="Arial" w:cs="Arial"/>
          <w:sz w:val="18"/>
          <w:szCs w:val="16"/>
        </w:rPr>
        <w:footnoteRef/>
      </w:r>
      <w:r w:rsidRPr="00CC21CB">
        <w:rPr>
          <w:rFonts w:ascii="Arial" w:hAnsi="Arial" w:cs="Arial"/>
          <w:sz w:val="18"/>
          <w:szCs w:val="16"/>
        </w:rPr>
        <w:t>RHC PH/285/6/3/23,</w:t>
      </w:r>
      <w:r>
        <w:rPr>
          <w:rFonts w:ascii="Arial" w:hAnsi="Arial" w:cs="Arial"/>
          <w:sz w:val="18"/>
          <w:szCs w:val="16"/>
        </w:rPr>
        <w:t xml:space="preserve"> </w:t>
      </w:r>
      <w:r w:rsidRPr="00CC21CB">
        <w:rPr>
          <w:rFonts w:ascii="Arial" w:hAnsi="Arial" w:cs="Arial"/>
          <w:sz w:val="18"/>
          <w:szCs w:val="16"/>
        </w:rPr>
        <w:t>pre</w:t>
      </w:r>
      <w:r>
        <w:rPr>
          <w:rFonts w:ascii="Arial" w:hAnsi="Arial" w:cs="Arial"/>
          <w:sz w:val="18"/>
          <w:szCs w:val="16"/>
        </w:rPr>
        <w:t>-</w:t>
      </w:r>
      <w:r w:rsidRPr="00CC21CB">
        <w:rPr>
          <w:rFonts w:ascii="Arial" w:hAnsi="Arial" w:cs="Arial"/>
          <w:sz w:val="18"/>
          <w:szCs w:val="16"/>
        </w:rPr>
        <w:t>1910</w:t>
      </w:r>
    </w:p>
  </w:footnote>
  <w:footnote w:id="48">
    <w:p w:rsidR="00AE1FA0" w:rsidRPr="00CC21CB" w:rsidRDefault="00AE1FA0" w:rsidP="00AE1FA0">
      <w:pPr>
        <w:pStyle w:val="FootnoteText"/>
        <w:rPr>
          <w:rFonts w:ascii="Arial" w:hAnsi="Arial" w:cs="Arial"/>
          <w:sz w:val="18"/>
          <w:szCs w:val="16"/>
        </w:rPr>
      </w:pPr>
      <w:r w:rsidRPr="00CC21CB">
        <w:rPr>
          <w:rStyle w:val="FootnoteReference"/>
          <w:rFonts w:ascii="Arial" w:hAnsi="Arial" w:cs="Arial"/>
          <w:sz w:val="18"/>
          <w:szCs w:val="16"/>
        </w:rPr>
        <w:footnoteRef/>
      </w:r>
      <w:r w:rsidRPr="00CC21CB">
        <w:rPr>
          <w:rFonts w:ascii="Arial" w:hAnsi="Arial" w:cs="Arial"/>
          <w:sz w:val="18"/>
          <w:szCs w:val="16"/>
        </w:rPr>
        <w:t>RHC RF/145/18 Principal’s study sketch, 1895</w:t>
      </w:r>
    </w:p>
  </w:footnote>
  <w:footnote w:id="49">
    <w:p w:rsidR="00AE1FA0" w:rsidRDefault="00AE1FA0" w:rsidP="00AE1FA0">
      <w:pPr>
        <w:pStyle w:val="FootnoteText"/>
      </w:pPr>
      <w:r w:rsidRPr="00CC21CB">
        <w:rPr>
          <w:rStyle w:val="FootnoteReference"/>
          <w:rFonts w:ascii="Arial" w:hAnsi="Arial" w:cs="Arial"/>
          <w:sz w:val="18"/>
          <w:szCs w:val="16"/>
        </w:rPr>
        <w:footnoteRef/>
      </w:r>
      <w:r w:rsidRPr="00CC21CB">
        <w:rPr>
          <w:rFonts w:ascii="Arial" w:hAnsi="Arial" w:cs="Arial"/>
          <w:sz w:val="18"/>
          <w:szCs w:val="16"/>
        </w:rPr>
        <w:t>RHC RF/132/22, 1939-1942</w:t>
      </w:r>
    </w:p>
  </w:footnote>
  <w:footnote w:id="50">
    <w:p w:rsidR="00AE1FA0" w:rsidRPr="00CC21CB" w:rsidRDefault="00AE1FA0" w:rsidP="00AE1FA0">
      <w:pPr>
        <w:pStyle w:val="FootnoteText"/>
        <w:rPr>
          <w:rFonts w:ascii="Arial" w:hAnsi="Arial" w:cs="Arial"/>
          <w:sz w:val="18"/>
          <w:szCs w:val="16"/>
        </w:rPr>
      </w:pPr>
      <w:r w:rsidRPr="00CC21CB">
        <w:rPr>
          <w:rStyle w:val="FootnoteReference"/>
          <w:rFonts w:ascii="Arial" w:hAnsi="Arial" w:cs="Arial"/>
          <w:sz w:val="18"/>
          <w:szCs w:val="16"/>
        </w:rPr>
        <w:footnoteRef/>
      </w:r>
      <w:r w:rsidRPr="00CC21CB">
        <w:rPr>
          <w:rFonts w:ascii="Arial" w:hAnsi="Arial" w:cs="Arial"/>
          <w:sz w:val="18"/>
          <w:szCs w:val="16"/>
        </w:rPr>
        <w:t>RHC RF/132/3, 1939-1941</w:t>
      </w:r>
    </w:p>
  </w:footnote>
  <w:footnote w:id="51">
    <w:p w:rsidR="00AE1FA0" w:rsidRDefault="00AE1FA0" w:rsidP="00AE1FA0">
      <w:pPr>
        <w:pStyle w:val="FootnoteText"/>
      </w:pPr>
      <w:r w:rsidRPr="00CC21CB">
        <w:rPr>
          <w:rStyle w:val="FootnoteReference"/>
          <w:rFonts w:ascii="Arial" w:hAnsi="Arial" w:cs="Arial"/>
          <w:sz w:val="18"/>
          <w:szCs w:val="16"/>
        </w:rPr>
        <w:footnoteRef/>
      </w:r>
      <w:r w:rsidRPr="00CC21CB">
        <w:rPr>
          <w:rFonts w:ascii="Arial" w:hAnsi="Arial" w:cs="Arial"/>
          <w:sz w:val="18"/>
          <w:szCs w:val="16"/>
        </w:rPr>
        <w:t>RHC RF/132/7, 1944-1948</w:t>
      </w:r>
    </w:p>
  </w:footnote>
  <w:footnote w:id="52">
    <w:p w:rsidR="00AE1FA0" w:rsidRDefault="00AE1FA0" w:rsidP="00AE1FA0">
      <w:pPr>
        <w:pStyle w:val="FootnoteText"/>
      </w:pPr>
      <w:r>
        <w:rPr>
          <w:rStyle w:val="FootnoteReference"/>
        </w:rPr>
        <w:footnoteRef/>
      </w:r>
      <w:r>
        <w:t xml:space="preserve"> </w:t>
      </w:r>
      <w:r w:rsidRPr="00D969FF">
        <w:t>RHC GB/130/4, 1876</w:t>
      </w:r>
    </w:p>
  </w:footnote>
  <w:footnote w:id="53">
    <w:p w:rsidR="00AE1FA0" w:rsidRPr="00D969FF" w:rsidRDefault="00AE1FA0" w:rsidP="00AE1FA0">
      <w:pPr>
        <w:pStyle w:val="FootnoteText"/>
      </w:pPr>
      <w:r>
        <w:rPr>
          <w:rStyle w:val="FootnoteReference"/>
        </w:rPr>
        <w:footnoteRef/>
      </w:r>
      <w:r>
        <w:t xml:space="preserve"> </w:t>
      </w:r>
      <w:r w:rsidRPr="00D969FF">
        <w:t>RHC RF/132/3, 1946-1962</w:t>
      </w:r>
    </w:p>
    <w:p w:rsidR="00AE1FA0" w:rsidRDefault="00AE1FA0" w:rsidP="00AE1FA0">
      <w:pPr>
        <w:pStyle w:val="FootnoteText"/>
      </w:pPr>
    </w:p>
  </w:footnote>
  <w:footnote w:id="54">
    <w:p w:rsidR="00AE1FA0" w:rsidRPr="00CC21CB" w:rsidRDefault="00AE1FA0" w:rsidP="00AE1FA0">
      <w:pPr>
        <w:pStyle w:val="FootnoteText"/>
        <w:rPr>
          <w:rFonts w:ascii="Arial" w:hAnsi="Arial" w:cs="Arial"/>
          <w:sz w:val="18"/>
          <w:szCs w:val="16"/>
        </w:rPr>
      </w:pPr>
      <w:r w:rsidRPr="00CC21CB">
        <w:rPr>
          <w:rStyle w:val="FootnoteReference"/>
          <w:rFonts w:ascii="Arial" w:hAnsi="Arial" w:cs="Arial"/>
          <w:sz w:val="18"/>
          <w:szCs w:val="16"/>
        </w:rPr>
        <w:footnoteRef/>
      </w:r>
      <w:r w:rsidRPr="00CC21CB">
        <w:rPr>
          <w:rFonts w:ascii="Arial" w:hAnsi="Arial" w:cs="Arial"/>
          <w:sz w:val="18"/>
          <w:szCs w:val="16"/>
        </w:rPr>
        <w:t>RHC PH/116, 1928</w:t>
      </w:r>
    </w:p>
  </w:footnote>
  <w:footnote w:id="55">
    <w:p w:rsidR="00AE1FA0" w:rsidRDefault="00AE1FA0" w:rsidP="00AE1FA0">
      <w:pPr>
        <w:pStyle w:val="FootnoteText"/>
      </w:pPr>
      <w:r w:rsidRPr="00CC21CB">
        <w:rPr>
          <w:rStyle w:val="FootnoteReference"/>
          <w:rFonts w:ascii="Arial" w:hAnsi="Arial" w:cs="Arial"/>
          <w:sz w:val="18"/>
          <w:szCs w:val="16"/>
        </w:rPr>
        <w:footnoteRef/>
      </w:r>
      <w:r w:rsidRPr="00CC21CB">
        <w:rPr>
          <w:rFonts w:ascii="Arial" w:hAnsi="Arial" w:cs="Arial"/>
          <w:sz w:val="18"/>
          <w:szCs w:val="16"/>
        </w:rPr>
        <w:t>RHC RF132/3, 1935-1938</w:t>
      </w:r>
    </w:p>
  </w:footnote>
  <w:footnote w:id="56">
    <w:p w:rsidR="00AE1FA0" w:rsidRPr="00CC21CB" w:rsidRDefault="00AE1FA0" w:rsidP="00AE1FA0">
      <w:pPr>
        <w:pStyle w:val="FootnoteText"/>
        <w:rPr>
          <w:rFonts w:ascii="Arial" w:hAnsi="Arial" w:cs="Arial"/>
          <w:sz w:val="18"/>
          <w:szCs w:val="16"/>
        </w:rPr>
      </w:pPr>
      <w:r w:rsidRPr="00CC21CB">
        <w:rPr>
          <w:rStyle w:val="FootnoteReference"/>
          <w:rFonts w:ascii="Arial" w:hAnsi="Arial" w:cs="Arial"/>
          <w:sz w:val="18"/>
          <w:szCs w:val="16"/>
        </w:rPr>
        <w:footnoteRef/>
      </w:r>
      <w:r w:rsidRPr="00CC21CB">
        <w:rPr>
          <w:rFonts w:ascii="Arial" w:hAnsi="Arial" w:cs="Arial"/>
          <w:sz w:val="18"/>
          <w:szCs w:val="16"/>
        </w:rPr>
        <w:t>RHC RF/132/4, 1927</w:t>
      </w:r>
    </w:p>
  </w:footnote>
  <w:footnote w:id="57">
    <w:p w:rsidR="00AE1FA0" w:rsidRDefault="00AE1FA0" w:rsidP="00AE1FA0">
      <w:pPr>
        <w:pStyle w:val="FootnoteText"/>
      </w:pPr>
      <w:r w:rsidRPr="00CC21CB">
        <w:rPr>
          <w:rStyle w:val="FootnoteReference"/>
          <w:rFonts w:ascii="Arial" w:hAnsi="Arial" w:cs="Arial"/>
          <w:sz w:val="18"/>
          <w:szCs w:val="16"/>
        </w:rPr>
        <w:footnoteRef/>
      </w:r>
      <w:r w:rsidRPr="00CC21CB">
        <w:rPr>
          <w:rFonts w:ascii="Arial" w:hAnsi="Arial" w:cs="Arial"/>
          <w:sz w:val="18"/>
          <w:szCs w:val="16"/>
        </w:rPr>
        <w:t>RHC AR/161/1, 1906</w:t>
      </w:r>
    </w:p>
  </w:footnote>
  <w:footnote w:id="58">
    <w:p w:rsidR="00AE1FA0" w:rsidRDefault="00AE1FA0" w:rsidP="00AE1FA0">
      <w:pPr>
        <w:pStyle w:val="FootnoteText"/>
      </w:pPr>
      <w:r w:rsidRPr="00CC21CB">
        <w:rPr>
          <w:rStyle w:val="FootnoteReference"/>
          <w:rFonts w:ascii="Arial" w:hAnsi="Arial" w:cs="Arial"/>
          <w:sz w:val="18"/>
          <w:szCs w:val="16"/>
        </w:rPr>
        <w:footnoteRef/>
      </w:r>
      <w:r w:rsidRPr="00CC21CB">
        <w:rPr>
          <w:rFonts w:ascii="Arial" w:hAnsi="Arial" w:cs="Arial"/>
          <w:sz w:val="18"/>
          <w:szCs w:val="16"/>
        </w:rPr>
        <w:t>RHC RF/132/3, 1908-1911</w:t>
      </w:r>
    </w:p>
  </w:footnote>
  <w:footnote w:id="59">
    <w:p w:rsidR="00AE1FA0" w:rsidRPr="00CC21CB" w:rsidRDefault="00AE1FA0" w:rsidP="00AE1FA0">
      <w:pPr>
        <w:pStyle w:val="FootnoteText"/>
        <w:rPr>
          <w:rFonts w:ascii="Arial" w:hAnsi="Arial" w:cs="Arial"/>
          <w:sz w:val="18"/>
          <w:szCs w:val="16"/>
        </w:rPr>
      </w:pPr>
      <w:r w:rsidRPr="00CC21CB">
        <w:rPr>
          <w:rStyle w:val="FootnoteReference"/>
          <w:rFonts w:ascii="Arial" w:hAnsi="Arial" w:cs="Arial"/>
          <w:sz w:val="18"/>
          <w:szCs w:val="16"/>
        </w:rPr>
        <w:footnoteRef/>
      </w:r>
      <w:r w:rsidRPr="00CC21CB">
        <w:rPr>
          <w:rFonts w:ascii="Arial" w:hAnsi="Arial" w:cs="Arial"/>
          <w:sz w:val="18"/>
          <w:szCs w:val="16"/>
        </w:rPr>
        <w:t>RHC RF/132/7, 1946-1949</w:t>
      </w:r>
    </w:p>
  </w:footnote>
  <w:footnote w:id="60">
    <w:p w:rsidR="00AE1FA0" w:rsidRPr="00CC21CB" w:rsidRDefault="00AE1FA0" w:rsidP="00AE1FA0">
      <w:pPr>
        <w:pStyle w:val="FootnoteText"/>
        <w:rPr>
          <w:rFonts w:ascii="Arial" w:hAnsi="Arial" w:cs="Arial"/>
          <w:sz w:val="18"/>
          <w:szCs w:val="16"/>
        </w:rPr>
      </w:pPr>
      <w:r w:rsidRPr="00CC21CB">
        <w:rPr>
          <w:rStyle w:val="FootnoteReference"/>
          <w:rFonts w:ascii="Arial" w:hAnsi="Arial" w:cs="Arial"/>
          <w:sz w:val="18"/>
          <w:szCs w:val="16"/>
        </w:rPr>
        <w:footnoteRef/>
      </w:r>
      <w:r w:rsidRPr="00CC21CB">
        <w:rPr>
          <w:rFonts w:ascii="Arial" w:hAnsi="Arial" w:cs="Arial"/>
          <w:sz w:val="18"/>
          <w:szCs w:val="16"/>
        </w:rPr>
        <w:t>RHC AR/161/1, 1906</w:t>
      </w:r>
    </w:p>
  </w:footnote>
  <w:footnote w:id="61">
    <w:p w:rsidR="00AE1FA0" w:rsidRDefault="00AE1FA0" w:rsidP="00AE1FA0">
      <w:pPr>
        <w:pStyle w:val="FootnoteText"/>
      </w:pPr>
      <w:r w:rsidRPr="00CC21CB">
        <w:rPr>
          <w:rStyle w:val="FootnoteReference"/>
          <w:rFonts w:ascii="Arial" w:hAnsi="Arial" w:cs="Arial"/>
          <w:sz w:val="18"/>
          <w:szCs w:val="16"/>
        </w:rPr>
        <w:footnoteRef/>
      </w:r>
      <w:r w:rsidRPr="00CC21CB">
        <w:rPr>
          <w:rFonts w:ascii="Arial" w:hAnsi="Arial" w:cs="Arial"/>
          <w:sz w:val="18"/>
          <w:szCs w:val="16"/>
        </w:rPr>
        <w:t>RHC RF/131/6, 1908-1914</w:t>
      </w:r>
    </w:p>
  </w:footnote>
  <w:footnote w:id="62">
    <w:p w:rsidR="00AE1FA0" w:rsidRPr="00CC21CB" w:rsidRDefault="00AE1FA0" w:rsidP="00AE1FA0">
      <w:pPr>
        <w:pStyle w:val="FootnoteText"/>
        <w:rPr>
          <w:rFonts w:ascii="Arial" w:hAnsi="Arial" w:cs="Arial"/>
        </w:rPr>
      </w:pPr>
      <w:r w:rsidRPr="00CC21CB">
        <w:rPr>
          <w:rStyle w:val="FootnoteReference"/>
          <w:rFonts w:ascii="Arial" w:hAnsi="Arial" w:cs="Arial"/>
          <w:sz w:val="18"/>
        </w:rPr>
        <w:footnoteRef/>
      </w:r>
      <w:r>
        <w:rPr>
          <w:rFonts w:ascii="Arial" w:hAnsi="Arial" w:cs="Arial"/>
          <w:sz w:val="18"/>
        </w:rPr>
        <w:t>RHC RF/132/4, 1947-1949</w:t>
      </w:r>
    </w:p>
  </w:footnote>
  <w:footnote w:id="63">
    <w:p w:rsidR="00AE1FA0" w:rsidRPr="00CC21CB" w:rsidRDefault="00AE1FA0" w:rsidP="00AE1FA0">
      <w:pPr>
        <w:pStyle w:val="FootnoteText"/>
        <w:rPr>
          <w:rFonts w:ascii="Arial" w:hAnsi="Arial" w:cs="Arial"/>
          <w:sz w:val="18"/>
          <w:szCs w:val="18"/>
        </w:rPr>
      </w:pPr>
      <w:r w:rsidRPr="00CC21CB">
        <w:rPr>
          <w:rStyle w:val="FootnoteReference"/>
          <w:rFonts w:ascii="Arial" w:hAnsi="Arial" w:cs="Arial"/>
          <w:sz w:val="18"/>
          <w:szCs w:val="18"/>
        </w:rPr>
        <w:footnoteRef/>
      </w:r>
      <w:r w:rsidRPr="00CC21CB">
        <w:rPr>
          <w:rFonts w:ascii="Arial" w:hAnsi="Arial" w:cs="Arial"/>
          <w:sz w:val="18"/>
          <w:szCs w:val="18"/>
        </w:rPr>
        <w:t>RHC RF/101/2, Pamphlet: Some small memories as to the origin of Holloway College for Women, 1886</w:t>
      </w:r>
    </w:p>
  </w:footnote>
  <w:footnote w:id="64">
    <w:p w:rsidR="00AE1FA0" w:rsidRPr="00CC21CB" w:rsidRDefault="00AE1FA0" w:rsidP="00AE1FA0">
      <w:pPr>
        <w:pStyle w:val="FootnoteText"/>
        <w:rPr>
          <w:rFonts w:ascii="Arial" w:hAnsi="Arial" w:cs="Arial"/>
          <w:sz w:val="18"/>
          <w:szCs w:val="16"/>
        </w:rPr>
      </w:pPr>
      <w:r w:rsidRPr="00CC21CB">
        <w:rPr>
          <w:rStyle w:val="FootnoteReference"/>
          <w:rFonts w:ascii="Arial" w:hAnsi="Arial" w:cs="Arial"/>
          <w:sz w:val="18"/>
          <w:szCs w:val="16"/>
        </w:rPr>
        <w:footnoteRef/>
      </w:r>
      <w:r w:rsidRPr="00CC21CB">
        <w:rPr>
          <w:rFonts w:ascii="Arial" w:hAnsi="Arial" w:cs="Arial"/>
          <w:sz w:val="18"/>
          <w:szCs w:val="16"/>
        </w:rPr>
        <w:t>RHC RF/132/3, 1961</w:t>
      </w:r>
    </w:p>
  </w:footnote>
  <w:footnote w:id="65">
    <w:p w:rsidR="00AE1FA0" w:rsidRDefault="00AE1FA0" w:rsidP="00AE1FA0">
      <w:pPr>
        <w:pStyle w:val="FootnoteText"/>
      </w:pPr>
      <w:r w:rsidRPr="00CC21CB">
        <w:rPr>
          <w:rStyle w:val="FootnoteReference"/>
          <w:rFonts w:ascii="Arial" w:hAnsi="Arial" w:cs="Arial"/>
          <w:sz w:val="18"/>
          <w:szCs w:val="16"/>
        </w:rPr>
        <w:footnoteRef/>
      </w:r>
      <w:r w:rsidRPr="00CC21CB">
        <w:rPr>
          <w:rFonts w:ascii="Arial" w:hAnsi="Arial" w:cs="Arial"/>
          <w:sz w:val="18"/>
          <w:szCs w:val="16"/>
        </w:rPr>
        <w:t>RHC RF/132/6, 1953</w:t>
      </w:r>
    </w:p>
  </w:footnote>
  <w:footnote w:id="66">
    <w:p w:rsidR="00AE1FA0" w:rsidRDefault="00AE1FA0" w:rsidP="00AE1FA0">
      <w:pPr>
        <w:pStyle w:val="FootnoteText"/>
      </w:pPr>
      <w:r>
        <w:rPr>
          <w:rStyle w:val="FootnoteReference"/>
        </w:rPr>
        <w:footnoteRef/>
      </w:r>
      <w:r>
        <w:t>Author’s image, 2018</w:t>
      </w:r>
    </w:p>
  </w:footnote>
  <w:footnote w:id="67">
    <w:p w:rsidR="00AE1FA0" w:rsidRDefault="00AE1FA0" w:rsidP="00AE1FA0">
      <w:pPr>
        <w:pStyle w:val="FootnoteText"/>
      </w:pPr>
      <w:r>
        <w:rPr>
          <w:rStyle w:val="FootnoteReference"/>
        </w:rPr>
        <w:footnoteRef/>
      </w:r>
      <w:r>
        <w:t>Author’s image,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630237"/>
      <w:docPartObj>
        <w:docPartGallery w:val="Page Numbers (Top of Page)"/>
        <w:docPartUnique/>
      </w:docPartObj>
    </w:sdtPr>
    <w:sdtEndPr>
      <w:rPr>
        <w:color w:val="7F7F7F" w:themeColor="background1" w:themeShade="7F"/>
        <w:spacing w:val="60"/>
      </w:rPr>
    </w:sdtEndPr>
    <w:sdtContent>
      <w:p w:rsidR="00E504CF" w:rsidRDefault="00AE1FA0">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Pr="00E97F6B">
          <w:rPr>
            <w:b/>
            <w:bCs/>
            <w:noProof/>
          </w:rPr>
          <w:t>197</w:t>
        </w:r>
        <w:r>
          <w:rPr>
            <w:b/>
            <w:bCs/>
            <w:noProof/>
          </w:rPr>
          <w:fldChar w:fldCharType="end"/>
        </w:r>
        <w:r>
          <w:rPr>
            <w:b/>
            <w:bCs/>
          </w:rPr>
          <w:t xml:space="preserve"> | </w:t>
        </w:r>
        <w:r>
          <w:rPr>
            <w:color w:val="7F7F7F" w:themeColor="background1" w:themeShade="7F"/>
            <w:spacing w:val="60"/>
          </w:rPr>
          <w:t>Page</w:t>
        </w:r>
      </w:p>
    </w:sdtContent>
  </w:sdt>
  <w:p w:rsidR="00E504CF" w:rsidRDefault="00AE1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6D59"/>
    <w:multiLevelType w:val="multilevel"/>
    <w:tmpl w:val="7B2E2240"/>
    <w:lvl w:ilvl="0">
      <w:start w:val="1"/>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 w15:restartNumberingAfterBreak="0">
    <w:nsid w:val="033F2E8F"/>
    <w:multiLevelType w:val="multilevel"/>
    <w:tmpl w:val="A104A20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D940D5"/>
    <w:multiLevelType w:val="multilevel"/>
    <w:tmpl w:val="7D7A4DB6"/>
    <w:lvl w:ilvl="0">
      <w:start w:val="1"/>
      <w:numFmt w:val="decimal"/>
      <w:lvlText w:val="%1."/>
      <w:lvlJc w:val="left"/>
      <w:pPr>
        <w:ind w:left="450" w:hanging="450"/>
      </w:pPr>
      <w:rPr>
        <w:rFonts w:hint="default"/>
      </w:rPr>
    </w:lvl>
    <w:lvl w:ilvl="1">
      <w:start w:val="1"/>
      <w:numFmt w:val="decimal"/>
      <w:lvlText w:val="%2."/>
      <w:lvlJc w:val="left"/>
      <w:pPr>
        <w:ind w:left="720" w:hanging="720"/>
      </w:pPr>
      <w:rPr>
        <w:rFonts w:ascii="Times New Roman" w:eastAsia="宋体"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CB23A2"/>
    <w:multiLevelType w:val="hybridMultilevel"/>
    <w:tmpl w:val="711A8DF8"/>
    <w:lvl w:ilvl="0" w:tplc="0EE84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486B97"/>
    <w:multiLevelType w:val="multilevel"/>
    <w:tmpl w:val="90D028B8"/>
    <w:lvl w:ilvl="0">
      <w:start w:val="2"/>
      <w:numFmt w:val="decimal"/>
      <w:lvlText w:val="%1"/>
      <w:lvlJc w:val="left"/>
      <w:pPr>
        <w:ind w:left="480" w:hanging="480"/>
      </w:pPr>
      <w:rPr>
        <w:rFonts w:eastAsiaTheme="minorEastAsia" w:hint="default"/>
      </w:rPr>
    </w:lvl>
    <w:lvl w:ilvl="1">
      <w:start w:val="1"/>
      <w:numFmt w:val="decimal"/>
      <w:lvlText w:val="%1.%2"/>
      <w:lvlJc w:val="left"/>
      <w:pPr>
        <w:ind w:left="667" w:hanging="480"/>
      </w:pPr>
      <w:rPr>
        <w:rFonts w:eastAsiaTheme="minorEastAsia" w:hint="default"/>
      </w:rPr>
    </w:lvl>
    <w:lvl w:ilvl="2">
      <w:start w:val="1"/>
      <w:numFmt w:val="decimal"/>
      <w:lvlText w:val="%1.%2.%3"/>
      <w:lvlJc w:val="left"/>
      <w:pPr>
        <w:ind w:left="1094" w:hanging="720"/>
      </w:pPr>
      <w:rPr>
        <w:rFonts w:eastAsiaTheme="minorEastAsia" w:hint="default"/>
      </w:rPr>
    </w:lvl>
    <w:lvl w:ilvl="3">
      <w:start w:val="1"/>
      <w:numFmt w:val="decimal"/>
      <w:lvlText w:val="%1.%2.%3.%4"/>
      <w:lvlJc w:val="left"/>
      <w:pPr>
        <w:ind w:left="1281" w:hanging="720"/>
      </w:pPr>
      <w:rPr>
        <w:rFonts w:eastAsiaTheme="minorEastAsia" w:hint="default"/>
      </w:rPr>
    </w:lvl>
    <w:lvl w:ilvl="4">
      <w:start w:val="1"/>
      <w:numFmt w:val="decimal"/>
      <w:lvlText w:val="%1.%2.%3.%4.%5"/>
      <w:lvlJc w:val="left"/>
      <w:pPr>
        <w:ind w:left="1828" w:hanging="1080"/>
      </w:pPr>
      <w:rPr>
        <w:rFonts w:eastAsiaTheme="minorEastAsia" w:hint="default"/>
      </w:rPr>
    </w:lvl>
    <w:lvl w:ilvl="5">
      <w:start w:val="1"/>
      <w:numFmt w:val="decimal"/>
      <w:lvlText w:val="%1.%2.%3.%4.%5.%6"/>
      <w:lvlJc w:val="left"/>
      <w:pPr>
        <w:ind w:left="2015" w:hanging="1080"/>
      </w:pPr>
      <w:rPr>
        <w:rFonts w:eastAsiaTheme="minorEastAsia" w:hint="default"/>
      </w:rPr>
    </w:lvl>
    <w:lvl w:ilvl="6">
      <w:start w:val="1"/>
      <w:numFmt w:val="decimal"/>
      <w:lvlText w:val="%1.%2.%3.%4.%5.%6.%7"/>
      <w:lvlJc w:val="left"/>
      <w:pPr>
        <w:ind w:left="2562" w:hanging="1440"/>
      </w:pPr>
      <w:rPr>
        <w:rFonts w:eastAsiaTheme="minorEastAsia" w:hint="default"/>
      </w:rPr>
    </w:lvl>
    <w:lvl w:ilvl="7">
      <w:start w:val="1"/>
      <w:numFmt w:val="decimal"/>
      <w:lvlText w:val="%1.%2.%3.%4.%5.%6.%7.%8"/>
      <w:lvlJc w:val="left"/>
      <w:pPr>
        <w:ind w:left="2749" w:hanging="1440"/>
      </w:pPr>
      <w:rPr>
        <w:rFonts w:eastAsiaTheme="minorEastAsia" w:hint="default"/>
      </w:rPr>
    </w:lvl>
    <w:lvl w:ilvl="8">
      <w:start w:val="1"/>
      <w:numFmt w:val="decimal"/>
      <w:lvlText w:val="%1.%2.%3.%4.%5.%6.%7.%8.%9"/>
      <w:lvlJc w:val="left"/>
      <w:pPr>
        <w:ind w:left="3296" w:hanging="1800"/>
      </w:pPr>
      <w:rPr>
        <w:rFonts w:eastAsiaTheme="minorEastAsia" w:hint="default"/>
      </w:rPr>
    </w:lvl>
  </w:abstractNum>
  <w:abstractNum w:abstractNumId="5" w15:restartNumberingAfterBreak="0">
    <w:nsid w:val="12A2019D"/>
    <w:multiLevelType w:val="multilevel"/>
    <w:tmpl w:val="036C9C0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F54CE4"/>
    <w:multiLevelType w:val="multilevel"/>
    <w:tmpl w:val="24D0B4FA"/>
    <w:lvl w:ilvl="0">
      <w:start w:val="2"/>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7" w15:restartNumberingAfterBreak="0">
    <w:nsid w:val="179F7302"/>
    <w:multiLevelType w:val="hybridMultilevel"/>
    <w:tmpl w:val="C0BA1B8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7054A6"/>
    <w:multiLevelType w:val="hybridMultilevel"/>
    <w:tmpl w:val="71E61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540C04"/>
    <w:multiLevelType w:val="multilevel"/>
    <w:tmpl w:val="184EAFE8"/>
    <w:lvl w:ilvl="0">
      <w:start w:val="3"/>
      <w:numFmt w:val="decimal"/>
      <w:lvlText w:val="%1."/>
      <w:lvlJc w:val="left"/>
      <w:pPr>
        <w:ind w:left="540" w:hanging="540"/>
      </w:pPr>
      <w:rPr>
        <w:rFonts w:eastAsiaTheme="minorEastAsia" w:hint="default"/>
      </w:rPr>
    </w:lvl>
    <w:lvl w:ilvl="1">
      <w:start w:val="1"/>
      <w:numFmt w:val="decimal"/>
      <w:lvlText w:val="%1.%2."/>
      <w:lvlJc w:val="left"/>
      <w:pPr>
        <w:ind w:left="727" w:hanging="540"/>
      </w:pPr>
      <w:rPr>
        <w:rFonts w:eastAsiaTheme="minorEastAsia" w:hint="default"/>
      </w:rPr>
    </w:lvl>
    <w:lvl w:ilvl="2">
      <w:start w:val="2"/>
      <w:numFmt w:val="decimal"/>
      <w:lvlText w:val="%1.%2.%3."/>
      <w:lvlJc w:val="left"/>
      <w:pPr>
        <w:ind w:left="1094" w:hanging="720"/>
      </w:pPr>
      <w:rPr>
        <w:rFonts w:eastAsiaTheme="minorEastAsia" w:hint="default"/>
      </w:rPr>
    </w:lvl>
    <w:lvl w:ilvl="3">
      <w:start w:val="1"/>
      <w:numFmt w:val="decimal"/>
      <w:lvlText w:val="%1.%2.%3.%4."/>
      <w:lvlJc w:val="left"/>
      <w:pPr>
        <w:ind w:left="1281" w:hanging="720"/>
      </w:pPr>
      <w:rPr>
        <w:rFonts w:eastAsiaTheme="minorEastAsia" w:hint="default"/>
      </w:rPr>
    </w:lvl>
    <w:lvl w:ilvl="4">
      <w:start w:val="1"/>
      <w:numFmt w:val="decimal"/>
      <w:lvlText w:val="%1.%2.%3.%4.%5."/>
      <w:lvlJc w:val="left"/>
      <w:pPr>
        <w:ind w:left="1828" w:hanging="1080"/>
      </w:pPr>
      <w:rPr>
        <w:rFonts w:eastAsiaTheme="minorEastAsia" w:hint="default"/>
      </w:rPr>
    </w:lvl>
    <w:lvl w:ilvl="5">
      <w:start w:val="1"/>
      <w:numFmt w:val="decimal"/>
      <w:lvlText w:val="%1.%2.%3.%4.%5.%6."/>
      <w:lvlJc w:val="left"/>
      <w:pPr>
        <w:ind w:left="2015" w:hanging="1080"/>
      </w:pPr>
      <w:rPr>
        <w:rFonts w:eastAsiaTheme="minorEastAsia" w:hint="default"/>
      </w:rPr>
    </w:lvl>
    <w:lvl w:ilvl="6">
      <w:start w:val="1"/>
      <w:numFmt w:val="decimal"/>
      <w:lvlText w:val="%1.%2.%3.%4.%5.%6.%7."/>
      <w:lvlJc w:val="left"/>
      <w:pPr>
        <w:ind w:left="2562" w:hanging="1440"/>
      </w:pPr>
      <w:rPr>
        <w:rFonts w:eastAsiaTheme="minorEastAsia" w:hint="default"/>
      </w:rPr>
    </w:lvl>
    <w:lvl w:ilvl="7">
      <w:start w:val="1"/>
      <w:numFmt w:val="decimal"/>
      <w:lvlText w:val="%1.%2.%3.%4.%5.%6.%7.%8."/>
      <w:lvlJc w:val="left"/>
      <w:pPr>
        <w:ind w:left="2749" w:hanging="1440"/>
      </w:pPr>
      <w:rPr>
        <w:rFonts w:eastAsiaTheme="minorEastAsia" w:hint="default"/>
      </w:rPr>
    </w:lvl>
    <w:lvl w:ilvl="8">
      <w:start w:val="1"/>
      <w:numFmt w:val="decimal"/>
      <w:lvlText w:val="%1.%2.%3.%4.%5.%6.%7.%8.%9."/>
      <w:lvlJc w:val="left"/>
      <w:pPr>
        <w:ind w:left="3296" w:hanging="1800"/>
      </w:pPr>
      <w:rPr>
        <w:rFonts w:eastAsiaTheme="minorEastAsia" w:hint="default"/>
      </w:rPr>
    </w:lvl>
  </w:abstractNum>
  <w:abstractNum w:abstractNumId="10" w15:restartNumberingAfterBreak="0">
    <w:nsid w:val="2EA76F38"/>
    <w:multiLevelType w:val="hybridMultilevel"/>
    <w:tmpl w:val="84368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BB336A"/>
    <w:multiLevelType w:val="hybridMultilevel"/>
    <w:tmpl w:val="91A05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F66DC4"/>
    <w:multiLevelType w:val="multilevel"/>
    <w:tmpl w:val="6A5A834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0B0074"/>
    <w:multiLevelType w:val="multilevel"/>
    <w:tmpl w:val="184EAFE8"/>
    <w:lvl w:ilvl="0">
      <w:start w:val="3"/>
      <w:numFmt w:val="decimal"/>
      <w:lvlText w:val="%1."/>
      <w:lvlJc w:val="left"/>
      <w:pPr>
        <w:ind w:left="540" w:hanging="540"/>
      </w:pPr>
      <w:rPr>
        <w:rFonts w:eastAsiaTheme="minorEastAsia" w:hint="default"/>
      </w:rPr>
    </w:lvl>
    <w:lvl w:ilvl="1">
      <w:start w:val="1"/>
      <w:numFmt w:val="decimal"/>
      <w:lvlText w:val="%1.%2."/>
      <w:lvlJc w:val="left"/>
      <w:pPr>
        <w:ind w:left="727" w:hanging="540"/>
      </w:pPr>
      <w:rPr>
        <w:rFonts w:eastAsiaTheme="minorEastAsia" w:hint="default"/>
      </w:rPr>
    </w:lvl>
    <w:lvl w:ilvl="2">
      <w:start w:val="2"/>
      <w:numFmt w:val="decimal"/>
      <w:lvlText w:val="%1.%2.%3."/>
      <w:lvlJc w:val="left"/>
      <w:pPr>
        <w:ind w:left="1094" w:hanging="720"/>
      </w:pPr>
      <w:rPr>
        <w:rFonts w:eastAsiaTheme="minorEastAsia" w:hint="default"/>
      </w:rPr>
    </w:lvl>
    <w:lvl w:ilvl="3">
      <w:start w:val="1"/>
      <w:numFmt w:val="decimal"/>
      <w:lvlText w:val="%1.%2.%3.%4."/>
      <w:lvlJc w:val="left"/>
      <w:pPr>
        <w:ind w:left="1281" w:hanging="720"/>
      </w:pPr>
      <w:rPr>
        <w:rFonts w:eastAsiaTheme="minorEastAsia" w:hint="default"/>
      </w:rPr>
    </w:lvl>
    <w:lvl w:ilvl="4">
      <w:start w:val="1"/>
      <w:numFmt w:val="decimal"/>
      <w:lvlText w:val="%1.%2.%3.%4.%5."/>
      <w:lvlJc w:val="left"/>
      <w:pPr>
        <w:ind w:left="1828" w:hanging="1080"/>
      </w:pPr>
      <w:rPr>
        <w:rFonts w:eastAsiaTheme="minorEastAsia" w:hint="default"/>
      </w:rPr>
    </w:lvl>
    <w:lvl w:ilvl="5">
      <w:start w:val="1"/>
      <w:numFmt w:val="decimal"/>
      <w:lvlText w:val="%1.%2.%3.%4.%5.%6."/>
      <w:lvlJc w:val="left"/>
      <w:pPr>
        <w:ind w:left="2015" w:hanging="1080"/>
      </w:pPr>
      <w:rPr>
        <w:rFonts w:eastAsiaTheme="minorEastAsia" w:hint="default"/>
      </w:rPr>
    </w:lvl>
    <w:lvl w:ilvl="6">
      <w:start w:val="1"/>
      <w:numFmt w:val="decimal"/>
      <w:lvlText w:val="%1.%2.%3.%4.%5.%6.%7."/>
      <w:lvlJc w:val="left"/>
      <w:pPr>
        <w:ind w:left="2562" w:hanging="1440"/>
      </w:pPr>
      <w:rPr>
        <w:rFonts w:eastAsiaTheme="minorEastAsia" w:hint="default"/>
      </w:rPr>
    </w:lvl>
    <w:lvl w:ilvl="7">
      <w:start w:val="1"/>
      <w:numFmt w:val="decimal"/>
      <w:lvlText w:val="%1.%2.%3.%4.%5.%6.%7.%8."/>
      <w:lvlJc w:val="left"/>
      <w:pPr>
        <w:ind w:left="2749" w:hanging="1440"/>
      </w:pPr>
      <w:rPr>
        <w:rFonts w:eastAsiaTheme="minorEastAsia" w:hint="default"/>
      </w:rPr>
    </w:lvl>
    <w:lvl w:ilvl="8">
      <w:start w:val="1"/>
      <w:numFmt w:val="decimal"/>
      <w:lvlText w:val="%1.%2.%3.%4.%5.%6.%7.%8.%9."/>
      <w:lvlJc w:val="left"/>
      <w:pPr>
        <w:ind w:left="3296" w:hanging="1800"/>
      </w:pPr>
      <w:rPr>
        <w:rFonts w:eastAsiaTheme="minorEastAsia" w:hint="default"/>
      </w:rPr>
    </w:lvl>
  </w:abstractNum>
  <w:abstractNum w:abstractNumId="14" w15:restartNumberingAfterBreak="0">
    <w:nsid w:val="388F7F81"/>
    <w:multiLevelType w:val="hybridMultilevel"/>
    <w:tmpl w:val="99D863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B107FC"/>
    <w:multiLevelType w:val="hybridMultilevel"/>
    <w:tmpl w:val="26D06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855618"/>
    <w:multiLevelType w:val="multilevel"/>
    <w:tmpl w:val="7986871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720" w:hanging="72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440" w:hanging="144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800" w:hanging="1800"/>
      </w:pPr>
      <w:rPr>
        <w:rFonts w:eastAsiaTheme="minorEastAsia" w:hint="default"/>
      </w:rPr>
    </w:lvl>
  </w:abstractNum>
  <w:abstractNum w:abstractNumId="17" w15:restartNumberingAfterBreak="0">
    <w:nsid w:val="441C26B9"/>
    <w:multiLevelType w:val="multilevel"/>
    <w:tmpl w:val="64B289EA"/>
    <w:lvl w:ilvl="0">
      <w:start w:val="2"/>
      <w:numFmt w:val="decimal"/>
      <w:lvlText w:val="%1."/>
      <w:lvlJc w:val="left"/>
      <w:pPr>
        <w:ind w:left="450" w:hanging="450"/>
      </w:pPr>
      <w:rPr>
        <w:rFonts w:hint="default"/>
        <w:color w:val="auto"/>
      </w:rPr>
    </w:lvl>
    <w:lvl w:ilvl="1">
      <w:start w:val="2"/>
      <w:numFmt w:val="decimal"/>
      <w:lvlText w:val="%1.%2."/>
      <w:lvlJc w:val="left"/>
      <w:pPr>
        <w:ind w:left="855" w:hanging="720"/>
      </w:pPr>
      <w:rPr>
        <w:rFonts w:hint="default"/>
        <w:color w:val="auto"/>
      </w:rPr>
    </w:lvl>
    <w:lvl w:ilvl="2">
      <w:start w:val="1"/>
      <w:numFmt w:val="decimal"/>
      <w:lvlText w:val="%1.%2.%3."/>
      <w:lvlJc w:val="left"/>
      <w:pPr>
        <w:ind w:left="990" w:hanging="720"/>
      </w:pPr>
      <w:rPr>
        <w:rFonts w:hint="default"/>
        <w:color w:val="auto"/>
      </w:rPr>
    </w:lvl>
    <w:lvl w:ilvl="3">
      <w:start w:val="1"/>
      <w:numFmt w:val="decimal"/>
      <w:lvlText w:val="%1.%2.%3.%4."/>
      <w:lvlJc w:val="left"/>
      <w:pPr>
        <w:ind w:left="1485" w:hanging="1080"/>
      </w:pPr>
      <w:rPr>
        <w:rFonts w:hint="default"/>
        <w:color w:val="auto"/>
      </w:rPr>
    </w:lvl>
    <w:lvl w:ilvl="4">
      <w:start w:val="1"/>
      <w:numFmt w:val="decimal"/>
      <w:lvlText w:val="%1.%2.%3.%4.%5."/>
      <w:lvlJc w:val="left"/>
      <w:pPr>
        <w:ind w:left="1620" w:hanging="1080"/>
      </w:pPr>
      <w:rPr>
        <w:rFonts w:hint="default"/>
        <w:color w:val="auto"/>
      </w:rPr>
    </w:lvl>
    <w:lvl w:ilvl="5">
      <w:start w:val="1"/>
      <w:numFmt w:val="decimal"/>
      <w:lvlText w:val="%1.%2.%3.%4.%5.%6."/>
      <w:lvlJc w:val="left"/>
      <w:pPr>
        <w:ind w:left="2115" w:hanging="1440"/>
      </w:pPr>
      <w:rPr>
        <w:rFonts w:hint="default"/>
        <w:color w:val="auto"/>
      </w:rPr>
    </w:lvl>
    <w:lvl w:ilvl="6">
      <w:start w:val="1"/>
      <w:numFmt w:val="decimal"/>
      <w:lvlText w:val="%1.%2.%3.%4.%5.%6.%7."/>
      <w:lvlJc w:val="left"/>
      <w:pPr>
        <w:ind w:left="2610" w:hanging="1800"/>
      </w:pPr>
      <w:rPr>
        <w:rFonts w:hint="default"/>
        <w:color w:val="auto"/>
      </w:rPr>
    </w:lvl>
    <w:lvl w:ilvl="7">
      <w:start w:val="1"/>
      <w:numFmt w:val="decimal"/>
      <w:lvlText w:val="%1.%2.%3.%4.%5.%6.%7.%8."/>
      <w:lvlJc w:val="left"/>
      <w:pPr>
        <w:ind w:left="2745" w:hanging="1800"/>
      </w:pPr>
      <w:rPr>
        <w:rFonts w:hint="default"/>
        <w:color w:val="auto"/>
      </w:rPr>
    </w:lvl>
    <w:lvl w:ilvl="8">
      <w:start w:val="1"/>
      <w:numFmt w:val="decimal"/>
      <w:lvlText w:val="%1.%2.%3.%4.%5.%6.%7.%8.%9."/>
      <w:lvlJc w:val="left"/>
      <w:pPr>
        <w:ind w:left="3240" w:hanging="2160"/>
      </w:pPr>
      <w:rPr>
        <w:rFonts w:hint="default"/>
        <w:color w:val="auto"/>
      </w:rPr>
    </w:lvl>
  </w:abstractNum>
  <w:abstractNum w:abstractNumId="18" w15:restartNumberingAfterBreak="0">
    <w:nsid w:val="45300FB2"/>
    <w:multiLevelType w:val="multilevel"/>
    <w:tmpl w:val="74CAD834"/>
    <w:lvl w:ilvl="0">
      <w:start w:val="1"/>
      <w:numFmt w:val="decimal"/>
      <w:lvlText w:val="%1."/>
      <w:lvlJc w:val="left"/>
      <w:pPr>
        <w:ind w:left="720" w:hanging="360"/>
      </w:pPr>
      <w:rPr>
        <w:rFonts w:hint="default"/>
      </w:rPr>
    </w:lvl>
    <w:lvl w:ilvl="1">
      <w:start w:val="5"/>
      <w:numFmt w:val="decimal"/>
      <w:isLgl/>
      <w:lvlText w:val="%1.%2."/>
      <w:lvlJc w:val="left"/>
      <w:pPr>
        <w:ind w:left="1155" w:hanging="795"/>
      </w:pPr>
      <w:rPr>
        <w:rFonts w:hint="default"/>
        <w:color w:val="auto"/>
      </w:rPr>
    </w:lvl>
    <w:lvl w:ilvl="2">
      <w:start w:val="4"/>
      <w:numFmt w:val="decimal"/>
      <w:isLgl/>
      <w:lvlText w:val="%1.%2.%3."/>
      <w:lvlJc w:val="left"/>
      <w:pPr>
        <w:ind w:left="1155" w:hanging="795"/>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9" w15:restartNumberingAfterBreak="0">
    <w:nsid w:val="45BF75C6"/>
    <w:multiLevelType w:val="hybridMultilevel"/>
    <w:tmpl w:val="BB3C7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590C3F"/>
    <w:multiLevelType w:val="hybridMultilevel"/>
    <w:tmpl w:val="F3C0D7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4A2045"/>
    <w:multiLevelType w:val="multilevel"/>
    <w:tmpl w:val="5C9C37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AEC1696"/>
    <w:multiLevelType w:val="hybridMultilevel"/>
    <w:tmpl w:val="60029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66570A"/>
    <w:multiLevelType w:val="multilevel"/>
    <w:tmpl w:val="B39E39B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702966"/>
    <w:multiLevelType w:val="multilevel"/>
    <w:tmpl w:val="BC9C5B5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E07345"/>
    <w:multiLevelType w:val="hybridMultilevel"/>
    <w:tmpl w:val="F438A7E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50276CA"/>
    <w:multiLevelType w:val="hybridMultilevel"/>
    <w:tmpl w:val="0AD25D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DD5802"/>
    <w:multiLevelType w:val="hybridMultilevel"/>
    <w:tmpl w:val="C7E069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822532B"/>
    <w:multiLevelType w:val="hybridMultilevel"/>
    <w:tmpl w:val="37948BA8"/>
    <w:lvl w:ilvl="0" w:tplc="A6268D46">
      <w:start w:val="1"/>
      <w:numFmt w:val="decimal"/>
      <w:lvlText w:val="%1."/>
      <w:lvlJc w:val="left"/>
      <w:pPr>
        <w:ind w:left="360" w:hanging="360"/>
      </w:pPr>
      <w:rPr>
        <w:rFonts w:eastAsiaTheme="minorEastAsia"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A0A6BAC"/>
    <w:multiLevelType w:val="multilevel"/>
    <w:tmpl w:val="CAAEEF4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DFC507D"/>
    <w:multiLevelType w:val="multilevel"/>
    <w:tmpl w:val="085878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4D349DF"/>
    <w:multiLevelType w:val="hybridMultilevel"/>
    <w:tmpl w:val="8BB0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45CFE"/>
    <w:multiLevelType w:val="multilevel"/>
    <w:tmpl w:val="184EAFE8"/>
    <w:lvl w:ilvl="0">
      <w:start w:val="3"/>
      <w:numFmt w:val="decimal"/>
      <w:lvlText w:val="%1."/>
      <w:lvlJc w:val="left"/>
      <w:pPr>
        <w:ind w:left="540" w:hanging="540"/>
      </w:pPr>
      <w:rPr>
        <w:rFonts w:eastAsiaTheme="minorEastAsia" w:hint="default"/>
      </w:rPr>
    </w:lvl>
    <w:lvl w:ilvl="1">
      <w:start w:val="1"/>
      <w:numFmt w:val="decimal"/>
      <w:lvlText w:val="%1.%2."/>
      <w:lvlJc w:val="left"/>
      <w:pPr>
        <w:ind w:left="727" w:hanging="540"/>
      </w:pPr>
      <w:rPr>
        <w:rFonts w:eastAsiaTheme="minorEastAsia" w:hint="default"/>
      </w:rPr>
    </w:lvl>
    <w:lvl w:ilvl="2">
      <w:start w:val="2"/>
      <w:numFmt w:val="decimal"/>
      <w:lvlText w:val="%1.%2.%3."/>
      <w:lvlJc w:val="left"/>
      <w:pPr>
        <w:ind w:left="1094" w:hanging="720"/>
      </w:pPr>
      <w:rPr>
        <w:rFonts w:eastAsiaTheme="minorEastAsia" w:hint="default"/>
      </w:rPr>
    </w:lvl>
    <w:lvl w:ilvl="3">
      <w:start w:val="1"/>
      <w:numFmt w:val="decimal"/>
      <w:lvlText w:val="%1.%2.%3.%4."/>
      <w:lvlJc w:val="left"/>
      <w:pPr>
        <w:ind w:left="1281" w:hanging="720"/>
      </w:pPr>
      <w:rPr>
        <w:rFonts w:eastAsiaTheme="minorEastAsia" w:hint="default"/>
      </w:rPr>
    </w:lvl>
    <w:lvl w:ilvl="4">
      <w:start w:val="1"/>
      <w:numFmt w:val="decimal"/>
      <w:lvlText w:val="%1.%2.%3.%4.%5."/>
      <w:lvlJc w:val="left"/>
      <w:pPr>
        <w:ind w:left="1828" w:hanging="1080"/>
      </w:pPr>
      <w:rPr>
        <w:rFonts w:eastAsiaTheme="minorEastAsia" w:hint="default"/>
      </w:rPr>
    </w:lvl>
    <w:lvl w:ilvl="5">
      <w:start w:val="1"/>
      <w:numFmt w:val="decimal"/>
      <w:lvlText w:val="%1.%2.%3.%4.%5.%6."/>
      <w:lvlJc w:val="left"/>
      <w:pPr>
        <w:ind w:left="2015" w:hanging="1080"/>
      </w:pPr>
      <w:rPr>
        <w:rFonts w:eastAsiaTheme="minorEastAsia" w:hint="default"/>
      </w:rPr>
    </w:lvl>
    <w:lvl w:ilvl="6">
      <w:start w:val="1"/>
      <w:numFmt w:val="decimal"/>
      <w:lvlText w:val="%1.%2.%3.%4.%5.%6.%7."/>
      <w:lvlJc w:val="left"/>
      <w:pPr>
        <w:ind w:left="2562" w:hanging="1440"/>
      </w:pPr>
      <w:rPr>
        <w:rFonts w:eastAsiaTheme="minorEastAsia" w:hint="default"/>
      </w:rPr>
    </w:lvl>
    <w:lvl w:ilvl="7">
      <w:start w:val="1"/>
      <w:numFmt w:val="decimal"/>
      <w:lvlText w:val="%1.%2.%3.%4.%5.%6.%7.%8."/>
      <w:lvlJc w:val="left"/>
      <w:pPr>
        <w:ind w:left="2749" w:hanging="1440"/>
      </w:pPr>
      <w:rPr>
        <w:rFonts w:eastAsiaTheme="minorEastAsia" w:hint="default"/>
      </w:rPr>
    </w:lvl>
    <w:lvl w:ilvl="8">
      <w:start w:val="1"/>
      <w:numFmt w:val="decimal"/>
      <w:lvlText w:val="%1.%2.%3.%4.%5.%6.%7.%8.%9."/>
      <w:lvlJc w:val="left"/>
      <w:pPr>
        <w:ind w:left="3296" w:hanging="1800"/>
      </w:pPr>
      <w:rPr>
        <w:rFonts w:eastAsiaTheme="minorEastAsia" w:hint="default"/>
      </w:rPr>
    </w:lvl>
  </w:abstractNum>
  <w:abstractNum w:abstractNumId="33" w15:restartNumberingAfterBreak="0">
    <w:nsid w:val="69D73CE8"/>
    <w:multiLevelType w:val="multilevel"/>
    <w:tmpl w:val="B234FA76"/>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EF3279"/>
    <w:multiLevelType w:val="hybridMultilevel"/>
    <w:tmpl w:val="15C45F8A"/>
    <w:lvl w:ilvl="0" w:tplc="5BDEC2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B9167E7"/>
    <w:multiLevelType w:val="multilevel"/>
    <w:tmpl w:val="A3B49908"/>
    <w:lvl w:ilvl="0">
      <w:start w:val="3"/>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36" w15:restartNumberingAfterBreak="0">
    <w:nsid w:val="6CEF5B37"/>
    <w:multiLevelType w:val="hybridMultilevel"/>
    <w:tmpl w:val="3E0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DA772F"/>
    <w:multiLevelType w:val="hybridMultilevel"/>
    <w:tmpl w:val="F646A59A"/>
    <w:lvl w:ilvl="0" w:tplc="DFE883E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0192EDA"/>
    <w:multiLevelType w:val="hybridMultilevel"/>
    <w:tmpl w:val="C674D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8D26AF"/>
    <w:multiLevelType w:val="multilevel"/>
    <w:tmpl w:val="76F63E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2237D94"/>
    <w:multiLevelType w:val="hybridMultilevel"/>
    <w:tmpl w:val="F3D4BF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4FD50D4"/>
    <w:multiLevelType w:val="hybridMultilevel"/>
    <w:tmpl w:val="6078441A"/>
    <w:lvl w:ilvl="0" w:tplc="021C2D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6E74F69"/>
    <w:multiLevelType w:val="multilevel"/>
    <w:tmpl w:val="5CFEFB1E"/>
    <w:lvl w:ilvl="0">
      <w:start w:val="2"/>
      <w:numFmt w:val="decimal"/>
      <w:lvlText w:val="%1."/>
      <w:lvlJc w:val="left"/>
      <w:pPr>
        <w:ind w:left="540" w:hanging="540"/>
      </w:pPr>
      <w:rPr>
        <w:rFonts w:eastAsiaTheme="minorEastAsia" w:hint="default"/>
      </w:rPr>
    </w:lvl>
    <w:lvl w:ilvl="1">
      <w:start w:val="1"/>
      <w:numFmt w:val="decimal"/>
      <w:lvlText w:val="%1.%2."/>
      <w:lvlJc w:val="left"/>
      <w:pPr>
        <w:ind w:left="540" w:hanging="540"/>
      </w:pPr>
      <w:rPr>
        <w:rFonts w:eastAsiaTheme="minorEastAsia" w:hint="default"/>
      </w:rPr>
    </w:lvl>
    <w:lvl w:ilvl="2">
      <w:start w:val="4"/>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43" w15:restartNumberingAfterBreak="0">
    <w:nsid w:val="786A4564"/>
    <w:multiLevelType w:val="hybridMultilevel"/>
    <w:tmpl w:val="FFA87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2F656E"/>
    <w:multiLevelType w:val="multilevel"/>
    <w:tmpl w:val="DB54DB12"/>
    <w:lvl w:ilvl="0">
      <w:start w:val="2"/>
      <w:numFmt w:val="decimal"/>
      <w:lvlText w:val="%1."/>
      <w:lvlJc w:val="left"/>
      <w:pPr>
        <w:ind w:left="540" w:hanging="540"/>
      </w:pPr>
      <w:rPr>
        <w:rFonts w:eastAsiaTheme="minorEastAsia" w:hint="default"/>
      </w:rPr>
    </w:lvl>
    <w:lvl w:ilvl="1">
      <w:start w:val="1"/>
      <w:numFmt w:val="decimal"/>
      <w:lvlText w:val="%1.%2."/>
      <w:lvlJc w:val="left"/>
      <w:pPr>
        <w:ind w:left="727" w:hanging="540"/>
      </w:pPr>
      <w:rPr>
        <w:rFonts w:eastAsiaTheme="minorEastAsia" w:hint="default"/>
      </w:rPr>
    </w:lvl>
    <w:lvl w:ilvl="2">
      <w:start w:val="2"/>
      <w:numFmt w:val="decimal"/>
      <w:lvlText w:val="%1.%2.%3."/>
      <w:lvlJc w:val="left"/>
      <w:pPr>
        <w:ind w:left="1094" w:hanging="720"/>
      </w:pPr>
      <w:rPr>
        <w:rFonts w:eastAsiaTheme="minorEastAsia" w:hint="default"/>
      </w:rPr>
    </w:lvl>
    <w:lvl w:ilvl="3">
      <w:start w:val="1"/>
      <w:numFmt w:val="decimal"/>
      <w:lvlText w:val="%1.%2.%3.%4."/>
      <w:lvlJc w:val="left"/>
      <w:pPr>
        <w:ind w:left="1281" w:hanging="720"/>
      </w:pPr>
      <w:rPr>
        <w:rFonts w:eastAsiaTheme="minorEastAsia" w:hint="default"/>
      </w:rPr>
    </w:lvl>
    <w:lvl w:ilvl="4">
      <w:start w:val="1"/>
      <w:numFmt w:val="decimal"/>
      <w:lvlText w:val="%1.%2.%3.%4.%5."/>
      <w:lvlJc w:val="left"/>
      <w:pPr>
        <w:ind w:left="1828" w:hanging="1080"/>
      </w:pPr>
      <w:rPr>
        <w:rFonts w:eastAsiaTheme="minorEastAsia" w:hint="default"/>
      </w:rPr>
    </w:lvl>
    <w:lvl w:ilvl="5">
      <w:start w:val="1"/>
      <w:numFmt w:val="decimal"/>
      <w:lvlText w:val="%1.%2.%3.%4.%5.%6."/>
      <w:lvlJc w:val="left"/>
      <w:pPr>
        <w:ind w:left="2015" w:hanging="1080"/>
      </w:pPr>
      <w:rPr>
        <w:rFonts w:eastAsiaTheme="minorEastAsia" w:hint="default"/>
      </w:rPr>
    </w:lvl>
    <w:lvl w:ilvl="6">
      <w:start w:val="1"/>
      <w:numFmt w:val="decimal"/>
      <w:lvlText w:val="%1.%2.%3.%4.%5.%6.%7."/>
      <w:lvlJc w:val="left"/>
      <w:pPr>
        <w:ind w:left="2562" w:hanging="1440"/>
      </w:pPr>
      <w:rPr>
        <w:rFonts w:eastAsiaTheme="minorEastAsia" w:hint="default"/>
      </w:rPr>
    </w:lvl>
    <w:lvl w:ilvl="7">
      <w:start w:val="1"/>
      <w:numFmt w:val="decimal"/>
      <w:lvlText w:val="%1.%2.%3.%4.%5.%6.%7.%8."/>
      <w:lvlJc w:val="left"/>
      <w:pPr>
        <w:ind w:left="2749" w:hanging="1440"/>
      </w:pPr>
      <w:rPr>
        <w:rFonts w:eastAsiaTheme="minorEastAsia" w:hint="default"/>
      </w:rPr>
    </w:lvl>
    <w:lvl w:ilvl="8">
      <w:start w:val="1"/>
      <w:numFmt w:val="decimal"/>
      <w:lvlText w:val="%1.%2.%3.%4.%5.%6.%7.%8.%9."/>
      <w:lvlJc w:val="left"/>
      <w:pPr>
        <w:ind w:left="3296" w:hanging="1800"/>
      </w:pPr>
      <w:rPr>
        <w:rFonts w:eastAsiaTheme="minorEastAsia" w:hint="default"/>
      </w:rPr>
    </w:lvl>
  </w:abstractNum>
  <w:abstractNum w:abstractNumId="45" w15:restartNumberingAfterBreak="0">
    <w:nsid w:val="7F217273"/>
    <w:multiLevelType w:val="hybridMultilevel"/>
    <w:tmpl w:val="EA464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C56DE0"/>
    <w:multiLevelType w:val="multilevel"/>
    <w:tmpl w:val="70B8BFA2"/>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0"/>
  </w:num>
  <w:num w:numId="3">
    <w:abstractNumId w:val="17"/>
  </w:num>
  <w:num w:numId="4">
    <w:abstractNumId w:val="46"/>
  </w:num>
  <w:num w:numId="5">
    <w:abstractNumId w:val="34"/>
  </w:num>
  <w:num w:numId="6">
    <w:abstractNumId w:val="18"/>
  </w:num>
  <w:num w:numId="7">
    <w:abstractNumId w:val="22"/>
  </w:num>
  <w:num w:numId="8">
    <w:abstractNumId w:val="41"/>
  </w:num>
  <w:num w:numId="9">
    <w:abstractNumId w:val="15"/>
  </w:num>
  <w:num w:numId="10">
    <w:abstractNumId w:val="11"/>
  </w:num>
  <w:num w:numId="11">
    <w:abstractNumId w:val="36"/>
  </w:num>
  <w:num w:numId="12">
    <w:abstractNumId w:val="31"/>
  </w:num>
  <w:num w:numId="13">
    <w:abstractNumId w:val="5"/>
  </w:num>
  <w:num w:numId="14">
    <w:abstractNumId w:val="40"/>
  </w:num>
  <w:num w:numId="15">
    <w:abstractNumId w:val="16"/>
  </w:num>
  <w:num w:numId="16">
    <w:abstractNumId w:val="4"/>
  </w:num>
  <w:num w:numId="17">
    <w:abstractNumId w:val="44"/>
  </w:num>
  <w:num w:numId="18">
    <w:abstractNumId w:val="42"/>
  </w:num>
  <w:num w:numId="19">
    <w:abstractNumId w:val="28"/>
  </w:num>
  <w:num w:numId="20">
    <w:abstractNumId w:val="6"/>
  </w:num>
  <w:num w:numId="21">
    <w:abstractNumId w:val="12"/>
  </w:num>
  <w:num w:numId="22">
    <w:abstractNumId w:val="21"/>
  </w:num>
  <w:num w:numId="23">
    <w:abstractNumId w:val="35"/>
  </w:num>
  <w:num w:numId="24">
    <w:abstractNumId w:val="13"/>
  </w:num>
  <w:num w:numId="25">
    <w:abstractNumId w:val="30"/>
  </w:num>
  <w:num w:numId="26">
    <w:abstractNumId w:val="37"/>
  </w:num>
  <w:num w:numId="27">
    <w:abstractNumId w:val="39"/>
  </w:num>
  <w:num w:numId="28">
    <w:abstractNumId w:val="14"/>
  </w:num>
  <w:num w:numId="29">
    <w:abstractNumId w:val="9"/>
  </w:num>
  <w:num w:numId="30">
    <w:abstractNumId w:val="32"/>
  </w:num>
  <w:num w:numId="31">
    <w:abstractNumId w:val="8"/>
  </w:num>
  <w:num w:numId="32">
    <w:abstractNumId w:val="24"/>
  </w:num>
  <w:num w:numId="33">
    <w:abstractNumId w:val="23"/>
  </w:num>
  <w:num w:numId="34">
    <w:abstractNumId w:val="33"/>
  </w:num>
  <w:num w:numId="35">
    <w:abstractNumId w:val="1"/>
  </w:num>
  <w:num w:numId="36">
    <w:abstractNumId w:val="26"/>
  </w:num>
  <w:num w:numId="37">
    <w:abstractNumId w:val="20"/>
  </w:num>
  <w:num w:numId="38">
    <w:abstractNumId w:val="3"/>
  </w:num>
  <w:num w:numId="39">
    <w:abstractNumId w:val="29"/>
  </w:num>
  <w:num w:numId="40">
    <w:abstractNumId w:val="25"/>
  </w:num>
  <w:num w:numId="41">
    <w:abstractNumId w:val="7"/>
  </w:num>
  <w:num w:numId="42">
    <w:abstractNumId w:val="27"/>
  </w:num>
  <w:num w:numId="43">
    <w:abstractNumId w:val="45"/>
  </w:num>
  <w:num w:numId="44">
    <w:abstractNumId w:val="10"/>
  </w:num>
  <w:num w:numId="45">
    <w:abstractNumId w:val="38"/>
  </w:num>
  <w:num w:numId="46">
    <w:abstractNumId w:val="19"/>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AE1FA0"/>
    <w:rsid w:val="000D415D"/>
    <w:rsid w:val="00541076"/>
    <w:rsid w:val="00AE1FA0"/>
    <w:rsid w:val="00F73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2B9CED2"/>
  <w15:chartTrackingRefBased/>
  <w15:docId w15:val="{3F6FEEC0-0A9C-4933-A564-A3155F30B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1076"/>
    <w:pPr>
      <w:widowControl w:val="0"/>
      <w:jc w:val="both"/>
    </w:pPr>
    <w:rPr>
      <w:lang w:val="en-GB"/>
    </w:rPr>
  </w:style>
  <w:style w:type="paragraph" w:styleId="Heading1">
    <w:name w:val="heading 1"/>
    <w:basedOn w:val="Normal"/>
    <w:next w:val="Normal"/>
    <w:link w:val="Heading1Char"/>
    <w:uiPriority w:val="9"/>
    <w:qFormat/>
    <w:rsid w:val="00AE1FA0"/>
    <w:pPr>
      <w:keepNext/>
      <w:keepLines/>
      <w:widowControl/>
      <w:spacing w:before="240" w:line="259" w:lineRule="auto"/>
      <w:jc w:val="left"/>
      <w:outlineLvl w:val="0"/>
    </w:pPr>
    <w:rPr>
      <w:rFonts w:asciiTheme="majorHAnsi" w:eastAsiaTheme="majorEastAsia" w:hAnsiTheme="majorHAnsi" w:cstheme="majorBidi"/>
      <w:color w:val="365F91" w:themeColor="accent1" w:themeShade="BF"/>
      <w:kern w:val="0"/>
      <w:sz w:val="32"/>
      <w:szCs w:val="32"/>
    </w:rPr>
  </w:style>
  <w:style w:type="paragraph" w:styleId="Heading2">
    <w:name w:val="heading 2"/>
    <w:basedOn w:val="Normal"/>
    <w:next w:val="Normal"/>
    <w:link w:val="Heading2Char"/>
    <w:uiPriority w:val="9"/>
    <w:unhideWhenUsed/>
    <w:qFormat/>
    <w:rsid w:val="00AE1FA0"/>
    <w:pPr>
      <w:keepNext/>
      <w:keepLines/>
      <w:widowControl/>
      <w:spacing w:before="40" w:line="259" w:lineRule="auto"/>
      <w:jc w:val="left"/>
      <w:outlineLvl w:val="1"/>
    </w:pPr>
    <w:rPr>
      <w:rFonts w:asciiTheme="majorHAnsi" w:eastAsiaTheme="majorEastAsia" w:hAnsiTheme="majorHAnsi" w:cstheme="majorBidi"/>
      <w:color w:val="365F91" w:themeColor="accent1" w:themeShade="BF"/>
      <w:kern w:val="0"/>
      <w:sz w:val="26"/>
      <w:szCs w:val="26"/>
    </w:rPr>
  </w:style>
  <w:style w:type="paragraph" w:styleId="Heading3">
    <w:name w:val="heading 3"/>
    <w:basedOn w:val="Normal"/>
    <w:next w:val="Normal"/>
    <w:link w:val="Heading3Char"/>
    <w:uiPriority w:val="9"/>
    <w:unhideWhenUsed/>
    <w:qFormat/>
    <w:rsid w:val="00AE1FA0"/>
    <w:pPr>
      <w:keepNext/>
      <w:keepLines/>
      <w:widowControl/>
      <w:spacing w:before="40" w:line="259" w:lineRule="auto"/>
      <w:jc w:val="left"/>
      <w:outlineLvl w:val="2"/>
    </w:pPr>
    <w:rPr>
      <w:rFonts w:asciiTheme="majorHAnsi" w:eastAsiaTheme="majorEastAsia" w:hAnsiTheme="majorHAnsi" w:cstheme="majorBidi"/>
      <w:color w:val="243F60" w:themeColor="accent1" w:themeShade="7F"/>
      <w:kern w:val="0"/>
      <w:sz w:val="24"/>
      <w:szCs w:val="24"/>
    </w:rPr>
  </w:style>
  <w:style w:type="paragraph" w:styleId="Heading4">
    <w:name w:val="heading 4"/>
    <w:basedOn w:val="Normal"/>
    <w:next w:val="Normal"/>
    <w:link w:val="Heading4Char"/>
    <w:uiPriority w:val="9"/>
    <w:unhideWhenUsed/>
    <w:qFormat/>
    <w:rsid w:val="00AE1FA0"/>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Heading5">
    <w:name w:val="heading 5"/>
    <w:basedOn w:val="Normal"/>
    <w:next w:val="Normal"/>
    <w:link w:val="Heading5Char"/>
    <w:uiPriority w:val="9"/>
    <w:unhideWhenUsed/>
    <w:qFormat/>
    <w:rsid w:val="00AE1FA0"/>
    <w:pPr>
      <w:keepNext/>
      <w:keepLines/>
      <w:widowControl/>
      <w:spacing w:before="280" w:after="290" w:line="376" w:lineRule="auto"/>
      <w:jc w:val="left"/>
      <w:outlineLvl w:val="4"/>
    </w:pPr>
    <w:rPr>
      <w:b/>
      <w:bCs/>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FA0"/>
    <w:rPr>
      <w:rFonts w:asciiTheme="majorHAnsi" w:eastAsiaTheme="majorEastAsia" w:hAnsiTheme="majorHAnsi" w:cstheme="majorBidi"/>
      <w:color w:val="365F91" w:themeColor="accent1" w:themeShade="BF"/>
      <w:kern w:val="0"/>
      <w:sz w:val="32"/>
      <w:szCs w:val="32"/>
      <w:lang w:val="en-GB"/>
    </w:rPr>
  </w:style>
  <w:style w:type="character" w:customStyle="1" w:styleId="Heading2Char">
    <w:name w:val="Heading 2 Char"/>
    <w:basedOn w:val="DefaultParagraphFont"/>
    <w:link w:val="Heading2"/>
    <w:uiPriority w:val="9"/>
    <w:rsid w:val="00AE1FA0"/>
    <w:rPr>
      <w:rFonts w:asciiTheme="majorHAnsi" w:eastAsiaTheme="majorEastAsia" w:hAnsiTheme="majorHAnsi" w:cstheme="majorBidi"/>
      <w:color w:val="365F91" w:themeColor="accent1" w:themeShade="BF"/>
      <w:kern w:val="0"/>
      <w:sz w:val="26"/>
      <w:szCs w:val="26"/>
      <w:lang w:val="en-GB"/>
    </w:rPr>
  </w:style>
  <w:style w:type="character" w:customStyle="1" w:styleId="Heading3Char">
    <w:name w:val="Heading 3 Char"/>
    <w:basedOn w:val="DefaultParagraphFont"/>
    <w:link w:val="Heading3"/>
    <w:uiPriority w:val="9"/>
    <w:rsid w:val="00AE1FA0"/>
    <w:rPr>
      <w:rFonts w:asciiTheme="majorHAnsi" w:eastAsiaTheme="majorEastAsia" w:hAnsiTheme="majorHAnsi" w:cstheme="majorBidi"/>
      <w:color w:val="243F60" w:themeColor="accent1" w:themeShade="7F"/>
      <w:kern w:val="0"/>
      <w:sz w:val="24"/>
      <w:szCs w:val="24"/>
      <w:lang w:val="en-GB"/>
    </w:rPr>
  </w:style>
  <w:style w:type="character" w:customStyle="1" w:styleId="Heading4Char">
    <w:name w:val="Heading 4 Char"/>
    <w:basedOn w:val="DefaultParagraphFont"/>
    <w:link w:val="Heading4"/>
    <w:uiPriority w:val="9"/>
    <w:rsid w:val="00AE1FA0"/>
    <w:rPr>
      <w:rFonts w:asciiTheme="majorHAnsi" w:eastAsiaTheme="majorEastAsia" w:hAnsiTheme="majorHAnsi" w:cstheme="majorBidi"/>
      <w:b/>
      <w:bCs/>
      <w:kern w:val="0"/>
      <w:sz w:val="28"/>
      <w:szCs w:val="28"/>
      <w:lang w:val="en-GB"/>
    </w:rPr>
  </w:style>
  <w:style w:type="character" w:customStyle="1" w:styleId="Heading5Char">
    <w:name w:val="Heading 5 Char"/>
    <w:basedOn w:val="DefaultParagraphFont"/>
    <w:link w:val="Heading5"/>
    <w:uiPriority w:val="9"/>
    <w:rsid w:val="00AE1FA0"/>
    <w:rPr>
      <w:b/>
      <w:bCs/>
      <w:kern w:val="0"/>
      <w:sz w:val="28"/>
      <w:szCs w:val="28"/>
      <w:lang w:val="en-GB"/>
    </w:rPr>
  </w:style>
  <w:style w:type="numbering" w:customStyle="1" w:styleId="NoList1">
    <w:name w:val="No List1"/>
    <w:next w:val="NoList"/>
    <w:uiPriority w:val="99"/>
    <w:semiHidden/>
    <w:unhideWhenUsed/>
    <w:rsid w:val="00AE1FA0"/>
  </w:style>
  <w:style w:type="numbering" w:customStyle="1" w:styleId="NoList11">
    <w:name w:val="No List11"/>
    <w:next w:val="NoList"/>
    <w:uiPriority w:val="99"/>
    <w:semiHidden/>
    <w:unhideWhenUsed/>
    <w:rsid w:val="00AE1FA0"/>
  </w:style>
  <w:style w:type="paragraph" w:styleId="ListParagraph">
    <w:name w:val="List Paragraph"/>
    <w:basedOn w:val="Normal"/>
    <w:uiPriority w:val="34"/>
    <w:qFormat/>
    <w:rsid w:val="00AE1FA0"/>
    <w:pPr>
      <w:ind w:firstLineChars="200" w:firstLine="420"/>
    </w:pPr>
  </w:style>
  <w:style w:type="paragraph" w:styleId="Footer">
    <w:name w:val="footer"/>
    <w:basedOn w:val="Normal"/>
    <w:link w:val="FooterChar"/>
    <w:uiPriority w:val="99"/>
    <w:unhideWhenUsed/>
    <w:rsid w:val="00AE1FA0"/>
    <w:pPr>
      <w:tabs>
        <w:tab w:val="center" w:pos="4513"/>
        <w:tab w:val="right" w:pos="9026"/>
      </w:tabs>
    </w:pPr>
  </w:style>
  <w:style w:type="character" w:customStyle="1" w:styleId="FooterChar">
    <w:name w:val="Footer Char"/>
    <w:basedOn w:val="DefaultParagraphFont"/>
    <w:link w:val="Footer"/>
    <w:uiPriority w:val="99"/>
    <w:rsid w:val="00AE1FA0"/>
    <w:rPr>
      <w:lang w:val="en-GB"/>
    </w:rPr>
  </w:style>
  <w:style w:type="paragraph" w:styleId="NormalWeb">
    <w:name w:val="Normal (Web)"/>
    <w:basedOn w:val="Normal"/>
    <w:uiPriority w:val="99"/>
    <w:unhideWhenUsed/>
    <w:rsid w:val="00AE1FA0"/>
    <w:pPr>
      <w:widowControl/>
      <w:spacing w:before="100" w:beforeAutospacing="1" w:after="100" w:afterAutospacing="1"/>
      <w:jc w:val="left"/>
    </w:pPr>
    <w:rPr>
      <w:rFonts w:ascii="宋体" w:eastAsia="宋体" w:hAnsi="宋体" w:cs="宋体"/>
      <w:kern w:val="0"/>
      <w:sz w:val="24"/>
      <w:szCs w:val="24"/>
      <w:lang w:val="en-US"/>
    </w:rPr>
  </w:style>
  <w:style w:type="character" w:customStyle="1" w:styleId="apple-converted-space">
    <w:name w:val="apple-converted-space"/>
    <w:basedOn w:val="DefaultParagraphFont"/>
    <w:rsid w:val="00AE1FA0"/>
  </w:style>
  <w:style w:type="paragraph" w:styleId="Header">
    <w:name w:val="header"/>
    <w:basedOn w:val="Normal"/>
    <w:link w:val="HeaderChar"/>
    <w:uiPriority w:val="99"/>
    <w:unhideWhenUsed/>
    <w:rsid w:val="00AE1F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E1FA0"/>
    <w:rPr>
      <w:sz w:val="18"/>
      <w:szCs w:val="18"/>
      <w:lang w:val="en-GB"/>
    </w:rPr>
  </w:style>
  <w:style w:type="character" w:styleId="Hyperlink">
    <w:name w:val="Hyperlink"/>
    <w:basedOn w:val="DefaultParagraphFont"/>
    <w:uiPriority w:val="99"/>
    <w:unhideWhenUsed/>
    <w:rsid w:val="00AE1FA0"/>
    <w:rPr>
      <w:color w:val="0000FF" w:themeColor="hyperlink"/>
      <w:u w:val="single"/>
    </w:rPr>
  </w:style>
  <w:style w:type="table" w:styleId="TableGrid">
    <w:name w:val="Table Grid"/>
    <w:basedOn w:val="TableNormal"/>
    <w:uiPriority w:val="39"/>
    <w:rsid w:val="00AE1FA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qFormat/>
    <w:rsid w:val="00AE1FA0"/>
    <w:rPr>
      <w:sz w:val="16"/>
      <w:szCs w:val="16"/>
    </w:rPr>
  </w:style>
  <w:style w:type="paragraph" w:styleId="CommentText">
    <w:name w:val="annotation text"/>
    <w:basedOn w:val="Normal"/>
    <w:link w:val="CommentTextChar"/>
    <w:uiPriority w:val="99"/>
    <w:unhideWhenUsed/>
    <w:qFormat/>
    <w:rsid w:val="00AE1FA0"/>
    <w:rPr>
      <w:sz w:val="20"/>
      <w:szCs w:val="20"/>
    </w:rPr>
  </w:style>
  <w:style w:type="character" w:customStyle="1" w:styleId="CommentTextChar">
    <w:name w:val="Comment Text Char"/>
    <w:basedOn w:val="DefaultParagraphFont"/>
    <w:link w:val="CommentText"/>
    <w:uiPriority w:val="99"/>
    <w:qFormat/>
    <w:rsid w:val="00AE1FA0"/>
    <w:rPr>
      <w:sz w:val="20"/>
      <w:szCs w:val="20"/>
      <w:lang w:val="en-GB"/>
    </w:rPr>
  </w:style>
  <w:style w:type="paragraph" w:styleId="CommentSubject">
    <w:name w:val="annotation subject"/>
    <w:basedOn w:val="CommentText"/>
    <w:next w:val="CommentText"/>
    <w:link w:val="CommentSubjectChar"/>
    <w:uiPriority w:val="99"/>
    <w:semiHidden/>
    <w:unhideWhenUsed/>
    <w:rsid w:val="00AE1FA0"/>
    <w:rPr>
      <w:b/>
      <w:bCs/>
    </w:rPr>
  </w:style>
  <w:style w:type="character" w:customStyle="1" w:styleId="CommentSubjectChar">
    <w:name w:val="Comment Subject Char"/>
    <w:basedOn w:val="CommentTextChar"/>
    <w:link w:val="CommentSubject"/>
    <w:uiPriority w:val="99"/>
    <w:semiHidden/>
    <w:rsid w:val="00AE1FA0"/>
    <w:rPr>
      <w:b/>
      <w:bCs/>
      <w:sz w:val="20"/>
      <w:szCs w:val="20"/>
      <w:lang w:val="en-GB"/>
    </w:rPr>
  </w:style>
  <w:style w:type="paragraph" w:styleId="BalloonText">
    <w:name w:val="Balloon Text"/>
    <w:basedOn w:val="Normal"/>
    <w:link w:val="BalloonTextChar"/>
    <w:uiPriority w:val="99"/>
    <w:semiHidden/>
    <w:unhideWhenUsed/>
    <w:rsid w:val="00AE1FA0"/>
    <w:rPr>
      <w:rFonts w:ascii="Tahoma" w:hAnsi="Tahoma" w:cs="Tahoma"/>
      <w:sz w:val="16"/>
      <w:szCs w:val="16"/>
    </w:rPr>
  </w:style>
  <w:style w:type="character" w:customStyle="1" w:styleId="BalloonTextChar">
    <w:name w:val="Balloon Text Char"/>
    <w:basedOn w:val="DefaultParagraphFont"/>
    <w:link w:val="BalloonText"/>
    <w:uiPriority w:val="99"/>
    <w:semiHidden/>
    <w:rsid w:val="00AE1FA0"/>
    <w:rPr>
      <w:rFonts w:ascii="Tahoma" w:hAnsi="Tahoma" w:cs="Tahoma"/>
      <w:sz w:val="16"/>
      <w:szCs w:val="16"/>
      <w:lang w:val="en-GB"/>
    </w:rPr>
  </w:style>
  <w:style w:type="paragraph" w:styleId="Title">
    <w:name w:val="Title"/>
    <w:basedOn w:val="Normal"/>
    <w:next w:val="Normal"/>
    <w:link w:val="TitleChar"/>
    <w:uiPriority w:val="10"/>
    <w:qFormat/>
    <w:rsid w:val="00AE1FA0"/>
    <w:pPr>
      <w:spacing w:before="240" w:after="60"/>
      <w:jc w:val="center"/>
      <w:outlineLvl w:val="0"/>
    </w:pPr>
    <w:rPr>
      <w:rFonts w:asciiTheme="majorHAnsi" w:eastAsia="宋体" w:hAnsiTheme="majorHAnsi" w:cstheme="majorBidi"/>
      <w:b/>
      <w:bCs/>
      <w:sz w:val="32"/>
      <w:szCs w:val="32"/>
    </w:rPr>
  </w:style>
  <w:style w:type="character" w:customStyle="1" w:styleId="TitleChar">
    <w:name w:val="Title Char"/>
    <w:basedOn w:val="DefaultParagraphFont"/>
    <w:link w:val="Title"/>
    <w:uiPriority w:val="10"/>
    <w:qFormat/>
    <w:rsid w:val="00AE1FA0"/>
    <w:rPr>
      <w:rFonts w:asciiTheme="majorHAnsi" w:eastAsia="宋体" w:hAnsiTheme="majorHAnsi" w:cstheme="majorBidi"/>
      <w:b/>
      <w:bCs/>
      <w:sz w:val="32"/>
      <w:szCs w:val="32"/>
      <w:lang w:val="en-GB"/>
    </w:rPr>
  </w:style>
  <w:style w:type="character" w:styleId="Emphasis">
    <w:name w:val="Emphasis"/>
    <w:basedOn w:val="DefaultParagraphFont"/>
    <w:uiPriority w:val="20"/>
    <w:qFormat/>
    <w:rsid w:val="00AE1FA0"/>
    <w:rPr>
      <w:i/>
      <w:iCs/>
    </w:rPr>
  </w:style>
  <w:style w:type="paragraph" w:styleId="FootnoteText">
    <w:name w:val="footnote text"/>
    <w:basedOn w:val="Normal"/>
    <w:link w:val="FootnoteTextChar"/>
    <w:uiPriority w:val="99"/>
    <w:unhideWhenUsed/>
    <w:qFormat/>
    <w:rsid w:val="00AE1FA0"/>
    <w:pPr>
      <w:widowControl/>
      <w:jc w:val="left"/>
    </w:pPr>
    <w:rPr>
      <w:kern w:val="0"/>
      <w:sz w:val="20"/>
      <w:szCs w:val="20"/>
    </w:rPr>
  </w:style>
  <w:style w:type="character" w:customStyle="1" w:styleId="FootnoteTextChar">
    <w:name w:val="Footnote Text Char"/>
    <w:basedOn w:val="DefaultParagraphFont"/>
    <w:link w:val="FootnoteText"/>
    <w:uiPriority w:val="99"/>
    <w:qFormat/>
    <w:rsid w:val="00AE1FA0"/>
    <w:rPr>
      <w:kern w:val="0"/>
      <w:sz w:val="20"/>
      <w:szCs w:val="20"/>
      <w:lang w:val="en-GB"/>
    </w:rPr>
  </w:style>
  <w:style w:type="character" w:styleId="FootnoteReference">
    <w:name w:val="footnote reference"/>
    <w:basedOn w:val="DefaultParagraphFont"/>
    <w:uiPriority w:val="99"/>
    <w:unhideWhenUsed/>
    <w:qFormat/>
    <w:rsid w:val="00AE1FA0"/>
    <w:rPr>
      <w:vertAlign w:val="superscript"/>
    </w:rPr>
  </w:style>
  <w:style w:type="table" w:customStyle="1" w:styleId="ListTable41">
    <w:name w:val="List Table 41"/>
    <w:basedOn w:val="TableNormal"/>
    <w:uiPriority w:val="49"/>
    <w:rsid w:val="00AE1FA0"/>
    <w:rPr>
      <w:kern w:val="0"/>
      <w:sz w:val="22"/>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51">
    <w:name w:val="List Table 4 - Accent 51"/>
    <w:basedOn w:val="TableNormal"/>
    <w:uiPriority w:val="49"/>
    <w:rsid w:val="00AE1FA0"/>
    <w:rPr>
      <w:kern w:val="0"/>
      <w:sz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31">
    <w:name w:val="List Table 4 - Accent 31"/>
    <w:basedOn w:val="TableNormal"/>
    <w:uiPriority w:val="49"/>
    <w:rsid w:val="00AE1FA0"/>
    <w:rPr>
      <w:kern w:val="0"/>
      <w:sz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1">
    <w:name w:val="Grid Table 5 Dark1"/>
    <w:basedOn w:val="TableNormal"/>
    <w:uiPriority w:val="50"/>
    <w:rsid w:val="00AE1FA0"/>
    <w:rPr>
      <w:kern w:val="0"/>
      <w:sz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AE1FA0"/>
    <w:rPr>
      <w:kern w:val="0"/>
      <w:sz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FollowedHyperlink">
    <w:name w:val="FollowedHyperlink"/>
    <w:basedOn w:val="DefaultParagraphFont"/>
    <w:uiPriority w:val="99"/>
    <w:semiHidden/>
    <w:unhideWhenUsed/>
    <w:rsid w:val="00AE1FA0"/>
    <w:rPr>
      <w:color w:val="800080" w:themeColor="followedHyperlink"/>
      <w:u w:val="single"/>
    </w:rPr>
  </w:style>
  <w:style w:type="numbering" w:customStyle="1" w:styleId="NoList2">
    <w:name w:val="No List2"/>
    <w:next w:val="NoList"/>
    <w:uiPriority w:val="99"/>
    <w:semiHidden/>
    <w:unhideWhenUsed/>
    <w:rsid w:val="00AE1FA0"/>
  </w:style>
  <w:style w:type="character" w:styleId="Strong">
    <w:name w:val="Strong"/>
    <w:basedOn w:val="DefaultParagraphFont"/>
    <w:uiPriority w:val="22"/>
    <w:qFormat/>
    <w:rsid w:val="00AE1FA0"/>
    <w:rPr>
      <w:b/>
      <w:bCs/>
    </w:rPr>
  </w:style>
  <w:style w:type="table" w:styleId="GridTable5Dark-Accent3">
    <w:name w:val="Grid Table 5 Dark Accent 3"/>
    <w:basedOn w:val="TableNormal"/>
    <w:uiPriority w:val="50"/>
    <w:rsid w:val="00AE1FA0"/>
    <w:rPr>
      <w:kern w:val="0"/>
      <w:sz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1Light">
    <w:name w:val="Grid Table 1 Light"/>
    <w:basedOn w:val="TableNormal"/>
    <w:uiPriority w:val="46"/>
    <w:rsid w:val="00AE1FA0"/>
    <w:rPr>
      <w:kern w:val="0"/>
      <w:sz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AE1FA0"/>
    <w:pPr>
      <w:outlineLvl w:val="9"/>
    </w:pPr>
    <w:rPr>
      <w:lang w:val="en-US" w:eastAsia="en-US"/>
    </w:rPr>
  </w:style>
  <w:style w:type="paragraph" w:styleId="TOC1">
    <w:name w:val="toc 1"/>
    <w:basedOn w:val="Normal"/>
    <w:next w:val="Normal"/>
    <w:autoRedefine/>
    <w:uiPriority w:val="39"/>
    <w:unhideWhenUsed/>
    <w:rsid w:val="00AE1FA0"/>
    <w:pPr>
      <w:widowControl/>
      <w:tabs>
        <w:tab w:val="right" w:leader="dot" w:pos="9016"/>
      </w:tabs>
      <w:spacing w:after="100" w:line="259" w:lineRule="auto"/>
      <w:jc w:val="left"/>
    </w:pPr>
    <w:rPr>
      <w:rFonts w:ascii="Arial" w:hAnsi="Arial" w:cs="Arial"/>
      <w:noProof/>
      <w:kern w:val="0"/>
      <w:sz w:val="22"/>
    </w:rPr>
  </w:style>
  <w:style w:type="paragraph" w:styleId="TOC2">
    <w:name w:val="toc 2"/>
    <w:basedOn w:val="Normal"/>
    <w:next w:val="Normal"/>
    <w:autoRedefine/>
    <w:uiPriority w:val="39"/>
    <w:unhideWhenUsed/>
    <w:rsid w:val="00AE1FA0"/>
    <w:pPr>
      <w:widowControl/>
      <w:spacing w:after="100" w:line="259" w:lineRule="auto"/>
      <w:ind w:left="220"/>
      <w:jc w:val="left"/>
    </w:pPr>
    <w:rPr>
      <w:kern w:val="0"/>
      <w:sz w:val="22"/>
    </w:rPr>
  </w:style>
  <w:style w:type="paragraph" w:styleId="TOC3">
    <w:name w:val="toc 3"/>
    <w:basedOn w:val="Normal"/>
    <w:next w:val="Normal"/>
    <w:autoRedefine/>
    <w:uiPriority w:val="39"/>
    <w:unhideWhenUsed/>
    <w:rsid w:val="00AE1FA0"/>
    <w:pPr>
      <w:widowControl/>
      <w:spacing w:after="100" w:line="259" w:lineRule="auto"/>
      <w:ind w:left="440"/>
      <w:jc w:val="left"/>
    </w:pPr>
    <w:rPr>
      <w:kern w:val="0"/>
      <w:sz w:val="22"/>
    </w:rPr>
  </w:style>
  <w:style w:type="paragraph" w:customStyle="1" w:styleId="Default">
    <w:name w:val="Default"/>
    <w:rsid w:val="00AE1FA0"/>
    <w:pPr>
      <w:widowControl w:val="0"/>
      <w:autoSpaceDE w:val="0"/>
      <w:autoSpaceDN w:val="0"/>
      <w:adjustRightInd w:val="0"/>
    </w:pPr>
    <w:rPr>
      <w:rFonts w:ascii="Times New Roman" w:hAnsi="Times New Roman" w:cs="Times New Roman"/>
      <w:color w:val="000000"/>
      <w:kern w:val="0"/>
      <w:sz w:val="24"/>
      <w:szCs w:val="24"/>
    </w:rPr>
  </w:style>
  <w:style w:type="paragraph" w:styleId="Revision">
    <w:name w:val="Revision"/>
    <w:hidden/>
    <w:uiPriority w:val="99"/>
    <w:semiHidden/>
    <w:rsid w:val="00AE1FA0"/>
    <w:rPr>
      <w:kern w:val="0"/>
      <w:sz w:val="22"/>
      <w:lang w:val="en-GB"/>
    </w:rPr>
  </w:style>
  <w:style w:type="character" w:customStyle="1" w:styleId="UnresolvedMention1">
    <w:name w:val="Unresolved Mention1"/>
    <w:basedOn w:val="DefaultParagraphFont"/>
    <w:uiPriority w:val="99"/>
    <w:semiHidden/>
    <w:unhideWhenUsed/>
    <w:rsid w:val="00AE1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185.121.204.135/archives/"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www.bbc.co.uk/history/british/victorians/middle_classes_01.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t.sagepub.com/search?author1=Martina+L%C3%B6w&amp;sortspec=date&amp;submit=Submit" TargetMode="External"/><Relationship Id="rId24" Type="http://schemas.openxmlformats.org/officeDocument/2006/relationships/image" Target="media/image13.jpeg"/><Relationship Id="rId32" Type="http://schemas.openxmlformats.org/officeDocument/2006/relationships/hyperlink" Target="http://info.vassar.edu/about/vassar/history.html"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est.sagepub.com/search?author1=Martina+L%C3%B6w&amp;sortspec=date&amp;submit=Submit" TargetMode="External"/><Relationship Id="rId19" Type="http://schemas.openxmlformats.org/officeDocument/2006/relationships/hyperlink" Target="https://www.tagvenue.com/resize/97/48/widen-1680;2830-large-and-small-board-rooms-room.jpg" TargetMode="External"/><Relationship Id="rId31" Type="http://schemas.openxmlformats.org/officeDocument/2006/relationships/hyperlink" Target="https://www.royalholloway.ac.uk/archives/exhibitions/community/belowstairs.aspx" TargetMode="External"/><Relationship Id="rId4" Type="http://schemas.openxmlformats.org/officeDocument/2006/relationships/webSettings" Target="webSettings.xml"/><Relationship Id="rId9" Type="http://schemas.openxmlformats.org/officeDocument/2006/relationships/hyperlink" Target="http://est.sagepub.com/search?author1=Martina+L%C3%B6w&amp;sortspec=date&amp;submit=Submit" TargetMode="External"/><Relationship Id="rId14" Type="http://schemas.openxmlformats.org/officeDocument/2006/relationships/hyperlink" Target="http://www.google.co.uk/url?sa=i&amp;rct=j&amp;q=&amp;esrc=s&amp;source=imgres&amp;cd=&amp;cad=rja&amp;uact=8&amp;ved=0ahUKEwjjuM6loLXQAhXE0RQKHU0nC8kQjRwIBw&amp;url=http://www.allposters.co.uk/-sp/Royal-Holloway-College-Egham-Surrey-England-United-Kingdom-Posters_i2648749_.htm&amp;psig=AFQjCNGRtkxc59h2clO1e0pqXhubNvvSgg&amp;ust=1479659762436012"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royalholloway.ac.uk/aboutus/artcollectionandpicturegallery/home.aspx"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236</Pages>
  <Words>71979</Words>
  <Characters>410283</Characters>
  <Application>Microsoft Office Word</Application>
  <DocSecurity>0</DocSecurity>
  <Lines>3419</Lines>
  <Paragraphs>962</Paragraphs>
  <ScaleCrop>false</ScaleCrop>
  <Company/>
  <LinksUpToDate>false</LinksUpToDate>
  <CharactersWithSpaces>481300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Yihan (2014)</dc:creator>
  <cp:keywords/>
  <dc:description/>
  <cp:lastModifiedBy>Liu, Yihan (2014)</cp:lastModifiedBy>
  <cp:revision>1</cp:revision>
  <dcterms:created xsi:type="dcterms:W3CDTF">2019-03-17T13:14:00Z</dcterms:created>
  <dcterms:modified xsi:type="dcterms:W3CDTF">2019-03-17T13:23:00Z</dcterms:modified>
</cp:coreProperties>
</file>