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7BFC" w14:textId="7ADA26EA" w:rsidR="00C52EC5" w:rsidRPr="008F0D9B" w:rsidRDefault="00A87CC4" w:rsidP="008F0D9B">
      <w:pPr>
        <w:spacing w:before="60" w:after="60" w:line="480" w:lineRule="auto"/>
        <w:jc w:val="center"/>
        <w:rPr>
          <w:rFonts w:ascii="Times New Roman" w:eastAsia="Hiragino Sans W4" w:hAnsi="Times New Roman" w:cs="Times New Roman"/>
          <w:b/>
          <w:sz w:val="24"/>
          <w:szCs w:val="24"/>
          <w:u w:val="single"/>
        </w:rPr>
      </w:pPr>
      <w:r w:rsidRPr="00A87CC4">
        <w:rPr>
          <w:rFonts w:ascii="Times New Roman" w:eastAsia="Hiragino Sans W4" w:hAnsi="Times New Roman" w:cs="Times New Roman"/>
          <w:b/>
          <w:sz w:val="24"/>
          <w:szCs w:val="24"/>
          <w:u w:val="single"/>
        </w:rPr>
        <w:t>R</w:t>
      </w:r>
      <w:r w:rsidR="00F34BDD">
        <w:rPr>
          <w:rFonts w:ascii="Times New Roman" w:eastAsia="Hiragino Sans W4" w:hAnsi="Times New Roman" w:cs="Times New Roman"/>
          <w:b/>
          <w:sz w:val="24"/>
          <w:szCs w:val="24"/>
          <w:u w:val="single"/>
        </w:rPr>
        <w:t xml:space="preserve">egularity of </w:t>
      </w:r>
      <w:r w:rsidRPr="00A87CC4">
        <w:rPr>
          <w:rFonts w:ascii="Times New Roman" w:eastAsia="Hiragino Sans W4" w:hAnsi="Times New Roman" w:cs="Times New Roman"/>
          <w:b/>
          <w:sz w:val="24"/>
          <w:szCs w:val="24"/>
          <w:u w:val="single"/>
        </w:rPr>
        <w:t xml:space="preserve"> OPCAT </w:t>
      </w:r>
      <w:r w:rsidR="00F34BDD">
        <w:rPr>
          <w:rFonts w:ascii="Times New Roman" w:eastAsia="Hiragino Sans W4" w:hAnsi="Times New Roman" w:cs="Times New Roman"/>
          <w:b/>
          <w:sz w:val="24"/>
          <w:szCs w:val="24"/>
          <w:u w:val="single"/>
        </w:rPr>
        <w:t>visits</w:t>
      </w:r>
      <w:r w:rsidR="007272F1">
        <w:rPr>
          <w:rFonts w:ascii="Times New Roman" w:eastAsia="Hiragino Sans W4" w:hAnsi="Times New Roman" w:cs="Times New Roman"/>
          <w:b/>
          <w:sz w:val="24"/>
          <w:szCs w:val="24"/>
          <w:u w:val="single"/>
        </w:rPr>
        <w:t xml:space="preserve"> </w:t>
      </w:r>
      <w:r w:rsidR="00F34BDD">
        <w:rPr>
          <w:rFonts w:ascii="Times New Roman" w:eastAsia="Hiragino Sans W4" w:hAnsi="Times New Roman" w:cs="Times New Roman"/>
          <w:b/>
          <w:sz w:val="24"/>
          <w:szCs w:val="24"/>
          <w:u w:val="single"/>
        </w:rPr>
        <w:t>by</w:t>
      </w:r>
      <w:r w:rsidR="007272F1">
        <w:rPr>
          <w:rFonts w:ascii="Times New Roman" w:eastAsia="Hiragino Sans W4" w:hAnsi="Times New Roman" w:cs="Times New Roman"/>
          <w:b/>
          <w:sz w:val="24"/>
          <w:szCs w:val="24"/>
          <w:u w:val="single"/>
        </w:rPr>
        <w:t xml:space="preserve"> NPMs </w:t>
      </w:r>
      <w:r w:rsidR="00F34BDD">
        <w:rPr>
          <w:rFonts w:ascii="Times New Roman" w:eastAsia="Hiragino Sans W4" w:hAnsi="Times New Roman" w:cs="Times New Roman"/>
          <w:b/>
          <w:sz w:val="24"/>
          <w:szCs w:val="24"/>
          <w:u w:val="single"/>
        </w:rPr>
        <w:t>in</w:t>
      </w:r>
      <w:r w:rsidR="007272F1">
        <w:rPr>
          <w:rFonts w:ascii="Times New Roman" w:eastAsia="Hiragino Sans W4" w:hAnsi="Times New Roman" w:cs="Times New Roman"/>
          <w:b/>
          <w:sz w:val="24"/>
          <w:szCs w:val="24"/>
          <w:u w:val="single"/>
        </w:rPr>
        <w:t xml:space="preserve"> E</w:t>
      </w:r>
      <w:r w:rsidR="00F34BDD">
        <w:rPr>
          <w:rFonts w:ascii="Times New Roman" w:eastAsia="Hiragino Sans W4" w:hAnsi="Times New Roman" w:cs="Times New Roman"/>
          <w:b/>
          <w:sz w:val="24"/>
          <w:szCs w:val="24"/>
          <w:u w:val="single"/>
        </w:rPr>
        <w:t>urope</w:t>
      </w:r>
    </w:p>
    <w:p w14:paraId="2565F4CB" w14:textId="348F85F4" w:rsidR="00572ECD" w:rsidRPr="009E2FBB" w:rsidRDefault="00572ECD" w:rsidP="008F0D9B">
      <w:pPr>
        <w:spacing w:before="60" w:after="60" w:line="480" w:lineRule="auto"/>
        <w:jc w:val="both"/>
        <w:rPr>
          <w:rFonts w:ascii="Times New Roman" w:eastAsia="Hiragino Sans W4" w:hAnsi="Times New Roman" w:cs="Times New Roman"/>
          <w:sz w:val="18"/>
          <w:szCs w:val="18"/>
        </w:rPr>
      </w:pPr>
      <w:r>
        <w:rPr>
          <w:rFonts w:ascii="Times New Roman" w:eastAsia="Hiragino Sans W4" w:hAnsi="Times New Roman" w:cs="Times New Roman"/>
          <w:sz w:val="24"/>
          <w:szCs w:val="24"/>
        </w:rPr>
        <w:t xml:space="preserve">The </w:t>
      </w:r>
      <w:r w:rsidRPr="009E2FBB">
        <w:rPr>
          <w:rFonts w:ascii="Times New Roman" w:eastAsia="Hiragino Sans W4" w:hAnsi="Times New Roman" w:cs="Times New Roman"/>
          <w:sz w:val="24"/>
          <w:szCs w:val="24"/>
        </w:rPr>
        <w:t xml:space="preserve">Optional Protocol to the UN Convention Against Torture </w:t>
      </w:r>
      <w:r w:rsidR="001B63F1">
        <w:rPr>
          <w:rFonts w:ascii="Times New Roman" w:eastAsia="Hiragino Sans W4" w:hAnsi="Times New Roman" w:cs="Times New Roman"/>
          <w:sz w:val="24"/>
          <w:szCs w:val="24"/>
        </w:rPr>
        <w:t xml:space="preserve">and other Cruel, Inhuman or Degrading Treatment or Punishment </w:t>
      </w:r>
      <w:r w:rsidRPr="009E2FBB">
        <w:rPr>
          <w:rFonts w:ascii="Times New Roman" w:eastAsia="Hiragino Sans W4" w:hAnsi="Times New Roman" w:cs="Times New Roman"/>
          <w:sz w:val="24"/>
          <w:szCs w:val="24"/>
        </w:rPr>
        <w:t>(OPCAT)</w:t>
      </w:r>
      <w:r>
        <w:rPr>
          <w:rFonts w:ascii="Times New Roman" w:eastAsia="Hiragino Sans W4" w:hAnsi="Times New Roman" w:cs="Times New Roman"/>
          <w:sz w:val="24"/>
          <w:szCs w:val="24"/>
        </w:rPr>
        <w:t xml:space="preserve"> </w:t>
      </w:r>
      <w:r w:rsidRPr="009E2FBB">
        <w:rPr>
          <w:rFonts w:ascii="Times New Roman" w:eastAsia="Hiragino Sans W4" w:hAnsi="Times New Roman" w:cs="Times New Roman"/>
          <w:sz w:val="24"/>
          <w:szCs w:val="24"/>
        </w:rPr>
        <w:t>is premised on the concept of prevention: that examination by independent national and international bodies of those detained and the institutions detaining them will reduce or eradicate torture, ill-treatment, cruel, inhuman or degrading treatment occurring</w:t>
      </w:r>
      <w:r w:rsidR="009D1304">
        <w:rPr>
          <w:rFonts w:ascii="Times New Roman" w:eastAsia="Hiragino Sans W4" w:hAnsi="Times New Roman" w:cs="Times New Roman"/>
          <w:sz w:val="24"/>
          <w:szCs w:val="24"/>
        </w:rPr>
        <w:t xml:space="preserve"> (see de Vargas 1979; Evans and Morgan 1998; Haenni 1997; Evans and Haenni-Dale 2004; Nowak and McArthur 2008)</w:t>
      </w:r>
      <w:r w:rsidRPr="009E2FBB">
        <w:rPr>
          <w:rFonts w:ascii="Times New Roman" w:eastAsia="Hiragino Sans W4" w:hAnsi="Times New Roman" w:cs="Times New Roman"/>
          <w:sz w:val="24"/>
          <w:szCs w:val="24"/>
        </w:rPr>
        <w:t xml:space="preserve">. </w:t>
      </w:r>
    </w:p>
    <w:p w14:paraId="37B2ADCE" w14:textId="4CA13A8B" w:rsidR="00CA0F87" w:rsidRPr="009E2FBB" w:rsidRDefault="00CA0F87" w:rsidP="008F0D9B">
      <w:pPr>
        <w:spacing w:before="60" w:after="60" w:line="480" w:lineRule="auto"/>
        <w:jc w:val="both"/>
        <w:rPr>
          <w:rFonts w:ascii="Times New Roman" w:eastAsia="Hiragino Sans W4" w:hAnsi="Times New Roman" w:cs="Times New Roman"/>
          <w:sz w:val="24"/>
          <w:szCs w:val="24"/>
        </w:rPr>
      </w:pPr>
      <w:r w:rsidRPr="009E2FBB">
        <w:rPr>
          <w:rFonts w:ascii="Times New Roman" w:eastAsia="Hiragino Sans W4" w:hAnsi="Times New Roman" w:cs="Times New Roman"/>
          <w:sz w:val="24"/>
          <w:szCs w:val="24"/>
        </w:rPr>
        <w:t xml:space="preserve">Article 1 </w:t>
      </w:r>
      <w:r w:rsidR="001B63F1">
        <w:rPr>
          <w:rFonts w:ascii="Times New Roman" w:eastAsia="Hiragino Sans W4" w:hAnsi="Times New Roman" w:cs="Times New Roman"/>
          <w:sz w:val="24"/>
          <w:szCs w:val="24"/>
        </w:rPr>
        <w:t>of the OPCAT</w:t>
      </w:r>
      <w:r w:rsidRPr="009E2FBB">
        <w:rPr>
          <w:rFonts w:ascii="Times New Roman" w:eastAsia="Hiragino Sans W4" w:hAnsi="Times New Roman" w:cs="Times New Roman"/>
          <w:sz w:val="24"/>
          <w:szCs w:val="24"/>
        </w:rPr>
        <w:t xml:space="preserve"> states:</w:t>
      </w:r>
    </w:p>
    <w:p w14:paraId="5CC293FF" w14:textId="77777777" w:rsidR="00CA0F87" w:rsidRPr="009E2FBB" w:rsidRDefault="00CA0F87" w:rsidP="008F0D9B">
      <w:pPr>
        <w:spacing w:before="60" w:after="60" w:line="480" w:lineRule="auto"/>
        <w:ind w:left="720"/>
        <w:jc w:val="both"/>
        <w:rPr>
          <w:rFonts w:ascii="Times New Roman" w:eastAsia="Hiragino Sans W4" w:hAnsi="Times New Roman" w:cs="Times New Roman"/>
          <w:sz w:val="18"/>
          <w:szCs w:val="18"/>
        </w:rPr>
      </w:pPr>
      <w:r w:rsidRPr="009E2FBB">
        <w:rPr>
          <w:rFonts w:ascii="Times New Roman" w:eastAsia="Hiragino Sans W4" w:hAnsi="Times New Roman" w:cs="Times New Roman"/>
          <w:sz w:val="18"/>
          <w:szCs w:val="18"/>
        </w:rPr>
        <w:t>‘The objective of the present Protocol is to establish a system of regular visits undertaken by independent international and national bodies to places where people are deprived of their liberty, in order to prevent torture and other cruel, inhuman or degrading treatment or punishment’.</w:t>
      </w:r>
    </w:p>
    <w:p w14:paraId="4B000E99" w14:textId="47925D60" w:rsidR="00D32FA4" w:rsidRDefault="000416A9" w:rsidP="008F0D9B">
      <w:pPr>
        <w:spacing w:before="60" w:after="60" w:line="480" w:lineRule="auto"/>
        <w:jc w:val="both"/>
        <w:rPr>
          <w:rFonts w:ascii="Times New Roman" w:eastAsia="Hiragino Sans W4" w:hAnsi="Times New Roman" w:cs="Times New Roman"/>
          <w:sz w:val="24"/>
          <w:szCs w:val="24"/>
        </w:rPr>
      </w:pPr>
      <w:r w:rsidRPr="009E2FBB">
        <w:rPr>
          <w:rFonts w:ascii="Times New Roman" w:eastAsia="Hiragino Sans W4" w:hAnsi="Times New Roman" w:cs="Times New Roman"/>
          <w:sz w:val="24"/>
          <w:szCs w:val="24"/>
        </w:rPr>
        <w:t>In practice, the way the obligations in OPCAT have been interpreted is that it is a system of regular visits to places of detention by national preventive mechanisms (NPMs) or the UN Subcommittee on Prevention of Torture (SPT) which is the crux of the OPCAT regime.</w:t>
      </w:r>
    </w:p>
    <w:p w14:paraId="617F9547" w14:textId="7C9B4C94" w:rsidR="007272F1" w:rsidRDefault="001B63F1"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 xml:space="preserve">This paper examines how </w:t>
      </w:r>
      <w:r w:rsidR="00CA0F87">
        <w:rPr>
          <w:rFonts w:ascii="Times New Roman" w:eastAsia="Hiragino Sans W4" w:hAnsi="Times New Roman" w:cs="Times New Roman"/>
          <w:sz w:val="24"/>
          <w:szCs w:val="24"/>
        </w:rPr>
        <w:t>NPMs in Europe</w:t>
      </w:r>
      <w:r w:rsidR="006B135D">
        <w:rPr>
          <w:rStyle w:val="FootnoteReference"/>
          <w:rFonts w:ascii="Times New Roman" w:eastAsia="Hiragino Sans W4" w:hAnsi="Times New Roman" w:cs="Times New Roman"/>
          <w:sz w:val="24"/>
          <w:szCs w:val="24"/>
        </w:rPr>
        <w:footnoteReference w:id="1"/>
      </w:r>
      <w:r w:rsidR="00CA0F87">
        <w:rPr>
          <w:rFonts w:ascii="Times New Roman" w:eastAsia="Hiragino Sans W4" w:hAnsi="Times New Roman" w:cs="Times New Roman"/>
          <w:sz w:val="24"/>
          <w:szCs w:val="24"/>
        </w:rPr>
        <w:t xml:space="preserve"> have interpreted the concept of</w:t>
      </w:r>
      <w:r w:rsidR="007272F1">
        <w:rPr>
          <w:rFonts w:ascii="Times New Roman" w:eastAsia="Hiragino Sans W4" w:hAnsi="Times New Roman" w:cs="Times New Roman"/>
          <w:sz w:val="24"/>
          <w:szCs w:val="24"/>
        </w:rPr>
        <w:t xml:space="preserve"> </w:t>
      </w:r>
      <w:r w:rsidR="00D32FA4">
        <w:rPr>
          <w:rFonts w:ascii="Times New Roman" w:eastAsia="Hiragino Sans W4" w:hAnsi="Times New Roman" w:cs="Times New Roman"/>
          <w:sz w:val="24"/>
          <w:szCs w:val="24"/>
        </w:rPr>
        <w:t>'regular' visits</w:t>
      </w:r>
      <w:r w:rsidR="00AC473D">
        <w:rPr>
          <w:rFonts w:ascii="Times New Roman" w:eastAsia="Hiragino Sans W4" w:hAnsi="Times New Roman" w:cs="Times New Roman"/>
          <w:sz w:val="24"/>
          <w:szCs w:val="24"/>
        </w:rPr>
        <w:t xml:space="preserve"> in the hope that this will be of assistance to those involved in the establishment of Australia’s NPM. </w:t>
      </w:r>
      <w:r w:rsidR="003B32BF">
        <w:rPr>
          <w:rFonts w:ascii="Times New Roman" w:eastAsia="Hiragino Sans W4" w:hAnsi="Times New Roman" w:cs="Times New Roman"/>
          <w:sz w:val="24"/>
          <w:szCs w:val="24"/>
        </w:rPr>
        <w:t>Australia ratified the OPCAT</w:t>
      </w:r>
      <w:r w:rsidR="005A6C70">
        <w:rPr>
          <w:rFonts w:ascii="Times New Roman" w:eastAsia="Hiragino Sans W4" w:hAnsi="Times New Roman" w:cs="Times New Roman"/>
          <w:sz w:val="24"/>
          <w:szCs w:val="24"/>
        </w:rPr>
        <w:t xml:space="preserve"> on 21 December 2017.</w:t>
      </w:r>
      <w:r w:rsidR="00230F69">
        <w:rPr>
          <w:rFonts w:ascii="Times New Roman" w:eastAsia="Hiragino Sans W4" w:hAnsi="Times New Roman" w:cs="Times New Roman"/>
          <w:sz w:val="24"/>
          <w:szCs w:val="24"/>
        </w:rPr>
        <w:t xml:space="preserve"> The Office of the Co</w:t>
      </w:r>
      <w:r w:rsidR="00E8712A">
        <w:rPr>
          <w:rFonts w:ascii="Times New Roman" w:eastAsia="Hiragino Sans W4" w:hAnsi="Times New Roman" w:cs="Times New Roman"/>
          <w:sz w:val="24"/>
          <w:szCs w:val="24"/>
        </w:rPr>
        <w:t>m</w:t>
      </w:r>
      <w:r w:rsidR="00230F69">
        <w:rPr>
          <w:rFonts w:ascii="Times New Roman" w:eastAsia="Hiragino Sans W4" w:hAnsi="Times New Roman" w:cs="Times New Roman"/>
          <w:sz w:val="24"/>
          <w:szCs w:val="24"/>
        </w:rPr>
        <w:t>monwealth Ombudsman will facilitate and co-ordinate the Australian NPM but individual states and territo</w:t>
      </w:r>
      <w:r w:rsidR="00490C93">
        <w:rPr>
          <w:rFonts w:ascii="Times New Roman" w:eastAsia="Hiragino Sans W4" w:hAnsi="Times New Roman" w:cs="Times New Roman"/>
          <w:sz w:val="24"/>
          <w:szCs w:val="24"/>
        </w:rPr>
        <w:t>rie</w:t>
      </w:r>
      <w:r w:rsidR="00230F69">
        <w:rPr>
          <w:rFonts w:ascii="Times New Roman" w:eastAsia="Hiragino Sans W4" w:hAnsi="Times New Roman" w:cs="Times New Roman"/>
          <w:sz w:val="24"/>
          <w:szCs w:val="24"/>
        </w:rPr>
        <w:t>s will have much of the responsibility</w:t>
      </w:r>
      <w:r w:rsidR="00490C93">
        <w:rPr>
          <w:rFonts w:ascii="Times New Roman" w:eastAsia="Hiragino Sans W4" w:hAnsi="Times New Roman" w:cs="Times New Roman"/>
          <w:sz w:val="24"/>
          <w:szCs w:val="24"/>
        </w:rPr>
        <w:t xml:space="preserve"> for establishing their own preventive mechanisms</w:t>
      </w:r>
      <w:r w:rsidR="009522FA">
        <w:rPr>
          <w:rFonts w:ascii="Times New Roman" w:eastAsia="Hiragino Sans W4" w:hAnsi="Times New Roman" w:cs="Times New Roman"/>
          <w:sz w:val="24"/>
          <w:szCs w:val="24"/>
        </w:rPr>
        <w:t xml:space="preserve"> (Minister for Foreign Affairs 2018)</w:t>
      </w:r>
      <w:r w:rsidR="00490C93">
        <w:rPr>
          <w:rFonts w:ascii="Times New Roman" w:eastAsia="Hiragino Sans W4" w:hAnsi="Times New Roman" w:cs="Times New Roman"/>
          <w:sz w:val="24"/>
          <w:szCs w:val="24"/>
        </w:rPr>
        <w:t>.  Australia therefore is likely to have a varied multi-body NPM</w:t>
      </w:r>
      <w:r w:rsidR="00E8712A">
        <w:rPr>
          <w:rFonts w:ascii="Times New Roman" w:eastAsia="Hiragino Sans W4" w:hAnsi="Times New Roman" w:cs="Times New Roman"/>
          <w:sz w:val="24"/>
          <w:szCs w:val="24"/>
        </w:rPr>
        <w:t xml:space="preserve"> </w:t>
      </w:r>
      <w:r w:rsidR="00490C93">
        <w:rPr>
          <w:rFonts w:ascii="Times New Roman" w:eastAsia="Hiragino Sans W4" w:hAnsi="Times New Roman" w:cs="Times New Roman"/>
          <w:sz w:val="24"/>
          <w:szCs w:val="24"/>
        </w:rPr>
        <w:t>and</w:t>
      </w:r>
      <w:r w:rsidR="00230F69">
        <w:rPr>
          <w:rFonts w:ascii="Times New Roman" w:eastAsia="Hiragino Sans W4" w:hAnsi="Times New Roman" w:cs="Times New Roman"/>
          <w:sz w:val="24"/>
          <w:szCs w:val="24"/>
        </w:rPr>
        <w:t xml:space="preserve"> </w:t>
      </w:r>
      <w:r w:rsidR="00490C93">
        <w:rPr>
          <w:rFonts w:ascii="Times New Roman" w:eastAsia="Hiragino Sans W4" w:hAnsi="Times New Roman" w:cs="Times New Roman"/>
          <w:sz w:val="24"/>
          <w:szCs w:val="24"/>
        </w:rPr>
        <w:t>a</w:t>
      </w:r>
      <w:r w:rsidR="00AC473D">
        <w:rPr>
          <w:rFonts w:ascii="Times New Roman" w:eastAsia="Hiragino Sans W4" w:hAnsi="Times New Roman" w:cs="Times New Roman"/>
          <w:sz w:val="24"/>
          <w:szCs w:val="24"/>
        </w:rPr>
        <w:t xml:space="preserve">s European NPMs are varied both in their organisational structures and in the degrees of experience in the conduct of visits, their practices provide some useful considerations for those developing the methodologies for the </w:t>
      </w:r>
      <w:r w:rsidR="00490C93">
        <w:rPr>
          <w:rFonts w:ascii="Times New Roman" w:eastAsia="Hiragino Sans W4" w:hAnsi="Times New Roman" w:cs="Times New Roman"/>
          <w:sz w:val="24"/>
          <w:szCs w:val="24"/>
        </w:rPr>
        <w:t xml:space="preserve">different components of the </w:t>
      </w:r>
      <w:r w:rsidR="00AC473D">
        <w:rPr>
          <w:rFonts w:ascii="Times New Roman" w:eastAsia="Hiragino Sans W4" w:hAnsi="Times New Roman" w:cs="Times New Roman"/>
          <w:sz w:val="24"/>
          <w:szCs w:val="24"/>
        </w:rPr>
        <w:t>NPM in Australia.</w:t>
      </w:r>
    </w:p>
    <w:p w14:paraId="6D684DEF" w14:textId="0112A1C9" w:rsidR="007272F1" w:rsidRDefault="00200936"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lastRenderedPageBreak/>
        <w:t>T</w:t>
      </w:r>
      <w:r w:rsidRPr="009E2FBB">
        <w:rPr>
          <w:rFonts w:ascii="Times New Roman" w:eastAsia="Hiragino Sans W4" w:hAnsi="Times New Roman" w:cs="Times New Roman"/>
          <w:sz w:val="24"/>
          <w:szCs w:val="24"/>
        </w:rPr>
        <w:t>he highly respected civil society organisation operating in this area, the Association for the Preve</w:t>
      </w:r>
      <w:r w:rsidR="00E10ED7">
        <w:rPr>
          <w:rFonts w:ascii="Times New Roman" w:eastAsia="Hiragino Sans W4" w:hAnsi="Times New Roman" w:cs="Times New Roman"/>
          <w:sz w:val="24"/>
          <w:szCs w:val="24"/>
        </w:rPr>
        <w:t>ntion of Torture, (APT) notes: "</w:t>
      </w:r>
      <w:r w:rsidRPr="009E2FBB">
        <w:rPr>
          <w:rFonts w:ascii="Times New Roman" w:eastAsia="Hiragino Sans W4" w:hAnsi="Times New Roman" w:cs="Times New Roman"/>
          <w:sz w:val="24"/>
          <w:szCs w:val="24"/>
        </w:rPr>
        <w:t>Generally speaking, the more frequent and regular the visits, the more effective the monitoring program</w:t>
      </w:r>
      <w:r w:rsidR="00E10ED7">
        <w:rPr>
          <w:rFonts w:ascii="Times New Roman" w:eastAsia="Hiragino Sans W4" w:hAnsi="Times New Roman" w:cs="Times New Roman"/>
          <w:sz w:val="24"/>
          <w:szCs w:val="24"/>
        </w:rPr>
        <w:t>me will be as a preventive tool"</w:t>
      </w:r>
      <w:r w:rsidR="009D1304">
        <w:rPr>
          <w:rFonts w:ascii="Times New Roman" w:eastAsia="Hiragino Sans W4" w:hAnsi="Times New Roman" w:cs="Times New Roman"/>
          <w:sz w:val="24"/>
          <w:szCs w:val="24"/>
        </w:rPr>
        <w:t xml:space="preserve"> (APT 2010)</w:t>
      </w:r>
      <w:r w:rsidRPr="009E2FBB">
        <w:rPr>
          <w:rFonts w:ascii="Times New Roman" w:eastAsia="Hiragino Sans W4" w:hAnsi="Times New Roman" w:cs="Times New Roman"/>
          <w:sz w:val="24"/>
          <w:szCs w:val="24"/>
        </w:rPr>
        <w:t>.</w:t>
      </w:r>
      <w:r>
        <w:rPr>
          <w:rFonts w:ascii="Times New Roman" w:eastAsia="Hiragino Sans W4" w:hAnsi="Times New Roman" w:cs="Times New Roman"/>
          <w:sz w:val="24"/>
          <w:szCs w:val="24"/>
        </w:rPr>
        <w:t xml:space="preserve"> </w:t>
      </w:r>
      <w:r w:rsidR="007272F1">
        <w:rPr>
          <w:rFonts w:ascii="Times New Roman" w:eastAsia="Hiragino Sans W4" w:hAnsi="Times New Roman" w:cs="Times New Roman"/>
          <w:sz w:val="24"/>
          <w:szCs w:val="24"/>
        </w:rPr>
        <w:t>As we shall see, this statement is not as simple or self-evident as it might seem.</w:t>
      </w:r>
    </w:p>
    <w:p w14:paraId="0E7B9023" w14:textId="7FC82355" w:rsidR="009873C3" w:rsidRDefault="007272F1"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W</w:t>
      </w:r>
      <w:r w:rsidR="00200936">
        <w:rPr>
          <w:rFonts w:ascii="Times New Roman" w:eastAsia="Hiragino Sans W4" w:hAnsi="Times New Roman" w:cs="Times New Roman"/>
          <w:sz w:val="24"/>
          <w:szCs w:val="24"/>
        </w:rPr>
        <w:t>hile</w:t>
      </w:r>
      <w:r w:rsidR="00533299">
        <w:rPr>
          <w:rFonts w:ascii="Times New Roman" w:eastAsia="Hiragino Sans W4" w:hAnsi="Times New Roman" w:cs="Times New Roman"/>
          <w:sz w:val="24"/>
          <w:szCs w:val="24"/>
        </w:rPr>
        <w:t xml:space="preserve"> </w:t>
      </w:r>
      <w:r w:rsidR="001B63F1">
        <w:rPr>
          <w:rFonts w:ascii="Times New Roman" w:eastAsia="Hiragino Sans W4" w:hAnsi="Times New Roman" w:cs="Times New Roman"/>
          <w:sz w:val="24"/>
          <w:szCs w:val="24"/>
        </w:rPr>
        <w:t>the OPCAT itself, the SPT's guidance and academic and practitioner literature have addressed the concepts of 'independence'</w:t>
      </w:r>
      <w:r w:rsidR="000416A9">
        <w:rPr>
          <w:rFonts w:ascii="Times New Roman" w:eastAsia="Hiragino Sans W4" w:hAnsi="Times New Roman" w:cs="Times New Roman"/>
          <w:sz w:val="24"/>
          <w:szCs w:val="24"/>
        </w:rPr>
        <w:t>, 'd</w:t>
      </w:r>
      <w:r w:rsidR="001B63F1">
        <w:rPr>
          <w:rFonts w:ascii="Times New Roman" w:eastAsia="Hiragino Sans W4" w:hAnsi="Times New Roman" w:cs="Times New Roman"/>
          <w:sz w:val="24"/>
          <w:szCs w:val="24"/>
        </w:rPr>
        <w:t xml:space="preserve">eprivation </w:t>
      </w:r>
      <w:r w:rsidR="000416A9">
        <w:rPr>
          <w:rFonts w:ascii="Times New Roman" w:eastAsia="Hiragino Sans W4" w:hAnsi="Times New Roman" w:cs="Times New Roman"/>
          <w:sz w:val="24"/>
          <w:szCs w:val="24"/>
        </w:rPr>
        <w:t>of liberty' an</w:t>
      </w:r>
      <w:r w:rsidR="001B63F1">
        <w:rPr>
          <w:rFonts w:ascii="Times New Roman" w:eastAsia="Hiragino Sans W4" w:hAnsi="Times New Roman" w:cs="Times New Roman"/>
          <w:sz w:val="24"/>
          <w:szCs w:val="24"/>
        </w:rPr>
        <w:t xml:space="preserve">d </w:t>
      </w:r>
      <w:r w:rsidR="000416A9">
        <w:rPr>
          <w:rFonts w:ascii="Times New Roman" w:eastAsia="Hiragino Sans W4" w:hAnsi="Times New Roman" w:cs="Times New Roman"/>
          <w:sz w:val="24"/>
          <w:szCs w:val="24"/>
        </w:rPr>
        <w:t>'</w:t>
      </w:r>
      <w:r w:rsidR="001B63F1">
        <w:rPr>
          <w:rFonts w:ascii="Times New Roman" w:eastAsia="Hiragino Sans W4" w:hAnsi="Times New Roman" w:cs="Times New Roman"/>
          <w:sz w:val="24"/>
          <w:szCs w:val="24"/>
        </w:rPr>
        <w:t>prevention' in an OPCAT context, relatively little published material addresses the concept of 'regular' visits.</w:t>
      </w:r>
      <w:r w:rsidR="000416A9">
        <w:rPr>
          <w:rFonts w:ascii="Times New Roman" w:eastAsia="Hiragino Sans W4" w:hAnsi="Times New Roman" w:cs="Times New Roman"/>
          <w:sz w:val="24"/>
          <w:szCs w:val="24"/>
        </w:rPr>
        <w:t xml:space="preserve"> </w:t>
      </w:r>
    </w:p>
    <w:p w14:paraId="1C2AB001" w14:textId="7F55D518" w:rsidR="00084E60" w:rsidRDefault="00E10ED7"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By July 2018, 38</w:t>
      </w:r>
      <w:r w:rsidR="00D114CB">
        <w:rPr>
          <w:rFonts w:ascii="Times New Roman" w:eastAsia="Hiragino Sans W4" w:hAnsi="Times New Roman" w:cs="Times New Roman"/>
          <w:sz w:val="24"/>
          <w:szCs w:val="24"/>
        </w:rPr>
        <w:t xml:space="preserve"> </w:t>
      </w:r>
      <w:r w:rsidR="00327AB3">
        <w:rPr>
          <w:rFonts w:ascii="Times New Roman" w:eastAsia="Hiragino Sans W4" w:hAnsi="Times New Roman" w:cs="Times New Roman"/>
          <w:sz w:val="24"/>
          <w:szCs w:val="24"/>
        </w:rPr>
        <w:t xml:space="preserve">NPMs </w:t>
      </w:r>
      <w:r>
        <w:rPr>
          <w:rFonts w:ascii="Times New Roman" w:eastAsia="Hiragino Sans W4" w:hAnsi="Times New Roman" w:cs="Times New Roman"/>
          <w:sz w:val="24"/>
          <w:szCs w:val="24"/>
        </w:rPr>
        <w:t>had</w:t>
      </w:r>
      <w:r w:rsidR="00FC3B52">
        <w:rPr>
          <w:rFonts w:ascii="Times New Roman" w:eastAsia="Hiragino Sans W4" w:hAnsi="Times New Roman" w:cs="Times New Roman"/>
          <w:sz w:val="24"/>
          <w:szCs w:val="24"/>
        </w:rPr>
        <w:t xml:space="preserve"> been designated </w:t>
      </w:r>
      <w:r w:rsidR="00327AB3">
        <w:rPr>
          <w:rFonts w:ascii="Times New Roman" w:eastAsia="Hiragino Sans W4" w:hAnsi="Times New Roman" w:cs="Times New Roman"/>
          <w:sz w:val="24"/>
          <w:szCs w:val="24"/>
        </w:rPr>
        <w:t>in Europe</w:t>
      </w:r>
      <w:r w:rsidR="00A831E8">
        <w:rPr>
          <w:rFonts w:ascii="Times New Roman" w:eastAsia="Hiragino Sans W4" w:hAnsi="Times New Roman" w:cs="Times New Roman"/>
          <w:sz w:val="24"/>
          <w:szCs w:val="24"/>
        </w:rPr>
        <w:t>, the largest number in any region.</w:t>
      </w:r>
      <w:r w:rsidR="00327AB3">
        <w:rPr>
          <w:rFonts w:ascii="Times New Roman" w:eastAsia="Hiragino Sans W4" w:hAnsi="Times New Roman" w:cs="Times New Roman"/>
          <w:sz w:val="24"/>
          <w:szCs w:val="24"/>
        </w:rPr>
        <w:t xml:space="preserve"> </w:t>
      </w:r>
      <w:r w:rsidR="00D600C5" w:rsidRPr="00114918">
        <w:rPr>
          <w:rFonts w:ascii="Times New Roman" w:eastAsia="Hiragino Sans W4" w:hAnsi="Times New Roman" w:cs="Times New Roman"/>
          <w:sz w:val="24"/>
          <w:szCs w:val="24"/>
        </w:rPr>
        <w:t xml:space="preserve">As will be seen below, the practice of </w:t>
      </w:r>
      <w:r w:rsidR="00A831E8">
        <w:rPr>
          <w:rFonts w:ascii="Times New Roman" w:eastAsia="Hiragino Sans W4" w:hAnsi="Times New Roman" w:cs="Times New Roman"/>
          <w:sz w:val="24"/>
          <w:szCs w:val="24"/>
        </w:rPr>
        <w:t xml:space="preserve">these </w:t>
      </w:r>
      <w:r w:rsidR="00D600C5" w:rsidRPr="00114918">
        <w:rPr>
          <w:rFonts w:ascii="Times New Roman" w:eastAsia="Hiragino Sans W4" w:hAnsi="Times New Roman" w:cs="Times New Roman"/>
          <w:sz w:val="24"/>
          <w:szCs w:val="24"/>
        </w:rPr>
        <w:t xml:space="preserve">NPMs varies considerably, with a number of factors coming into play when one is trying to identify what is regular, and the extent to </w:t>
      </w:r>
      <w:r w:rsidR="003A4E39" w:rsidRPr="00114918">
        <w:rPr>
          <w:rFonts w:ascii="Times New Roman" w:eastAsia="Hiragino Sans W4" w:hAnsi="Times New Roman" w:cs="Times New Roman"/>
          <w:sz w:val="24"/>
          <w:szCs w:val="24"/>
        </w:rPr>
        <w:t>which</w:t>
      </w:r>
      <w:r w:rsidR="00D600C5" w:rsidRPr="00114918">
        <w:rPr>
          <w:rFonts w:ascii="Times New Roman" w:eastAsia="Hiragino Sans W4" w:hAnsi="Times New Roman" w:cs="Times New Roman"/>
          <w:sz w:val="24"/>
          <w:szCs w:val="24"/>
        </w:rPr>
        <w:t xml:space="preserve">, even if one could define regularity, any NPM is fulfilling this </w:t>
      </w:r>
      <w:r w:rsidR="003A4E39" w:rsidRPr="00114918">
        <w:rPr>
          <w:rFonts w:ascii="Times New Roman" w:eastAsia="Hiragino Sans W4" w:hAnsi="Times New Roman" w:cs="Times New Roman"/>
          <w:sz w:val="24"/>
          <w:szCs w:val="24"/>
        </w:rPr>
        <w:t>requirement</w:t>
      </w:r>
      <w:r w:rsidR="00D600C5" w:rsidRPr="00114918">
        <w:rPr>
          <w:rFonts w:ascii="Times New Roman" w:eastAsia="Hiragino Sans W4" w:hAnsi="Times New Roman" w:cs="Times New Roman"/>
          <w:sz w:val="24"/>
          <w:szCs w:val="24"/>
        </w:rPr>
        <w:t>.</w:t>
      </w:r>
      <w:r w:rsidR="00A831E8">
        <w:rPr>
          <w:rFonts w:ascii="Times New Roman" w:eastAsia="Hiragino Sans W4" w:hAnsi="Times New Roman" w:cs="Times New Roman"/>
          <w:sz w:val="24"/>
          <w:szCs w:val="24"/>
        </w:rPr>
        <w:t xml:space="preserve">  </w:t>
      </w:r>
      <w:r w:rsidR="007E72DF">
        <w:rPr>
          <w:rFonts w:ascii="Times New Roman" w:eastAsia="Hiragino Sans W4" w:hAnsi="Times New Roman" w:cs="Times New Roman"/>
          <w:sz w:val="24"/>
          <w:szCs w:val="24"/>
        </w:rPr>
        <w:t xml:space="preserve">We hope this paper </w:t>
      </w:r>
      <w:r w:rsidR="00084E60">
        <w:rPr>
          <w:rFonts w:ascii="Times New Roman" w:eastAsia="Hiragino Sans W4" w:hAnsi="Times New Roman" w:cs="Times New Roman"/>
          <w:sz w:val="24"/>
          <w:szCs w:val="24"/>
        </w:rPr>
        <w:t>will encourage existing NPMs to assess their own practice and assist newly designated NPMs to critically think through the factors that may influence the regularity of their visit programmes and the options they have for organising them.</w:t>
      </w:r>
    </w:p>
    <w:p w14:paraId="49F7BDF7" w14:textId="70C61C21" w:rsidR="00084E60" w:rsidRPr="00114918" w:rsidRDefault="00257054" w:rsidP="008F0D9B">
      <w:pPr>
        <w:spacing w:before="60" w:after="60" w:line="480" w:lineRule="auto"/>
        <w:jc w:val="both"/>
        <w:rPr>
          <w:rFonts w:ascii="Times New Roman" w:eastAsia="Hiragino Sans W4" w:hAnsi="Times New Roman" w:cs="Times New Roman"/>
          <w:b/>
          <w:sz w:val="24"/>
          <w:szCs w:val="24"/>
        </w:rPr>
      </w:pPr>
      <w:r>
        <w:rPr>
          <w:rFonts w:ascii="Times New Roman" w:eastAsia="Hiragino Sans W4" w:hAnsi="Times New Roman" w:cs="Times New Roman"/>
          <w:b/>
          <w:sz w:val="24"/>
          <w:szCs w:val="24"/>
        </w:rPr>
        <w:t>A.</w:t>
      </w:r>
      <w:r>
        <w:rPr>
          <w:rFonts w:ascii="Times New Roman" w:eastAsia="Hiragino Sans W4" w:hAnsi="Times New Roman" w:cs="Times New Roman"/>
          <w:b/>
          <w:sz w:val="24"/>
          <w:szCs w:val="24"/>
        </w:rPr>
        <w:tab/>
      </w:r>
      <w:r w:rsidR="00084E60" w:rsidRPr="00114918">
        <w:rPr>
          <w:rFonts w:ascii="Times New Roman" w:eastAsia="Hiragino Sans W4" w:hAnsi="Times New Roman" w:cs="Times New Roman"/>
          <w:b/>
          <w:sz w:val="24"/>
          <w:szCs w:val="24"/>
        </w:rPr>
        <w:t>Methodology</w:t>
      </w:r>
    </w:p>
    <w:p w14:paraId="1963B990" w14:textId="516769F9" w:rsidR="00084E60" w:rsidRDefault="00084E60" w:rsidP="008F0D9B">
      <w:pPr>
        <w:pStyle w:val="NormalWeb"/>
        <w:shd w:val="clear" w:color="auto" w:fill="FFFFFF"/>
        <w:spacing w:before="60" w:beforeAutospacing="0" w:after="60" w:afterAutospacing="0" w:line="480" w:lineRule="auto"/>
        <w:jc w:val="both"/>
        <w:rPr>
          <w:rFonts w:eastAsia="Hiragino Sans W4"/>
          <w:color w:val="000000"/>
        </w:rPr>
      </w:pPr>
      <w:r>
        <w:rPr>
          <w:rFonts w:eastAsia="Hiragino Sans W4"/>
          <w:color w:val="000000"/>
        </w:rPr>
        <w:t xml:space="preserve">This paper </w:t>
      </w:r>
      <w:r w:rsidRPr="009E2FBB">
        <w:rPr>
          <w:rFonts w:eastAsia="Hiragino Sans W4"/>
          <w:color w:val="000000"/>
        </w:rPr>
        <w:t xml:space="preserve">draws upon desk-based research including documents of international and regional human rights treaty bodies and non-governmental organisations, as well as </w:t>
      </w:r>
      <w:r w:rsidR="004F003D">
        <w:rPr>
          <w:rFonts w:eastAsia="Hiragino Sans W4"/>
          <w:color w:val="000000"/>
        </w:rPr>
        <w:t xml:space="preserve">European </w:t>
      </w:r>
      <w:r w:rsidRPr="009E2FBB">
        <w:rPr>
          <w:rFonts w:eastAsia="Hiragino Sans W4"/>
          <w:color w:val="000000"/>
        </w:rPr>
        <w:t>NPMs themselves</w:t>
      </w:r>
      <w:r w:rsidR="00D269EA">
        <w:rPr>
          <w:rFonts w:eastAsia="Hiragino Sans W4"/>
          <w:color w:val="000000"/>
        </w:rPr>
        <w:t xml:space="preserve"> and a survey of NPMs in Europe</w:t>
      </w:r>
      <w:r w:rsidRPr="009E2FBB">
        <w:rPr>
          <w:rFonts w:eastAsia="Hiragino Sans W4"/>
          <w:color w:val="000000"/>
        </w:rPr>
        <w:t xml:space="preserve">. </w:t>
      </w:r>
    </w:p>
    <w:p w14:paraId="5C2B48D7" w14:textId="77777777" w:rsidR="000347D3" w:rsidRPr="00EE7999" w:rsidRDefault="000347D3" w:rsidP="00F77BA5">
      <w:pPr>
        <w:pStyle w:val="Heading3"/>
      </w:pPr>
      <w:r w:rsidRPr="00EE7999">
        <w:t>Information provided by NPMs in their annual reports</w:t>
      </w:r>
    </w:p>
    <w:p w14:paraId="3886FB91" w14:textId="2E1F3C3B" w:rsidR="000347D3" w:rsidRPr="00114918" w:rsidRDefault="000347D3" w:rsidP="00C34CB0">
      <w:pPr>
        <w:pStyle w:val="NormalWeb"/>
        <w:shd w:val="clear" w:color="auto" w:fill="FFFFFF"/>
        <w:spacing w:before="60" w:beforeAutospacing="0" w:after="60" w:afterAutospacing="0" w:line="480" w:lineRule="auto"/>
        <w:jc w:val="both"/>
        <w:rPr>
          <w:rFonts w:eastAsia="Hiragino Sans W4"/>
        </w:rPr>
      </w:pPr>
      <w:r w:rsidRPr="00EE7999">
        <w:rPr>
          <w:rFonts w:eastAsia="Hiragino Sans W4"/>
          <w:color w:val="000000"/>
        </w:rPr>
        <w:t>One challenge in trying to identify the regularity and frequency of the visits undertaken by NPMs is the variability in the amount and type of information provided by them in their reports to the SPT. Some reports of NPMs give the number of places visited and the types of institutions</w:t>
      </w:r>
      <w:r w:rsidR="009D1304">
        <w:rPr>
          <w:rFonts w:eastAsia="Hiragino Sans W4"/>
          <w:color w:val="000000"/>
        </w:rPr>
        <w:t xml:space="preserve"> (German NPM 2016)</w:t>
      </w:r>
      <w:r w:rsidRPr="00EE7999">
        <w:rPr>
          <w:rFonts w:eastAsia="Hiragino Sans W4"/>
          <w:color w:val="000000"/>
        </w:rPr>
        <w:t xml:space="preserve">. For example, the NPM of Bulgaria noted that it </w:t>
      </w:r>
      <w:r w:rsidRPr="00EE7999">
        <w:rPr>
          <w:rFonts w:eastAsia="Hiragino Sans W4"/>
        </w:rPr>
        <w:t>conducted inspections in 66 places (32 with prior notice and 34 without) in the period from 1 January 2015 to 31 December 2015</w:t>
      </w:r>
      <w:r w:rsidR="0078484D">
        <w:rPr>
          <w:rFonts w:eastAsia="Hiragino Sans W4"/>
        </w:rPr>
        <w:t xml:space="preserve"> (Bulgarian NPM 2014)</w:t>
      </w:r>
      <w:r w:rsidRPr="00EE7999">
        <w:rPr>
          <w:rFonts w:eastAsia="Hiragino Sans W4"/>
        </w:rPr>
        <w:t xml:space="preserve">, and in 2017, it inspected 61 places of which were five prisons and six prison hostels, among other facilities for youth, accommodation of foreigners, </w:t>
      </w:r>
      <w:r w:rsidRPr="00EE7999">
        <w:rPr>
          <w:rFonts w:eastAsia="Hiragino Sans W4"/>
        </w:rPr>
        <w:lastRenderedPageBreak/>
        <w:t>psychiatric institutions and mental health centres, and social institutions for children and adults</w:t>
      </w:r>
      <w:r w:rsidR="0078484D">
        <w:rPr>
          <w:rFonts w:eastAsia="Hiragino Sans W4"/>
        </w:rPr>
        <w:t xml:space="preserve"> (Bulgarian NPM 2017)</w:t>
      </w:r>
      <w:r w:rsidR="00C34CB0">
        <w:rPr>
          <w:rFonts w:eastAsia="Hiragino Sans W4"/>
        </w:rPr>
        <w:t xml:space="preserve">. However, other NPMs in their report to the SPT do not </w:t>
      </w:r>
      <w:r w:rsidR="0048557C">
        <w:rPr>
          <w:rFonts w:eastAsia="Hiragino Sans W4"/>
          <w:color w:val="000000"/>
        </w:rPr>
        <w:t>give</w:t>
      </w:r>
      <w:r w:rsidR="0048557C" w:rsidRPr="00114918">
        <w:rPr>
          <w:rFonts w:eastAsia="Hiragino Sans W4"/>
          <w:color w:val="000000"/>
        </w:rPr>
        <w:t xml:space="preserve"> </w:t>
      </w:r>
      <w:r w:rsidRPr="00114918">
        <w:rPr>
          <w:rFonts w:eastAsia="Hiragino Sans W4"/>
          <w:color w:val="000000"/>
        </w:rPr>
        <w:t>the number of visits per year</w:t>
      </w:r>
      <w:r w:rsidR="0078484D">
        <w:rPr>
          <w:rFonts w:eastAsia="Hiragino Sans W4"/>
          <w:color w:val="000000"/>
        </w:rPr>
        <w:t xml:space="preserve"> (UK NPM 2018)</w:t>
      </w:r>
      <w:r w:rsidR="00C34CB0">
        <w:rPr>
          <w:rFonts w:eastAsia="Hiragino Sans W4"/>
          <w:color w:val="000000"/>
        </w:rPr>
        <w:t>.</w:t>
      </w:r>
    </w:p>
    <w:p w14:paraId="01F98335" w14:textId="3BF2EA3A" w:rsidR="000347D3" w:rsidRPr="00D03EA9" w:rsidRDefault="00D03EA9" w:rsidP="008F0D9B">
      <w:pPr>
        <w:pStyle w:val="NormalWeb"/>
        <w:shd w:val="clear" w:color="auto" w:fill="FFFFFF"/>
        <w:spacing w:before="60" w:beforeAutospacing="0" w:after="60" w:afterAutospacing="0" w:line="480" w:lineRule="auto"/>
        <w:jc w:val="both"/>
        <w:rPr>
          <w:rFonts w:eastAsia="Hiragino Sans W4"/>
          <w:b/>
          <w:i/>
          <w:color w:val="000000"/>
        </w:rPr>
      </w:pPr>
      <w:r w:rsidRPr="00D03EA9">
        <w:rPr>
          <w:rFonts w:eastAsia="Hiragino Sans W4"/>
          <w:b/>
          <w:i/>
          <w:color w:val="000000"/>
        </w:rPr>
        <w:t xml:space="preserve">2. </w:t>
      </w:r>
      <w:r>
        <w:rPr>
          <w:rFonts w:eastAsia="Hiragino Sans W4"/>
          <w:b/>
          <w:i/>
          <w:color w:val="000000"/>
        </w:rPr>
        <w:tab/>
      </w:r>
      <w:r w:rsidRPr="00D03EA9">
        <w:rPr>
          <w:rFonts w:eastAsia="Hiragino Sans W4"/>
          <w:b/>
          <w:i/>
          <w:color w:val="000000"/>
        </w:rPr>
        <w:t>The survey</w:t>
      </w:r>
    </w:p>
    <w:p w14:paraId="54F8C180" w14:textId="1E13D4A6" w:rsidR="004F003D" w:rsidRDefault="004F003D" w:rsidP="008F0D9B">
      <w:pPr>
        <w:pStyle w:val="NormalWeb"/>
        <w:shd w:val="clear" w:color="auto" w:fill="FFFFFF"/>
        <w:spacing w:before="60" w:beforeAutospacing="0" w:after="60" w:afterAutospacing="0" w:line="480" w:lineRule="auto"/>
        <w:jc w:val="both"/>
        <w:rPr>
          <w:color w:val="000000"/>
        </w:rPr>
      </w:pPr>
      <w:r>
        <w:rPr>
          <w:color w:val="000000"/>
        </w:rPr>
        <w:t>Questionnaires were sent in English and French</w:t>
      </w:r>
      <w:r w:rsidRPr="00905707">
        <w:rPr>
          <w:color w:val="000000"/>
        </w:rPr>
        <w:t xml:space="preserve"> </w:t>
      </w:r>
      <w:r>
        <w:rPr>
          <w:color w:val="000000"/>
        </w:rPr>
        <w:t>to 32 European NPMs that asked some simple questions about the NPM itself, the average number of adult prisons and prisoners in 2017 in the state concerned and the frequency, duration and size of prison visits undertaken by the NPM in 2017. Recipients</w:t>
      </w:r>
      <w:r w:rsidRPr="00905707">
        <w:rPr>
          <w:color w:val="000000"/>
        </w:rPr>
        <w:t xml:space="preserve"> were told </w:t>
      </w:r>
      <w:r w:rsidR="00A36654">
        <w:rPr>
          <w:color w:val="000000"/>
        </w:rPr>
        <w:t xml:space="preserve">that </w:t>
      </w:r>
      <w:r w:rsidRPr="00905707">
        <w:rPr>
          <w:color w:val="000000"/>
        </w:rPr>
        <w:t>individual responses would be confidential</w:t>
      </w:r>
      <w:r w:rsidR="007750F9">
        <w:rPr>
          <w:color w:val="000000"/>
        </w:rPr>
        <w:t xml:space="preserve"> </w:t>
      </w:r>
      <w:r w:rsidR="00E10ED7">
        <w:rPr>
          <w:color w:val="000000"/>
        </w:rPr>
        <w:t xml:space="preserve">so </w:t>
      </w:r>
      <w:r w:rsidR="006B1B7E">
        <w:rPr>
          <w:color w:val="000000"/>
        </w:rPr>
        <w:t xml:space="preserve">any reference to a named NPM </w:t>
      </w:r>
      <w:r w:rsidR="00E10ED7">
        <w:rPr>
          <w:color w:val="000000"/>
        </w:rPr>
        <w:t xml:space="preserve">in this paper </w:t>
      </w:r>
      <w:r w:rsidR="006B1B7E">
        <w:rPr>
          <w:color w:val="000000"/>
        </w:rPr>
        <w:t>is</w:t>
      </w:r>
      <w:r w:rsidR="00E10ED7">
        <w:rPr>
          <w:color w:val="000000"/>
        </w:rPr>
        <w:t xml:space="preserve"> taken from publicly available</w:t>
      </w:r>
      <w:r w:rsidR="006B1B7E">
        <w:rPr>
          <w:color w:val="000000"/>
        </w:rPr>
        <w:t xml:space="preserve"> sources</w:t>
      </w:r>
      <w:r>
        <w:rPr>
          <w:color w:val="000000"/>
        </w:rPr>
        <w:t xml:space="preserve">. </w:t>
      </w:r>
      <w:r w:rsidRPr="00905707">
        <w:rPr>
          <w:color w:val="000000"/>
        </w:rPr>
        <w:t>To avoid confusion about the definition of terms,</w:t>
      </w:r>
      <w:r>
        <w:rPr>
          <w:color w:val="000000"/>
        </w:rPr>
        <w:t xml:space="preserve"> the</w:t>
      </w:r>
      <w:r w:rsidRPr="00905707">
        <w:rPr>
          <w:color w:val="000000"/>
        </w:rPr>
        <w:t xml:space="preserve"> </w:t>
      </w:r>
      <w:r w:rsidR="00924744">
        <w:rPr>
          <w:color w:val="000000"/>
        </w:rPr>
        <w:t>survey</w:t>
      </w:r>
      <w:r w:rsidRPr="00905707">
        <w:rPr>
          <w:color w:val="000000"/>
        </w:rPr>
        <w:t xml:space="preserve"> focussed on visits to adult </w:t>
      </w:r>
      <w:r>
        <w:rPr>
          <w:color w:val="000000"/>
        </w:rPr>
        <w:t>prisons. Eighteen</w:t>
      </w:r>
      <w:r w:rsidRPr="00905707">
        <w:rPr>
          <w:color w:val="000000"/>
        </w:rPr>
        <w:t xml:space="preserve"> out of the</w:t>
      </w:r>
      <w:r>
        <w:rPr>
          <w:color w:val="000000"/>
        </w:rPr>
        <w:t xml:space="preserve"> 38</w:t>
      </w:r>
      <w:r w:rsidRPr="00905707">
        <w:rPr>
          <w:color w:val="000000"/>
        </w:rPr>
        <w:t xml:space="preserve"> NPMs in Europe responded and provided some detail abou</w:t>
      </w:r>
      <w:r w:rsidR="005F3A0D">
        <w:rPr>
          <w:color w:val="000000"/>
        </w:rPr>
        <w:t>t the frequency of visits to 155</w:t>
      </w:r>
      <w:r w:rsidRPr="00905707">
        <w:rPr>
          <w:color w:val="000000"/>
        </w:rPr>
        <w:t xml:space="preserve"> prisons</w:t>
      </w:r>
      <w:r>
        <w:rPr>
          <w:color w:val="000000"/>
        </w:rPr>
        <w:t>.</w:t>
      </w:r>
    </w:p>
    <w:p w14:paraId="66243200" w14:textId="7A82403B" w:rsidR="004F003D" w:rsidRDefault="004F003D" w:rsidP="008F0D9B">
      <w:pPr>
        <w:pStyle w:val="NormalWeb"/>
        <w:shd w:val="clear" w:color="auto" w:fill="FFFFFF"/>
        <w:spacing w:before="60" w:beforeAutospacing="0" w:after="60" w:afterAutospacing="0" w:line="480" w:lineRule="auto"/>
        <w:jc w:val="both"/>
        <w:rPr>
          <w:color w:val="000000"/>
        </w:rPr>
      </w:pPr>
      <w:r w:rsidRPr="00905707">
        <w:rPr>
          <w:color w:val="000000"/>
        </w:rPr>
        <w:t xml:space="preserve">Care needs to be taken in interpreting the </w:t>
      </w:r>
      <w:r w:rsidR="00924744">
        <w:rPr>
          <w:color w:val="000000"/>
        </w:rPr>
        <w:t>survey</w:t>
      </w:r>
      <w:r w:rsidRPr="00905707">
        <w:rPr>
          <w:color w:val="000000"/>
        </w:rPr>
        <w:t xml:space="preserve"> results. Despite our best efforts, there was some scope to </w:t>
      </w:r>
      <w:r w:rsidR="00C34CB0">
        <w:rPr>
          <w:color w:val="000000"/>
        </w:rPr>
        <w:t>understand</w:t>
      </w:r>
      <w:r w:rsidR="00C34CB0" w:rsidRPr="00905707">
        <w:rPr>
          <w:color w:val="000000"/>
        </w:rPr>
        <w:t xml:space="preserve"> </w:t>
      </w:r>
      <w:r w:rsidRPr="00905707">
        <w:rPr>
          <w:color w:val="000000"/>
        </w:rPr>
        <w:t xml:space="preserve">the </w:t>
      </w:r>
      <w:r w:rsidR="00C34CB0">
        <w:rPr>
          <w:color w:val="000000"/>
        </w:rPr>
        <w:t>responses</w:t>
      </w:r>
      <w:r w:rsidR="00C34CB0" w:rsidRPr="00905707">
        <w:rPr>
          <w:color w:val="000000"/>
        </w:rPr>
        <w:t xml:space="preserve"> </w:t>
      </w:r>
      <w:r w:rsidRPr="00905707">
        <w:rPr>
          <w:color w:val="000000"/>
        </w:rPr>
        <w:t xml:space="preserve">in different ways.  We do not </w:t>
      </w:r>
      <w:r w:rsidR="00C34CB0">
        <w:rPr>
          <w:color w:val="000000"/>
        </w:rPr>
        <w:t xml:space="preserve">always </w:t>
      </w:r>
      <w:r w:rsidRPr="00905707">
        <w:rPr>
          <w:color w:val="000000"/>
        </w:rPr>
        <w:t xml:space="preserve">know what visits to other </w:t>
      </w:r>
      <w:r>
        <w:rPr>
          <w:color w:val="000000"/>
        </w:rPr>
        <w:t xml:space="preserve">types of </w:t>
      </w:r>
      <w:r w:rsidRPr="00905707">
        <w:rPr>
          <w:color w:val="000000"/>
        </w:rPr>
        <w:t>plac</w:t>
      </w:r>
      <w:r>
        <w:rPr>
          <w:color w:val="000000"/>
        </w:rPr>
        <w:t>es of deprivation of liberty an</w:t>
      </w:r>
      <w:r w:rsidRPr="00905707">
        <w:rPr>
          <w:color w:val="000000"/>
        </w:rPr>
        <w:t xml:space="preserve"> NPM undertook during the year and what effect this may have had on the resources available for their prison visits. Some respondents provided </w:t>
      </w:r>
      <w:r>
        <w:rPr>
          <w:color w:val="000000"/>
        </w:rPr>
        <w:t xml:space="preserve">data for </w:t>
      </w:r>
      <w:r w:rsidRPr="00905707">
        <w:rPr>
          <w:color w:val="000000"/>
        </w:rPr>
        <w:t xml:space="preserve">thematic visits </w:t>
      </w:r>
      <w:r w:rsidR="00A36654">
        <w:rPr>
          <w:color w:val="000000"/>
        </w:rPr>
        <w:t xml:space="preserve">which </w:t>
      </w:r>
      <w:r>
        <w:rPr>
          <w:color w:val="000000"/>
        </w:rPr>
        <w:t>monitor</w:t>
      </w:r>
      <w:r w:rsidR="00A36654">
        <w:rPr>
          <w:color w:val="000000"/>
        </w:rPr>
        <w:t>ed</w:t>
      </w:r>
      <w:r>
        <w:rPr>
          <w:color w:val="000000"/>
        </w:rPr>
        <w:t xml:space="preserve"> a particular aspect o</w:t>
      </w:r>
      <w:r w:rsidRPr="00905707">
        <w:rPr>
          <w:color w:val="000000"/>
        </w:rPr>
        <w:t>f a prison, some did not. We did not have complete data from some NPMs that comprised more than one organisation</w:t>
      </w:r>
      <w:r w:rsidR="00D44DD3">
        <w:rPr>
          <w:color w:val="000000"/>
        </w:rPr>
        <w:t>, and therefore for some of these the frequency of visits may be higher than recorded on our survey</w:t>
      </w:r>
      <w:r w:rsidRPr="00905707">
        <w:rPr>
          <w:color w:val="000000"/>
        </w:rPr>
        <w:t xml:space="preserve">.  In almost all cases we relied on the data supplied by the NPMs themselves but in one or two </w:t>
      </w:r>
      <w:r>
        <w:rPr>
          <w:color w:val="000000"/>
        </w:rPr>
        <w:t>we added</w:t>
      </w:r>
      <w:r w:rsidRPr="00905707">
        <w:rPr>
          <w:color w:val="000000"/>
        </w:rPr>
        <w:t xml:space="preserve"> additional information when this was not supplied by the NPM itself or corrected obvious misunderstandings where we could verify the correct information from other sources. Nevertheless, we believe the data we have collected provides a good overview of how a cross-section of NPMs in Europe have interpreted the regularity aspect of their mandate. </w:t>
      </w:r>
    </w:p>
    <w:p w14:paraId="5B661AA7" w14:textId="7B321F29" w:rsidR="007750F9" w:rsidRPr="001D2AD9" w:rsidRDefault="00257054" w:rsidP="008F0D9B">
      <w:pPr>
        <w:pStyle w:val="NormalWeb"/>
        <w:shd w:val="clear" w:color="auto" w:fill="FFFFFF"/>
        <w:spacing w:before="60" w:beforeAutospacing="0" w:after="60" w:afterAutospacing="0" w:line="480" w:lineRule="auto"/>
        <w:jc w:val="both"/>
        <w:rPr>
          <w:b/>
          <w:color w:val="000000"/>
        </w:rPr>
      </w:pPr>
      <w:r>
        <w:rPr>
          <w:b/>
          <w:color w:val="000000"/>
        </w:rPr>
        <w:t>B.</w:t>
      </w:r>
      <w:r>
        <w:rPr>
          <w:b/>
          <w:color w:val="000000"/>
        </w:rPr>
        <w:tab/>
      </w:r>
      <w:r w:rsidR="008E1739">
        <w:rPr>
          <w:b/>
          <w:color w:val="000000"/>
        </w:rPr>
        <w:t>Characteristics of NPM survey responders</w:t>
      </w:r>
    </w:p>
    <w:p w14:paraId="4CE26DCA" w14:textId="3F040D10" w:rsidR="00257054" w:rsidRPr="00257054" w:rsidRDefault="00257054" w:rsidP="008F0D9B">
      <w:pPr>
        <w:pStyle w:val="NormalWeb"/>
        <w:shd w:val="clear" w:color="auto" w:fill="FFFFFF"/>
        <w:spacing w:before="60" w:beforeAutospacing="0" w:after="60" w:afterAutospacing="0" w:line="480" w:lineRule="auto"/>
        <w:jc w:val="both"/>
        <w:rPr>
          <w:b/>
          <w:i/>
          <w:color w:val="000000"/>
        </w:rPr>
      </w:pPr>
      <w:r w:rsidRPr="00257054">
        <w:rPr>
          <w:b/>
          <w:i/>
          <w:color w:val="000000"/>
        </w:rPr>
        <w:t>1.</w:t>
      </w:r>
      <w:r w:rsidRPr="00257054">
        <w:rPr>
          <w:b/>
          <w:i/>
          <w:color w:val="000000"/>
        </w:rPr>
        <w:tab/>
        <w:t>Overview</w:t>
      </w:r>
    </w:p>
    <w:p w14:paraId="19760564" w14:textId="77777777" w:rsidR="00257054" w:rsidRDefault="00865F92" w:rsidP="008F0D9B">
      <w:pPr>
        <w:pStyle w:val="NormalWeb"/>
        <w:shd w:val="clear" w:color="auto" w:fill="FFFFFF"/>
        <w:spacing w:before="60" w:beforeAutospacing="0" w:after="60" w:afterAutospacing="0" w:line="480" w:lineRule="auto"/>
        <w:jc w:val="both"/>
        <w:rPr>
          <w:color w:val="000000"/>
        </w:rPr>
      </w:pPr>
      <w:r>
        <w:rPr>
          <w:color w:val="000000"/>
        </w:rPr>
        <w:lastRenderedPageBreak/>
        <w:t xml:space="preserve">Appendix A summarises </w:t>
      </w:r>
      <w:r w:rsidR="007F45AD">
        <w:rPr>
          <w:color w:val="000000"/>
        </w:rPr>
        <w:t xml:space="preserve">the </w:t>
      </w:r>
      <w:r w:rsidR="008442BD">
        <w:rPr>
          <w:color w:val="000000"/>
        </w:rPr>
        <w:t xml:space="preserve">main </w:t>
      </w:r>
      <w:r w:rsidR="007F45AD">
        <w:rPr>
          <w:color w:val="000000"/>
        </w:rPr>
        <w:t xml:space="preserve">results of our survey concerning the characteristics of the NPM, </w:t>
      </w:r>
      <w:r>
        <w:rPr>
          <w:color w:val="000000"/>
        </w:rPr>
        <w:t xml:space="preserve">the resources available to it and </w:t>
      </w:r>
      <w:r w:rsidR="007F45AD">
        <w:rPr>
          <w:color w:val="000000"/>
        </w:rPr>
        <w:t>the size of the prison population and the number of prisons in the state concern</w:t>
      </w:r>
      <w:r>
        <w:rPr>
          <w:color w:val="000000"/>
        </w:rPr>
        <w:t>ed</w:t>
      </w:r>
      <w:r w:rsidR="007F45AD">
        <w:rPr>
          <w:color w:val="000000"/>
        </w:rPr>
        <w:t xml:space="preserve">. </w:t>
      </w:r>
    </w:p>
    <w:p w14:paraId="6E636468" w14:textId="59DB7512" w:rsidR="00257054" w:rsidRPr="00257054" w:rsidRDefault="00257054" w:rsidP="008F0D9B">
      <w:pPr>
        <w:pStyle w:val="NormalWeb"/>
        <w:shd w:val="clear" w:color="auto" w:fill="FFFFFF"/>
        <w:spacing w:before="60" w:beforeAutospacing="0" w:after="60" w:afterAutospacing="0" w:line="480" w:lineRule="auto"/>
        <w:jc w:val="both"/>
        <w:rPr>
          <w:b/>
          <w:i/>
          <w:color w:val="000000"/>
        </w:rPr>
      </w:pPr>
      <w:r w:rsidRPr="00257054">
        <w:rPr>
          <w:b/>
          <w:i/>
          <w:color w:val="000000"/>
        </w:rPr>
        <w:t>2.</w:t>
      </w:r>
      <w:r w:rsidRPr="00257054">
        <w:rPr>
          <w:b/>
          <w:i/>
          <w:color w:val="000000"/>
        </w:rPr>
        <w:tab/>
        <w:t>Location, type and year of designation</w:t>
      </w:r>
    </w:p>
    <w:p w14:paraId="5327256E" w14:textId="3048B6EB" w:rsidR="00257054" w:rsidRDefault="007750F9" w:rsidP="008F0D9B">
      <w:pPr>
        <w:pStyle w:val="NormalWeb"/>
        <w:shd w:val="clear" w:color="auto" w:fill="FFFFFF"/>
        <w:spacing w:before="60" w:beforeAutospacing="0" w:after="60" w:afterAutospacing="0" w:line="480" w:lineRule="auto"/>
        <w:jc w:val="both"/>
        <w:rPr>
          <w:color w:val="000000"/>
        </w:rPr>
      </w:pPr>
      <w:r w:rsidRPr="00905707">
        <w:rPr>
          <w:color w:val="000000"/>
        </w:rPr>
        <w:t>Respondents included NPMs from all parts of the region</w:t>
      </w:r>
      <w:r>
        <w:rPr>
          <w:color w:val="000000"/>
        </w:rPr>
        <w:t xml:space="preserve"> and </w:t>
      </w:r>
      <w:r w:rsidR="00A36654">
        <w:rPr>
          <w:color w:val="000000"/>
        </w:rPr>
        <w:t xml:space="preserve">which </w:t>
      </w:r>
      <w:r>
        <w:rPr>
          <w:color w:val="000000"/>
        </w:rPr>
        <w:t xml:space="preserve">were </w:t>
      </w:r>
      <w:r w:rsidRPr="00905707">
        <w:rPr>
          <w:color w:val="000000"/>
        </w:rPr>
        <w:t>d</w:t>
      </w:r>
      <w:r>
        <w:rPr>
          <w:color w:val="000000"/>
        </w:rPr>
        <w:t>esignated between 2005 and 2014; ten were designated before 2010 and eight were designated in 2010 or later.</w:t>
      </w:r>
      <w:r w:rsidRPr="00905707">
        <w:rPr>
          <w:color w:val="000000"/>
        </w:rPr>
        <w:t xml:space="preserve"> </w:t>
      </w:r>
      <w:r>
        <w:rPr>
          <w:color w:val="000000"/>
        </w:rPr>
        <w:t>Three were new bodies, 11 were ombudsmen or national human rights institutions (NHRIs), three were the 'ombudsma</w:t>
      </w:r>
      <w:r w:rsidR="00865F92">
        <w:rPr>
          <w:color w:val="000000"/>
        </w:rPr>
        <w:t>n plus' model (</w:t>
      </w:r>
      <w:r w:rsidR="00BD245A">
        <w:rPr>
          <w:color w:val="000000"/>
        </w:rPr>
        <w:t>which are defined as where the ‘</w:t>
      </w:r>
      <w:r w:rsidR="00BD245A" w:rsidRPr="00BD245A">
        <w:rPr>
          <w:color w:val="000000"/>
        </w:rPr>
        <w:t>mandate of the Ombudsman has been expanded to include NPM functions and is sometimes also used to describe cases where other bodies are invited to work with the Ombudsman’s Office in fulfilling the NPM mandate</w:t>
      </w:r>
      <w:r w:rsidR="00BD245A">
        <w:rPr>
          <w:color w:val="000000"/>
        </w:rPr>
        <w:t>’ (OHCHR 2018)</w:t>
      </w:r>
      <w:r>
        <w:rPr>
          <w:color w:val="000000"/>
        </w:rPr>
        <w:t xml:space="preserve">) and one was a multi-body NPM. </w:t>
      </w:r>
    </w:p>
    <w:p w14:paraId="1B0871F0" w14:textId="07083CC6" w:rsidR="00257054" w:rsidRPr="00257054" w:rsidRDefault="00257054" w:rsidP="008F0D9B">
      <w:pPr>
        <w:pStyle w:val="NormalWeb"/>
        <w:shd w:val="clear" w:color="auto" w:fill="FFFFFF"/>
        <w:spacing w:before="60" w:beforeAutospacing="0" w:after="60" w:afterAutospacing="0" w:line="480" w:lineRule="auto"/>
        <w:jc w:val="both"/>
        <w:rPr>
          <w:b/>
          <w:i/>
          <w:color w:val="000000"/>
        </w:rPr>
      </w:pPr>
      <w:r>
        <w:rPr>
          <w:b/>
          <w:i/>
          <w:color w:val="000000"/>
        </w:rPr>
        <w:t>3.</w:t>
      </w:r>
      <w:r>
        <w:rPr>
          <w:b/>
          <w:i/>
          <w:color w:val="000000"/>
        </w:rPr>
        <w:tab/>
        <w:t xml:space="preserve">Total average prison population and number of prisons in 2017 </w:t>
      </w:r>
    </w:p>
    <w:p w14:paraId="77196430" w14:textId="7DD81064" w:rsidR="007750F9" w:rsidRDefault="007750F9" w:rsidP="008F0D9B">
      <w:pPr>
        <w:pStyle w:val="NormalWeb"/>
        <w:shd w:val="clear" w:color="auto" w:fill="FFFFFF"/>
        <w:spacing w:before="60" w:beforeAutospacing="0" w:after="60" w:afterAutospacing="0" w:line="480" w:lineRule="auto"/>
        <w:jc w:val="both"/>
        <w:rPr>
          <w:color w:val="000000"/>
        </w:rPr>
      </w:pPr>
      <w:r>
        <w:rPr>
          <w:color w:val="000000"/>
        </w:rPr>
        <w:t>Average total adult p</w:t>
      </w:r>
      <w:r w:rsidRPr="00905707">
        <w:rPr>
          <w:color w:val="000000"/>
        </w:rPr>
        <w:t>rison popul</w:t>
      </w:r>
      <w:r>
        <w:rPr>
          <w:color w:val="000000"/>
        </w:rPr>
        <w:t xml:space="preserve">ations in 2017 (Figure 1) ranged in size </w:t>
      </w:r>
      <w:r w:rsidR="00D05B25">
        <w:rPr>
          <w:color w:val="000000"/>
        </w:rPr>
        <w:t>from c.600 to over 85</w:t>
      </w:r>
      <w:r w:rsidRPr="00905707">
        <w:rPr>
          <w:color w:val="000000"/>
        </w:rPr>
        <w:t>000</w:t>
      </w:r>
      <w:r>
        <w:rPr>
          <w:color w:val="000000"/>
        </w:rPr>
        <w:t xml:space="preserve"> i</w:t>
      </w:r>
      <w:r w:rsidRPr="00905707">
        <w:rPr>
          <w:color w:val="000000"/>
        </w:rPr>
        <w:t>n between 1 and c.300 prisons</w:t>
      </w:r>
      <w:r>
        <w:rPr>
          <w:color w:val="000000"/>
        </w:rPr>
        <w:t xml:space="preserve"> (Figure 2).</w:t>
      </w:r>
      <w:r w:rsidRPr="00905707">
        <w:rPr>
          <w:color w:val="000000"/>
        </w:rPr>
        <w:t xml:space="preserve"> </w:t>
      </w:r>
      <w:r w:rsidR="0057501D">
        <w:rPr>
          <w:color w:val="000000"/>
        </w:rPr>
        <w:t>This significant variation requires us to ensure caution when attempting to compare regularity of visits by NPMs.</w:t>
      </w:r>
    </w:p>
    <w:p w14:paraId="464657B2" w14:textId="08183017" w:rsidR="007750F9" w:rsidRDefault="00D03EA9" w:rsidP="008F0D9B">
      <w:pPr>
        <w:pStyle w:val="NormalWeb"/>
        <w:shd w:val="clear" w:color="auto" w:fill="FFFFFF"/>
        <w:spacing w:before="60" w:beforeAutospacing="0" w:after="60" w:afterAutospacing="0" w:line="480" w:lineRule="auto"/>
        <w:jc w:val="both"/>
        <w:rPr>
          <w:b/>
          <w:color w:val="000000"/>
        </w:rPr>
      </w:pPr>
      <w:r>
        <w:rPr>
          <w:noProof/>
          <w:color w:val="000000"/>
        </w:rPr>
        <w:drawing>
          <wp:anchor distT="0" distB="0" distL="114300" distR="114300" simplePos="0" relativeHeight="251660288" behindDoc="0" locked="0" layoutInCell="1" allowOverlap="1" wp14:anchorId="1ACA983A" wp14:editId="74CACDCA">
            <wp:simplePos x="0" y="0"/>
            <wp:positionH relativeFrom="column">
              <wp:posOffset>3182620</wp:posOffset>
            </wp:positionH>
            <wp:positionV relativeFrom="paragraph">
              <wp:posOffset>276225</wp:posOffset>
            </wp:positionV>
            <wp:extent cx="2948305" cy="3032760"/>
            <wp:effectExtent l="0" t="0" r="10795" b="1524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9264" behindDoc="0" locked="0" layoutInCell="1" allowOverlap="1" wp14:anchorId="241C409C" wp14:editId="2FB00AC4">
            <wp:simplePos x="0" y="0"/>
            <wp:positionH relativeFrom="column">
              <wp:posOffset>-4445</wp:posOffset>
            </wp:positionH>
            <wp:positionV relativeFrom="paragraph">
              <wp:posOffset>267335</wp:posOffset>
            </wp:positionV>
            <wp:extent cx="2969260" cy="3050540"/>
            <wp:effectExtent l="0" t="0" r="15240" b="1016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A428A21" w14:textId="4F547D79" w:rsidR="007750F9" w:rsidRDefault="007750F9" w:rsidP="008F0D9B">
      <w:pPr>
        <w:pStyle w:val="NormalWeb"/>
        <w:shd w:val="clear" w:color="auto" w:fill="FFFFFF"/>
        <w:spacing w:before="60" w:beforeAutospacing="0" w:after="60" w:afterAutospacing="0" w:line="480" w:lineRule="auto"/>
        <w:jc w:val="both"/>
      </w:pPr>
    </w:p>
    <w:p w14:paraId="6B5B158D" w14:textId="449D31CE" w:rsidR="00D600C5" w:rsidRDefault="00B1496C" w:rsidP="008F0D9B">
      <w:pPr>
        <w:spacing w:before="60" w:after="60" w:line="480" w:lineRule="auto"/>
        <w:jc w:val="both"/>
        <w:rPr>
          <w:rFonts w:ascii="Times New Roman" w:eastAsia="Hiragino Sans W4" w:hAnsi="Times New Roman" w:cs="Times New Roman"/>
          <w:b/>
          <w:sz w:val="24"/>
          <w:szCs w:val="24"/>
        </w:rPr>
      </w:pPr>
      <w:r>
        <w:rPr>
          <w:rFonts w:ascii="Times New Roman" w:eastAsia="Hiragino Sans W4" w:hAnsi="Times New Roman" w:cs="Times New Roman"/>
          <w:b/>
          <w:sz w:val="24"/>
          <w:szCs w:val="24"/>
        </w:rPr>
        <w:lastRenderedPageBreak/>
        <w:t>C.</w:t>
      </w:r>
      <w:r>
        <w:rPr>
          <w:rFonts w:ascii="Times New Roman" w:eastAsia="Hiragino Sans W4" w:hAnsi="Times New Roman" w:cs="Times New Roman"/>
          <w:b/>
          <w:sz w:val="24"/>
          <w:szCs w:val="24"/>
        </w:rPr>
        <w:tab/>
      </w:r>
      <w:r w:rsidR="0025126F">
        <w:rPr>
          <w:rFonts w:ascii="Times New Roman" w:eastAsia="Hiragino Sans W4" w:hAnsi="Times New Roman" w:cs="Times New Roman"/>
          <w:b/>
          <w:sz w:val="24"/>
          <w:szCs w:val="24"/>
        </w:rPr>
        <w:t>OPCAT requirements and the SPT practice</w:t>
      </w:r>
    </w:p>
    <w:p w14:paraId="763305E4" w14:textId="77777777" w:rsidR="00D03EA9" w:rsidRDefault="002D3123" w:rsidP="008F0D9B">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The preamble in OPCAT, remind</w:t>
      </w:r>
      <w:r w:rsidR="00A979D5" w:rsidRPr="00114918">
        <w:rPr>
          <w:rFonts w:ascii="Times New Roman" w:eastAsia="Hiragino Sans W4" w:hAnsi="Times New Roman" w:cs="Times New Roman"/>
          <w:sz w:val="24"/>
          <w:szCs w:val="24"/>
        </w:rPr>
        <w:t xml:space="preserve">s </w:t>
      </w:r>
      <w:r w:rsidR="00D03EA9">
        <w:rPr>
          <w:rFonts w:ascii="Times New Roman" w:eastAsia="Hiragino Sans W4" w:hAnsi="Times New Roman" w:cs="Times New Roman"/>
          <w:sz w:val="24"/>
          <w:szCs w:val="24"/>
        </w:rPr>
        <w:t xml:space="preserve">us that </w:t>
      </w:r>
    </w:p>
    <w:p w14:paraId="2DFF5FEA" w14:textId="329A28D2" w:rsidR="00D03EA9" w:rsidRPr="003176E0" w:rsidRDefault="002D3123" w:rsidP="00D03EA9">
      <w:pPr>
        <w:spacing w:before="60" w:after="60" w:line="480" w:lineRule="auto"/>
        <w:ind w:left="720"/>
        <w:jc w:val="both"/>
        <w:rPr>
          <w:rFonts w:ascii="Times New Roman" w:eastAsia="Hiragino Sans W4" w:hAnsi="Times New Roman" w:cs="Times New Roman"/>
          <w:sz w:val="16"/>
          <w:szCs w:val="16"/>
        </w:rPr>
      </w:pPr>
      <w:r w:rsidRPr="003176E0">
        <w:rPr>
          <w:rFonts w:ascii="Times New Roman" w:eastAsia="Hiragino Sans W4" w:hAnsi="Times New Roman" w:cs="Times New Roman"/>
          <w:sz w:val="16"/>
          <w:szCs w:val="16"/>
        </w:rPr>
        <w:t>the protection of persons deprived of their liberty against torture and other cruel, inhuman or degrading treatment or punishment can be strengthened by non-judicial means of a preventive nature, based on regula</w:t>
      </w:r>
      <w:r w:rsidR="00D03EA9" w:rsidRPr="003176E0">
        <w:rPr>
          <w:rFonts w:ascii="Times New Roman" w:eastAsia="Hiragino Sans W4" w:hAnsi="Times New Roman" w:cs="Times New Roman"/>
          <w:sz w:val="16"/>
          <w:szCs w:val="16"/>
        </w:rPr>
        <w:t>r visits to places of detention</w:t>
      </w:r>
      <w:r w:rsidR="008D348D" w:rsidRPr="003176E0">
        <w:rPr>
          <w:rFonts w:ascii="Times New Roman" w:eastAsia="Hiragino Sans W4" w:hAnsi="Times New Roman" w:cs="Times New Roman"/>
          <w:sz w:val="16"/>
          <w:szCs w:val="16"/>
        </w:rPr>
        <w:t xml:space="preserve">. </w:t>
      </w:r>
    </w:p>
    <w:p w14:paraId="6E637A7F" w14:textId="4DEF2A73" w:rsidR="002D3123" w:rsidRPr="00114918" w:rsidRDefault="008D348D" w:rsidP="00D03EA9">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As set out above</w:t>
      </w:r>
      <w:r w:rsidR="00A979D5" w:rsidRPr="00114918">
        <w:rPr>
          <w:rFonts w:ascii="Times New Roman" w:eastAsia="Hiragino Sans W4" w:hAnsi="Times New Roman" w:cs="Times New Roman"/>
          <w:sz w:val="24"/>
          <w:szCs w:val="24"/>
        </w:rPr>
        <w:t>, this</w:t>
      </w:r>
      <w:r w:rsidR="002D3123" w:rsidRPr="00114918">
        <w:rPr>
          <w:rFonts w:ascii="Times New Roman" w:eastAsia="Hiragino Sans W4" w:hAnsi="Times New Roman" w:cs="Times New Roman"/>
          <w:sz w:val="24"/>
          <w:szCs w:val="24"/>
        </w:rPr>
        <w:t xml:space="preserve"> is then underscored by Article 1 which </w:t>
      </w:r>
      <w:r w:rsidR="00CA25F7">
        <w:rPr>
          <w:rFonts w:ascii="Times New Roman" w:eastAsia="Hiragino Sans W4" w:hAnsi="Times New Roman" w:cs="Times New Roman"/>
          <w:sz w:val="24"/>
          <w:szCs w:val="24"/>
        </w:rPr>
        <w:t>details</w:t>
      </w:r>
      <w:r w:rsidR="002D3123" w:rsidRPr="00114918">
        <w:rPr>
          <w:rFonts w:ascii="Times New Roman" w:eastAsia="Hiragino Sans W4" w:hAnsi="Times New Roman" w:cs="Times New Roman"/>
          <w:sz w:val="24"/>
          <w:szCs w:val="24"/>
        </w:rPr>
        <w:t xml:space="preserve"> the objective of OPCAT</w:t>
      </w:r>
      <w:r>
        <w:rPr>
          <w:rFonts w:ascii="Times New Roman" w:eastAsia="Hiragino Sans W4" w:hAnsi="Times New Roman" w:cs="Times New Roman"/>
          <w:sz w:val="24"/>
          <w:szCs w:val="24"/>
        </w:rPr>
        <w:t>.</w:t>
      </w:r>
    </w:p>
    <w:p w14:paraId="1043E03A" w14:textId="7C7B2003" w:rsidR="00433453" w:rsidRDefault="00CA25F7"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This provision</w:t>
      </w:r>
      <w:r w:rsidR="0017337D" w:rsidRPr="00114918">
        <w:rPr>
          <w:rFonts w:ascii="Times New Roman" w:eastAsia="Hiragino Sans W4" w:hAnsi="Times New Roman" w:cs="Times New Roman"/>
          <w:sz w:val="24"/>
          <w:szCs w:val="24"/>
        </w:rPr>
        <w:t xml:space="preserve"> </w:t>
      </w:r>
      <w:r w:rsidR="000D7E3A" w:rsidRPr="00114918">
        <w:rPr>
          <w:rFonts w:ascii="Times New Roman" w:eastAsia="Hiragino Sans W4" w:hAnsi="Times New Roman" w:cs="Times New Roman"/>
          <w:sz w:val="24"/>
          <w:szCs w:val="24"/>
        </w:rPr>
        <w:t>mentions</w:t>
      </w:r>
      <w:r w:rsidR="0017337D" w:rsidRPr="00114918">
        <w:rPr>
          <w:rFonts w:ascii="Times New Roman" w:eastAsia="Hiragino Sans W4" w:hAnsi="Times New Roman" w:cs="Times New Roman"/>
          <w:sz w:val="24"/>
          <w:szCs w:val="24"/>
        </w:rPr>
        <w:t xml:space="preserve"> ‘regular </w:t>
      </w:r>
      <w:r w:rsidR="000D7E3A" w:rsidRPr="00114918">
        <w:rPr>
          <w:rFonts w:ascii="Times New Roman" w:eastAsia="Hiragino Sans W4" w:hAnsi="Times New Roman" w:cs="Times New Roman"/>
          <w:sz w:val="24"/>
          <w:szCs w:val="24"/>
        </w:rPr>
        <w:t>visits</w:t>
      </w:r>
      <w:r w:rsidR="0017337D" w:rsidRPr="00114918">
        <w:rPr>
          <w:rFonts w:ascii="Times New Roman" w:eastAsia="Hiragino Sans W4" w:hAnsi="Times New Roman" w:cs="Times New Roman"/>
          <w:sz w:val="24"/>
          <w:szCs w:val="24"/>
        </w:rPr>
        <w:t xml:space="preserve"> by international and national’ bodies,</w:t>
      </w:r>
      <w:r w:rsidR="00A979D5" w:rsidRPr="00114918">
        <w:rPr>
          <w:rFonts w:ascii="Times New Roman" w:eastAsia="Hiragino Sans W4" w:hAnsi="Times New Roman" w:cs="Times New Roman"/>
          <w:sz w:val="24"/>
          <w:szCs w:val="24"/>
        </w:rPr>
        <w:t xml:space="preserve"> and subsequent </w:t>
      </w:r>
      <w:r>
        <w:rPr>
          <w:rFonts w:ascii="Times New Roman" w:eastAsia="Hiragino Sans W4" w:hAnsi="Times New Roman" w:cs="Times New Roman"/>
          <w:sz w:val="24"/>
          <w:szCs w:val="24"/>
        </w:rPr>
        <w:t>articles</w:t>
      </w:r>
      <w:r w:rsidRPr="00114918">
        <w:rPr>
          <w:rFonts w:ascii="Times New Roman" w:eastAsia="Hiragino Sans W4" w:hAnsi="Times New Roman" w:cs="Times New Roman"/>
          <w:sz w:val="24"/>
          <w:szCs w:val="24"/>
        </w:rPr>
        <w:t xml:space="preserve"> </w:t>
      </w:r>
      <w:r w:rsidR="00A979D5" w:rsidRPr="00114918">
        <w:rPr>
          <w:rFonts w:ascii="Times New Roman" w:eastAsia="Hiragino Sans W4" w:hAnsi="Times New Roman" w:cs="Times New Roman"/>
          <w:sz w:val="24"/>
          <w:szCs w:val="24"/>
        </w:rPr>
        <w:t xml:space="preserve">explicitly reiterate the regularity of SPT </w:t>
      </w:r>
      <w:r w:rsidR="00C52EC5" w:rsidRPr="00114918">
        <w:rPr>
          <w:rFonts w:ascii="Times New Roman" w:eastAsia="Hiragino Sans W4" w:hAnsi="Times New Roman" w:cs="Times New Roman"/>
          <w:sz w:val="24"/>
          <w:szCs w:val="24"/>
        </w:rPr>
        <w:t>visits</w:t>
      </w:r>
      <w:r w:rsidR="00A979D5" w:rsidRPr="00114918">
        <w:rPr>
          <w:rFonts w:ascii="Times New Roman" w:eastAsia="Hiragino Sans W4" w:hAnsi="Times New Roman" w:cs="Times New Roman"/>
          <w:sz w:val="24"/>
          <w:szCs w:val="24"/>
        </w:rPr>
        <w:t xml:space="preserve"> (Article 13(1)</w:t>
      </w:r>
      <w:r w:rsidR="00523143">
        <w:rPr>
          <w:rFonts w:ascii="Times New Roman" w:eastAsia="Hiragino Sans W4" w:hAnsi="Times New Roman" w:cs="Times New Roman"/>
          <w:sz w:val="24"/>
          <w:szCs w:val="24"/>
        </w:rPr>
        <w:t>)</w:t>
      </w:r>
      <w:r w:rsidR="00A979D5" w:rsidRPr="00114918">
        <w:rPr>
          <w:rFonts w:ascii="Times New Roman" w:eastAsia="Hiragino Sans W4" w:hAnsi="Times New Roman" w:cs="Times New Roman"/>
          <w:sz w:val="24"/>
          <w:szCs w:val="24"/>
        </w:rPr>
        <w:t>, but not those of NPMs.</w:t>
      </w:r>
      <w:r w:rsidR="0017337D" w:rsidRPr="00114918">
        <w:rPr>
          <w:rFonts w:ascii="Times New Roman" w:eastAsia="Hiragino Sans W4" w:hAnsi="Times New Roman" w:cs="Times New Roman"/>
          <w:sz w:val="24"/>
          <w:szCs w:val="24"/>
        </w:rPr>
        <w:t xml:space="preserve"> Given how</w:t>
      </w:r>
      <w:r w:rsidR="001E673A">
        <w:rPr>
          <w:rFonts w:ascii="Times New Roman" w:eastAsia="Hiragino Sans W4" w:hAnsi="Times New Roman" w:cs="Times New Roman"/>
          <w:sz w:val="24"/>
          <w:szCs w:val="24"/>
        </w:rPr>
        <w:t xml:space="preserve"> infrequently the SPT visits a s</w:t>
      </w:r>
      <w:r w:rsidR="0017337D" w:rsidRPr="00114918">
        <w:rPr>
          <w:rFonts w:ascii="Times New Roman" w:eastAsia="Hiragino Sans W4" w:hAnsi="Times New Roman" w:cs="Times New Roman"/>
          <w:sz w:val="24"/>
          <w:szCs w:val="24"/>
        </w:rPr>
        <w:t>tate</w:t>
      </w:r>
      <w:r w:rsidR="00A979D5" w:rsidRPr="00114918">
        <w:rPr>
          <w:rFonts w:ascii="Times New Roman" w:eastAsia="Hiragino Sans W4" w:hAnsi="Times New Roman" w:cs="Times New Roman"/>
          <w:sz w:val="24"/>
          <w:szCs w:val="24"/>
        </w:rPr>
        <w:t>,</w:t>
      </w:r>
      <w:r w:rsidR="001E673A">
        <w:rPr>
          <w:rFonts w:ascii="Times New Roman" w:eastAsia="Hiragino Sans W4" w:hAnsi="Times New Roman" w:cs="Times New Roman"/>
          <w:sz w:val="24"/>
          <w:szCs w:val="24"/>
        </w:rPr>
        <w:t xml:space="preserve"> this appears surprising until</w:t>
      </w:r>
      <w:r w:rsidR="00A979D5" w:rsidRPr="00114918">
        <w:rPr>
          <w:rFonts w:ascii="Times New Roman" w:eastAsia="Hiragino Sans W4" w:hAnsi="Times New Roman" w:cs="Times New Roman"/>
          <w:sz w:val="24"/>
          <w:szCs w:val="24"/>
        </w:rPr>
        <w:t xml:space="preserve"> one considers the context in which the OPCAT was drafted and its initial focus being on an international body undertaking visits, with the idea of national bodies being proposed later in the drafting as a way of overcoming an impasse by those States reluctant to permit an </w:t>
      </w:r>
      <w:r w:rsidR="00C52EC5" w:rsidRPr="00114918">
        <w:rPr>
          <w:rFonts w:ascii="Times New Roman" w:eastAsia="Hiragino Sans W4" w:hAnsi="Times New Roman" w:cs="Times New Roman"/>
          <w:sz w:val="24"/>
          <w:szCs w:val="24"/>
        </w:rPr>
        <w:t>international</w:t>
      </w:r>
      <w:r w:rsidR="00A979D5" w:rsidRPr="00114918">
        <w:rPr>
          <w:rFonts w:ascii="Times New Roman" w:eastAsia="Hiragino Sans W4" w:hAnsi="Times New Roman" w:cs="Times New Roman"/>
          <w:sz w:val="24"/>
          <w:szCs w:val="24"/>
        </w:rPr>
        <w:t xml:space="preserve"> body onto their territory</w:t>
      </w:r>
      <w:r w:rsidR="00417890">
        <w:rPr>
          <w:rFonts w:ascii="Times New Roman" w:eastAsia="Hiragino Sans W4" w:hAnsi="Times New Roman" w:cs="Times New Roman"/>
          <w:sz w:val="24"/>
          <w:szCs w:val="24"/>
        </w:rPr>
        <w:t xml:space="preserve"> (Murray</w:t>
      </w:r>
      <w:r w:rsidR="003C4957">
        <w:rPr>
          <w:rFonts w:ascii="Times New Roman" w:eastAsia="Hiragino Sans W4" w:hAnsi="Times New Roman" w:cs="Times New Roman"/>
          <w:sz w:val="24"/>
          <w:szCs w:val="24"/>
        </w:rPr>
        <w:t>, Steinerte, Evans and Hallo de Wolf,</w:t>
      </w:r>
      <w:r w:rsidR="00417890">
        <w:rPr>
          <w:rFonts w:ascii="Times New Roman" w:eastAsia="Hiragino Sans W4" w:hAnsi="Times New Roman" w:cs="Times New Roman"/>
          <w:sz w:val="24"/>
          <w:szCs w:val="24"/>
        </w:rPr>
        <w:t xml:space="preserve"> 2011)</w:t>
      </w:r>
      <w:r w:rsidR="00A979D5" w:rsidRPr="00114918">
        <w:rPr>
          <w:rFonts w:ascii="Times New Roman" w:eastAsia="Hiragino Sans W4" w:hAnsi="Times New Roman" w:cs="Times New Roman"/>
          <w:sz w:val="24"/>
          <w:szCs w:val="24"/>
        </w:rPr>
        <w:t>. In reality, the SPT has undertaken a number of different types of visits</w:t>
      </w:r>
      <w:r w:rsidR="009650CA">
        <w:rPr>
          <w:rFonts w:ascii="Times New Roman" w:eastAsia="Hiragino Sans W4" w:hAnsi="Times New Roman" w:cs="Times New Roman"/>
          <w:sz w:val="24"/>
          <w:szCs w:val="24"/>
        </w:rPr>
        <w:t xml:space="preserve"> (SPT, </w:t>
      </w:r>
      <w:hyperlink r:id="rId10" w:history="1">
        <w:r w:rsidR="009650CA" w:rsidRPr="00D86554">
          <w:rPr>
            <w:rStyle w:val="Hyperlink"/>
            <w:rFonts w:ascii="Calisto MT" w:hAnsi="Calisto MT"/>
          </w:rPr>
          <w:t>https://www.ohchr.org/EN/HRBodies/OPCAT/Pages/OPCATIndex.aspx</w:t>
        </w:r>
      </w:hyperlink>
      <w:r w:rsidR="009650CA">
        <w:rPr>
          <w:rStyle w:val="Hyperlink"/>
          <w:rFonts w:ascii="Calisto MT" w:hAnsi="Calisto MT"/>
        </w:rPr>
        <w:t>)</w:t>
      </w:r>
      <w:r w:rsidR="001E673A">
        <w:rPr>
          <w:rFonts w:ascii="Times New Roman" w:eastAsia="Hiragino Sans W4" w:hAnsi="Times New Roman" w:cs="Times New Roman"/>
          <w:sz w:val="24"/>
          <w:szCs w:val="24"/>
        </w:rPr>
        <w:t xml:space="preserve"> but given that the s</w:t>
      </w:r>
      <w:r w:rsidR="00A979D5" w:rsidRPr="00114918">
        <w:rPr>
          <w:rFonts w:ascii="Times New Roman" w:eastAsia="Hiragino Sans W4" w:hAnsi="Times New Roman" w:cs="Times New Roman"/>
          <w:sz w:val="24"/>
          <w:szCs w:val="24"/>
        </w:rPr>
        <w:t>tates</w:t>
      </w:r>
      <w:r w:rsidR="00C463B8" w:rsidRPr="00114918">
        <w:rPr>
          <w:rFonts w:ascii="Times New Roman" w:eastAsia="Hiragino Sans W4" w:hAnsi="Times New Roman" w:cs="Times New Roman"/>
          <w:sz w:val="24"/>
          <w:szCs w:val="24"/>
        </w:rPr>
        <w:t xml:space="preserve"> </w:t>
      </w:r>
      <w:r w:rsidR="001E673A">
        <w:rPr>
          <w:rFonts w:ascii="Times New Roman" w:eastAsia="Hiragino Sans W4" w:hAnsi="Times New Roman" w:cs="Times New Roman"/>
          <w:sz w:val="24"/>
          <w:szCs w:val="24"/>
        </w:rPr>
        <w:t>p</w:t>
      </w:r>
      <w:r w:rsidR="00C463B8" w:rsidRPr="00114918">
        <w:rPr>
          <w:rFonts w:ascii="Times New Roman" w:eastAsia="Hiragino Sans W4" w:hAnsi="Times New Roman" w:cs="Times New Roman"/>
          <w:sz w:val="24"/>
          <w:szCs w:val="24"/>
        </w:rPr>
        <w:t>arties to the OPCAT are now 88</w:t>
      </w:r>
      <w:r w:rsidR="00A979D5" w:rsidRPr="00114918">
        <w:rPr>
          <w:rFonts w:ascii="Times New Roman" w:eastAsia="Hiragino Sans W4" w:hAnsi="Times New Roman" w:cs="Times New Roman"/>
          <w:sz w:val="24"/>
          <w:szCs w:val="24"/>
        </w:rPr>
        <w:t xml:space="preserve"> and the number of </w:t>
      </w:r>
      <w:r w:rsidR="00433453" w:rsidRPr="00114918">
        <w:rPr>
          <w:rFonts w:ascii="Times New Roman" w:eastAsia="Hiragino Sans W4" w:hAnsi="Times New Roman" w:cs="Times New Roman"/>
          <w:sz w:val="24"/>
          <w:szCs w:val="24"/>
        </w:rPr>
        <w:t xml:space="preserve">(part time) </w:t>
      </w:r>
      <w:r w:rsidR="00C52EC5" w:rsidRPr="00114918">
        <w:rPr>
          <w:rFonts w:ascii="Times New Roman" w:eastAsia="Hiragino Sans W4" w:hAnsi="Times New Roman" w:cs="Times New Roman"/>
          <w:sz w:val="24"/>
          <w:szCs w:val="24"/>
        </w:rPr>
        <w:t>members</w:t>
      </w:r>
      <w:r w:rsidR="00A979D5" w:rsidRPr="00114918">
        <w:rPr>
          <w:rFonts w:ascii="Times New Roman" w:eastAsia="Hiragino Sans W4" w:hAnsi="Times New Roman" w:cs="Times New Roman"/>
          <w:sz w:val="24"/>
          <w:szCs w:val="24"/>
        </w:rPr>
        <w:t xml:space="preserve"> of the SPT </w:t>
      </w:r>
      <w:r w:rsidR="00C463B8" w:rsidRPr="00114918">
        <w:rPr>
          <w:rFonts w:ascii="Times New Roman" w:eastAsia="Hiragino Sans W4" w:hAnsi="Times New Roman" w:cs="Times New Roman"/>
          <w:sz w:val="24"/>
          <w:szCs w:val="24"/>
        </w:rPr>
        <w:t>are only 25</w:t>
      </w:r>
      <w:r w:rsidR="001E673A">
        <w:rPr>
          <w:rFonts w:ascii="Times New Roman" w:eastAsia="Hiragino Sans W4" w:hAnsi="Times New Roman" w:cs="Times New Roman"/>
          <w:sz w:val="24"/>
          <w:szCs w:val="24"/>
        </w:rPr>
        <w:t>, it is unlikely that a s</w:t>
      </w:r>
      <w:r w:rsidR="00A979D5" w:rsidRPr="00114918">
        <w:rPr>
          <w:rFonts w:ascii="Times New Roman" w:eastAsia="Hiragino Sans W4" w:hAnsi="Times New Roman" w:cs="Times New Roman"/>
          <w:sz w:val="24"/>
          <w:szCs w:val="24"/>
        </w:rPr>
        <w:t>tate, let alone every place of detention within it, is going to be receiving visits from the international body for several years.</w:t>
      </w:r>
      <w:r w:rsidR="00433453" w:rsidRPr="00114918">
        <w:rPr>
          <w:rFonts w:ascii="Times New Roman" w:eastAsia="Hiragino Sans W4" w:hAnsi="Times New Roman" w:cs="Times New Roman"/>
          <w:sz w:val="24"/>
          <w:szCs w:val="24"/>
        </w:rPr>
        <w:t xml:space="preserve"> </w:t>
      </w:r>
      <w:r w:rsidR="006740A1">
        <w:rPr>
          <w:rFonts w:ascii="Times New Roman" w:eastAsia="Hiragino Sans W4" w:hAnsi="Times New Roman" w:cs="Times New Roman"/>
          <w:sz w:val="24"/>
          <w:szCs w:val="24"/>
        </w:rPr>
        <w:t>The SPT’s annual reports of 2008 to 2018 record it has undertaken</w:t>
      </w:r>
      <w:r w:rsidR="00B03EA4">
        <w:rPr>
          <w:rFonts w:ascii="Times New Roman" w:eastAsia="Hiragino Sans W4" w:hAnsi="Times New Roman" w:cs="Times New Roman"/>
          <w:sz w:val="24"/>
          <w:szCs w:val="24"/>
        </w:rPr>
        <w:t xml:space="preserve"> 61 visits of all types to 51 state parties, making two visits to ten of these</w:t>
      </w:r>
      <w:r w:rsidR="00F31D9D">
        <w:rPr>
          <w:rFonts w:ascii="Times New Roman" w:eastAsia="Hiragino Sans W4" w:hAnsi="Times New Roman" w:cs="Times New Roman"/>
          <w:sz w:val="24"/>
          <w:szCs w:val="24"/>
        </w:rPr>
        <w:t xml:space="preserve"> (SPT 2008, 2009, 2010</w:t>
      </w:r>
      <w:r w:rsidR="000C7FE6">
        <w:rPr>
          <w:rFonts w:ascii="Times New Roman" w:eastAsia="Hiragino Sans W4" w:hAnsi="Times New Roman" w:cs="Times New Roman"/>
          <w:sz w:val="24"/>
          <w:szCs w:val="24"/>
        </w:rPr>
        <w:t>a</w:t>
      </w:r>
      <w:r w:rsidR="00F31D9D">
        <w:rPr>
          <w:rFonts w:ascii="Times New Roman" w:eastAsia="Hiragino Sans W4" w:hAnsi="Times New Roman" w:cs="Times New Roman"/>
          <w:sz w:val="24"/>
          <w:szCs w:val="24"/>
        </w:rPr>
        <w:t>, 2011, 2012, 2013, 2014, 2015, 2016</w:t>
      </w:r>
      <w:r w:rsidR="000C7FE6">
        <w:rPr>
          <w:rFonts w:ascii="Times New Roman" w:eastAsia="Hiragino Sans W4" w:hAnsi="Times New Roman" w:cs="Times New Roman"/>
          <w:sz w:val="24"/>
          <w:szCs w:val="24"/>
        </w:rPr>
        <w:t>a</w:t>
      </w:r>
      <w:r w:rsidR="00F31D9D">
        <w:rPr>
          <w:rFonts w:ascii="Times New Roman" w:eastAsia="Hiragino Sans W4" w:hAnsi="Times New Roman" w:cs="Times New Roman"/>
          <w:sz w:val="24"/>
          <w:szCs w:val="24"/>
        </w:rPr>
        <w:t>, 2017, 2018)</w:t>
      </w:r>
      <w:r w:rsidR="00B03EA4">
        <w:rPr>
          <w:rFonts w:ascii="Times New Roman" w:eastAsia="Hiragino Sans W4" w:hAnsi="Times New Roman" w:cs="Times New Roman"/>
          <w:sz w:val="24"/>
          <w:szCs w:val="24"/>
        </w:rPr>
        <w:t>.  Not all these visits include visits to places of deprivation of liberty.</w:t>
      </w:r>
      <w:r w:rsidR="006740A1">
        <w:rPr>
          <w:rFonts w:ascii="Times New Roman" w:eastAsia="Hiragino Sans W4" w:hAnsi="Times New Roman" w:cs="Times New Roman"/>
          <w:sz w:val="24"/>
          <w:szCs w:val="24"/>
        </w:rPr>
        <w:t xml:space="preserve">  </w:t>
      </w:r>
      <w:r w:rsidR="00466885">
        <w:rPr>
          <w:rFonts w:ascii="Times New Roman" w:eastAsia="Hiragino Sans W4" w:hAnsi="Times New Roman" w:cs="Times New Roman"/>
          <w:sz w:val="24"/>
          <w:szCs w:val="24"/>
        </w:rPr>
        <w:t xml:space="preserve">The SPT undertook just ten official visits in 2017 lasting between six and </w:t>
      </w:r>
      <w:r w:rsidR="001E673A">
        <w:rPr>
          <w:rFonts w:ascii="Times New Roman" w:eastAsia="Hiragino Sans W4" w:hAnsi="Times New Roman" w:cs="Times New Roman"/>
          <w:sz w:val="24"/>
          <w:szCs w:val="24"/>
        </w:rPr>
        <w:t>1</w:t>
      </w:r>
      <w:r w:rsidR="00466885">
        <w:rPr>
          <w:rFonts w:ascii="Times New Roman" w:eastAsia="Hiragino Sans W4" w:hAnsi="Times New Roman" w:cs="Times New Roman"/>
          <w:sz w:val="24"/>
          <w:szCs w:val="24"/>
        </w:rPr>
        <w:t>2 days</w:t>
      </w:r>
      <w:r w:rsidR="001E673A">
        <w:rPr>
          <w:rFonts w:ascii="Times New Roman" w:eastAsia="Hiragino Sans W4" w:hAnsi="Times New Roman" w:cs="Times New Roman"/>
          <w:sz w:val="24"/>
          <w:szCs w:val="24"/>
        </w:rPr>
        <w:t xml:space="preserve"> and these visits may include every type of place of deprivation of liberty and so the chances of a return to any individual institution are very small</w:t>
      </w:r>
      <w:r w:rsidR="007F6071">
        <w:rPr>
          <w:rFonts w:ascii="Times New Roman" w:eastAsia="Hiragino Sans W4" w:hAnsi="Times New Roman" w:cs="Times New Roman"/>
          <w:sz w:val="24"/>
          <w:szCs w:val="24"/>
        </w:rPr>
        <w:t xml:space="preserve"> </w:t>
      </w:r>
      <w:bookmarkStart w:id="0" w:name="_Hlk520965574"/>
      <w:r w:rsidR="007F6071">
        <w:rPr>
          <w:rFonts w:ascii="Times New Roman" w:eastAsia="Hiragino Sans W4" w:hAnsi="Times New Roman" w:cs="Times New Roman"/>
          <w:sz w:val="24"/>
          <w:szCs w:val="24"/>
        </w:rPr>
        <w:t xml:space="preserve">(Office of the High Commissioner for Human Rights, </w:t>
      </w:r>
      <w:hyperlink r:id="rId11" w:history="1">
        <w:r w:rsidR="007F6071" w:rsidRPr="00A93333">
          <w:rPr>
            <w:rStyle w:val="Hyperlink"/>
            <w:lang w:val="en-US"/>
          </w:rPr>
          <w:t>tbinternet.ohchr.org/_layouts/treatybodyexternal/Download.aspx?symbolno=CAT%2fC%2f63%2f4&amp;Lang=en</w:t>
        </w:r>
      </w:hyperlink>
      <w:r w:rsidR="007F6071">
        <w:rPr>
          <w:rStyle w:val="Hyperlink"/>
          <w:lang w:val="en-US"/>
        </w:rPr>
        <w:t>)</w:t>
      </w:r>
      <w:r w:rsidR="00466885">
        <w:rPr>
          <w:rFonts w:ascii="Times New Roman" w:eastAsia="Hiragino Sans W4" w:hAnsi="Times New Roman" w:cs="Times New Roman"/>
          <w:sz w:val="24"/>
          <w:szCs w:val="24"/>
        </w:rPr>
        <w:t xml:space="preserve">. </w:t>
      </w:r>
      <w:bookmarkEnd w:id="0"/>
      <w:r w:rsidR="00433453" w:rsidRPr="00114918">
        <w:rPr>
          <w:rFonts w:ascii="Times New Roman" w:eastAsia="Hiragino Sans W4" w:hAnsi="Times New Roman" w:cs="Times New Roman"/>
          <w:sz w:val="24"/>
          <w:szCs w:val="24"/>
        </w:rPr>
        <w:t>Indeed, as early as its second year the SPT re</w:t>
      </w:r>
      <w:r w:rsidR="00C463B8" w:rsidRPr="00114918">
        <w:rPr>
          <w:rFonts w:ascii="Times New Roman" w:eastAsia="Hiragino Sans W4" w:hAnsi="Times New Roman" w:cs="Times New Roman"/>
          <w:sz w:val="24"/>
          <w:szCs w:val="24"/>
        </w:rPr>
        <w:t>cognised that it had already needed</w:t>
      </w:r>
      <w:r w:rsidR="00433453" w:rsidRPr="00114918">
        <w:rPr>
          <w:rFonts w:ascii="Times New Roman" w:eastAsia="Hiragino Sans W4" w:hAnsi="Times New Roman" w:cs="Times New Roman"/>
          <w:sz w:val="24"/>
          <w:szCs w:val="24"/>
        </w:rPr>
        <w:t xml:space="preserve"> to reduce the number of visits it would be able to carry out and ‘wishes to state categorically that </w:t>
      </w:r>
      <w:r w:rsidR="00433453" w:rsidRPr="00114918">
        <w:rPr>
          <w:rFonts w:ascii="Times New Roman" w:eastAsia="Hiragino Sans W4" w:hAnsi="Times New Roman" w:cs="Times New Roman"/>
          <w:sz w:val="24"/>
          <w:szCs w:val="24"/>
        </w:rPr>
        <w:lastRenderedPageBreak/>
        <w:t>it does not consider this periodicity of regular visits adequate to fulfil its mandate under the OPCAT’</w:t>
      </w:r>
      <w:r w:rsidR="00417890">
        <w:rPr>
          <w:rFonts w:ascii="Times New Roman" w:eastAsia="Hiragino Sans W4" w:hAnsi="Times New Roman" w:cs="Times New Roman"/>
          <w:sz w:val="24"/>
          <w:szCs w:val="24"/>
        </w:rPr>
        <w:t xml:space="preserve"> (SPT 2009)</w:t>
      </w:r>
      <w:r w:rsidR="00433453" w:rsidRPr="00114918">
        <w:rPr>
          <w:rFonts w:ascii="Times New Roman" w:eastAsia="Hiragino Sans W4" w:hAnsi="Times New Roman" w:cs="Times New Roman"/>
          <w:sz w:val="24"/>
          <w:szCs w:val="24"/>
        </w:rPr>
        <w:t>.</w:t>
      </w:r>
      <w:r w:rsidR="00466885">
        <w:rPr>
          <w:rFonts w:ascii="Times New Roman" w:eastAsia="Hiragino Sans W4" w:hAnsi="Times New Roman" w:cs="Times New Roman"/>
          <w:sz w:val="24"/>
          <w:szCs w:val="24"/>
        </w:rPr>
        <w:t xml:space="preserve"> </w:t>
      </w:r>
    </w:p>
    <w:p w14:paraId="4B92D5A5" w14:textId="4CABA598" w:rsidR="00B1496C" w:rsidRDefault="00C34CB0" w:rsidP="00B1496C">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The presumptions on which</w:t>
      </w:r>
      <w:r w:rsidR="003C4957">
        <w:rPr>
          <w:rFonts w:ascii="Times New Roman" w:eastAsia="Hiragino Sans W4" w:hAnsi="Times New Roman" w:cs="Times New Roman"/>
          <w:sz w:val="24"/>
          <w:szCs w:val="24"/>
        </w:rPr>
        <w:t xml:space="preserve"> the requirement for regular visits (however defined</w:t>
      </w:r>
      <w:r w:rsidRPr="00114918">
        <w:rPr>
          <w:rFonts w:ascii="Times New Roman" w:eastAsia="Hiragino Sans W4" w:hAnsi="Times New Roman" w:cs="Times New Roman"/>
          <w:sz w:val="24"/>
          <w:szCs w:val="24"/>
        </w:rPr>
        <w:t xml:space="preserve"> </w:t>
      </w:r>
      <w:r>
        <w:rPr>
          <w:rFonts w:ascii="Times New Roman" w:eastAsia="Hiragino Sans W4" w:hAnsi="Times New Roman" w:cs="Times New Roman"/>
          <w:sz w:val="24"/>
          <w:szCs w:val="24"/>
        </w:rPr>
        <w:t>are</w:t>
      </w:r>
      <w:r w:rsidRPr="00114918">
        <w:rPr>
          <w:rFonts w:ascii="Times New Roman" w:eastAsia="Hiragino Sans W4" w:hAnsi="Times New Roman" w:cs="Times New Roman"/>
          <w:sz w:val="24"/>
          <w:szCs w:val="24"/>
        </w:rPr>
        <w:t xml:space="preserve"> based </w:t>
      </w:r>
      <w:r w:rsidR="003C4957">
        <w:rPr>
          <w:rFonts w:ascii="Times New Roman" w:eastAsia="Hiragino Sans W4" w:hAnsi="Times New Roman" w:cs="Times New Roman"/>
          <w:sz w:val="24"/>
          <w:szCs w:val="24"/>
        </w:rPr>
        <w:t>have</w:t>
      </w:r>
      <w:r w:rsidR="003C4957" w:rsidRPr="00114918">
        <w:rPr>
          <w:rFonts w:ascii="Times New Roman" w:eastAsia="Hiragino Sans W4" w:hAnsi="Times New Roman" w:cs="Times New Roman"/>
          <w:sz w:val="24"/>
          <w:szCs w:val="24"/>
        </w:rPr>
        <w:t xml:space="preserve"> </w:t>
      </w:r>
      <w:r>
        <w:rPr>
          <w:rFonts w:ascii="Times New Roman" w:eastAsia="Hiragino Sans W4" w:hAnsi="Times New Roman" w:cs="Times New Roman"/>
          <w:sz w:val="24"/>
          <w:szCs w:val="24"/>
        </w:rPr>
        <w:t>their</w:t>
      </w:r>
      <w:r w:rsidRPr="00114918">
        <w:rPr>
          <w:rFonts w:ascii="Times New Roman" w:eastAsia="Hiragino Sans W4" w:hAnsi="Times New Roman" w:cs="Times New Roman"/>
          <w:sz w:val="24"/>
          <w:szCs w:val="24"/>
        </w:rPr>
        <w:t xml:space="preserve"> origins in the practice of </w:t>
      </w:r>
      <w:r w:rsidR="00515090">
        <w:rPr>
          <w:rFonts w:ascii="Times New Roman" w:eastAsia="Hiragino Sans W4" w:hAnsi="Times New Roman" w:cs="Times New Roman"/>
          <w:sz w:val="24"/>
          <w:szCs w:val="24"/>
        </w:rPr>
        <w:t>the regional visiting mechanism,</w:t>
      </w:r>
      <w:r w:rsidR="00515090" w:rsidRPr="00114918">
        <w:rPr>
          <w:rFonts w:ascii="Times New Roman" w:eastAsia="Hiragino Sans W4" w:hAnsi="Times New Roman" w:cs="Times New Roman"/>
          <w:sz w:val="24"/>
          <w:szCs w:val="24"/>
        </w:rPr>
        <w:t xml:space="preserve"> </w:t>
      </w:r>
      <w:r w:rsidRPr="00114918">
        <w:rPr>
          <w:rFonts w:ascii="Times New Roman" w:eastAsia="Hiragino Sans W4" w:hAnsi="Times New Roman" w:cs="Times New Roman"/>
          <w:sz w:val="24"/>
          <w:szCs w:val="24"/>
        </w:rPr>
        <w:t>the European Committee for the Prevention of Torture</w:t>
      </w:r>
      <w:r>
        <w:rPr>
          <w:rFonts w:ascii="Times New Roman" w:eastAsia="Hiragino Sans W4" w:hAnsi="Times New Roman" w:cs="Times New Roman"/>
          <w:sz w:val="24"/>
          <w:szCs w:val="24"/>
        </w:rPr>
        <w:t xml:space="preserve"> </w:t>
      </w:r>
      <w:r w:rsidR="00515090">
        <w:rPr>
          <w:rFonts w:ascii="Times New Roman" w:eastAsia="Hiragino Sans W4" w:hAnsi="Times New Roman" w:cs="Times New Roman"/>
          <w:sz w:val="24"/>
          <w:szCs w:val="24"/>
        </w:rPr>
        <w:t xml:space="preserve">and Inhuman or Degrading Treatment or Punishment (CPT) </w:t>
      </w:r>
      <w:r>
        <w:rPr>
          <w:rFonts w:ascii="Times New Roman" w:eastAsia="Hiragino Sans W4" w:hAnsi="Times New Roman" w:cs="Times New Roman"/>
          <w:sz w:val="24"/>
          <w:szCs w:val="24"/>
        </w:rPr>
        <w:t>(Murray</w:t>
      </w:r>
      <w:r w:rsidR="003C4957">
        <w:rPr>
          <w:rFonts w:ascii="Times New Roman" w:eastAsia="Hiragino Sans W4" w:hAnsi="Times New Roman" w:cs="Times New Roman"/>
          <w:sz w:val="24"/>
          <w:szCs w:val="24"/>
        </w:rPr>
        <w:t>, Steinerte, Evans and Hallo de Wolf,</w:t>
      </w:r>
      <w:r>
        <w:rPr>
          <w:rFonts w:ascii="Times New Roman" w:eastAsia="Hiragino Sans W4" w:hAnsi="Times New Roman" w:cs="Times New Roman"/>
          <w:sz w:val="24"/>
          <w:szCs w:val="24"/>
        </w:rPr>
        <w:t xml:space="preserve"> 2011)</w:t>
      </w:r>
      <w:r w:rsidRPr="00114918">
        <w:rPr>
          <w:rFonts w:ascii="Times New Roman" w:eastAsia="Hiragino Sans W4" w:hAnsi="Times New Roman" w:cs="Times New Roman"/>
          <w:sz w:val="24"/>
          <w:szCs w:val="24"/>
        </w:rPr>
        <w:t>.</w:t>
      </w:r>
      <w:r w:rsidR="003C4957">
        <w:rPr>
          <w:rFonts w:ascii="Times New Roman" w:eastAsia="Hiragino Sans W4" w:hAnsi="Times New Roman" w:cs="Times New Roman"/>
          <w:sz w:val="24"/>
          <w:szCs w:val="24"/>
        </w:rPr>
        <w:t xml:space="preserve"> The CPT does at least have the ability to return to individual states, if not places of deprivation of liberty, on a reasonably frequent basis and this experience was drawn on in the drafting of the OPCAT.</w:t>
      </w:r>
      <w:r>
        <w:rPr>
          <w:rFonts w:ascii="Times New Roman" w:eastAsia="Hiragino Sans W4" w:hAnsi="Times New Roman" w:cs="Times New Roman"/>
          <w:sz w:val="24"/>
          <w:szCs w:val="24"/>
        </w:rPr>
        <w:t xml:space="preserve"> </w:t>
      </w:r>
      <w:r w:rsidR="00E112C9">
        <w:rPr>
          <w:rFonts w:ascii="Times New Roman" w:eastAsia="Hiragino Sans W4" w:hAnsi="Times New Roman" w:cs="Times New Roman"/>
          <w:sz w:val="24"/>
          <w:szCs w:val="24"/>
        </w:rPr>
        <w:t>The capacity of NPMs to visit individual places of deprivation of liberty</w:t>
      </w:r>
      <w:r w:rsidR="00231CFB">
        <w:rPr>
          <w:rFonts w:ascii="Times New Roman" w:eastAsia="Hiragino Sans W4" w:hAnsi="Times New Roman" w:cs="Times New Roman"/>
          <w:sz w:val="24"/>
          <w:szCs w:val="24"/>
        </w:rPr>
        <w:t xml:space="preserve"> more regula</w:t>
      </w:r>
      <w:r w:rsidR="00E112C9">
        <w:rPr>
          <w:rFonts w:ascii="Times New Roman" w:eastAsia="Hiragino Sans W4" w:hAnsi="Times New Roman" w:cs="Times New Roman"/>
          <w:sz w:val="24"/>
          <w:szCs w:val="24"/>
        </w:rPr>
        <w:t xml:space="preserve">rly than the </w:t>
      </w:r>
      <w:r w:rsidR="00231CFB">
        <w:rPr>
          <w:rFonts w:ascii="Times New Roman" w:eastAsia="Hiragino Sans W4" w:hAnsi="Times New Roman" w:cs="Times New Roman"/>
          <w:sz w:val="24"/>
          <w:szCs w:val="24"/>
        </w:rPr>
        <w:t xml:space="preserve">SPT or </w:t>
      </w:r>
      <w:r w:rsidR="00BA0A06">
        <w:rPr>
          <w:rFonts w:ascii="Times New Roman" w:eastAsia="Hiragino Sans W4" w:hAnsi="Times New Roman" w:cs="Times New Roman"/>
          <w:sz w:val="24"/>
          <w:szCs w:val="24"/>
        </w:rPr>
        <w:t xml:space="preserve">CPT </w:t>
      </w:r>
      <w:r w:rsidR="00231CFB">
        <w:rPr>
          <w:rFonts w:ascii="Times New Roman" w:eastAsia="Hiragino Sans W4" w:hAnsi="Times New Roman" w:cs="Times New Roman"/>
          <w:sz w:val="24"/>
          <w:szCs w:val="24"/>
        </w:rPr>
        <w:t>has implications for the methodolo</w:t>
      </w:r>
      <w:r w:rsidR="00466885">
        <w:rPr>
          <w:rFonts w:ascii="Times New Roman" w:eastAsia="Hiragino Sans W4" w:hAnsi="Times New Roman" w:cs="Times New Roman"/>
          <w:sz w:val="24"/>
          <w:szCs w:val="24"/>
        </w:rPr>
        <w:t xml:space="preserve">gy that underpins those visits. </w:t>
      </w:r>
      <w:r w:rsidR="00231CFB">
        <w:rPr>
          <w:rFonts w:ascii="Times New Roman" w:eastAsia="Hiragino Sans W4" w:hAnsi="Times New Roman" w:cs="Times New Roman"/>
          <w:sz w:val="24"/>
          <w:szCs w:val="24"/>
        </w:rPr>
        <w:t xml:space="preserve">The practical experience of both the SPT and CPT </w:t>
      </w:r>
      <w:r w:rsidR="00D62382">
        <w:rPr>
          <w:rFonts w:ascii="Times New Roman" w:eastAsia="Hiragino Sans W4" w:hAnsi="Times New Roman" w:cs="Times New Roman"/>
          <w:sz w:val="24"/>
          <w:szCs w:val="24"/>
        </w:rPr>
        <w:t>is likely to have had considerable influence on the early guidance issued to NPMs</w:t>
      </w:r>
      <w:r w:rsidR="00E42CB1">
        <w:rPr>
          <w:rFonts w:ascii="Times New Roman" w:eastAsia="Hiragino Sans W4" w:hAnsi="Times New Roman" w:cs="Times New Roman"/>
          <w:sz w:val="24"/>
          <w:szCs w:val="24"/>
        </w:rPr>
        <w:t xml:space="preserve"> - but that may not reflect the greater capacity of most NPMs to make </w:t>
      </w:r>
      <w:r w:rsidR="00676916">
        <w:rPr>
          <w:rFonts w:ascii="Times New Roman" w:eastAsia="Hiragino Sans W4" w:hAnsi="Times New Roman" w:cs="Times New Roman"/>
          <w:sz w:val="24"/>
          <w:szCs w:val="24"/>
        </w:rPr>
        <w:t xml:space="preserve">much more </w:t>
      </w:r>
      <w:r w:rsidR="00E42CB1">
        <w:rPr>
          <w:rFonts w:ascii="Times New Roman" w:eastAsia="Hiragino Sans W4" w:hAnsi="Times New Roman" w:cs="Times New Roman"/>
          <w:sz w:val="24"/>
          <w:szCs w:val="24"/>
        </w:rPr>
        <w:t xml:space="preserve">regular visits. </w:t>
      </w:r>
      <w:r w:rsidR="004D1DC1">
        <w:rPr>
          <w:rFonts w:ascii="Times New Roman" w:eastAsia="Hiragino Sans W4" w:hAnsi="Times New Roman" w:cs="Times New Roman"/>
          <w:sz w:val="24"/>
          <w:szCs w:val="24"/>
        </w:rPr>
        <w:t>For example, an understandable preoccupation of the SPT is how to follow up its visits and check progress on the implementation of its recommendations</w:t>
      </w:r>
      <w:r w:rsidR="003C4957">
        <w:rPr>
          <w:rFonts w:ascii="Times New Roman" w:eastAsia="Hiragino Sans W4" w:hAnsi="Times New Roman" w:cs="Times New Roman"/>
          <w:sz w:val="24"/>
          <w:szCs w:val="24"/>
        </w:rPr>
        <w:t xml:space="preserve"> (</w:t>
      </w:r>
      <w:r w:rsidR="00C527EF">
        <w:rPr>
          <w:rFonts w:ascii="Times New Roman" w:eastAsia="Hiragino Sans W4" w:hAnsi="Times New Roman" w:cs="Times New Roman"/>
          <w:sz w:val="24"/>
          <w:szCs w:val="24"/>
        </w:rPr>
        <w:t>The Future Direction of the Sub-committee on Prevention of Torture</w:t>
      </w:r>
      <w:r w:rsidR="0098428B">
        <w:rPr>
          <w:rFonts w:ascii="Times New Roman" w:eastAsia="Hiragino Sans W4" w:hAnsi="Times New Roman" w:cs="Times New Roman"/>
          <w:sz w:val="24"/>
          <w:szCs w:val="24"/>
        </w:rPr>
        <w:t>, 2017)</w:t>
      </w:r>
      <w:r w:rsidR="004D1DC1">
        <w:rPr>
          <w:rFonts w:ascii="Times New Roman" w:eastAsia="Hiragino Sans W4" w:hAnsi="Times New Roman" w:cs="Times New Roman"/>
          <w:sz w:val="24"/>
          <w:szCs w:val="24"/>
        </w:rPr>
        <w:t xml:space="preserve"> </w:t>
      </w:r>
      <w:r w:rsidR="00EA2121">
        <w:rPr>
          <w:rFonts w:ascii="Times New Roman" w:eastAsia="Hiragino Sans W4" w:hAnsi="Times New Roman" w:cs="Times New Roman"/>
          <w:sz w:val="24"/>
          <w:szCs w:val="24"/>
        </w:rPr>
        <w:t>and this is reflected in</w:t>
      </w:r>
      <w:r w:rsidR="001E673A">
        <w:rPr>
          <w:rFonts w:ascii="Times New Roman" w:eastAsia="Hiragino Sans W4" w:hAnsi="Times New Roman" w:cs="Times New Roman"/>
          <w:sz w:val="24"/>
          <w:szCs w:val="24"/>
        </w:rPr>
        <w:t xml:space="preserve"> its guidance to NPMs </w:t>
      </w:r>
      <w:r w:rsidR="00EA2121">
        <w:rPr>
          <w:rFonts w:ascii="Times New Roman" w:eastAsia="Hiragino Sans W4" w:hAnsi="Times New Roman" w:cs="Times New Roman"/>
          <w:sz w:val="24"/>
          <w:szCs w:val="24"/>
        </w:rPr>
        <w:t xml:space="preserve">discussed below. </w:t>
      </w:r>
      <w:r w:rsidR="004D1DC1">
        <w:rPr>
          <w:rFonts w:ascii="Times New Roman" w:eastAsia="Hiragino Sans W4" w:hAnsi="Times New Roman" w:cs="Times New Roman"/>
          <w:sz w:val="24"/>
          <w:szCs w:val="24"/>
        </w:rPr>
        <w:t>The capacity of most NPMs to make regular visits to the same place of deprivation of liberty</w:t>
      </w:r>
      <w:r w:rsidR="00EA2121">
        <w:rPr>
          <w:rFonts w:ascii="Times New Roman" w:eastAsia="Hiragino Sans W4" w:hAnsi="Times New Roman" w:cs="Times New Roman"/>
          <w:sz w:val="24"/>
          <w:szCs w:val="24"/>
        </w:rPr>
        <w:t xml:space="preserve"> however,</w:t>
      </w:r>
      <w:r w:rsidR="004D1DC1">
        <w:rPr>
          <w:rFonts w:ascii="Times New Roman" w:eastAsia="Hiragino Sans W4" w:hAnsi="Times New Roman" w:cs="Times New Roman"/>
          <w:sz w:val="24"/>
          <w:szCs w:val="24"/>
        </w:rPr>
        <w:t xml:space="preserve"> means they can take very different approaches to this issue</w:t>
      </w:r>
      <w:r w:rsidR="0060091A">
        <w:rPr>
          <w:rFonts w:ascii="Times New Roman" w:eastAsia="Hiragino Sans W4" w:hAnsi="Times New Roman" w:cs="Times New Roman"/>
          <w:sz w:val="24"/>
          <w:szCs w:val="24"/>
        </w:rPr>
        <w:t xml:space="preserve"> and this is likely to be a challenge for an Australian NPM</w:t>
      </w:r>
      <w:r w:rsidR="004D1DC1">
        <w:rPr>
          <w:rFonts w:ascii="Times New Roman" w:eastAsia="Hiragino Sans W4" w:hAnsi="Times New Roman" w:cs="Times New Roman"/>
          <w:sz w:val="24"/>
          <w:szCs w:val="24"/>
        </w:rPr>
        <w:t xml:space="preserve">. </w:t>
      </w:r>
      <w:r w:rsidR="00EA2121">
        <w:rPr>
          <w:rFonts w:ascii="Times New Roman" w:eastAsia="Hiragino Sans W4" w:hAnsi="Times New Roman" w:cs="Times New Roman"/>
          <w:sz w:val="24"/>
          <w:szCs w:val="24"/>
        </w:rPr>
        <w:t>For example, o</w:t>
      </w:r>
      <w:r w:rsidR="004B1FC5">
        <w:rPr>
          <w:rFonts w:ascii="Times New Roman" w:eastAsia="Hiragino Sans W4" w:hAnsi="Times New Roman" w:cs="Times New Roman"/>
          <w:sz w:val="24"/>
          <w:szCs w:val="24"/>
        </w:rPr>
        <w:t xml:space="preserve">ur anecdotal experience in the </w:t>
      </w:r>
      <w:r w:rsidR="007B031D">
        <w:rPr>
          <w:rFonts w:ascii="Times New Roman" w:eastAsia="Hiragino Sans W4" w:hAnsi="Times New Roman" w:cs="Times New Roman"/>
          <w:sz w:val="24"/>
          <w:szCs w:val="24"/>
        </w:rPr>
        <w:t xml:space="preserve">UK is that </w:t>
      </w:r>
      <w:r w:rsidR="004B1FC5">
        <w:rPr>
          <w:rFonts w:ascii="Times New Roman" w:eastAsia="Hiragino Sans W4" w:hAnsi="Times New Roman" w:cs="Times New Roman"/>
          <w:sz w:val="24"/>
          <w:szCs w:val="24"/>
        </w:rPr>
        <w:t xml:space="preserve">the inevitability of a return visit </w:t>
      </w:r>
      <w:r w:rsidR="00EA2121">
        <w:rPr>
          <w:rFonts w:ascii="Times New Roman" w:eastAsia="Hiragino Sans W4" w:hAnsi="Times New Roman" w:cs="Times New Roman"/>
          <w:sz w:val="24"/>
          <w:szCs w:val="24"/>
        </w:rPr>
        <w:t xml:space="preserve">and public report </w:t>
      </w:r>
      <w:r w:rsidR="007B031D">
        <w:rPr>
          <w:rFonts w:ascii="Times New Roman" w:eastAsia="Hiragino Sans W4" w:hAnsi="Times New Roman" w:cs="Times New Roman"/>
          <w:sz w:val="24"/>
          <w:szCs w:val="24"/>
        </w:rPr>
        <w:t xml:space="preserve">means most impact arises from what a place of deprivation of liberty does in </w:t>
      </w:r>
      <w:r w:rsidR="007B031D" w:rsidRPr="005573AA">
        <w:rPr>
          <w:rFonts w:ascii="Times New Roman" w:eastAsia="Hiragino Sans W4" w:hAnsi="Times New Roman" w:cs="Times New Roman"/>
          <w:i/>
          <w:sz w:val="24"/>
          <w:szCs w:val="24"/>
        </w:rPr>
        <w:t>advance</w:t>
      </w:r>
      <w:r w:rsidR="007B031D">
        <w:rPr>
          <w:rFonts w:ascii="Times New Roman" w:eastAsia="Hiragino Sans W4" w:hAnsi="Times New Roman" w:cs="Times New Roman"/>
          <w:sz w:val="24"/>
          <w:szCs w:val="24"/>
        </w:rPr>
        <w:t xml:space="preserve"> of a</w:t>
      </w:r>
      <w:r w:rsidR="005573AA">
        <w:rPr>
          <w:rFonts w:ascii="Times New Roman" w:eastAsia="Hiragino Sans W4" w:hAnsi="Times New Roman" w:cs="Times New Roman"/>
          <w:sz w:val="24"/>
          <w:szCs w:val="24"/>
        </w:rPr>
        <w:t>n unannounced</w:t>
      </w:r>
      <w:r w:rsidR="007B031D">
        <w:rPr>
          <w:rFonts w:ascii="Times New Roman" w:eastAsia="Hiragino Sans W4" w:hAnsi="Times New Roman" w:cs="Times New Roman"/>
          <w:sz w:val="24"/>
          <w:szCs w:val="24"/>
        </w:rPr>
        <w:t xml:space="preserve"> visit to </w:t>
      </w:r>
      <w:r w:rsidR="00EA2121">
        <w:rPr>
          <w:rFonts w:ascii="Times New Roman" w:eastAsia="Hiragino Sans W4" w:hAnsi="Times New Roman" w:cs="Times New Roman"/>
          <w:sz w:val="24"/>
          <w:szCs w:val="24"/>
        </w:rPr>
        <w:t xml:space="preserve">meet the appropriate standards and </w:t>
      </w:r>
      <w:r w:rsidR="007B031D">
        <w:rPr>
          <w:rFonts w:ascii="Times New Roman" w:eastAsia="Hiragino Sans W4" w:hAnsi="Times New Roman" w:cs="Times New Roman"/>
          <w:sz w:val="24"/>
          <w:szCs w:val="24"/>
        </w:rPr>
        <w:t xml:space="preserve">ensure a positive report </w:t>
      </w:r>
      <w:r w:rsidR="00EA2121">
        <w:rPr>
          <w:rFonts w:ascii="Times New Roman" w:eastAsia="Hiragino Sans W4" w:hAnsi="Times New Roman" w:cs="Times New Roman"/>
          <w:sz w:val="24"/>
          <w:szCs w:val="24"/>
        </w:rPr>
        <w:t>rather</w:t>
      </w:r>
      <w:r w:rsidR="007B031D">
        <w:rPr>
          <w:rFonts w:ascii="Times New Roman" w:eastAsia="Hiragino Sans W4" w:hAnsi="Times New Roman" w:cs="Times New Roman"/>
          <w:sz w:val="24"/>
          <w:szCs w:val="24"/>
        </w:rPr>
        <w:t xml:space="preserve"> than from recommendations for improvement made </w:t>
      </w:r>
      <w:r w:rsidR="007B031D" w:rsidRPr="00E0777F">
        <w:rPr>
          <w:rFonts w:ascii="Times New Roman" w:eastAsia="Hiragino Sans W4" w:hAnsi="Times New Roman" w:cs="Times New Roman"/>
          <w:i/>
          <w:sz w:val="24"/>
          <w:szCs w:val="24"/>
        </w:rPr>
        <w:t>after</w:t>
      </w:r>
      <w:r w:rsidR="007B031D">
        <w:rPr>
          <w:rFonts w:ascii="Times New Roman" w:eastAsia="Hiragino Sans W4" w:hAnsi="Times New Roman" w:cs="Times New Roman"/>
          <w:sz w:val="24"/>
          <w:szCs w:val="24"/>
        </w:rPr>
        <w:t xml:space="preserve"> a visit.  </w:t>
      </w:r>
      <w:r w:rsidR="00D62382">
        <w:rPr>
          <w:rFonts w:ascii="Times New Roman" w:eastAsia="Hiragino Sans W4" w:hAnsi="Times New Roman" w:cs="Times New Roman"/>
          <w:sz w:val="24"/>
          <w:szCs w:val="24"/>
        </w:rPr>
        <w:t>We are not aware of any literature that</w:t>
      </w:r>
      <w:r w:rsidR="00C1273E">
        <w:rPr>
          <w:rFonts w:ascii="Times New Roman" w:eastAsia="Hiragino Sans W4" w:hAnsi="Times New Roman" w:cs="Times New Roman"/>
          <w:sz w:val="24"/>
          <w:szCs w:val="24"/>
        </w:rPr>
        <w:t xml:space="preserve"> explores </w:t>
      </w:r>
      <w:r w:rsidR="0098428B">
        <w:rPr>
          <w:rFonts w:ascii="Times New Roman" w:eastAsia="Hiragino Sans W4" w:hAnsi="Times New Roman" w:cs="Times New Roman"/>
          <w:sz w:val="24"/>
          <w:szCs w:val="24"/>
        </w:rPr>
        <w:t xml:space="preserve">in-depth </w:t>
      </w:r>
      <w:r w:rsidR="00C1273E">
        <w:rPr>
          <w:rFonts w:ascii="Times New Roman" w:eastAsia="Hiragino Sans W4" w:hAnsi="Times New Roman" w:cs="Times New Roman"/>
          <w:sz w:val="24"/>
          <w:szCs w:val="24"/>
        </w:rPr>
        <w:t>how the preventive imp</w:t>
      </w:r>
      <w:r w:rsidR="00D62382">
        <w:rPr>
          <w:rFonts w:ascii="Times New Roman" w:eastAsia="Hiragino Sans W4" w:hAnsi="Times New Roman" w:cs="Times New Roman"/>
          <w:sz w:val="24"/>
          <w:szCs w:val="24"/>
        </w:rPr>
        <w:t>act of NPM visi</w:t>
      </w:r>
      <w:r w:rsidR="00C1273E">
        <w:rPr>
          <w:rFonts w:ascii="Times New Roman" w:eastAsia="Hiragino Sans W4" w:hAnsi="Times New Roman" w:cs="Times New Roman"/>
          <w:sz w:val="24"/>
          <w:szCs w:val="24"/>
        </w:rPr>
        <w:t xml:space="preserve">ts can be </w:t>
      </w:r>
      <w:r w:rsidR="00D62382">
        <w:rPr>
          <w:rFonts w:ascii="Times New Roman" w:eastAsia="Hiragino Sans W4" w:hAnsi="Times New Roman" w:cs="Times New Roman"/>
          <w:sz w:val="24"/>
          <w:szCs w:val="24"/>
        </w:rPr>
        <w:t>enhanced or otherwise by their ability to return t</w:t>
      </w:r>
      <w:r w:rsidR="00C1273E">
        <w:rPr>
          <w:rFonts w:ascii="Times New Roman" w:eastAsia="Hiragino Sans W4" w:hAnsi="Times New Roman" w:cs="Times New Roman"/>
          <w:sz w:val="24"/>
          <w:szCs w:val="24"/>
        </w:rPr>
        <w:t>o</w:t>
      </w:r>
      <w:r w:rsidR="00D62382">
        <w:rPr>
          <w:rFonts w:ascii="Times New Roman" w:eastAsia="Hiragino Sans W4" w:hAnsi="Times New Roman" w:cs="Times New Roman"/>
          <w:sz w:val="24"/>
          <w:szCs w:val="24"/>
        </w:rPr>
        <w:t xml:space="preserve"> and report on a place of deprivation of liberty ti</w:t>
      </w:r>
      <w:r w:rsidR="00C1273E">
        <w:rPr>
          <w:rFonts w:ascii="Times New Roman" w:eastAsia="Hiragino Sans W4" w:hAnsi="Times New Roman" w:cs="Times New Roman"/>
          <w:sz w:val="24"/>
          <w:szCs w:val="24"/>
        </w:rPr>
        <w:t>m</w:t>
      </w:r>
      <w:r w:rsidR="00D62382">
        <w:rPr>
          <w:rFonts w:ascii="Times New Roman" w:eastAsia="Hiragino Sans W4" w:hAnsi="Times New Roman" w:cs="Times New Roman"/>
          <w:sz w:val="24"/>
          <w:szCs w:val="24"/>
        </w:rPr>
        <w:t xml:space="preserve">e and time again. </w:t>
      </w:r>
      <w:r w:rsidR="00C1273E">
        <w:rPr>
          <w:rFonts w:ascii="Times New Roman" w:eastAsia="Hiragino Sans W4" w:hAnsi="Times New Roman" w:cs="Times New Roman"/>
          <w:sz w:val="24"/>
          <w:szCs w:val="24"/>
        </w:rPr>
        <w:t xml:space="preserve">This paper does not answer that question but we hope it will suggest avenues for further research into how the preventive potential of NPMs can be fully realised. </w:t>
      </w:r>
    </w:p>
    <w:p w14:paraId="4D8B7DA9" w14:textId="4A4E4DE1" w:rsidR="00D906D0" w:rsidRPr="00B1496C" w:rsidRDefault="00B1496C" w:rsidP="00B1496C">
      <w:pPr>
        <w:spacing w:before="60" w:after="60" w:line="480" w:lineRule="auto"/>
        <w:jc w:val="both"/>
        <w:rPr>
          <w:rFonts w:ascii="Times New Roman" w:eastAsia="Hiragino Sans W4" w:hAnsi="Times New Roman" w:cs="Times New Roman"/>
          <w:b/>
          <w:sz w:val="24"/>
          <w:szCs w:val="24"/>
        </w:rPr>
      </w:pPr>
      <w:r w:rsidRPr="00B1496C">
        <w:rPr>
          <w:rFonts w:ascii="Times New Roman" w:eastAsia="Hiragino Sans W4" w:hAnsi="Times New Roman" w:cs="Times New Roman"/>
          <w:b/>
          <w:sz w:val="24"/>
          <w:szCs w:val="24"/>
        </w:rPr>
        <w:lastRenderedPageBreak/>
        <w:t>D.</w:t>
      </w:r>
      <w:r w:rsidRPr="00B1496C">
        <w:rPr>
          <w:rFonts w:ascii="Times New Roman" w:eastAsia="Hiragino Sans W4" w:hAnsi="Times New Roman" w:cs="Times New Roman"/>
          <w:b/>
          <w:sz w:val="24"/>
          <w:szCs w:val="24"/>
        </w:rPr>
        <w:tab/>
      </w:r>
      <w:r w:rsidR="0025126F">
        <w:rPr>
          <w:rFonts w:ascii="Times New Roman" w:eastAsia="Hiragino Sans W4" w:hAnsi="Times New Roman" w:cs="Times New Roman"/>
          <w:b/>
          <w:sz w:val="24"/>
          <w:szCs w:val="24"/>
        </w:rPr>
        <w:t>Defining and understanding '</w:t>
      </w:r>
      <w:r w:rsidR="00924193" w:rsidRPr="00B1496C">
        <w:rPr>
          <w:rFonts w:ascii="Times New Roman" w:eastAsia="Hiragino Sans W4" w:hAnsi="Times New Roman" w:cs="Times New Roman"/>
          <w:b/>
          <w:sz w:val="24"/>
          <w:szCs w:val="24"/>
        </w:rPr>
        <w:t>regular</w:t>
      </w:r>
      <w:r w:rsidR="0025126F">
        <w:rPr>
          <w:rFonts w:ascii="Times New Roman" w:eastAsia="Hiragino Sans W4" w:hAnsi="Times New Roman" w:cs="Times New Roman"/>
          <w:b/>
          <w:sz w:val="24"/>
          <w:szCs w:val="24"/>
        </w:rPr>
        <w:t>'</w:t>
      </w:r>
    </w:p>
    <w:p w14:paraId="390E881B" w14:textId="0ADF39CE" w:rsidR="0025126F" w:rsidRPr="0025126F" w:rsidRDefault="0025126F" w:rsidP="008E1739">
      <w:pPr>
        <w:spacing w:before="60" w:after="60" w:line="480" w:lineRule="auto"/>
        <w:jc w:val="both"/>
        <w:rPr>
          <w:rFonts w:ascii="Times New Roman" w:eastAsia="Hiragino Sans W4" w:hAnsi="Times New Roman" w:cs="Times New Roman"/>
          <w:b/>
          <w:i/>
          <w:sz w:val="24"/>
          <w:szCs w:val="24"/>
        </w:rPr>
      </w:pPr>
      <w:r w:rsidRPr="0025126F">
        <w:rPr>
          <w:rFonts w:ascii="Times New Roman" w:eastAsia="Hiragino Sans W4" w:hAnsi="Times New Roman" w:cs="Times New Roman"/>
          <w:b/>
          <w:i/>
          <w:sz w:val="24"/>
          <w:szCs w:val="24"/>
        </w:rPr>
        <w:t>1.</w:t>
      </w:r>
      <w:r w:rsidRPr="0025126F">
        <w:rPr>
          <w:rFonts w:ascii="Times New Roman" w:eastAsia="Hiragino Sans W4" w:hAnsi="Times New Roman" w:cs="Times New Roman"/>
          <w:b/>
          <w:i/>
          <w:sz w:val="24"/>
          <w:szCs w:val="24"/>
        </w:rPr>
        <w:tab/>
        <w:t>Definitions and interpretations</w:t>
      </w:r>
    </w:p>
    <w:p w14:paraId="56D8ABD1" w14:textId="3BD5EBF5" w:rsidR="008E1739" w:rsidRDefault="008E1739" w:rsidP="008E1739">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Definitions of 'regular' in the Oxford English Diction</w:t>
      </w:r>
      <w:r w:rsidR="00A246E8">
        <w:rPr>
          <w:rFonts w:ascii="Times New Roman" w:eastAsia="Hiragino Sans W4" w:hAnsi="Times New Roman" w:cs="Times New Roman"/>
          <w:sz w:val="24"/>
          <w:szCs w:val="24"/>
        </w:rPr>
        <w:t>ary</w:t>
      </w:r>
      <w:r>
        <w:rPr>
          <w:rFonts w:ascii="Times New Roman" w:eastAsia="Hiragino Sans W4" w:hAnsi="Times New Roman" w:cs="Times New Roman"/>
          <w:sz w:val="24"/>
          <w:szCs w:val="24"/>
        </w:rPr>
        <w:t xml:space="preserve"> </w:t>
      </w:r>
      <w:r w:rsidR="0098428B">
        <w:rPr>
          <w:rFonts w:ascii="Times New Roman" w:eastAsia="Hiragino Sans W4" w:hAnsi="Times New Roman" w:cs="Times New Roman"/>
          <w:sz w:val="24"/>
          <w:szCs w:val="24"/>
        </w:rPr>
        <w:t>(</w:t>
      </w:r>
      <w:r w:rsidR="0098428B" w:rsidRPr="00A246E8">
        <w:rPr>
          <w:rFonts w:ascii="Times New Roman" w:hAnsi="Times New Roman" w:cs="Times New Roman"/>
        </w:rPr>
        <w:t>www.oed.com</w:t>
      </w:r>
      <w:r w:rsidR="0098428B">
        <w:rPr>
          <w:rFonts w:ascii="Times New Roman" w:hAnsi="Times New Roman" w:cs="Times New Roman"/>
        </w:rPr>
        <w:t>)</w:t>
      </w:r>
      <w:r w:rsidR="0098428B">
        <w:rPr>
          <w:rFonts w:ascii="Times New Roman" w:eastAsia="Hiragino Sans W4" w:hAnsi="Times New Roman" w:cs="Times New Roman"/>
          <w:sz w:val="24"/>
          <w:szCs w:val="24"/>
        </w:rPr>
        <w:t xml:space="preserve"> </w:t>
      </w:r>
      <w:r>
        <w:rPr>
          <w:rFonts w:ascii="Times New Roman" w:eastAsia="Hiragino Sans W4" w:hAnsi="Times New Roman" w:cs="Times New Roman"/>
          <w:sz w:val="24"/>
          <w:szCs w:val="24"/>
        </w:rPr>
        <w:t>include but are not limited to:</w:t>
      </w:r>
    </w:p>
    <w:p w14:paraId="51444C0A" w14:textId="77777777" w:rsidR="008E1739" w:rsidRPr="003176E0" w:rsidRDefault="008E1739" w:rsidP="008E1739">
      <w:pPr>
        <w:pStyle w:val="ListParagraph"/>
        <w:numPr>
          <w:ilvl w:val="0"/>
          <w:numId w:val="37"/>
        </w:numPr>
        <w:spacing w:before="60" w:after="60" w:line="480" w:lineRule="auto"/>
        <w:rPr>
          <w:rFonts w:ascii="Times New Roman" w:eastAsia="Times New Roman" w:hAnsi="Times New Roman" w:cs="Times New Roman"/>
          <w:sz w:val="18"/>
          <w:szCs w:val="18"/>
        </w:rPr>
      </w:pPr>
      <w:r w:rsidRPr="003176E0">
        <w:rPr>
          <w:rFonts w:ascii="Times New Roman" w:eastAsia="Times New Roman" w:hAnsi="Times New Roman" w:cs="Times New Roman"/>
          <w:sz w:val="18"/>
          <w:szCs w:val="18"/>
        </w:rPr>
        <w:t>Arranged in or constituting a constant or definite pattern, especially with the same space between individual instances.</w:t>
      </w:r>
    </w:p>
    <w:p w14:paraId="4425F0AD" w14:textId="77777777" w:rsidR="008E1739" w:rsidRPr="003176E0" w:rsidRDefault="008E1739" w:rsidP="008E1739">
      <w:pPr>
        <w:pStyle w:val="ListParagraph"/>
        <w:numPr>
          <w:ilvl w:val="0"/>
          <w:numId w:val="37"/>
        </w:numPr>
        <w:spacing w:before="60" w:after="60" w:line="480" w:lineRule="auto"/>
        <w:rPr>
          <w:rFonts w:ascii="Times New Roman" w:eastAsia="Times New Roman" w:hAnsi="Times New Roman" w:cs="Times New Roman"/>
          <w:sz w:val="18"/>
          <w:szCs w:val="18"/>
        </w:rPr>
      </w:pPr>
      <w:r w:rsidRPr="003176E0">
        <w:rPr>
          <w:rFonts w:ascii="Times New Roman" w:eastAsia="Times New Roman" w:hAnsi="Times New Roman" w:cs="Times New Roman"/>
          <w:sz w:val="18"/>
          <w:szCs w:val="18"/>
        </w:rPr>
        <w:t>Recurring at uniform intervals.</w:t>
      </w:r>
    </w:p>
    <w:p w14:paraId="7E8EFCE7" w14:textId="77777777" w:rsidR="008E1739" w:rsidRPr="003176E0" w:rsidRDefault="008E1739" w:rsidP="008E1739">
      <w:pPr>
        <w:pStyle w:val="ListParagraph"/>
        <w:numPr>
          <w:ilvl w:val="0"/>
          <w:numId w:val="37"/>
        </w:numPr>
        <w:spacing w:before="60" w:after="60" w:line="480" w:lineRule="auto"/>
        <w:rPr>
          <w:rFonts w:ascii="Times New Roman" w:eastAsia="Times New Roman" w:hAnsi="Times New Roman" w:cs="Times New Roman"/>
          <w:sz w:val="18"/>
          <w:szCs w:val="18"/>
        </w:rPr>
      </w:pPr>
      <w:r w:rsidRPr="003176E0">
        <w:rPr>
          <w:rFonts w:ascii="Times New Roman" w:eastAsia="Times New Roman" w:hAnsi="Times New Roman" w:cs="Times New Roman"/>
          <w:sz w:val="18"/>
          <w:szCs w:val="18"/>
        </w:rPr>
        <w:t>Done or happening frequently.</w:t>
      </w:r>
    </w:p>
    <w:p w14:paraId="4E8924E0" w14:textId="7B6E4EB8" w:rsidR="008E1739" w:rsidRPr="003176E0" w:rsidRDefault="008E1739" w:rsidP="008E1739">
      <w:pPr>
        <w:pStyle w:val="ListParagraph"/>
        <w:numPr>
          <w:ilvl w:val="0"/>
          <w:numId w:val="37"/>
        </w:numPr>
        <w:spacing w:before="60" w:after="60" w:line="480" w:lineRule="auto"/>
        <w:rPr>
          <w:rFonts w:ascii="Times New Roman" w:eastAsia="Times New Roman" w:hAnsi="Times New Roman" w:cs="Times New Roman"/>
          <w:sz w:val="18"/>
          <w:szCs w:val="18"/>
        </w:rPr>
      </w:pPr>
      <w:r w:rsidRPr="003176E0">
        <w:rPr>
          <w:rFonts w:ascii="Times New Roman" w:eastAsia="Times New Roman" w:hAnsi="Times New Roman" w:cs="Times New Roman"/>
          <w:sz w:val="18"/>
          <w:szCs w:val="18"/>
        </w:rPr>
        <w:t>Conforming to or governed by an accepted standard of procedure or convention.</w:t>
      </w:r>
    </w:p>
    <w:p w14:paraId="1041A6BF" w14:textId="15E352FC" w:rsidR="009A27FA" w:rsidRDefault="008E1739" w:rsidP="009A27FA">
      <w:pPr>
        <w:pStyle w:val="NormalWeb"/>
        <w:spacing w:before="60" w:beforeAutospacing="0" w:after="60" w:afterAutospacing="0" w:line="480" w:lineRule="auto"/>
        <w:rPr>
          <w:lang w:eastAsia="en-US"/>
        </w:rPr>
      </w:pPr>
      <w:r>
        <w:rPr>
          <w:rFonts w:eastAsia="Hiragino Sans W4"/>
        </w:rPr>
        <w:t>Elements of all these definitions appear to be reflected in how the OPCAT and NPMs have interpreted the term.  Article 13 (4) of the OPCAT distinguishes between 'regular' and 'follow up' visits for instance, noting "</w:t>
      </w:r>
      <w:r w:rsidRPr="00114918">
        <w:rPr>
          <w:lang w:eastAsia="en-US"/>
        </w:rPr>
        <w:t>If the Subcommittee on Prevention considers it appropriate, it may propose a short follow- up visit after a regular visit.</w:t>
      </w:r>
      <w:r>
        <w:rPr>
          <w:lang w:eastAsia="en-US"/>
        </w:rPr>
        <w:t xml:space="preserve">" </w:t>
      </w:r>
    </w:p>
    <w:p w14:paraId="15DDCAB3" w14:textId="709E3307" w:rsidR="00C34CB0" w:rsidRPr="00C34CB0" w:rsidRDefault="00C34CB0" w:rsidP="00EA40CA">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‘Regular’ was cited in the reports but often by simply repeating what OPCAT and the SPT have said is required.</w:t>
      </w:r>
      <w:r>
        <w:rPr>
          <w:rFonts w:ascii="Times New Roman" w:eastAsia="Hiragino Sans W4" w:hAnsi="Times New Roman" w:cs="Times New Roman"/>
          <w:sz w:val="24"/>
          <w:szCs w:val="24"/>
        </w:rPr>
        <w:t xml:space="preserve"> </w:t>
      </w:r>
      <w:r w:rsidR="000C7FE6">
        <w:rPr>
          <w:rFonts w:ascii="Times New Roman" w:eastAsia="Hiragino Sans W4" w:hAnsi="Times New Roman" w:cs="Times New Roman"/>
          <w:sz w:val="24"/>
          <w:szCs w:val="24"/>
        </w:rPr>
        <w:t>Whatever the drafters of OPCAT may have intended, it is clear that s</w:t>
      </w:r>
      <w:r w:rsidRPr="00114918">
        <w:rPr>
          <w:rFonts w:ascii="Times New Roman" w:eastAsia="Hiragino Sans W4" w:hAnsi="Times New Roman" w:cs="Times New Roman"/>
          <w:sz w:val="24"/>
          <w:szCs w:val="24"/>
        </w:rPr>
        <w:t xml:space="preserve">ome </w:t>
      </w:r>
      <w:r w:rsidR="000C7FE6">
        <w:rPr>
          <w:rFonts w:ascii="Times New Roman" w:eastAsia="Hiragino Sans W4" w:hAnsi="Times New Roman" w:cs="Times New Roman"/>
          <w:sz w:val="24"/>
          <w:szCs w:val="24"/>
        </w:rPr>
        <w:t xml:space="preserve">NPMs </w:t>
      </w:r>
      <w:r w:rsidRPr="00114918">
        <w:rPr>
          <w:rFonts w:ascii="Times New Roman" w:eastAsia="Hiragino Sans W4" w:hAnsi="Times New Roman" w:cs="Times New Roman"/>
          <w:sz w:val="24"/>
          <w:szCs w:val="24"/>
        </w:rPr>
        <w:t>equate regularity with frequency, for example, the Polish NPM noting that as Poland has ‘2600 places of detention…and that the NPM visiting team is currently composed of 10 persons, despite their high commitment the Commissioner for Human Rights is, unfortunately, unable to guarantee compliance with the minimum international standards of frequency of preventive visits’</w:t>
      </w:r>
      <w:r>
        <w:rPr>
          <w:rFonts w:ascii="Times New Roman" w:eastAsia="Hiragino Sans W4" w:hAnsi="Times New Roman" w:cs="Times New Roman"/>
          <w:sz w:val="24"/>
          <w:szCs w:val="24"/>
        </w:rPr>
        <w:t xml:space="preserve"> (Polish Commissioner for Human Rights 2017)</w:t>
      </w:r>
      <w:r w:rsidRPr="00114918">
        <w:rPr>
          <w:rFonts w:ascii="Times New Roman" w:eastAsia="Hiragino Sans W4" w:hAnsi="Times New Roman" w:cs="Times New Roman"/>
          <w:sz w:val="24"/>
          <w:szCs w:val="24"/>
        </w:rPr>
        <w:t>.</w:t>
      </w:r>
    </w:p>
    <w:p w14:paraId="7BBADE26" w14:textId="179844D8" w:rsidR="007272F1" w:rsidRPr="009A27FA" w:rsidRDefault="009A27FA" w:rsidP="009A27FA">
      <w:pPr>
        <w:pStyle w:val="NormalWeb"/>
        <w:spacing w:before="60" w:beforeAutospacing="0" w:after="60" w:afterAutospacing="0" w:line="480" w:lineRule="auto"/>
        <w:rPr>
          <w:rFonts w:eastAsia="Hiragino Sans W4"/>
          <w:b/>
          <w:i/>
        </w:rPr>
      </w:pPr>
      <w:r w:rsidRPr="009A27FA">
        <w:rPr>
          <w:rFonts w:eastAsia="Hiragino Sans W4"/>
          <w:b/>
          <w:i/>
        </w:rPr>
        <w:t>2.</w:t>
      </w:r>
      <w:r w:rsidRPr="009A27FA">
        <w:rPr>
          <w:rFonts w:eastAsia="Hiragino Sans W4"/>
          <w:b/>
          <w:i/>
        </w:rPr>
        <w:tab/>
      </w:r>
      <w:r w:rsidR="007272F1" w:rsidRPr="009A27FA">
        <w:rPr>
          <w:rFonts w:eastAsia="Hiragino Sans W4"/>
          <w:b/>
          <w:i/>
        </w:rPr>
        <w:t xml:space="preserve">Types of </w:t>
      </w:r>
      <w:r w:rsidRPr="009A27FA">
        <w:rPr>
          <w:rFonts w:eastAsia="Hiragino Sans W4"/>
          <w:b/>
          <w:i/>
        </w:rPr>
        <w:t>NPM visit</w:t>
      </w:r>
    </w:p>
    <w:p w14:paraId="4AE94799" w14:textId="06542B33" w:rsidR="007272F1" w:rsidRPr="00114918" w:rsidRDefault="007272F1" w:rsidP="007272F1">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Perhaps most cruciall</w:t>
      </w:r>
      <w:r>
        <w:rPr>
          <w:rFonts w:eastAsia="Hiragino Sans W4"/>
        </w:rPr>
        <w:t xml:space="preserve">y for our analysis is that NPMs, </w:t>
      </w:r>
      <w:r w:rsidRPr="00114918">
        <w:rPr>
          <w:rFonts w:eastAsia="Hiragino Sans W4"/>
        </w:rPr>
        <w:t xml:space="preserve">may undertake different types of visits which they label in ways which are not necessarily comparable. </w:t>
      </w:r>
      <w:r w:rsidR="005573AA">
        <w:rPr>
          <w:lang w:eastAsia="en-US"/>
        </w:rPr>
        <w:t>The NPM of Serbia distinguishes between 'regular, 'control' and 'emergency' visits</w:t>
      </w:r>
      <w:r w:rsidR="009A27FA">
        <w:rPr>
          <w:lang w:eastAsia="en-US"/>
        </w:rPr>
        <w:t xml:space="preserve"> for example</w:t>
      </w:r>
      <w:r w:rsidR="00417890">
        <w:rPr>
          <w:lang w:eastAsia="en-US"/>
        </w:rPr>
        <w:t xml:space="preserve"> (NPM of Serbia 2012)</w:t>
      </w:r>
      <w:r w:rsidR="005573AA">
        <w:rPr>
          <w:lang w:eastAsia="en-US"/>
        </w:rPr>
        <w:t xml:space="preserve">. </w:t>
      </w:r>
      <w:r w:rsidR="009A27FA">
        <w:rPr>
          <w:rFonts w:eastAsia="Hiragino Sans W4"/>
        </w:rPr>
        <w:t>T</w:t>
      </w:r>
      <w:r w:rsidRPr="00114918">
        <w:rPr>
          <w:rFonts w:eastAsia="Hiragino Sans W4"/>
        </w:rPr>
        <w:t xml:space="preserve">he Czech Republic </w:t>
      </w:r>
      <w:r>
        <w:rPr>
          <w:rFonts w:eastAsia="Hiragino Sans W4"/>
        </w:rPr>
        <w:t xml:space="preserve">NPM </w:t>
      </w:r>
      <w:r w:rsidR="0098428B">
        <w:rPr>
          <w:rFonts w:eastAsia="Hiragino Sans W4"/>
        </w:rPr>
        <w:t>m</w:t>
      </w:r>
      <w:r w:rsidRPr="00114918">
        <w:rPr>
          <w:rFonts w:eastAsia="Hiragino Sans W4"/>
        </w:rPr>
        <w:t>akes ‘systematic visits’ as well as ‘regular monitoring’</w:t>
      </w:r>
      <w:r w:rsidR="009A27FA">
        <w:rPr>
          <w:rFonts w:eastAsia="Hiragino Sans W4"/>
        </w:rPr>
        <w:t>; i</w:t>
      </w:r>
      <w:r w:rsidRPr="00114918">
        <w:rPr>
          <w:rFonts w:eastAsia="Hiragino Sans W4"/>
        </w:rPr>
        <w:t>t therefore conducted: 22 ‘systematic visits’ in 2016 of which two were to prisons</w:t>
      </w:r>
      <w:r w:rsidR="00417890">
        <w:rPr>
          <w:rFonts w:eastAsia="Hiragino Sans W4"/>
        </w:rPr>
        <w:t xml:space="preserve"> (Czech Public Defender of Human Rights 2016)</w:t>
      </w:r>
      <w:r w:rsidRPr="00114918">
        <w:rPr>
          <w:rFonts w:eastAsia="Hiragino Sans W4"/>
        </w:rPr>
        <w:t>:</w:t>
      </w:r>
    </w:p>
    <w:p w14:paraId="726C92B8" w14:textId="2BD93836" w:rsidR="007272F1" w:rsidRPr="003176E0" w:rsidRDefault="007272F1" w:rsidP="007272F1">
      <w:pPr>
        <w:pStyle w:val="NormalWeb"/>
        <w:shd w:val="clear" w:color="auto" w:fill="FFFFFF"/>
        <w:spacing w:before="60" w:beforeAutospacing="0" w:after="60" w:afterAutospacing="0" w:line="480" w:lineRule="auto"/>
        <w:ind w:left="720"/>
        <w:jc w:val="both"/>
        <w:rPr>
          <w:rFonts w:eastAsia="Hiragino Sans W4"/>
          <w:sz w:val="18"/>
          <w:szCs w:val="18"/>
        </w:rPr>
      </w:pPr>
      <w:r w:rsidRPr="003176E0">
        <w:rPr>
          <w:rFonts w:eastAsia="Hiragino Sans W4"/>
          <w:sz w:val="18"/>
          <w:szCs w:val="18"/>
        </w:rPr>
        <w:lastRenderedPageBreak/>
        <w:t>The team of the Defender performed 22 systematic visits – both as part of a focus series as well as regular monitoring. The objective of nine of the visits was to more deeply examine the standard of treatment in facilities for children requiring immediate assistance, two visits focused on the execution of protective treatment in a prison. Regular monitoring was carried out in police and foreigners' facilities, social service facility and facility for institutional and protective education. The repeated visit to a hospital for long-term patients focused on monitoring the implementation of the previous recommendations. The facilities for children requiring immediate assistance were visited within a single project (9 visits). They were performed by a special team of lawyers and external experts. The lawyers did an internship in facilities with good practice beforehand, while the Office prepared training for the experts regarding the methodology of visits and prevention of ill-treatment. The Defender will present the findings from the visits along with the recommendations in a summary report in 2017.</w:t>
      </w:r>
    </w:p>
    <w:p w14:paraId="68DAE762" w14:textId="25FAB80C" w:rsidR="007272F1" w:rsidRPr="009A27FA" w:rsidRDefault="007272F1" w:rsidP="007272F1">
      <w:pPr>
        <w:pStyle w:val="NormalWeb"/>
        <w:shd w:val="clear" w:color="auto" w:fill="FFFFFF"/>
        <w:spacing w:before="60" w:beforeAutospacing="0" w:after="60" w:afterAutospacing="0" w:line="480" w:lineRule="auto"/>
        <w:jc w:val="both"/>
        <w:rPr>
          <w:rFonts w:eastAsia="Hiragino Sans W4"/>
          <w:color w:val="000000"/>
        </w:rPr>
      </w:pPr>
      <w:r w:rsidRPr="00114918">
        <w:rPr>
          <w:rFonts w:eastAsia="Hiragino Sans W4"/>
        </w:rPr>
        <w:t>Similarly, Slovenia cites ‘regular visits’, ‘control visits’, and ‘thematic visits’</w:t>
      </w:r>
      <w:r w:rsidR="0077657B">
        <w:rPr>
          <w:rFonts w:eastAsia="Hiragino Sans W4"/>
        </w:rPr>
        <w:t xml:space="preserve"> (Slovenian NPM 2017)</w:t>
      </w:r>
      <w:r w:rsidRPr="00114918">
        <w:rPr>
          <w:rFonts w:eastAsia="Hiragino Sans W4"/>
          <w:color w:val="000000"/>
        </w:rPr>
        <w:t>; In Montenegro, these are: ‘regular’, ‘follow-up’, ‘emergency’ and ‘thematic’</w:t>
      </w:r>
      <w:r w:rsidR="0077657B">
        <w:rPr>
          <w:rFonts w:eastAsia="Hiragino Sans W4"/>
          <w:color w:val="000000"/>
        </w:rPr>
        <w:t xml:space="preserve"> (Protector of Human Rights and Freedoms of Montenegro 2017)</w:t>
      </w:r>
      <w:r w:rsidRPr="00114918">
        <w:rPr>
          <w:rFonts w:eastAsia="Hiragino Sans W4"/>
          <w:color w:val="000000"/>
        </w:rPr>
        <w:t>.</w:t>
      </w:r>
      <w:r w:rsidR="009A27FA">
        <w:rPr>
          <w:rFonts w:eastAsia="Hiragino Sans W4"/>
          <w:color w:val="000000"/>
        </w:rPr>
        <w:t xml:space="preserve">  </w:t>
      </w:r>
      <w:r w:rsidRPr="00114918">
        <w:rPr>
          <w:rFonts w:eastAsia="Hiragino Sans W4"/>
        </w:rPr>
        <w:t xml:space="preserve">The </w:t>
      </w:r>
      <w:r w:rsidR="0077657B">
        <w:rPr>
          <w:rFonts w:eastAsia="Hiragino Sans W4"/>
        </w:rPr>
        <w:t xml:space="preserve">Albanian </w:t>
      </w:r>
      <w:r w:rsidRPr="00114918">
        <w:rPr>
          <w:rFonts w:eastAsia="Hiragino Sans W4"/>
        </w:rPr>
        <w:t>Ombudsman labels its visits as: ‘re-inspections’, ‘special thematic checks’ and ‘administrative inspections’</w:t>
      </w:r>
      <w:r w:rsidR="0077657B">
        <w:rPr>
          <w:rFonts w:eastAsia="Hiragino Sans W4"/>
        </w:rPr>
        <w:t xml:space="preserve"> (Albanian Ombudsman Office 2015)</w:t>
      </w:r>
      <w:r w:rsidRPr="00114918">
        <w:rPr>
          <w:rFonts w:eastAsia="Hiragino Sans W4"/>
        </w:rPr>
        <w:t>. For example:</w:t>
      </w:r>
    </w:p>
    <w:p w14:paraId="30EB7843" w14:textId="1E7374E9" w:rsidR="007272F1" w:rsidRPr="003176E0" w:rsidRDefault="007272F1" w:rsidP="007272F1">
      <w:pPr>
        <w:pStyle w:val="NormalWeb"/>
        <w:shd w:val="clear" w:color="auto" w:fill="FFFFFF"/>
        <w:spacing w:before="60" w:beforeAutospacing="0" w:after="60" w:afterAutospacing="0" w:line="480" w:lineRule="auto"/>
        <w:ind w:left="720"/>
        <w:jc w:val="both"/>
        <w:rPr>
          <w:rFonts w:eastAsia="Hiragino Sans W4"/>
          <w:sz w:val="18"/>
          <w:szCs w:val="18"/>
        </w:rPr>
      </w:pPr>
      <w:r w:rsidRPr="003176E0">
        <w:rPr>
          <w:rFonts w:eastAsia="Hiragino Sans W4"/>
          <w:sz w:val="18"/>
          <w:szCs w:val="18"/>
        </w:rPr>
        <w:t>During 2015, the Ombudsman in its role as the National Preventive Mechanism for Torture Prevention conducted 130 visits, out of which 83 monitoring visits performed on the basis of the approved plan of inspections for the year 2015, and 47 re-inspections, special thematic checks and administrative investigations, to all institutions where individual’s freedom is deprived or may be deprived, including penitentiary institutions, police stations, psychiatric hospitals, military bases containing security rooms, centres handling foreigners, asylum seekers and victims of trafficking, and border crossing points and premises where temporary migrant handling had been anticipated.</w:t>
      </w:r>
    </w:p>
    <w:p w14:paraId="32DD5D62" w14:textId="4E58CC3C" w:rsidR="005C761E" w:rsidRDefault="007272F1" w:rsidP="007272F1">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Other NPMs have different categories, with the Lithuanian Seimas Ombudsman Office, for instance, conducting ‘questionnaire-based inspections’, ‘in</w:t>
      </w:r>
      <w:r>
        <w:rPr>
          <w:rFonts w:eastAsia="Hiragino Sans W4"/>
        </w:rPr>
        <w:t>-</w:t>
      </w:r>
      <w:r w:rsidRPr="00114918">
        <w:rPr>
          <w:rFonts w:eastAsia="Hiragino Sans W4"/>
        </w:rPr>
        <w:t>depth inspections’, ‘thematic inspections’ and ‘follow-up visits’</w:t>
      </w:r>
      <w:r w:rsidR="00F26AD3">
        <w:rPr>
          <w:rFonts w:eastAsia="Hiragino Sans W4"/>
        </w:rPr>
        <w:t xml:space="preserve"> (Lithuanian Seimas Ombudsman Office 2016)</w:t>
      </w:r>
      <w:r w:rsidRPr="00114918">
        <w:rPr>
          <w:rFonts w:eastAsia="Hiragino Sans W4"/>
        </w:rPr>
        <w:t>.</w:t>
      </w:r>
    </w:p>
    <w:p w14:paraId="4902E0B5" w14:textId="3D10330A" w:rsidR="005C761E" w:rsidRPr="005C761E" w:rsidRDefault="005C761E" w:rsidP="007272F1">
      <w:pPr>
        <w:pStyle w:val="NormalWeb"/>
        <w:shd w:val="clear" w:color="auto" w:fill="FFFFFF"/>
        <w:spacing w:before="60" w:beforeAutospacing="0" w:after="60" w:afterAutospacing="0" w:line="480" w:lineRule="auto"/>
        <w:jc w:val="both"/>
        <w:rPr>
          <w:rFonts w:eastAsia="Hiragino Sans W4"/>
          <w:b/>
          <w:i/>
        </w:rPr>
      </w:pPr>
      <w:r w:rsidRPr="005C761E">
        <w:rPr>
          <w:rFonts w:eastAsia="Hiragino Sans W4"/>
          <w:b/>
          <w:i/>
        </w:rPr>
        <w:t>3. Visit frequency and proportion of prisons visited</w:t>
      </w:r>
    </w:p>
    <w:p w14:paraId="21007F06" w14:textId="79F6C591" w:rsidR="007272F1" w:rsidRPr="009A27FA" w:rsidRDefault="009A27FA" w:rsidP="009A27FA">
      <w:pPr>
        <w:pStyle w:val="NormalWeb"/>
        <w:spacing w:before="60" w:beforeAutospacing="0" w:after="60" w:afterAutospacing="0" w:line="480" w:lineRule="auto"/>
        <w:rPr>
          <w:lang w:eastAsia="en-US"/>
        </w:rPr>
      </w:pPr>
      <w:r>
        <w:rPr>
          <w:rFonts w:eastAsia="Hiragino Sans W4"/>
        </w:rPr>
        <w:t>In this paper however, we have taken 'regular' to refer to the frequency of visits or the intervals between them, the most usual sense of the word within the OPCAT and the other material we have examined while recognising this covers many different types of visit.</w:t>
      </w:r>
      <w:r>
        <w:rPr>
          <w:lang w:eastAsia="en-US"/>
        </w:rPr>
        <w:t xml:space="preserve"> </w:t>
      </w:r>
      <w:r w:rsidR="007272F1">
        <w:rPr>
          <w:rFonts w:eastAsia="Hiragino Sans W4"/>
        </w:rPr>
        <w:t xml:space="preserve">65% of the 155 visits included in our survey responses were described by the NPM as 'regular' </w:t>
      </w:r>
      <w:r w:rsidR="007272F1">
        <w:rPr>
          <w:rFonts w:eastAsia="Hiragino Sans W4"/>
        </w:rPr>
        <w:lastRenderedPageBreak/>
        <w:t>visit</w:t>
      </w:r>
      <w:r>
        <w:rPr>
          <w:rFonts w:eastAsia="Hiragino Sans W4"/>
        </w:rPr>
        <w:t>s</w:t>
      </w:r>
      <w:r w:rsidR="007272F1">
        <w:rPr>
          <w:rFonts w:eastAsia="Hiragino Sans W4"/>
        </w:rPr>
        <w:t xml:space="preserve"> and in our survey analysis we have </w:t>
      </w:r>
      <w:r w:rsidR="00C02821">
        <w:rPr>
          <w:rFonts w:eastAsia="Hiragino Sans W4"/>
        </w:rPr>
        <w:t xml:space="preserve">usually </w:t>
      </w:r>
      <w:r w:rsidR="007272F1">
        <w:rPr>
          <w:rFonts w:eastAsia="Hiragino Sans W4"/>
        </w:rPr>
        <w:t xml:space="preserve">attempted to smooth out some of these differences by averaging the data from the individual visits undertaken by one NPM.   </w:t>
      </w:r>
    </w:p>
    <w:p w14:paraId="1B6341A2" w14:textId="7F1F9978" w:rsidR="000B5035" w:rsidRPr="009A27FA" w:rsidRDefault="009A27FA" w:rsidP="009A27FA">
      <w:pPr>
        <w:pStyle w:val="NormalWeb"/>
        <w:spacing w:before="60" w:beforeAutospacing="0" w:after="60" w:afterAutospacing="0" w:line="480" w:lineRule="auto"/>
        <w:rPr>
          <w:rFonts w:eastAsia="Hiragino Sans W4"/>
        </w:rPr>
      </w:pPr>
      <w:r w:rsidRPr="00113028">
        <w:rPr>
          <w:noProof/>
        </w:rPr>
        <w:drawing>
          <wp:anchor distT="0" distB="0" distL="114300" distR="114300" simplePos="0" relativeHeight="251668480" behindDoc="0" locked="0" layoutInCell="1" allowOverlap="1" wp14:anchorId="3F5AD77A" wp14:editId="2AE8857E">
            <wp:simplePos x="0" y="0"/>
            <wp:positionH relativeFrom="column">
              <wp:posOffset>1068416</wp:posOffset>
            </wp:positionH>
            <wp:positionV relativeFrom="paragraph">
              <wp:posOffset>44392</wp:posOffset>
            </wp:positionV>
            <wp:extent cx="4739640" cy="2598420"/>
            <wp:effectExtent l="0" t="0" r="10160" b="1778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B5035" w:rsidRPr="00113028">
        <w:t xml:space="preserve">In our survey we used two basic measures to indicate the regularity of NPMs' visits.  First, the number of adult prisons visited by the NPM in 2017 as a proportion of the total number of such prisons in the jurisdiction concerned. Second, the average interval between each visit in 2017 and up to the three previous visits to the same prison.  Figure 3 ranks the regularity of visits undertaken by each NPM (identified from A to R) indicated by both these measures.  As expected, overall there is a correlation between the proportion of visits undertaken in 2017 and the intervals between visits. Those NPMs that visited the greatest proportion of the total number of prisons in 2017 also tended to have the shortest intervals between visits. </w:t>
      </w:r>
    </w:p>
    <w:p w14:paraId="3A0CB0FE" w14:textId="39BE2AE0" w:rsidR="000B5035" w:rsidRPr="000B5035" w:rsidRDefault="000B5035" w:rsidP="000B5035">
      <w:pPr>
        <w:spacing w:before="60" w:after="60" w:line="480" w:lineRule="auto"/>
        <w:rPr>
          <w:sz w:val="24"/>
          <w:szCs w:val="24"/>
        </w:rPr>
      </w:pPr>
      <w:r w:rsidRPr="00113028">
        <w:rPr>
          <w:noProof/>
          <w:sz w:val="24"/>
          <w:szCs w:val="24"/>
          <w:lang w:eastAsia="en-GB"/>
        </w:rPr>
        <w:drawing>
          <wp:anchor distT="0" distB="0" distL="114300" distR="114300" simplePos="0" relativeHeight="251669504" behindDoc="0" locked="0" layoutInCell="1" allowOverlap="1" wp14:anchorId="4AA4B4C7" wp14:editId="6D497380">
            <wp:simplePos x="0" y="0"/>
            <wp:positionH relativeFrom="column">
              <wp:posOffset>2738755</wp:posOffset>
            </wp:positionH>
            <wp:positionV relativeFrom="paragraph">
              <wp:posOffset>50165</wp:posOffset>
            </wp:positionV>
            <wp:extent cx="2849880" cy="2933065"/>
            <wp:effectExtent l="0" t="0" r="7620" b="1333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113028">
        <w:rPr>
          <w:rFonts w:ascii="Times New Roman" w:hAnsi="Times New Roman" w:cs="Times New Roman"/>
          <w:sz w:val="24"/>
          <w:szCs w:val="24"/>
        </w:rPr>
        <w:t xml:space="preserve">We had data on the proportion of prisons visited in 2017 for every NPM that responded but as some of the visits undertaken were the first to the prison concerned we did not have data on the frequency of visits for every NPM. We have therefore used the percentage of prisons visited in 2017 as the best and </w:t>
      </w:r>
      <w:r w:rsidRPr="00113028">
        <w:rPr>
          <w:rFonts w:ascii="Times New Roman" w:hAnsi="Times New Roman" w:cs="Times New Roman"/>
          <w:sz w:val="24"/>
          <w:szCs w:val="24"/>
        </w:rPr>
        <w:lastRenderedPageBreak/>
        <w:t>widest measure of the regularity of NPM visits and we have grouped the results in three categories shown in Figure 4.</w:t>
      </w:r>
    </w:p>
    <w:p w14:paraId="3182CA98" w14:textId="01A2F965" w:rsidR="005C761E" w:rsidRPr="005C761E" w:rsidRDefault="005C761E" w:rsidP="008E1739">
      <w:pPr>
        <w:pStyle w:val="NormalWeb"/>
        <w:spacing w:before="60" w:beforeAutospacing="0" w:after="60" w:afterAutospacing="0" w:line="480" w:lineRule="auto"/>
        <w:rPr>
          <w:rFonts w:eastAsia="Hiragino Sans W4"/>
          <w:b/>
        </w:rPr>
      </w:pPr>
      <w:r w:rsidRPr="005C761E">
        <w:rPr>
          <w:rFonts w:eastAsia="Hiragino Sans W4"/>
          <w:b/>
        </w:rPr>
        <w:t>E. Factors determining regularity</w:t>
      </w:r>
    </w:p>
    <w:p w14:paraId="30B93A6D" w14:textId="697EFB9A" w:rsidR="0025126F" w:rsidRPr="0025126F" w:rsidRDefault="005C761E" w:rsidP="008E1739">
      <w:pPr>
        <w:pStyle w:val="NormalWeb"/>
        <w:spacing w:before="60" w:beforeAutospacing="0" w:after="60" w:afterAutospacing="0" w:line="480" w:lineRule="auto"/>
        <w:rPr>
          <w:b/>
          <w:i/>
          <w:lang w:eastAsia="en-US"/>
        </w:rPr>
      </w:pPr>
      <w:r>
        <w:rPr>
          <w:rFonts w:eastAsia="Hiragino Sans W4"/>
          <w:b/>
          <w:i/>
        </w:rPr>
        <w:t>1</w:t>
      </w:r>
      <w:r w:rsidR="0025126F" w:rsidRPr="0025126F">
        <w:rPr>
          <w:rFonts w:eastAsia="Hiragino Sans W4"/>
          <w:b/>
          <w:i/>
        </w:rPr>
        <w:t>.</w:t>
      </w:r>
      <w:r w:rsidR="0025126F" w:rsidRPr="0025126F">
        <w:rPr>
          <w:rFonts w:eastAsia="Hiragino Sans W4"/>
          <w:b/>
          <w:i/>
        </w:rPr>
        <w:tab/>
        <w:t>SPT and other guidance</w:t>
      </w:r>
    </w:p>
    <w:p w14:paraId="164A9845" w14:textId="37DF31DE" w:rsidR="005C0485" w:rsidRPr="00114918" w:rsidRDefault="00C9369E" w:rsidP="008F0D9B">
      <w:pPr>
        <w:spacing w:before="60" w:after="60" w:line="480" w:lineRule="auto"/>
        <w:jc w:val="both"/>
        <w:rPr>
          <w:rFonts w:ascii="Times New Roman" w:eastAsia="Hiragino Sans W4" w:hAnsi="Times New Roman" w:cs="Times New Roman"/>
          <w:color w:val="000000"/>
          <w:sz w:val="24"/>
          <w:szCs w:val="24"/>
        </w:rPr>
      </w:pPr>
      <w:r>
        <w:rPr>
          <w:rFonts w:ascii="Times New Roman" w:eastAsia="Hiragino Sans W4" w:hAnsi="Times New Roman" w:cs="Times New Roman"/>
          <w:sz w:val="24"/>
          <w:szCs w:val="24"/>
        </w:rPr>
        <w:t>T</w:t>
      </w:r>
      <w:r w:rsidR="005942EC" w:rsidRPr="00114918">
        <w:rPr>
          <w:rFonts w:ascii="Times New Roman" w:eastAsia="Hiragino Sans W4" w:hAnsi="Times New Roman" w:cs="Times New Roman"/>
          <w:sz w:val="24"/>
          <w:szCs w:val="24"/>
        </w:rPr>
        <w:t>he objective of the OPCAT to prevent torture and ill-treatment is heavi</w:t>
      </w:r>
      <w:r w:rsidR="00161E5B" w:rsidRPr="00114918">
        <w:rPr>
          <w:rFonts w:ascii="Times New Roman" w:eastAsia="Hiragino Sans W4" w:hAnsi="Times New Roman" w:cs="Times New Roman"/>
          <w:sz w:val="24"/>
          <w:szCs w:val="24"/>
        </w:rPr>
        <w:t>l</w:t>
      </w:r>
      <w:r w:rsidR="005942EC" w:rsidRPr="00114918">
        <w:rPr>
          <w:rFonts w:ascii="Times New Roman" w:eastAsia="Hiragino Sans W4" w:hAnsi="Times New Roman" w:cs="Times New Roman"/>
          <w:sz w:val="24"/>
          <w:szCs w:val="24"/>
        </w:rPr>
        <w:t xml:space="preserve">y dependent on NPMs ensuring the </w:t>
      </w:r>
      <w:r w:rsidR="00924193">
        <w:rPr>
          <w:rFonts w:ascii="Times New Roman" w:eastAsia="Hiragino Sans W4" w:hAnsi="Times New Roman" w:cs="Times New Roman"/>
          <w:sz w:val="24"/>
          <w:szCs w:val="24"/>
        </w:rPr>
        <w:t xml:space="preserve">regularity of their own visits </w:t>
      </w:r>
      <w:r w:rsidR="005942EC" w:rsidRPr="00114918">
        <w:rPr>
          <w:rFonts w:ascii="Times New Roman" w:eastAsia="Hiragino Sans W4" w:hAnsi="Times New Roman" w:cs="Times New Roman"/>
          <w:sz w:val="24"/>
          <w:szCs w:val="24"/>
        </w:rPr>
        <w:t>however that is defined.</w:t>
      </w:r>
      <w:r w:rsidR="00161E5B" w:rsidRPr="00114918">
        <w:rPr>
          <w:rFonts w:ascii="Times New Roman" w:eastAsia="Hiragino Sans W4" w:hAnsi="Times New Roman" w:cs="Times New Roman"/>
          <w:sz w:val="24"/>
          <w:szCs w:val="24"/>
        </w:rPr>
        <w:t xml:space="preserve"> </w:t>
      </w:r>
      <w:r w:rsidR="00C463B8" w:rsidRPr="00114918">
        <w:rPr>
          <w:rFonts w:ascii="Times New Roman" w:eastAsia="Hiragino Sans W4" w:hAnsi="Times New Roman" w:cs="Times New Roman"/>
          <w:sz w:val="24"/>
          <w:szCs w:val="24"/>
        </w:rPr>
        <w:t>In</w:t>
      </w:r>
      <w:r w:rsidR="00C65C8B" w:rsidRPr="00114918">
        <w:rPr>
          <w:rFonts w:ascii="Times New Roman" w:eastAsia="Hiragino Sans W4" w:hAnsi="Times New Roman" w:cs="Times New Roman"/>
          <w:sz w:val="24"/>
          <w:szCs w:val="24"/>
        </w:rPr>
        <w:t xml:space="preserve"> t</w:t>
      </w:r>
      <w:r w:rsidR="002D3123" w:rsidRPr="00114918">
        <w:rPr>
          <w:rStyle w:val="Emphasis"/>
          <w:rFonts w:ascii="Times New Roman" w:eastAsia="Hiragino Sans W4" w:hAnsi="Times New Roman" w:cs="Times New Roman"/>
          <w:i w:val="0"/>
          <w:color w:val="000000"/>
          <w:sz w:val="24"/>
          <w:szCs w:val="24"/>
        </w:rPr>
        <w:t xml:space="preserve">he articles relating to the functions and powers of the NPM, the regularity of </w:t>
      </w:r>
      <w:r w:rsidR="003A4E39" w:rsidRPr="00114918">
        <w:rPr>
          <w:rStyle w:val="Emphasis"/>
          <w:rFonts w:ascii="Times New Roman" w:eastAsia="Hiragino Sans W4" w:hAnsi="Times New Roman" w:cs="Times New Roman"/>
          <w:i w:val="0"/>
          <w:color w:val="000000"/>
          <w:sz w:val="24"/>
          <w:szCs w:val="24"/>
        </w:rPr>
        <w:t>visits</w:t>
      </w:r>
      <w:r w:rsidR="002D3123" w:rsidRPr="00114918">
        <w:rPr>
          <w:rStyle w:val="Emphasis"/>
          <w:rFonts w:ascii="Times New Roman" w:eastAsia="Hiragino Sans W4" w:hAnsi="Times New Roman" w:cs="Times New Roman"/>
          <w:i w:val="0"/>
          <w:color w:val="000000"/>
          <w:sz w:val="24"/>
          <w:szCs w:val="24"/>
        </w:rPr>
        <w:t xml:space="preserve"> is not </w:t>
      </w:r>
      <w:r w:rsidR="00A979D5" w:rsidRPr="00114918">
        <w:rPr>
          <w:rStyle w:val="Emphasis"/>
          <w:rFonts w:ascii="Times New Roman" w:eastAsia="Hiragino Sans W4" w:hAnsi="Times New Roman" w:cs="Times New Roman"/>
          <w:i w:val="0"/>
          <w:color w:val="000000"/>
          <w:sz w:val="24"/>
          <w:szCs w:val="24"/>
        </w:rPr>
        <w:t>expressly mentioned. Instead the focus is on the ‘regular examin[ation]’ of the treatm</w:t>
      </w:r>
      <w:r w:rsidR="00C65C8B" w:rsidRPr="00114918">
        <w:rPr>
          <w:rStyle w:val="Emphasis"/>
          <w:rFonts w:ascii="Times New Roman" w:eastAsia="Hiragino Sans W4" w:hAnsi="Times New Roman" w:cs="Times New Roman"/>
          <w:i w:val="0"/>
          <w:color w:val="000000"/>
          <w:sz w:val="24"/>
          <w:szCs w:val="24"/>
        </w:rPr>
        <w:t xml:space="preserve">ent of detainees through visits, with Article 19(a) reading: </w:t>
      </w:r>
      <w:r w:rsidR="005C0485" w:rsidRPr="00114918">
        <w:rPr>
          <w:rFonts w:ascii="Times New Roman" w:eastAsia="Hiragino Sans W4" w:hAnsi="Times New Roman" w:cs="Times New Roman"/>
          <w:color w:val="000000"/>
          <w:sz w:val="24"/>
          <w:szCs w:val="24"/>
        </w:rPr>
        <w:t>‘The national preventive mechanisms shall be granted at a minimum the power: (a) To regularly examine the treatment of the persons deprived of their liberty in places of detention’.</w:t>
      </w:r>
    </w:p>
    <w:p w14:paraId="37B136EA" w14:textId="3B26F4FD" w:rsidR="00EC3D30" w:rsidRPr="00114918" w:rsidRDefault="00C65C8B" w:rsidP="008F0D9B">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 xml:space="preserve">Similarly, </w:t>
      </w:r>
      <w:r w:rsidR="00EC3D30" w:rsidRPr="00114918">
        <w:rPr>
          <w:rFonts w:ascii="Times New Roman" w:eastAsia="Hiragino Sans W4" w:hAnsi="Times New Roman" w:cs="Times New Roman"/>
          <w:sz w:val="24"/>
          <w:szCs w:val="24"/>
        </w:rPr>
        <w:t xml:space="preserve">the NPM </w:t>
      </w:r>
      <w:r w:rsidR="000D7E3A" w:rsidRPr="00114918">
        <w:rPr>
          <w:rFonts w:ascii="Times New Roman" w:eastAsia="Hiragino Sans W4" w:hAnsi="Times New Roman" w:cs="Times New Roman"/>
          <w:sz w:val="24"/>
          <w:szCs w:val="24"/>
        </w:rPr>
        <w:t>Guidelines</w:t>
      </w:r>
      <w:r w:rsidR="00EC3D30" w:rsidRPr="00114918">
        <w:rPr>
          <w:rFonts w:ascii="Times New Roman" w:eastAsia="Hiragino Sans W4" w:hAnsi="Times New Roman" w:cs="Times New Roman"/>
          <w:sz w:val="24"/>
          <w:szCs w:val="24"/>
        </w:rPr>
        <w:t xml:space="preserve"> produced by the SPT </w:t>
      </w:r>
      <w:r w:rsidR="00F37167" w:rsidRPr="00114918">
        <w:rPr>
          <w:rFonts w:ascii="Times New Roman" w:eastAsia="Hiragino Sans W4" w:hAnsi="Times New Roman" w:cs="Times New Roman"/>
          <w:sz w:val="24"/>
          <w:szCs w:val="24"/>
        </w:rPr>
        <w:t xml:space="preserve">do not prescribe a set frequency, leaving it to the discretion of the particular NPM with the </w:t>
      </w:r>
      <w:r w:rsidR="003A4E39" w:rsidRPr="00114918">
        <w:rPr>
          <w:rFonts w:ascii="Times New Roman" w:eastAsia="Hiragino Sans W4" w:hAnsi="Times New Roman" w:cs="Times New Roman"/>
          <w:sz w:val="24"/>
          <w:szCs w:val="24"/>
        </w:rPr>
        <w:t>requirement</w:t>
      </w:r>
      <w:r w:rsidR="00F37167" w:rsidRPr="00114918">
        <w:rPr>
          <w:rFonts w:ascii="Times New Roman" w:eastAsia="Hiragino Sans W4" w:hAnsi="Times New Roman" w:cs="Times New Roman"/>
          <w:sz w:val="24"/>
          <w:szCs w:val="24"/>
        </w:rPr>
        <w:t xml:space="preserve"> that it </w:t>
      </w:r>
      <w:r w:rsidR="003A4E39" w:rsidRPr="00114918">
        <w:rPr>
          <w:rFonts w:ascii="Times New Roman" w:eastAsia="Hiragino Sans W4" w:hAnsi="Times New Roman" w:cs="Times New Roman"/>
          <w:sz w:val="24"/>
          <w:szCs w:val="24"/>
        </w:rPr>
        <w:t>maintain</w:t>
      </w:r>
      <w:r w:rsidRPr="00114918">
        <w:rPr>
          <w:rFonts w:ascii="Times New Roman" w:eastAsia="Hiragino Sans W4" w:hAnsi="Times New Roman" w:cs="Times New Roman"/>
          <w:sz w:val="24"/>
          <w:szCs w:val="24"/>
        </w:rPr>
        <w:t xml:space="preserve"> its focus on prevention</w:t>
      </w:r>
      <w:r w:rsidR="00F26AD3">
        <w:rPr>
          <w:rFonts w:ascii="Times New Roman" w:eastAsia="Hiragino Sans W4" w:hAnsi="Times New Roman" w:cs="Times New Roman"/>
          <w:sz w:val="24"/>
          <w:szCs w:val="24"/>
        </w:rPr>
        <w:t xml:space="preserve"> (SPT 2010)</w:t>
      </w:r>
      <w:r w:rsidRPr="00114918">
        <w:rPr>
          <w:rFonts w:ascii="Times New Roman" w:eastAsia="Hiragino Sans W4" w:hAnsi="Times New Roman" w:cs="Times New Roman"/>
          <w:sz w:val="24"/>
          <w:szCs w:val="24"/>
        </w:rPr>
        <w:t>:</w:t>
      </w:r>
    </w:p>
    <w:p w14:paraId="079BE1C5" w14:textId="3F9FFF7A" w:rsidR="00EC3D30" w:rsidRPr="00114918" w:rsidRDefault="00EC3D30" w:rsidP="008F0D9B">
      <w:pPr>
        <w:spacing w:before="60" w:after="60" w:line="480" w:lineRule="auto"/>
        <w:ind w:left="720"/>
        <w:jc w:val="both"/>
        <w:rPr>
          <w:rFonts w:ascii="Times New Roman" w:eastAsia="Hiragino Sans W4" w:hAnsi="Times New Roman" w:cs="Times New Roman"/>
          <w:sz w:val="24"/>
          <w:szCs w:val="24"/>
        </w:rPr>
      </w:pPr>
      <w:r w:rsidRPr="00BC244F">
        <w:rPr>
          <w:rFonts w:ascii="Times New Roman" w:eastAsia="Hiragino Sans W4" w:hAnsi="Times New Roman" w:cs="Times New Roman"/>
          <w:sz w:val="18"/>
          <w:szCs w:val="18"/>
        </w:rPr>
        <w:t>The State should ensure that the NPM is able to carry out visits in the manner and with the frequency that the NPM itself decides. This includes the ability to conduct private interviews with those deprived of liberty and the right to carry out unannounced visits at all times to all places of deprivation of liberty, in accordance with the provisions of the Optional Protocol.</w:t>
      </w:r>
    </w:p>
    <w:p w14:paraId="725D2BA0" w14:textId="7B5F9DF8" w:rsidR="00C65C8B" w:rsidRPr="00114918" w:rsidRDefault="00C65C8B" w:rsidP="008F0D9B">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And further:</w:t>
      </w:r>
    </w:p>
    <w:p w14:paraId="72B42977" w14:textId="7818B173" w:rsidR="00EC3D30" w:rsidRPr="00114918" w:rsidRDefault="00EC3D30" w:rsidP="008F0D9B">
      <w:pPr>
        <w:spacing w:before="60" w:after="60" w:line="480" w:lineRule="auto"/>
        <w:ind w:left="720"/>
        <w:jc w:val="both"/>
        <w:rPr>
          <w:rFonts w:ascii="Times New Roman" w:eastAsia="Hiragino Sans W4" w:hAnsi="Times New Roman" w:cs="Times New Roman"/>
          <w:sz w:val="24"/>
          <w:szCs w:val="24"/>
        </w:rPr>
      </w:pPr>
      <w:r w:rsidRPr="00BC244F">
        <w:rPr>
          <w:rFonts w:ascii="Times New Roman" w:eastAsia="Hiragino Sans W4" w:hAnsi="Times New Roman" w:cs="Times New Roman"/>
          <w:sz w:val="18"/>
          <w:szCs w:val="18"/>
        </w:rPr>
        <w:t>The NPM should plan its work and its use of resources in such a way as to ensure that places of deprivation of liberty are visited in a manner and with sufficient frequency to make an effective contribution to the prevention torture and other cruel, inhuman or de</w:t>
      </w:r>
      <w:r w:rsidR="00BC244F" w:rsidRPr="00BC244F">
        <w:rPr>
          <w:rFonts w:ascii="Times New Roman" w:eastAsia="Hiragino Sans W4" w:hAnsi="Times New Roman" w:cs="Times New Roman"/>
          <w:sz w:val="18"/>
          <w:szCs w:val="18"/>
        </w:rPr>
        <w:t>grading treatment or punishment</w:t>
      </w:r>
      <w:r w:rsidRPr="00BC244F">
        <w:rPr>
          <w:rFonts w:ascii="Times New Roman" w:eastAsia="Hiragino Sans W4" w:hAnsi="Times New Roman" w:cs="Times New Roman"/>
          <w:sz w:val="18"/>
          <w:szCs w:val="18"/>
        </w:rPr>
        <w:t>.</w:t>
      </w:r>
    </w:p>
    <w:p w14:paraId="504BF64D" w14:textId="4D584B64" w:rsidR="00D906D0" w:rsidRPr="00114918" w:rsidRDefault="00D906D0" w:rsidP="008F0D9B">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The SPT also identifies a range of factors which should be taken into account by the NPM when assessing the frequency of its visits</w:t>
      </w:r>
      <w:r w:rsidR="00F26AD3">
        <w:rPr>
          <w:rFonts w:ascii="Times New Roman" w:eastAsia="Hiragino Sans W4" w:hAnsi="Times New Roman" w:cs="Times New Roman"/>
          <w:sz w:val="24"/>
          <w:szCs w:val="24"/>
        </w:rPr>
        <w:t xml:space="preserve"> (SPT 2016)</w:t>
      </w:r>
      <w:r w:rsidRPr="00114918">
        <w:rPr>
          <w:rFonts w:ascii="Times New Roman" w:eastAsia="Hiragino Sans W4" w:hAnsi="Times New Roman" w:cs="Times New Roman"/>
          <w:sz w:val="24"/>
          <w:szCs w:val="24"/>
        </w:rPr>
        <w:t>:</w:t>
      </w:r>
    </w:p>
    <w:p w14:paraId="0D34CD34" w14:textId="665C8994" w:rsidR="00D906D0" w:rsidRPr="00114918" w:rsidRDefault="00D906D0" w:rsidP="008F0D9B">
      <w:pPr>
        <w:spacing w:before="60" w:after="60" w:line="480" w:lineRule="auto"/>
        <w:ind w:left="720"/>
        <w:jc w:val="both"/>
        <w:rPr>
          <w:rFonts w:ascii="Times New Roman" w:eastAsia="Hiragino Sans W4" w:hAnsi="Times New Roman" w:cs="Times New Roman"/>
          <w:sz w:val="24"/>
          <w:szCs w:val="24"/>
        </w:rPr>
      </w:pPr>
      <w:r w:rsidRPr="00BC244F">
        <w:rPr>
          <w:rFonts w:ascii="Times New Roman" w:eastAsia="Hiragino Sans W4" w:hAnsi="Times New Roman" w:cs="Times New Roman"/>
          <w:sz w:val="18"/>
          <w:szCs w:val="18"/>
        </w:rPr>
        <w:t xml:space="preserve">The mechanism should ensure that it has criteria for selecting the places to be visited and for deciding on thematic visits that ensure that all places of detention are visited regularly, taking into account the type and size of institutions, their security level and the nature of known human rights problems, while leaving room for flexibility in the allocation </w:t>
      </w:r>
      <w:r w:rsidRPr="00BC244F">
        <w:rPr>
          <w:rFonts w:ascii="Times New Roman" w:eastAsia="Hiragino Sans W4" w:hAnsi="Times New Roman" w:cs="Times New Roman"/>
          <w:sz w:val="18"/>
          <w:szCs w:val="18"/>
        </w:rPr>
        <w:lastRenderedPageBreak/>
        <w:t>of resources to ensure that follow-up and urgent visits can be undertaken. Such criteria should be transparent, clear and published.</w:t>
      </w:r>
    </w:p>
    <w:p w14:paraId="0A7BEFFB" w14:textId="3911AA63" w:rsidR="00F37167" w:rsidRPr="00114918" w:rsidRDefault="00D906D0" w:rsidP="008F0D9B">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 xml:space="preserve">Furthermore, </w:t>
      </w:r>
      <w:r w:rsidR="009F051E" w:rsidRPr="00114918">
        <w:rPr>
          <w:rFonts w:ascii="Times New Roman" w:eastAsia="Hiragino Sans W4" w:hAnsi="Times New Roman" w:cs="Times New Roman"/>
          <w:sz w:val="24"/>
          <w:szCs w:val="24"/>
        </w:rPr>
        <w:t>according to the SPT’s Analytical Assessment Tool</w:t>
      </w:r>
      <w:r w:rsidR="009F051E">
        <w:rPr>
          <w:rFonts w:ascii="Times New Roman" w:eastAsia="Hiragino Sans W4" w:hAnsi="Times New Roman" w:cs="Times New Roman"/>
          <w:sz w:val="24"/>
          <w:szCs w:val="24"/>
        </w:rPr>
        <w:t>,</w:t>
      </w:r>
      <w:r w:rsidR="009F051E" w:rsidRPr="00114918">
        <w:rPr>
          <w:rFonts w:ascii="Times New Roman" w:eastAsia="Hiragino Sans W4" w:hAnsi="Times New Roman" w:cs="Times New Roman"/>
          <w:sz w:val="24"/>
          <w:szCs w:val="24"/>
        </w:rPr>
        <w:t xml:space="preserve"> </w:t>
      </w:r>
      <w:r w:rsidRPr="00114918">
        <w:rPr>
          <w:rFonts w:ascii="Times New Roman" w:eastAsia="Hiragino Sans W4" w:hAnsi="Times New Roman" w:cs="Times New Roman"/>
          <w:sz w:val="24"/>
          <w:szCs w:val="24"/>
        </w:rPr>
        <w:t>such assessment of what is an appropriate level of frequency ideally should also address the requirement that the NPM</w:t>
      </w:r>
      <w:r w:rsidR="009F051E">
        <w:rPr>
          <w:rFonts w:ascii="Times New Roman" w:eastAsia="Hiragino Sans W4" w:hAnsi="Times New Roman" w:cs="Times New Roman"/>
          <w:sz w:val="24"/>
          <w:szCs w:val="24"/>
        </w:rPr>
        <w:t>:</w:t>
      </w:r>
      <w:r w:rsidRPr="00114918">
        <w:rPr>
          <w:rFonts w:ascii="Times New Roman" w:eastAsia="Hiragino Sans W4" w:hAnsi="Times New Roman" w:cs="Times New Roman"/>
          <w:sz w:val="24"/>
          <w:szCs w:val="24"/>
        </w:rPr>
        <w:t xml:space="preserve"> </w:t>
      </w:r>
    </w:p>
    <w:p w14:paraId="71F621E3" w14:textId="0716D5E6" w:rsidR="00F37167" w:rsidRPr="00114918" w:rsidRDefault="00F37167" w:rsidP="008F0D9B">
      <w:pPr>
        <w:spacing w:before="60" w:after="60" w:line="480" w:lineRule="auto"/>
        <w:ind w:left="720"/>
        <w:jc w:val="both"/>
        <w:rPr>
          <w:rFonts w:ascii="Times New Roman" w:eastAsia="Hiragino Sans W4" w:hAnsi="Times New Roman" w:cs="Times New Roman"/>
          <w:sz w:val="24"/>
          <w:szCs w:val="24"/>
        </w:rPr>
      </w:pPr>
      <w:r w:rsidRPr="00BC244F">
        <w:rPr>
          <w:rFonts w:ascii="Times New Roman" w:eastAsia="Hiragino Sans W4" w:hAnsi="Times New Roman" w:cs="Times New Roman"/>
          <w:sz w:val="18"/>
          <w:szCs w:val="18"/>
        </w:rPr>
        <w:t>regularly verify the implementation of recommendations, primarily through follow-up visits to problematic institutions, but also based on relevant information from, among others, human rights bodies, governmental institutions and civil society. In order to facilitate effective follow-up, the mechanism should put in place a follow-up strategy that is clear and impact-oriented and develop the practices and tools nece</w:t>
      </w:r>
      <w:r w:rsidR="00BC244F" w:rsidRPr="00BC244F">
        <w:rPr>
          <w:rFonts w:ascii="Times New Roman" w:eastAsia="Hiragino Sans W4" w:hAnsi="Times New Roman" w:cs="Times New Roman"/>
          <w:sz w:val="18"/>
          <w:szCs w:val="18"/>
        </w:rPr>
        <w:t>ssary to implement the strategy</w:t>
      </w:r>
    </w:p>
    <w:p w14:paraId="75A64DE1" w14:textId="121897F2" w:rsidR="005C0485" w:rsidRPr="00114918" w:rsidRDefault="00D906D0" w:rsidP="008F0D9B">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This means a ‘regular appraisal’ by the NPM and the State as to the NPM’s effectiveness</w:t>
      </w:r>
      <w:r w:rsidR="00F26AD3">
        <w:rPr>
          <w:rFonts w:ascii="Times New Roman" w:eastAsia="Hiragino Sans W4" w:hAnsi="Times New Roman" w:cs="Times New Roman"/>
          <w:sz w:val="24"/>
          <w:szCs w:val="24"/>
        </w:rPr>
        <w:t xml:space="preserve"> (SPT 2010)</w:t>
      </w:r>
      <w:r w:rsidRPr="00114918">
        <w:rPr>
          <w:rFonts w:ascii="Times New Roman" w:eastAsia="Hiragino Sans W4" w:hAnsi="Times New Roman" w:cs="Times New Roman"/>
          <w:sz w:val="24"/>
          <w:szCs w:val="24"/>
        </w:rPr>
        <w:t>.</w:t>
      </w:r>
    </w:p>
    <w:p w14:paraId="402E435C" w14:textId="660A090F" w:rsidR="00983F7E" w:rsidRPr="00114918" w:rsidRDefault="00AE26E8" w:rsidP="008F0D9B">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Advice from</w:t>
      </w:r>
      <w:r w:rsidR="006B1B7E">
        <w:rPr>
          <w:rFonts w:eastAsia="Hiragino Sans W4"/>
        </w:rPr>
        <w:t xml:space="preserve"> APT</w:t>
      </w:r>
      <w:r w:rsidRPr="00114918">
        <w:rPr>
          <w:rFonts w:eastAsia="Hiragino Sans W4"/>
        </w:rPr>
        <w:t xml:space="preserve">, </w:t>
      </w:r>
      <w:r w:rsidR="00C463B8" w:rsidRPr="00114918">
        <w:rPr>
          <w:rFonts w:eastAsia="Hiragino Sans W4"/>
        </w:rPr>
        <w:t>on the one hand</w:t>
      </w:r>
      <w:r w:rsidR="001A724C">
        <w:rPr>
          <w:rFonts w:eastAsia="Hiragino Sans W4"/>
        </w:rPr>
        <w:t>,</w:t>
      </w:r>
      <w:r w:rsidR="00C463B8" w:rsidRPr="00114918">
        <w:rPr>
          <w:rFonts w:eastAsia="Hiragino Sans W4"/>
        </w:rPr>
        <w:t xml:space="preserve"> is </w:t>
      </w:r>
      <w:r w:rsidRPr="00114918">
        <w:rPr>
          <w:rFonts w:eastAsia="Hiragino Sans W4"/>
        </w:rPr>
        <w:t xml:space="preserve">not prescriptive. </w:t>
      </w:r>
      <w:r w:rsidR="00C2198C">
        <w:rPr>
          <w:rFonts w:eastAsia="Hiragino Sans W4"/>
        </w:rPr>
        <w:t>In addition to encouraging '</w:t>
      </w:r>
      <w:r w:rsidR="00C2198C" w:rsidRPr="009E2FBB">
        <w:rPr>
          <w:rFonts w:eastAsia="Hiragino Sans W4"/>
        </w:rPr>
        <w:t>frequent and regular</w:t>
      </w:r>
      <w:r w:rsidR="00AE3AA1">
        <w:rPr>
          <w:rFonts w:eastAsia="Hiragino Sans W4"/>
        </w:rPr>
        <w:t>' visits as noted above,</w:t>
      </w:r>
      <w:r w:rsidR="00C2198C" w:rsidRPr="00114918">
        <w:rPr>
          <w:rFonts w:eastAsia="Hiragino Sans W4"/>
        </w:rPr>
        <w:t xml:space="preserve"> </w:t>
      </w:r>
      <w:r w:rsidR="00AE3AA1">
        <w:rPr>
          <w:rFonts w:eastAsia="Hiragino Sans W4"/>
        </w:rPr>
        <w:t>i</w:t>
      </w:r>
      <w:r w:rsidRPr="00114918">
        <w:rPr>
          <w:rFonts w:eastAsia="Hiragino Sans W4"/>
        </w:rPr>
        <w:t>t stresses the ‘repetition’ as ‘an essential element of any effective preventive system’, with repeat visits to a particular place of detention, and the ‘degree of frequency’, as determined by the NPM, being such as to ensure that they are ‘truly preventive’</w:t>
      </w:r>
      <w:r w:rsidR="00F26AD3">
        <w:rPr>
          <w:rFonts w:eastAsia="Hiragino Sans W4"/>
        </w:rPr>
        <w:t xml:space="preserve"> (APT 2010)</w:t>
      </w:r>
      <w:r w:rsidRPr="00114918">
        <w:rPr>
          <w:rFonts w:eastAsia="Hiragino Sans W4"/>
        </w:rPr>
        <w:t>.</w:t>
      </w:r>
      <w:r w:rsidR="009046C9" w:rsidRPr="00114918">
        <w:rPr>
          <w:rFonts w:eastAsia="Hiragino Sans W4"/>
        </w:rPr>
        <w:t xml:space="preserve"> Recognising that the OPCAT does not explain what the </w:t>
      </w:r>
      <w:r w:rsidR="00C52EC5" w:rsidRPr="00114918">
        <w:rPr>
          <w:rFonts w:eastAsia="Hiragino Sans W4"/>
        </w:rPr>
        <w:t>frequency</w:t>
      </w:r>
      <w:r w:rsidR="009046C9" w:rsidRPr="00114918">
        <w:rPr>
          <w:rFonts w:eastAsia="Hiragino Sans W4"/>
        </w:rPr>
        <w:t xml:space="preserve"> should be, it suggests further </w:t>
      </w:r>
      <w:r w:rsidR="00C52EC5" w:rsidRPr="00114918">
        <w:rPr>
          <w:rFonts w:eastAsia="Hiragino Sans W4"/>
        </w:rPr>
        <w:t>factors</w:t>
      </w:r>
      <w:r w:rsidR="009046C9" w:rsidRPr="00114918">
        <w:rPr>
          <w:rFonts w:eastAsia="Hiragino Sans W4"/>
        </w:rPr>
        <w:t xml:space="preserve"> that NPMs should employ to ‘tailor their programme of preventive monitoring to meet the challenges of the national context’</w:t>
      </w:r>
      <w:r w:rsidR="00F26AD3">
        <w:rPr>
          <w:rFonts w:eastAsia="Hiragino Sans W4"/>
        </w:rPr>
        <w:t xml:space="preserve"> (APT 2010)</w:t>
      </w:r>
      <w:r w:rsidR="009046C9" w:rsidRPr="00114918">
        <w:rPr>
          <w:rFonts w:eastAsia="Hiragino Sans W4"/>
        </w:rPr>
        <w:t>. Therefore, it recommends that NPMs should ‘</w:t>
      </w:r>
      <w:r w:rsidR="00D05CB1" w:rsidRPr="00114918">
        <w:rPr>
          <w:rFonts w:eastAsia="Hiragino Sans W4"/>
        </w:rPr>
        <w:t>define a certain minimum frequency for visiting each place of detention</w:t>
      </w:r>
      <w:r w:rsidR="009046C9" w:rsidRPr="00114918">
        <w:rPr>
          <w:rFonts w:eastAsia="Hiragino Sans W4"/>
        </w:rPr>
        <w:t>’</w:t>
      </w:r>
      <w:r w:rsidR="00F26AD3">
        <w:rPr>
          <w:rFonts w:eastAsia="Hiragino Sans W4"/>
        </w:rPr>
        <w:t xml:space="preserve"> (APT 2010)</w:t>
      </w:r>
      <w:r w:rsidR="009046C9" w:rsidRPr="00114918">
        <w:rPr>
          <w:rFonts w:eastAsia="Hiragino Sans W4"/>
        </w:rPr>
        <w:t xml:space="preserve">, </w:t>
      </w:r>
      <w:r w:rsidR="00983F7E" w:rsidRPr="00114918">
        <w:rPr>
          <w:rFonts w:eastAsia="Hiragino Sans W4"/>
        </w:rPr>
        <w:t>listing the following to assist</w:t>
      </w:r>
      <w:r w:rsidR="00FD609C">
        <w:rPr>
          <w:rFonts w:eastAsia="Hiragino Sans W4"/>
        </w:rPr>
        <w:t xml:space="preserve"> (APT 2004)</w:t>
      </w:r>
      <w:r w:rsidR="00983F7E" w:rsidRPr="00114918">
        <w:rPr>
          <w:rFonts w:eastAsia="Hiragino Sans W4"/>
        </w:rPr>
        <w:t>:</w:t>
      </w:r>
    </w:p>
    <w:p w14:paraId="5F613907" w14:textId="3E7207FB" w:rsidR="00983F7E" w:rsidRPr="00EA2121" w:rsidRDefault="00983F7E" w:rsidP="00EA2121">
      <w:pPr>
        <w:pStyle w:val="NormalWeb"/>
        <w:numPr>
          <w:ilvl w:val="0"/>
          <w:numId w:val="40"/>
        </w:numPr>
        <w:shd w:val="clear" w:color="auto" w:fill="FFFFFF"/>
        <w:spacing w:before="60" w:beforeAutospacing="0" w:after="60" w:afterAutospacing="0" w:line="480" w:lineRule="auto"/>
        <w:jc w:val="both"/>
        <w:rPr>
          <w:rFonts w:eastAsia="Hiragino Sans W4"/>
          <w:sz w:val="18"/>
          <w:szCs w:val="18"/>
        </w:rPr>
      </w:pPr>
      <w:r w:rsidRPr="00EA2121">
        <w:rPr>
          <w:rFonts w:eastAsia="Hiragino Sans W4"/>
          <w:sz w:val="18"/>
          <w:szCs w:val="18"/>
        </w:rPr>
        <w:t>t</w:t>
      </w:r>
      <w:r w:rsidR="00C80DCF" w:rsidRPr="00EA2121">
        <w:rPr>
          <w:rFonts w:eastAsia="Hiragino Sans W4"/>
          <w:sz w:val="18"/>
          <w:szCs w:val="18"/>
        </w:rPr>
        <w:t>he type of place of detention;</w:t>
      </w:r>
    </w:p>
    <w:p w14:paraId="516D3A29" w14:textId="08C703A3" w:rsidR="00C80DCF" w:rsidRPr="00EA2121" w:rsidRDefault="00C80DCF" w:rsidP="00EA2121">
      <w:pPr>
        <w:pStyle w:val="NormalWeb"/>
        <w:numPr>
          <w:ilvl w:val="0"/>
          <w:numId w:val="39"/>
        </w:numPr>
        <w:shd w:val="clear" w:color="auto" w:fill="FFFFFF"/>
        <w:spacing w:before="60" w:beforeAutospacing="0" w:after="60" w:afterAutospacing="0" w:line="480" w:lineRule="auto"/>
        <w:jc w:val="both"/>
        <w:rPr>
          <w:rFonts w:eastAsia="Hiragino Sans W4"/>
          <w:sz w:val="18"/>
          <w:szCs w:val="18"/>
        </w:rPr>
      </w:pPr>
      <w:r w:rsidRPr="00EA2121">
        <w:rPr>
          <w:rFonts w:eastAsia="Hiragino Sans W4"/>
          <w:sz w:val="18"/>
          <w:szCs w:val="18"/>
        </w:rPr>
        <w:t>pre-trial detention facilities such as police stations</w:t>
      </w:r>
      <w:r w:rsidR="00651634" w:rsidRPr="00EA2121">
        <w:rPr>
          <w:rFonts w:eastAsia="Hiragino Sans W4"/>
          <w:sz w:val="18"/>
          <w:szCs w:val="18"/>
        </w:rPr>
        <w:t xml:space="preserve"> </w:t>
      </w:r>
      <w:r w:rsidRPr="00EA2121">
        <w:rPr>
          <w:rFonts w:eastAsia="Hiragino Sans W4"/>
          <w:sz w:val="18"/>
          <w:szCs w:val="18"/>
        </w:rPr>
        <w:t>should generally be visited more frequently than penal</w:t>
      </w:r>
      <w:r w:rsidR="00651634" w:rsidRPr="00EA2121">
        <w:rPr>
          <w:rFonts w:eastAsia="Hiragino Sans W4"/>
          <w:sz w:val="18"/>
          <w:szCs w:val="18"/>
        </w:rPr>
        <w:t xml:space="preserve"> </w:t>
      </w:r>
      <w:r w:rsidRPr="00EA2121">
        <w:rPr>
          <w:rFonts w:eastAsia="Hiragino Sans W4"/>
          <w:sz w:val="18"/>
          <w:szCs w:val="18"/>
        </w:rPr>
        <w:t>establishments because:</w:t>
      </w:r>
      <w:r w:rsidR="00983F7E" w:rsidRPr="00EA2121">
        <w:rPr>
          <w:rFonts w:eastAsia="Hiragino Sans W4"/>
          <w:sz w:val="18"/>
          <w:szCs w:val="18"/>
        </w:rPr>
        <w:t xml:space="preserve"> </w:t>
      </w:r>
      <w:r w:rsidRPr="00EA2121">
        <w:rPr>
          <w:rFonts w:eastAsia="Hiragino Sans W4"/>
          <w:sz w:val="18"/>
          <w:szCs w:val="18"/>
        </w:rPr>
        <w:t>interrogations are held there;</w:t>
      </w:r>
      <w:r w:rsidR="00983F7E" w:rsidRPr="00EA2121">
        <w:rPr>
          <w:rFonts w:eastAsia="Hiragino Sans W4"/>
          <w:sz w:val="18"/>
          <w:szCs w:val="18"/>
        </w:rPr>
        <w:t xml:space="preserve"> </w:t>
      </w:r>
      <w:r w:rsidRPr="00EA2121">
        <w:rPr>
          <w:rFonts w:eastAsia="Hiragino Sans W4"/>
          <w:sz w:val="18"/>
          <w:szCs w:val="18"/>
        </w:rPr>
        <w:t>detainees’ contacts with the outside world are limited;</w:t>
      </w:r>
      <w:r w:rsidR="00983F7E" w:rsidRPr="00EA2121">
        <w:rPr>
          <w:rFonts w:eastAsia="Hiragino Sans W4"/>
          <w:sz w:val="18"/>
          <w:szCs w:val="18"/>
        </w:rPr>
        <w:t xml:space="preserve"> </w:t>
      </w:r>
      <w:r w:rsidRPr="00EA2121">
        <w:rPr>
          <w:rFonts w:eastAsia="Hiragino Sans W4"/>
          <w:sz w:val="18"/>
          <w:szCs w:val="18"/>
        </w:rPr>
        <w:t>there is a rapid turnover of detainees;</w:t>
      </w:r>
    </w:p>
    <w:p w14:paraId="5D140EBF" w14:textId="0136D33B" w:rsidR="00983F7E" w:rsidRPr="00EA2121" w:rsidRDefault="00C80DCF" w:rsidP="00EA2121">
      <w:pPr>
        <w:pStyle w:val="NormalWeb"/>
        <w:numPr>
          <w:ilvl w:val="0"/>
          <w:numId w:val="39"/>
        </w:numPr>
        <w:shd w:val="clear" w:color="auto" w:fill="FFFFFF"/>
        <w:spacing w:before="60" w:beforeAutospacing="0" w:after="60" w:afterAutospacing="0" w:line="480" w:lineRule="auto"/>
        <w:jc w:val="both"/>
        <w:rPr>
          <w:rFonts w:eastAsia="Hiragino Sans W4"/>
          <w:sz w:val="18"/>
          <w:szCs w:val="18"/>
        </w:rPr>
      </w:pPr>
      <w:r w:rsidRPr="00EA2121">
        <w:rPr>
          <w:rFonts w:eastAsia="Hiragino Sans W4"/>
          <w:sz w:val="18"/>
          <w:szCs w:val="18"/>
        </w:rPr>
        <w:t>the risks – known or presumed – to which persons</w:t>
      </w:r>
      <w:r w:rsidR="00651634" w:rsidRPr="00EA2121">
        <w:rPr>
          <w:rFonts w:eastAsia="Hiragino Sans W4"/>
          <w:sz w:val="18"/>
          <w:szCs w:val="18"/>
        </w:rPr>
        <w:t xml:space="preserve"> </w:t>
      </w:r>
      <w:r w:rsidRPr="00EA2121">
        <w:rPr>
          <w:rFonts w:eastAsia="Hiragino Sans W4"/>
          <w:sz w:val="18"/>
          <w:szCs w:val="18"/>
        </w:rPr>
        <w:t xml:space="preserve">deprived of their liberty are exposed, or any </w:t>
      </w:r>
      <w:r w:rsidR="000D7E3A" w:rsidRPr="00EA2121">
        <w:rPr>
          <w:rFonts w:eastAsia="Hiragino Sans W4"/>
          <w:sz w:val="18"/>
          <w:szCs w:val="18"/>
        </w:rPr>
        <w:t>protection related</w:t>
      </w:r>
      <w:r w:rsidR="00651634" w:rsidRPr="00EA2121">
        <w:rPr>
          <w:rFonts w:eastAsia="Hiragino Sans W4"/>
          <w:sz w:val="18"/>
          <w:szCs w:val="18"/>
        </w:rPr>
        <w:t xml:space="preserve"> </w:t>
      </w:r>
      <w:r w:rsidRPr="00EA2121">
        <w:rPr>
          <w:rFonts w:eastAsia="Hiragino Sans W4"/>
          <w:sz w:val="18"/>
          <w:szCs w:val="18"/>
        </w:rPr>
        <w:t>problems noted;</w:t>
      </w:r>
    </w:p>
    <w:p w14:paraId="6D9C0205" w14:textId="05A24527" w:rsidR="00983F7E" w:rsidRPr="00EA2121" w:rsidRDefault="00C80DCF" w:rsidP="00EA2121">
      <w:pPr>
        <w:pStyle w:val="NormalWeb"/>
        <w:numPr>
          <w:ilvl w:val="0"/>
          <w:numId w:val="39"/>
        </w:numPr>
        <w:shd w:val="clear" w:color="auto" w:fill="FFFFFF"/>
        <w:spacing w:before="60" w:beforeAutospacing="0" w:after="60" w:afterAutospacing="0" w:line="480" w:lineRule="auto"/>
        <w:jc w:val="both"/>
        <w:rPr>
          <w:rFonts w:eastAsia="Hiragino Sans W4"/>
          <w:sz w:val="18"/>
          <w:szCs w:val="18"/>
        </w:rPr>
      </w:pPr>
      <w:r w:rsidRPr="00EA2121">
        <w:rPr>
          <w:rFonts w:eastAsia="Hiragino Sans W4"/>
          <w:sz w:val="18"/>
          <w:szCs w:val="18"/>
        </w:rPr>
        <w:t>the balance to be struck, over time, between the needs</w:t>
      </w:r>
      <w:r w:rsidR="00651634" w:rsidRPr="00EA2121">
        <w:rPr>
          <w:rFonts w:eastAsia="Hiragino Sans W4"/>
          <w:sz w:val="18"/>
          <w:szCs w:val="18"/>
        </w:rPr>
        <w:t xml:space="preserve"> </w:t>
      </w:r>
      <w:r w:rsidRPr="00EA2121">
        <w:rPr>
          <w:rFonts w:eastAsia="Hiragino Sans W4"/>
          <w:sz w:val="18"/>
          <w:szCs w:val="18"/>
        </w:rPr>
        <w:t>of the visiting body and the needs of the officials in</w:t>
      </w:r>
      <w:r w:rsidR="00651634" w:rsidRPr="00EA2121">
        <w:rPr>
          <w:rFonts w:eastAsia="Hiragino Sans W4"/>
          <w:sz w:val="18"/>
          <w:szCs w:val="18"/>
        </w:rPr>
        <w:t xml:space="preserve"> </w:t>
      </w:r>
      <w:r w:rsidRPr="00EA2121">
        <w:rPr>
          <w:rFonts w:eastAsia="Hiragino Sans W4"/>
          <w:sz w:val="18"/>
          <w:szCs w:val="18"/>
        </w:rPr>
        <w:t>charge in order to carry out their work. Frequently</w:t>
      </w:r>
      <w:r w:rsidR="00651634" w:rsidRPr="00EA2121">
        <w:rPr>
          <w:rFonts w:eastAsia="Hiragino Sans W4"/>
          <w:sz w:val="18"/>
          <w:szCs w:val="18"/>
        </w:rPr>
        <w:t xml:space="preserve"> </w:t>
      </w:r>
      <w:r w:rsidRPr="00EA2121">
        <w:rPr>
          <w:rFonts w:eastAsia="Hiragino Sans W4"/>
          <w:sz w:val="18"/>
          <w:szCs w:val="18"/>
        </w:rPr>
        <w:t>repeated routine visits can, in the long run, be counterproductive</w:t>
      </w:r>
      <w:r w:rsidR="00651634" w:rsidRPr="00EA2121">
        <w:rPr>
          <w:rFonts w:eastAsia="Hiragino Sans W4"/>
          <w:sz w:val="18"/>
          <w:szCs w:val="18"/>
        </w:rPr>
        <w:t xml:space="preserve"> </w:t>
      </w:r>
      <w:r w:rsidRPr="00EA2121">
        <w:rPr>
          <w:rFonts w:eastAsia="Hiragino Sans W4"/>
          <w:sz w:val="18"/>
          <w:szCs w:val="18"/>
        </w:rPr>
        <w:t>if they disrupt the work of the staff without</w:t>
      </w:r>
      <w:r w:rsidR="00651634" w:rsidRPr="00EA2121">
        <w:rPr>
          <w:rFonts w:eastAsia="Hiragino Sans W4"/>
          <w:sz w:val="18"/>
          <w:szCs w:val="18"/>
        </w:rPr>
        <w:t xml:space="preserve"> </w:t>
      </w:r>
      <w:r w:rsidRPr="00EA2121">
        <w:rPr>
          <w:rFonts w:eastAsia="Hiragino Sans W4"/>
          <w:sz w:val="18"/>
          <w:szCs w:val="18"/>
        </w:rPr>
        <w:t>valid reason.</w:t>
      </w:r>
    </w:p>
    <w:p w14:paraId="33E6AB78" w14:textId="51DF0689" w:rsidR="00E949B3" w:rsidRPr="00114918" w:rsidRDefault="00C80DCF" w:rsidP="002134F7">
      <w:pPr>
        <w:pStyle w:val="NormalWeb"/>
        <w:shd w:val="clear" w:color="auto" w:fill="FFFFFF"/>
        <w:spacing w:before="60" w:beforeAutospacing="0" w:after="60" w:afterAutospacing="0" w:line="480" w:lineRule="auto"/>
        <w:ind w:left="720"/>
        <w:jc w:val="both"/>
        <w:rPr>
          <w:rFonts w:eastAsia="Hiragino Sans W4"/>
        </w:rPr>
      </w:pPr>
      <w:r w:rsidRPr="00EA2121">
        <w:rPr>
          <w:rFonts w:eastAsia="Hiragino Sans W4"/>
          <w:sz w:val="18"/>
          <w:szCs w:val="18"/>
        </w:rPr>
        <w:lastRenderedPageBreak/>
        <w:t>The frequency of visits also largely depends on the gravity of</w:t>
      </w:r>
      <w:r w:rsidR="00651634" w:rsidRPr="00EA2121">
        <w:rPr>
          <w:rFonts w:eastAsia="Hiragino Sans W4"/>
          <w:sz w:val="18"/>
          <w:szCs w:val="18"/>
        </w:rPr>
        <w:t xml:space="preserve"> </w:t>
      </w:r>
      <w:r w:rsidRPr="00EA2121">
        <w:rPr>
          <w:rFonts w:eastAsia="Hiragino Sans W4"/>
          <w:sz w:val="18"/>
          <w:szCs w:val="18"/>
        </w:rPr>
        <w:t xml:space="preserve">the protection problems encountered. In cases where the </w:t>
      </w:r>
      <w:r w:rsidR="000D7E3A" w:rsidRPr="00EA2121">
        <w:rPr>
          <w:rFonts w:eastAsia="Hiragino Sans W4"/>
          <w:sz w:val="18"/>
          <w:szCs w:val="18"/>
        </w:rPr>
        <w:t>visiting mechanism</w:t>
      </w:r>
      <w:r w:rsidRPr="00EA2121">
        <w:rPr>
          <w:rFonts w:eastAsia="Hiragino Sans W4"/>
          <w:sz w:val="18"/>
          <w:szCs w:val="18"/>
        </w:rPr>
        <w:t xml:space="preserve"> fears that reprisals might be taken against the detainees who talked to them, it is important to carry out a follow-up visit without delay and to meet the same detainees visited previously</w:t>
      </w:r>
      <w:r w:rsidRPr="00114918">
        <w:rPr>
          <w:rFonts w:eastAsia="Hiragino Sans W4"/>
        </w:rPr>
        <w:t>.</w:t>
      </w:r>
    </w:p>
    <w:p w14:paraId="3091842B" w14:textId="0A37F1F2" w:rsidR="002134F7" w:rsidRDefault="00C463B8" w:rsidP="008F0D9B">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 xml:space="preserve">However, in other publications, it has proposed that NPMs, for example </w:t>
      </w:r>
      <w:r w:rsidR="002134F7">
        <w:rPr>
          <w:rFonts w:eastAsia="Hiragino Sans W4"/>
        </w:rPr>
        <w:t>with respect to police stations</w:t>
      </w:r>
      <w:r w:rsidR="00FD609C">
        <w:rPr>
          <w:rFonts w:eastAsia="Hiragino Sans W4"/>
        </w:rPr>
        <w:t xml:space="preserve"> (APT 2006)</w:t>
      </w:r>
      <w:r w:rsidR="002134F7">
        <w:rPr>
          <w:rFonts w:eastAsia="Hiragino Sans W4"/>
        </w:rPr>
        <w:t>:</w:t>
      </w:r>
      <w:r w:rsidRPr="00114918">
        <w:rPr>
          <w:rFonts w:eastAsia="Hiragino Sans W4"/>
        </w:rPr>
        <w:t xml:space="preserve"> </w:t>
      </w:r>
    </w:p>
    <w:p w14:paraId="7F38C581" w14:textId="740A8D95" w:rsidR="002134F7" w:rsidRPr="002134F7" w:rsidRDefault="00C463B8" w:rsidP="002134F7">
      <w:pPr>
        <w:pStyle w:val="NormalWeb"/>
        <w:shd w:val="clear" w:color="auto" w:fill="FFFFFF"/>
        <w:spacing w:before="60" w:beforeAutospacing="0" w:after="60" w:afterAutospacing="0" w:line="480" w:lineRule="auto"/>
        <w:ind w:left="720"/>
        <w:jc w:val="both"/>
        <w:rPr>
          <w:rFonts w:eastAsia="Hiragino Sans W4"/>
          <w:color w:val="000000"/>
          <w:sz w:val="18"/>
          <w:szCs w:val="18"/>
        </w:rPr>
      </w:pPr>
      <w:r w:rsidRPr="002134F7">
        <w:rPr>
          <w:rFonts w:eastAsia="Hiragino Sans W4"/>
          <w:color w:val="000000"/>
          <w:sz w:val="18"/>
          <w:szCs w:val="18"/>
        </w:rPr>
        <w:t>as a strict minimum, conduct one in-depth visit per year, with ad-hoc visits in between, to each police station with known problems, while at the same time carrying out in-depth and ad-hoc visits to other randomly selected police station</w:t>
      </w:r>
      <w:r w:rsidR="002134F7">
        <w:rPr>
          <w:rFonts w:eastAsia="Hiragino Sans W4"/>
          <w:color w:val="000000"/>
          <w:sz w:val="18"/>
          <w:szCs w:val="18"/>
        </w:rPr>
        <w:t>s during the course of the year</w:t>
      </w:r>
      <w:r w:rsidRPr="002134F7">
        <w:rPr>
          <w:rFonts w:eastAsia="Hiragino Sans W4"/>
          <w:color w:val="000000"/>
          <w:sz w:val="18"/>
          <w:szCs w:val="18"/>
        </w:rPr>
        <w:t xml:space="preserve">. </w:t>
      </w:r>
    </w:p>
    <w:p w14:paraId="0690700E" w14:textId="77777777" w:rsidR="003176E0" w:rsidRDefault="00C463B8" w:rsidP="003176E0">
      <w:pPr>
        <w:pStyle w:val="NormalWeb"/>
        <w:shd w:val="clear" w:color="auto" w:fill="FFFFFF"/>
        <w:spacing w:before="60" w:beforeAutospacing="0" w:after="60" w:afterAutospacing="0" w:line="480" w:lineRule="auto"/>
        <w:jc w:val="both"/>
        <w:rPr>
          <w:rFonts w:eastAsia="Hiragino Sans W4"/>
          <w:color w:val="000000"/>
        </w:rPr>
      </w:pPr>
      <w:r w:rsidRPr="00114918">
        <w:rPr>
          <w:rFonts w:eastAsia="Hiragino Sans W4"/>
          <w:color w:val="000000"/>
        </w:rPr>
        <w:t xml:space="preserve">Further, </w:t>
      </w:r>
    </w:p>
    <w:p w14:paraId="52DBB927" w14:textId="53E688D6" w:rsidR="003176E0" w:rsidRPr="003176E0" w:rsidRDefault="00C463B8" w:rsidP="003176E0">
      <w:pPr>
        <w:pStyle w:val="NormalWeb"/>
        <w:shd w:val="clear" w:color="auto" w:fill="FFFFFF"/>
        <w:spacing w:before="60" w:beforeAutospacing="0" w:after="60" w:afterAutospacing="0" w:line="480" w:lineRule="auto"/>
        <w:ind w:left="720"/>
        <w:jc w:val="both"/>
        <w:rPr>
          <w:rFonts w:eastAsia="Hiragino Sans W4"/>
          <w:color w:val="000000"/>
          <w:sz w:val="18"/>
          <w:szCs w:val="18"/>
        </w:rPr>
      </w:pPr>
      <w:r w:rsidRPr="003176E0">
        <w:rPr>
          <w:rFonts w:eastAsia="Hiragino Sans W4"/>
          <w:color w:val="000000"/>
          <w:sz w:val="18"/>
          <w:szCs w:val="18"/>
        </w:rPr>
        <w:t>[p]</w:t>
      </w:r>
      <w:r w:rsidRPr="003176E0">
        <w:rPr>
          <w:rFonts w:eastAsia="Hiragino Sans W4"/>
          <w:sz w:val="18"/>
          <w:szCs w:val="18"/>
        </w:rPr>
        <w:t>laces of detention with high concentrations of especially vulnerable categories of detainee should also receive an in-depth visit at least once a year (again with the possibili</w:t>
      </w:r>
      <w:r w:rsidR="003176E0">
        <w:rPr>
          <w:rFonts w:eastAsia="Hiragino Sans W4"/>
          <w:sz w:val="18"/>
          <w:szCs w:val="18"/>
        </w:rPr>
        <w:t>ty of ad-hoc visits in between)</w:t>
      </w:r>
      <w:r w:rsidRPr="003176E0">
        <w:rPr>
          <w:rFonts w:eastAsia="Hiragino Sans W4"/>
          <w:sz w:val="18"/>
          <w:szCs w:val="18"/>
        </w:rPr>
        <w:t>.</w:t>
      </w:r>
      <w:r w:rsidRPr="003176E0">
        <w:rPr>
          <w:rFonts w:eastAsia="Hiragino Sans W4"/>
          <w:color w:val="000000"/>
          <w:sz w:val="18"/>
          <w:szCs w:val="18"/>
        </w:rPr>
        <w:t xml:space="preserve"> </w:t>
      </w:r>
    </w:p>
    <w:p w14:paraId="20EC9A96" w14:textId="75C26C2E" w:rsidR="00A95A8E" w:rsidRPr="00114918" w:rsidRDefault="00C9369E" w:rsidP="003176E0">
      <w:pPr>
        <w:pStyle w:val="NormalWeb"/>
        <w:shd w:val="clear" w:color="auto" w:fill="FFFFFF"/>
        <w:spacing w:before="60" w:beforeAutospacing="0" w:after="60" w:afterAutospacing="0" w:line="480" w:lineRule="auto"/>
        <w:jc w:val="both"/>
        <w:rPr>
          <w:rFonts w:eastAsia="Hiragino Sans W4"/>
        </w:rPr>
      </w:pPr>
      <w:r>
        <w:rPr>
          <w:rFonts w:eastAsia="Hiragino Sans W4"/>
          <w:color w:val="000000"/>
        </w:rPr>
        <w:t xml:space="preserve">Overall this advice is perhaps pragmatic, providing factors to consider when determining frequency. However, it is this </w:t>
      </w:r>
      <w:r w:rsidR="00C463B8" w:rsidRPr="00114918">
        <w:rPr>
          <w:rFonts w:eastAsia="Hiragino Sans W4"/>
          <w:color w:val="000000"/>
        </w:rPr>
        <w:t xml:space="preserve">‘once a year’ approach </w:t>
      </w:r>
      <w:r>
        <w:rPr>
          <w:rFonts w:eastAsia="Hiragino Sans W4"/>
          <w:color w:val="000000"/>
        </w:rPr>
        <w:t xml:space="preserve">that </w:t>
      </w:r>
      <w:r w:rsidR="00C463B8" w:rsidRPr="00114918">
        <w:rPr>
          <w:rFonts w:eastAsia="Hiragino Sans W4"/>
          <w:color w:val="000000"/>
        </w:rPr>
        <w:t>has been considered a yardstick by some NPMs</w:t>
      </w:r>
      <w:r w:rsidR="00FD609C">
        <w:rPr>
          <w:rFonts w:eastAsia="Hiragino Sans W4"/>
          <w:color w:val="000000"/>
        </w:rPr>
        <w:t xml:space="preserve"> (Polish Commissioner for Human Rights 2017)</w:t>
      </w:r>
      <w:r w:rsidR="00C463B8" w:rsidRPr="00114918">
        <w:rPr>
          <w:rFonts w:eastAsia="Hiragino Sans W4"/>
        </w:rPr>
        <w:t>.</w:t>
      </w:r>
    </w:p>
    <w:p w14:paraId="4C20BE50" w14:textId="61AAA161" w:rsidR="006B1B7E" w:rsidRPr="00113028" w:rsidRDefault="00055BB0" w:rsidP="008F0D9B">
      <w:pPr>
        <w:spacing w:before="60" w:after="60" w:line="480" w:lineRule="auto"/>
        <w:jc w:val="both"/>
        <w:rPr>
          <w:rFonts w:ascii="Times New Roman" w:hAnsi="Times New Roman" w:cs="Times New Roman"/>
          <w:b/>
          <w:i/>
          <w:sz w:val="24"/>
          <w:szCs w:val="24"/>
        </w:rPr>
      </w:pPr>
      <w:r>
        <w:rPr>
          <w:rFonts w:ascii="Times New Roman" w:hAnsi="Times New Roman" w:cs="Times New Roman"/>
          <w:b/>
          <w:i/>
          <w:sz w:val="24"/>
          <w:szCs w:val="24"/>
        </w:rPr>
        <w:t>2</w:t>
      </w:r>
      <w:r w:rsidR="001D2D00">
        <w:rPr>
          <w:rFonts w:ascii="Times New Roman" w:hAnsi="Times New Roman" w:cs="Times New Roman"/>
          <w:b/>
          <w:i/>
          <w:sz w:val="24"/>
          <w:szCs w:val="24"/>
        </w:rPr>
        <w:t>.</w:t>
      </w:r>
      <w:r w:rsidR="001D2D00">
        <w:rPr>
          <w:rFonts w:ascii="Times New Roman" w:hAnsi="Times New Roman" w:cs="Times New Roman"/>
          <w:b/>
          <w:i/>
          <w:sz w:val="24"/>
          <w:szCs w:val="24"/>
        </w:rPr>
        <w:tab/>
      </w:r>
      <w:r>
        <w:rPr>
          <w:rFonts w:ascii="Times New Roman" w:hAnsi="Times New Roman" w:cs="Times New Roman"/>
          <w:b/>
          <w:i/>
          <w:sz w:val="24"/>
          <w:szCs w:val="24"/>
        </w:rPr>
        <w:t xml:space="preserve"> NPMs criteria d</w:t>
      </w:r>
      <w:r w:rsidR="00113028" w:rsidRPr="00113028">
        <w:rPr>
          <w:rFonts w:ascii="Times New Roman" w:hAnsi="Times New Roman" w:cs="Times New Roman"/>
          <w:b/>
          <w:i/>
          <w:sz w:val="24"/>
          <w:szCs w:val="24"/>
        </w:rPr>
        <w:t xml:space="preserve">etermining the </w:t>
      </w:r>
      <w:r w:rsidR="00EE7999">
        <w:rPr>
          <w:rFonts w:ascii="Times New Roman" w:hAnsi="Times New Roman" w:cs="Times New Roman"/>
          <w:b/>
          <w:i/>
          <w:sz w:val="24"/>
          <w:szCs w:val="24"/>
        </w:rPr>
        <w:t xml:space="preserve">regularity </w:t>
      </w:r>
      <w:r w:rsidR="00113028" w:rsidRPr="00113028">
        <w:rPr>
          <w:rFonts w:ascii="Times New Roman" w:hAnsi="Times New Roman" w:cs="Times New Roman"/>
          <w:b/>
          <w:i/>
          <w:sz w:val="24"/>
          <w:szCs w:val="24"/>
        </w:rPr>
        <w:t xml:space="preserve">of visits  </w:t>
      </w:r>
    </w:p>
    <w:p w14:paraId="08758A21" w14:textId="2A0A73DF" w:rsidR="00640494" w:rsidRPr="00113028" w:rsidRDefault="002C087E" w:rsidP="008F0D9B">
      <w:pPr>
        <w:spacing w:before="60" w:after="60" w:line="480" w:lineRule="auto"/>
        <w:jc w:val="both"/>
        <w:rPr>
          <w:rFonts w:ascii="Times New Roman" w:hAnsi="Times New Roman" w:cs="Times New Roman"/>
          <w:sz w:val="24"/>
          <w:szCs w:val="24"/>
        </w:rPr>
      </w:pPr>
      <w:r w:rsidRPr="00113028">
        <w:rPr>
          <w:rFonts w:ascii="Times New Roman" w:hAnsi="Times New Roman" w:cs="Times New Roman"/>
          <w:sz w:val="24"/>
          <w:szCs w:val="24"/>
        </w:rPr>
        <w:t>We asked NPMs whether they had a policy setting out the minimum and a</w:t>
      </w:r>
      <w:r w:rsidR="00640494" w:rsidRPr="00113028">
        <w:rPr>
          <w:rFonts w:ascii="Times New Roman" w:hAnsi="Times New Roman" w:cs="Times New Roman"/>
          <w:sz w:val="24"/>
          <w:szCs w:val="24"/>
        </w:rPr>
        <w:t xml:space="preserve"> </w:t>
      </w:r>
      <w:r w:rsidRPr="00113028">
        <w:rPr>
          <w:rFonts w:ascii="Times New Roman" w:hAnsi="Times New Roman" w:cs="Times New Roman"/>
          <w:sz w:val="24"/>
          <w:szCs w:val="24"/>
        </w:rPr>
        <w:t>maximum frequency of their vis</w:t>
      </w:r>
      <w:r w:rsidR="00640494" w:rsidRPr="00113028">
        <w:rPr>
          <w:rFonts w:ascii="Times New Roman" w:hAnsi="Times New Roman" w:cs="Times New Roman"/>
          <w:sz w:val="24"/>
          <w:szCs w:val="24"/>
        </w:rPr>
        <w:t>i</w:t>
      </w:r>
      <w:r w:rsidRPr="00113028">
        <w:rPr>
          <w:rFonts w:ascii="Times New Roman" w:hAnsi="Times New Roman" w:cs="Times New Roman"/>
          <w:sz w:val="24"/>
          <w:szCs w:val="24"/>
        </w:rPr>
        <w:t>ts and wh</w:t>
      </w:r>
      <w:r w:rsidR="00640494" w:rsidRPr="00113028">
        <w:rPr>
          <w:rFonts w:ascii="Times New Roman" w:hAnsi="Times New Roman" w:cs="Times New Roman"/>
          <w:sz w:val="24"/>
          <w:szCs w:val="24"/>
        </w:rPr>
        <w:t>e</w:t>
      </w:r>
      <w:r w:rsidRPr="00113028">
        <w:rPr>
          <w:rFonts w:ascii="Times New Roman" w:hAnsi="Times New Roman" w:cs="Times New Roman"/>
          <w:sz w:val="24"/>
          <w:szCs w:val="24"/>
        </w:rPr>
        <w:t>ther it was published</w:t>
      </w:r>
      <w:r w:rsidR="00E73734">
        <w:rPr>
          <w:rFonts w:ascii="Times New Roman" w:hAnsi="Times New Roman" w:cs="Times New Roman"/>
          <w:sz w:val="24"/>
          <w:szCs w:val="24"/>
        </w:rPr>
        <w:t xml:space="preserve">. We also asked them to rank </w:t>
      </w:r>
      <w:r w:rsidRPr="00113028">
        <w:rPr>
          <w:rFonts w:ascii="Times New Roman" w:hAnsi="Times New Roman" w:cs="Times New Roman"/>
          <w:sz w:val="24"/>
          <w:szCs w:val="24"/>
        </w:rPr>
        <w:t xml:space="preserve">the factors they used is deciding the </w:t>
      </w:r>
      <w:r w:rsidR="00640494" w:rsidRPr="00113028">
        <w:rPr>
          <w:rFonts w:ascii="Times New Roman" w:hAnsi="Times New Roman" w:cs="Times New Roman"/>
          <w:sz w:val="24"/>
          <w:szCs w:val="24"/>
        </w:rPr>
        <w:t>regularity of their visits.</w:t>
      </w:r>
    </w:p>
    <w:p w14:paraId="42C5F523" w14:textId="2F1E540B" w:rsidR="006B1B7E" w:rsidRPr="00113028" w:rsidRDefault="006B1B7E" w:rsidP="008F0D9B">
      <w:pPr>
        <w:spacing w:before="60" w:after="60" w:line="480" w:lineRule="auto"/>
        <w:jc w:val="both"/>
        <w:rPr>
          <w:rFonts w:ascii="Times New Roman" w:hAnsi="Times New Roman" w:cs="Times New Roman"/>
          <w:sz w:val="24"/>
          <w:szCs w:val="24"/>
        </w:rPr>
      </w:pPr>
      <w:r w:rsidRPr="00113028">
        <w:rPr>
          <w:rFonts w:ascii="Times New Roman" w:hAnsi="Times New Roman" w:cs="Times New Roman"/>
          <w:sz w:val="24"/>
          <w:szCs w:val="24"/>
        </w:rPr>
        <w:t>Six NPMs told us they had an explicit policy that set out the maximum and minimum periods between visits; twelve did not. The intervals between visits for those who had a policy were:</w:t>
      </w:r>
    </w:p>
    <w:p w14:paraId="3F5A0579" w14:textId="77777777" w:rsidR="006B1B7E" w:rsidRPr="00113028" w:rsidRDefault="006B1B7E" w:rsidP="008F0D9B">
      <w:pPr>
        <w:pStyle w:val="ListParagraph"/>
        <w:numPr>
          <w:ilvl w:val="0"/>
          <w:numId w:val="38"/>
        </w:numPr>
        <w:spacing w:before="60" w:after="60" w:line="480" w:lineRule="auto"/>
        <w:jc w:val="both"/>
        <w:rPr>
          <w:rFonts w:ascii="Times New Roman" w:hAnsi="Times New Roman" w:cs="Times New Roman"/>
          <w:sz w:val="24"/>
          <w:szCs w:val="24"/>
        </w:rPr>
      </w:pPr>
      <w:r w:rsidRPr="00113028">
        <w:rPr>
          <w:rFonts w:ascii="Times New Roman" w:hAnsi="Times New Roman" w:cs="Times New Roman"/>
          <w:sz w:val="24"/>
          <w:szCs w:val="24"/>
        </w:rPr>
        <w:t>Two years or less (n.1)</w:t>
      </w:r>
    </w:p>
    <w:p w14:paraId="7B90D0EA" w14:textId="77777777" w:rsidR="006B1B7E" w:rsidRPr="00113028" w:rsidRDefault="006B1B7E" w:rsidP="008F0D9B">
      <w:pPr>
        <w:pStyle w:val="ListParagraph"/>
        <w:numPr>
          <w:ilvl w:val="0"/>
          <w:numId w:val="38"/>
        </w:numPr>
        <w:spacing w:before="60" w:after="60" w:line="480" w:lineRule="auto"/>
        <w:jc w:val="both"/>
        <w:rPr>
          <w:rFonts w:ascii="Times New Roman" w:hAnsi="Times New Roman" w:cs="Times New Roman"/>
          <w:sz w:val="24"/>
          <w:szCs w:val="24"/>
        </w:rPr>
      </w:pPr>
      <w:r w:rsidRPr="00113028">
        <w:rPr>
          <w:rFonts w:ascii="Times New Roman" w:hAnsi="Times New Roman" w:cs="Times New Roman"/>
          <w:sz w:val="24"/>
          <w:szCs w:val="24"/>
        </w:rPr>
        <w:t>More than one but less than two years (n.2)</w:t>
      </w:r>
    </w:p>
    <w:p w14:paraId="7DAB98AA" w14:textId="77777777" w:rsidR="006B1B7E" w:rsidRPr="00113028" w:rsidRDefault="006B1B7E" w:rsidP="008F0D9B">
      <w:pPr>
        <w:pStyle w:val="ListParagraph"/>
        <w:numPr>
          <w:ilvl w:val="0"/>
          <w:numId w:val="38"/>
        </w:numPr>
        <w:spacing w:before="60" w:after="60" w:line="480" w:lineRule="auto"/>
        <w:jc w:val="both"/>
        <w:rPr>
          <w:rFonts w:ascii="Times New Roman" w:hAnsi="Times New Roman" w:cs="Times New Roman"/>
          <w:sz w:val="24"/>
          <w:szCs w:val="24"/>
        </w:rPr>
      </w:pPr>
      <w:r w:rsidRPr="00113028">
        <w:rPr>
          <w:rFonts w:ascii="Times New Roman" w:hAnsi="Times New Roman" w:cs="Times New Roman"/>
          <w:sz w:val="24"/>
          <w:szCs w:val="24"/>
        </w:rPr>
        <w:t>Less than four years (n.1)</w:t>
      </w:r>
    </w:p>
    <w:p w14:paraId="3B0CB51C" w14:textId="77777777" w:rsidR="006B1B7E" w:rsidRPr="00113028" w:rsidRDefault="006B1B7E" w:rsidP="008F0D9B">
      <w:pPr>
        <w:pStyle w:val="ListParagraph"/>
        <w:numPr>
          <w:ilvl w:val="0"/>
          <w:numId w:val="38"/>
        </w:numPr>
        <w:spacing w:before="60" w:after="60" w:line="480" w:lineRule="auto"/>
        <w:jc w:val="both"/>
        <w:rPr>
          <w:rFonts w:ascii="Times New Roman" w:hAnsi="Times New Roman" w:cs="Times New Roman"/>
          <w:sz w:val="24"/>
          <w:szCs w:val="24"/>
        </w:rPr>
      </w:pPr>
      <w:r w:rsidRPr="00113028">
        <w:rPr>
          <w:rFonts w:ascii="Times New Roman" w:hAnsi="Times New Roman" w:cs="Times New Roman"/>
          <w:sz w:val="24"/>
          <w:szCs w:val="24"/>
        </w:rPr>
        <w:t>Less than five more than three years (n.1)</w:t>
      </w:r>
    </w:p>
    <w:p w14:paraId="3E49244D" w14:textId="63C3F504" w:rsidR="006B1B7E" w:rsidRPr="00113028" w:rsidRDefault="006B1B7E" w:rsidP="008F0D9B">
      <w:pPr>
        <w:pStyle w:val="ListParagraph"/>
        <w:numPr>
          <w:ilvl w:val="0"/>
          <w:numId w:val="38"/>
        </w:numPr>
        <w:spacing w:before="60" w:after="60" w:line="480" w:lineRule="auto"/>
        <w:jc w:val="both"/>
        <w:rPr>
          <w:rFonts w:ascii="Times New Roman" w:hAnsi="Times New Roman" w:cs="Times New Roman"/>
          <w:sz w:val="24"/>
          <w:szCs w:val="24"/>
        </w:rPr>
      </w:pPr>
      <w:r w:rsidRPr="00113028">
        <w:rPr>
          <w:rFonts w:ascii="Times New Roman" w:hAnsi="Times New Roman" w:cs="Times New Roman"/>
          <w:sz w:val="24"/>
          <w:szCs w:val="24"/>
        </w:rPr>
        <w:t>Less than five years and more than eighteen months (n.1)</w:t>
      </w:r>
    </w:p>
    <w:p w14:paraId="170277D1" w14:textId="6A908E48" w:rsidR="006B1B7E" w:rsidRPr="00113028" w:rsidRDefault="006B1B7E" w:rsidP="008F0D9B">
      <w:pPr>
        <w:spacing w:before="60" w:after="60" w:line="480" w:lineRule="auto"/>
        <w:jc w:val="both"/>
        <w:rPr>
          <w:rFonts w:ascii="Times New Roman" w:hAnsi="Times New Roman" w:cs="Times New Roman"/>
          <w:sz w:val="24"/>
          <w:szCs w:val="24"/>
        </w:rPr>
      </w:pPr>
      <w:r w:rsidRPr="00113028">
        <w:rPr>
          <w:rFonts w:ascii="Times New Roman" w:hAnsi="Times New Roman" w:cs="Times New Roman"/>
          <w:sz w:val="24"/>
          <w:szCs w:val="24"/>
        </w:rPr>
        <w:t xml:space="preserve">Figure 5 sets out how the average ranking that respondents as a whole gave to the factors that determined their visits schedule with </w:t>
      </w:r>
      <w:r w:rsidR="00DA5460">
        <w:rPr>
          <w:rFonts w:ascii="Times New Roman" w:hAnsi="Times New Roman" w:cs="Times New Roman"/>
          <w:sz w:val="24"/>
          <w:szCs w:val="24"/>
        </w:rPr>
        <w:t>'five'</w:t>
      </w:r>
      <w:r w:rsidRPr="00113028">
        <w:rPr>
          <w:rFonts w:ascii="Times New Roman" w:hAnsi="Times New Roman" w:cs="Times New Roman"/>
          <w:sz w:val="24"/>
          <w:szCs w:val="24"/>
        </w:rPr>
        <w:t xml:space="preserve"> being the highest and </w:t>
      </w:r>
      <w:r w:rsidR="00DA5460">
        <w:rPr>
          <w:rFonts w:ascii="Times New Roman" w:hAnsi="Times New Roman" w:cs="Times New Roman"/>
          <w:sz w:val="24"/>
          <w:szCs w:val="24"/>
        </w:rPr>
        <w:t>'one'</w:t>
      </w:r>
      <w:r w:rsidRPr="00113028">
        <w:rPr>
          <w:rFonts w:ascii="Times New Roman" w:hAnsi="Times New Roman" w:cs="Times New Roman"/>
          <w:sz w:val="24"/>
          <w:szCs w:val="24"/>
        </w:rPr>
        <w:t xml:space="preserve"> the lowest.  Overall, the </w:t>
      </w:r>
      <w:r w:rsidRPr="00113028">
        <w:rPr>
          <w:rFonts w:ascii="Times New Roman" w:hAnsi="Times New Roman" w:cs="Times New Roman"/>
          <w:sz w:val="24"/>
          <w:szCs w:val="24"/>
        </w:rPr>
        <w:lastRenderedPageBreak/>
        <w:t xml:space="preserve">time since the last visit was the least important factor.  We compared this with the results from respondents who said they had sufficient resources and those with the least (&lt;=5) or most (&gt;=21) personnel. It was noteworthy that NPMs which considered they had sufficient resources ranked concerns from the last visit more highly than other NPMs - perhaps indicating their greater capacity to undertake follow-up visits. The largest NPMs ranked the time since the last visit more equally with other factors than </w:t>
      </w:r>
      <w:r w:rsidR="00DF261B">
        <w:rPr>
          <w:rFonts w:ascii="Times New Roman" w:hAnsi="Times New Roman" w:cs="Times New Roman"/>
          <w:sz w:val="24"/>
          <w:szCs w:val="24"/>
        </w:rPr>
        <w:t xml:space="preserve">other </w:t>
      </w:r>
      <w:r w:rsidRPr="00113028">
        <w:rPr>
          <w:rFonts w:ascii="Times New Roman" w:hAnsi="Times New Roman" w:cs="Times New Roman"/>
          <w:sz w:val="24"/>
          <w:szCs w:val="24"/>
        </w:rPr>
        <w:t>respondents</w:t>
      </w:r>
      <w:r w:rsidR="001A724C">
        <w:rPr>
          <w:rFonts w:ascii="Times New Roman" w:hAnsi="Times New Roman" w:cs="Times New Roman"/>
          <w:sz w:val="24"/>
          <w:szCs w:val="24"/>
        </w:rPr>
        <w:t>,</w:t>
      </w:r>
      <w:r w:rsidRPr="00113028">
        <w:rPr>
          <w:rFonts w:ascii="Times New Roman" w:hAnsi="Times New Roman" w:cs="Times New Roman"/>
          <w:sz w:val="24"/>
          <w:szCs w:val="24"/>
        </w:rPr>
        <w:t xml:space="preserve"> which may reflect their capacity to operate a more comprehensive visits programme.</w:t>
      </w:r>
    </w:p>
    <w:p w14:paraId="54BB383C" w14:textId="77777777" w:rsidR="006B1B7E" w:rsidRDefault="006B1B7E" w:rsidP="008F0D9B">
      <w:pPr>
        <w:spacing w:before="60" w:after="60" w:line="480" w:lineRule="auto"/>
      </w:pPr>
      <w:r w:rsidRPr="00113028">
        <w:rPr>
          <w:sz w:val="24"/>
          <w:szCs w:val="24"/>
        </w:rPr>
        <w:t xml:space="preserve">   </w:t>
      </w:r>
    </w:p>
    <w:p w14:paraId="11FC1962" w14:textId="4564720F" w:rsidR="00D97130" w:rsidRPr="00EE7999" w:rsidRDefault="006B1B7E" w:rsidP="00EE7999">
      <w:pPr>
        <w:spacing w:before="60" w:after="60" w:line="480" w:lineRule="auto"/>
      </w:pPr>
      <w:r>
        <w:rPr>
          <w:noProof/>
          <w:lang w:eastAsia="en-GB"/>
        </w:rPr>
        <w:drawing>
          <wp:inline distT="0" distB="0" distL="0" distR="0" wp14:anchorId="52FF9E3C" wp14:editId="7067F91C">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F7A091" w14:textId="77777777" w:rsidR="001D2D00" w:rsidRPr="00114918" w:rsidRDefault="001D2D00" w:rsidP="001D2D00">
      <w:pPr>
        <w:pStyle w:val="NormalWeb"/>
        <w:shd w:val="clear" w:color="auto" w:fill="FFFFFF"/>
        <w:spacing w:before="60" w:beforeAutospacing="0" w:after="60" w:afterAutospacing="0" w:line="480" w:lineRule="auto"/>
        <w:jc w:val="both"/>
        <w:rPr>
          <w:rFonts w:eastAsia="Hiragino Sans W4"/>
        </w:rPr>
      </w:pPr>
      <w:r>
        <w:rPr>
          <w:rFonts w:eastAsia="Hiragino Sans W4"/>
        </w:rPr>
        <w:t>The annual reports and individual survey responses of NPMs elaborate the factors used to determine the regularity of their visits described above.</w:t>
      </w:r>
    </w:p>
    <w:p w14:paraId="1DD7A2C2" w14:textId="2524BA28" w:rsidR="001D2D00" w:rsidRPr="00114918" w:rsidRDefault="001D2D00" w:rsidP="001D2D00">
      <w:pPr>
        <w:pStyle w:val="NormalWeb"/>
        <w:shd w:val="clear" w:color="auto" w:fill="FFFFFF"/>
        <w:spacing w:before="60" w:beforeAutospacing="0" w:after="60" w:afterAutospacing="0" w:line="480" w:lineRule="auto"/>
        <w:jc w:val="both"/>
        <w:rPr>
          <w:rFonts w:eastAsia="Hiragino Sans W4"/>
        </w:rPr>
      </w:pPr>
      <w:r>
        <w:rPr>
          <w:rFonts w:eastAsia="Hiragino Sans W4"/>
        </w:rPr>
        <w:t>As accepted</w:t>
      </w:r>
      <w:r w:rsidRPr="00114918">
        <w:rPr>
          <w:rFonts w:eastAsia="Hiragino Sans W4"/>
        </w:rPr>
        <w:t xml:space="preserve"> by OPCAT and the SPT, the criteria NPMs apply to decide which institutions to visit in any one year and the frequency with which they do so vary from NPM to NPM. For example, it may be based on themes, rather than regularity/frequency</w:t>
      </w:r>
      <w:r w:rsidR="00FF110B">
        <w:rPr>
          <w:rFonts w:eastAsia="Hiragino Sans W4"/>
        </w:rPr>
        <w:t xml:space="preserve"> (Danish Parliamentary Ombudsman 2014)</w:t>
      </w:r>
      <w:r w:rsidRPr="00114918">
        <w:rPr>
          <w:rFonts w:eastAsia="Hiragino Sans W4"/>
        </w:rPr>
        <w:t>.</w:t>
      </w:r>
    </w:p>
    <w:p w14:paraId="748BBC46" w14:textId="5904163A" w:rsidR="001D2D00" w:rsidRPr="00114918" w:rsidRDefault="001D2D00" w:rsidP="001D2D00">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It therefore becomes difficult to compare ‘regularity’ of visits as visits may differ in their purpose. As noted by the Danish NPM</w:t>
      </w:r>
      <w:r w:rsidR="00FF110B">
        <w:rPr>
          <w:rFonts w:eastAsia="Hiragino Sans W4"/>
        </w:rPr>
        <w:t xml:space="preserve"> (Danish Parliamentary Ombudsman 2014)</w:t>
      </w:r>
      <w:r w:rsidRPr="00114918">
        <w:rPr>
          <w:rFonts w:eastAsia="Hiragino Sans W4"/>
        </w:rPr>
        <w:t>:</w:t>
      </w:r>
    </w:p>
    <w:p w14:paraId="2FC2B46E" w14:textId="0D0661AF" w:rsidR="001D2D00" w:rsidRPr="00055BB0" w:rsidRDefault="001D2D00" w:rsidP="001D2D00">
      <w:pPr>
        <w:pStyle w:val="NormalWeb"/>
        <w:shd w:val="clear" w:color="auto" w:fill="FFFFFF"/>
        <w:spacing w:before="60" w:beforeAutospacing="0" w:after="60" w:afterAutospacing="0" w:line="480" w:lineRule="auto"/>
        <w:ind w:left="720"/>
        <w:jc w:val="both"/>
        <w:rPr>
          <w:rFonts w:eastAsia="Hiragino Sans W4"/>
          <w:sz w:val="18"/>
          <w:szCs w:val="18"/>
        </w:rPr>
      </w:pPr>
      <w:r w:rsidRPr="00055BB0">
        <w:rPr>
          <w:rFonts w:eastAsia="Hiragino Sans W4"/>
          <w:sz w:val="18"/>
          <w:szCs w:val="18"/>
        </w:rPr>
        <w:lastRenderedPageBreak/>
        <w:t>In the case of monitoring visits to the facilities of the Prison and Probation Service, where all facilities have been inspected before, the monitoring visit may proceed in a different (more limited) fashion. For example, inspection of the buildings may only be included if interviews or general information give cause to do so.</w:t>
      </w:r>
    </w:p>
    <w:p w14:paraId="5B90A21F" w14:textId="48DE1F2F" w:rsidR="001D2D00" w:rsidRPr="00114918" w:rsidRDefault="001D2D00" w:rsidP="001D2D00">
      <w:pPr>
        <w:pStyle w:val="NormalWeb"/>
        <w:shd w:val="clear" w:color="auto" w:fill="FFFFFF"/>
        <w:spacing w:before="60" w:beforeAutospacing="0" w:after="60" w:afterAutospacing="0" w:line="480" w:lineRule="auto"/>
        <w:jc w:val="both"/>
        <w:rPr>
          <w:rFonts w:eastAsia="Hiragino Sans W4"/>
        </w:rPr>
      </w:pPr>
      <w:r>
        <w:rPr>
          <w:rFonts w:eastAsia="Hiragino Sans W4"/>
        </w:rPr>
        <w:t>One respondent to our survey noted that it was "</w:t>
      </w:r>
      <w:r w:rsidRPr="00114918">
        <w:rPr>
          <w:rFonts w:eastAsia="Hiragino Sans W4"/>
        </w:rPr>
        <w:t>impossible</w:t>
      </w:r>
      <w:r>
        <w:rPr>
          <w:rFonts w:eastAsia="Hiragino Sans W4"/>
        </w:rPr>
        <w:t xml:space="preserve"> to rank"</w:t>
      </w:r>
      <w:r w:rsidRPr="00114918">
        <w:rPr>
          <w:rFonts w:eastAsia="Hiragino Sans W4"/>
        </w:rPr>
        <w:t xml:space="preserve"> the factors in order of importance, as all were taken into account.</w:t>
      </w:r>
    </w:p>
    <w:p w14:paraId="56A86803" w14:textId="0C5F3926" w:rsidR="001D2D00" w:rsidRPr="00114918" w:rsidRDefault="001A724C" w:rsidP="001D2D00">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Further, i</w:t>
      </w:r>
      <w:r w:rsidR="001D2D00" w:rsidRPr="00114918">
        <w:rPr>
          <w:rFonts w:ascii="Times New Roman" w:eastAsia="Hiragino Sans W4" w:hAnsi="Times New Roman" w:cs="Times New Roman"/>
          <w:sz w:val="24"/>
          <w:szCs w:val="24"/>
        </w:rPr>
        <w:t>n Estonia</w:t>
      </w:r>
      <w:r w:rsidR="00FF110B">
        <w:rPr>
          <w:rFonts w:ascii="Times New Roman" w:eastAsia="Hiragino Sans W4" w:hAnsi="Times New Roman" w:cs="Times New Roman"/>
          <w:sz w:val="24"/>
          <w:szCs w:val="24"/>
        </w:rPr>
        <w:t xml:space="preserve"> (Chancellor of Justice 2015)</w:t>
      </w:r>
      <w:r w:rsidR="001D2D00" w:rsidRPr="00114918">
        <w:rPr>
          <w:rFonts w:ascii="Times New Roman" w:eastAsia="Hiragino Sans W4" w:hAnsi="Times New Roman" w:cs="Times New Roman"/>
          <w:sz w:val="24"/>
          <w:szCs w:val="24"/>
        </w:rPr>
        <w:t>:</w:t>
      </w:r>
    </w:p>
    <w:p w14:paraId="15AB1262" w14:textId="3C202FEF" w:rsidR="001D2D00" w:rsidRPr="00055BB0" w:rsidRDefault="001D2D00" w:rsidP="001D2D00">
      <w:pPr>
        <w:pStyle w:val="NormalWeb"/>
        <w:shd w:val="clear" w:color="auto" w:fill="FFFFFF"/>
        <w:spacing w:before="60" w:beforeAutospacing="0" w:after="60" w:afterAutospacing="0" w:line="480" w:lineRule="auto"/>
        <w:ind w:left="720"/>
        <w:jc w:val="both"/>
        <w:rPr>
          <w:rFonts w:eastAsia="Hiragino Sans W4"/>
          <w:sz w:val="18"/>
          <w:szCs w:val="18"/>
        </w:rPr>
      </w:pPr>
      <w:r w:rsidRPr="00055BB0">
        <w:rPr>
          <w:rFonts w:eastAsia="Hiragino Sans W4"/>
          <w:sz w:val="18"/>
          <w:szCs w:val="18"/>
        </w:rPr>
        <w:t>The Chancellor inspects places of detention regularly. The choice of institutions to be inspected and the frequency of inspections is based on certain criteria, such as the nature of an institution, the number of persons detained, how often detained persons change in the institution, the risk of ill-treatment. The Chancellor tries to visit each place of detention at least once every three years. Inspection visits may be either announced or unannounced, take place during the day or at night, on weekdays or weekends. If necessary, the Chancellor involves experts from different fields (e.g. general practitioners, psychiatrists) or persons with personal situational experience (e.g. a wheelchair user) in the inspection visits, or carry out the inspections in cooperation with a national supervisory authority (e.g. the State Agency of Medicines, the Social Insurance Board, the Rescue Board).</w:t>
      </w:r>
      <w:r w:rsidRPr="00055BB0">
        <w:rPr>
          <w:rStyle w:val="FootnoteReference"/>
          <w:rFonts w:eastAsia="Hiragino Sans W4"/>
          <w:sz w:val="18"/>
          <w:szCs w:val="18"/>
        </w:rPr>
        <w:t xml:space="preserve"> </w:t>
      </w:r>
    </w:p>
    <w:p w14:paraId="5EED0487" w14:textId="00D88028" w:rsidR="001D2D00" w:rsidRPr="00114918" w:rsidRDefault="001D2D00" w:rsidP="001D2D00">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For the Slovenian NPM, its system</w:t>
      </w:r>
      <w:r w:rsidR="00FF110B">
        <w:rPr>
          <w:rFonts w:eastAsia="Hiragino Sans W4"/>
        </w:rPr>
        <w:t xml:space="preserve"> (Slovenian NPM 2017)</w:t>
      </w:r>
      <w:r w:rsidRPr="00114918">
        <w:rPr>
          <w:rFonts w:eastAsia="Hiragino Sans W4"/>
        </w:rPr>
        <w:t>:</w:t>
      </w:r>
    </w:p>
    <w:p w14:paraId="48C04A85" w14:textId="3FA5E1CF" w:rsidR="001D2D00" w:rsidRPr="0019418A" w:rsidRDefault="001D2D00" w:rsidP="0019418A">
      <w:pPr>
        <w:pStyle w:val="NormalWeb"/>
        <w:shd w:val="clear" w:color="auto" w:fill="FFFFFF"/>
        <w:spacing w:before="60" w:beforeAutospacing="0" w:after="60" w:afterAutospacing="0" w:line="480" w:lineRule="auto"/>
        <w:ind w:left="720"/>
        <w:jc w:val="both"/>
        <w:rPr>
          <w:rFonts w:eastAsia="Hiragino Sans W4"/>
          <w:color w:val="000000"/>
          <w:sz w:val="18"/>
          <w:szCs w:val="18"/>
        </w:rPr>
      </w:pPr>
      <w:r w:rsidRPr="00055BB0">
        <w:rPr>
          <w:rFonts w:eastAsia="Hiragino Sans W4"/>
          <w:color w:val="000000"/>
          <w:sz w:val="18"/>
          <w:szCs w:val="18"/>
        </w:rPr>
        <w:t xml:space="preserve">is particularly based on </w:t>
      </w:r>
      <w:r w:rsidRPr="00055BB0">
        <w:rPr>
          <w:rFonts w:eastAsia="Hiragino Sans W4"/>
          <w:i/>
          <w:color w:val="000000"/>
          <w:sz w:val="18"/>
          <w:szCs w:val="18"/>
        </w:rPr>
        <w:t>regular visits</w:t>
      </w:r>
      <w:r w:rsidRPr="00055BB0">
        <w:rPr>
          <w:rFonts w:eastAsia="Hiragino Sans W4"/>
          <w:color w:val="000000"/>
          <w:sz w:val="18"/>
          <w:szCs w:val="18"/>
        </w:rPr>
        <w:t xml:space="preserve"> to places of deprivation of liberty. These are preventive visits, the purpose of which is to prevent torture or other ill-treatment before it occurs. In addition to the Sub-Committee on Prevention against Torture (SPT) established by the United Nations, the Optional Protocol introduces the so-called NPM, whose task is to regularly visit all, or any, places where persons are or could be accommodated where deprivation of liberty is suspected.</w:t>
      </w:r>
    </w:p>
    <w:p w14:paraId="709D6158" w14:textId="3A1152EA" w:rsidR="00F77BA5" w:rsidRPr="00F77BA5" w:rsidRDefault="00F77BA5" w:rsidP="00F77BA5">
      <w:pPr>
        <w:pStyle w:val="Heading3"/>
      </w:pPr>
      <w:r w:rsidRPr="00F77BA5">
        <w:t>3. Additional factors</w:t>
      </w:r>
    </w:p>
    <w:p w14:paraId="60AC6D05" w14:textId="0673352B" w:rsidR="00F77BA5" w:rsidRPr="00114918" w:rsidRDefault="00F77BA5" w:rsidP="00F77BA5">
      <w:pPr>
        <w:pStyle w:val="NormalWeb"/>
        <w:shd w:val="clear" w:color="auto" w:fill="FFFFFF"/>
        <w:spacing w:before="60" w:beforeAutospacing="0" w:after="60" w:afterAutospacing="0" w:line="480" w:lineRule="auto"/>
        <w:jc w:val="both"/>
        <w:rPr>
          <w:rFonts w:eastAsia="Hiragino Sans W4"/>
        </w:rPr>
      </w:pPr>
      <w:r w:rsidRPr="00114918">
        <w:rPr>
          <w:rFonts w:eastAsia="Hiragino Sans W4"/>
          <w:color w:val="000000"/>
        </w:rPr>
        <w:t>The extent to which an NPM will be able to visit all places of detention within the jurisdiction will depend on the geographical spread of the detention facilities. As the Finnish NPM noted with respect to its visits in 2016</w:t>
      </w:r>
      <w:r w:rsidR="00FF110B">
        <w:rPr>
          <w:rFonts w:eastAsia="Hiragino Sans W4"/>
          <w:color w:val="000000"/>
        </w:rPr>
        <w:t xml:space="preserve"> (Finnish NPM 2016)</w:t>
      </w:r>
      <w:r w:rsidRPr="00114918">
        <w:rPr>
          <w:rFonts w:eastAsia="Hiragino Sans W4"/>
          <w:color w:val="000000"/>
        </w:rPr>
        <w:t>:</w:t>
      </w:r>
    </w:p>
    <w:p w14:paraId="51DF42FD" w14:textId="4E8C9810" w:rsidR="00F77BA5" w:rsidRPr="00E0777F" w:rsidRDefault="00F77BA5" w:rsidP="00F77BA5">
      <w:pPr>
        <w:pStyle w:val="NormalWeb"/>
        <w:shd w:val="clear" w:color="auto" w:fill="FFFFFF"/>
        <w:spacing w:before="60" w:beforeAutospacing="0" w:after="60" w:afterAutospacing="0" w:line="480" w:lineRule="auto"/>
        <w:ind w:left="360"/>
        <w:jc w:val="both"/>
        <w:rPr>
          <w:rFonts w:eastAsia="Hiragino Sans W4"/>
          <w:color w:val="000000"/>
          <w:sz w:val="20"/>
          <w:szCs w:val="20"/>
        </w:rPr>
      </w:pPr>
      <w:r w:rsidRPr="00E0777F">
        <w:rPr>
          <w:rFonts w:eastAsia="Hiragino Sans W4"/>
          <w:sz w:val="20"/>
          <w:szCs w:val="20"/>
        </w:rPr>
        <w:t>Finland is one of the most sparsely inhabited country in Europe. Population distribution is very uneven. Most of the population and the places where persons are deprived of their liberty are concentrated on the southern and western part of Finland.</w:t>
      </w:r>
    </w:p>
    <w:p w14:paraId="7D19CC82" w14:textId="49138C45" w:rsidR="00F77BA5" w:rsidRPr="00114918" w:rsidRDefault="00F77BA5" w:rsidP="00F77BA5">
      <w:pPr>
        <w:pStyle w:val="NormalWeb"/>
        <w:shd w:val="clear" w:color="auto" w:fill="FFFFFF"/>
        <w:spacing w:before="60" w:beforeAutospacing="0" w:after="60" w:afterAutospacing="0" w:line="480" w:lineRule="auto"/>
        <w:jc w:val="both"/>
        <w:rPr>
          <w:rFonts w:eastAsia="Hiragino Sans W4"/>
          <w:color w:val="000000"/>
        </w:rPr>
      </w:pPr>
      <w:r w:rsidRPr="00114918">
        <w:rPr>
          <w:rFonts w:eastAsia="Hiragino Sans W4"/>
          <w:color w:val="000000"/>
        </w:rPr>
        <w:t>The breadth of types of institution to be visited, as well as the number on the inspection teams are also other issues</w:t>
      </w:r>
      <w:r w:rsidR="0036685C">
        <w:rPr>
          <w:rFonts w:eastAsia="Hiragino Sans W4"/>
          <w:color w:val="000000"/>
        </w:rPr>
        <w:t xml:space="preserve"> that</w:t>
      </w:r>
      <w:r w:rsidRPr="00114918">
        <w:rPr>
          <w:rFonts w:eastAsia="Hiragino Sans W4"/>
          <w:color w:val="000000"/>
        </w:rPr>
        <w:t xml:space="preserve"> impact on frequency of visits</w:t>
      </w:r>
      <w:r w:rsidR="000D5AC6">
        <w:rPr>
          <w:rFonts w:eastAsia="Hiragino Sans W4"/>
          <w:color w:val="000000"/>
        </w:rPr>
        <w:t xml:space="preserve"> </w:t>
      </w:r>
      <w:r w:rsidRPr="00114918">
        <w:rPr>
          <w:rFonts w:eastAsia="Hiragino Sans W4"/>
          <w:color w:val="000000"/>
        </w:rPr>
        <w:t xml:space="preserve">and </w:t>
      </w:r>
      <w:r w:rsidR="000D5AC6">
        <w:rPr>
          <w:rFonts w:eastAsia="Hiragino Sans W4"/>
          <w:color w:val="000000"/>
        </w:rPr>
        <w:t xml:space="preserve">are </w:t>
      </w:r>
      <w:r w:rsidRPr="00114918">
        <w:rPr>
          <w:rFonts w:eastAsia="Hiragino Sans W4"/>
          <w:color w:val="000000"/>
        </w:rPr>
        <w:t>illustrated by the Swedish NPM</w:t>
      </w:r>
      <w:r w:rsidR="00FF110B">
        <w:rPr>
          <w:rFonts w:eastAsia="Hiragino Sans W4"/>
          <w:color w:val="000000"/>
        </w:rPr>
        <w:t xml:space="preserve"> (Swedish Parliamentary Ombudsman 2017)</w:t>
      </w:r>
      <w:r w:rsidRPr="00114918">
        <w:rPr>
          <w:rFonts w:eastAsia="Hiragino Sans W4"/>
          <w:color w:val="000000"/>
        </w:rPr>
        <w:t>:</w:t>
      </w:r>
    </w:p>
    <w:p w14:paraId="039584DC" w14:textId="13EFCFFB" w:rsidR="00F77BA5" w:rsidRPr="00E0777F" w:rsidRDefault="00F77BA5" w:rsidP="00F77BA5">
      <w:pPr>
        <w:spacing w:before="60" w:after="60" w:line="480" w:lineRule="auto"/>
        <w:ind w:left="360"/>
        <w:jc w:val="both"/>
        <w:rPr>
          <w:rFonts w:ascii="Times New Roman" w:eastAsia="Hiragino Sans W4" w:hAnsi="Times New Roman" w:cs="Times New Roman"/>
          <w:sz w:val="20"/>
          <w:szCs w:val="20"/>
        </w:rPr>
      </w:pPr>
      <w:r w:rsidRPr="00E0777F">
        <w:rPr>
          <w:rFonts w:ascii="Times New Roman" w:eastAsia="Hiragino Sans W4" w:hAnsi="Times New Roman" w:cs="Times New Roman"/>
          <w:sz w:val="20"/>
          <w:szCs w:val="20"/>
        </w:rPr>
        <w:lastRenderedPageBreak/>
        <w:t>The composition of the inspection team has varied and was mainly dependent on the visited institution’s size, target group and possible security classification. For example, child and youth psychiatric services in Stockholm were inspected over five days, which included one weekend. It is valuable that inspections take place during every day of the week.</w:t>
      </w:r>
    </w:p>
    <w:p w14:paraId="461A9614" w14:textId="0AD94322" w:rsidR="00055BB0" w:rsidRDefault="00055BB0" w:rsidP="00F77BA5">
      <w:pPr>
        <w:pStyle w:val="Heading3"/>
      </w:pPr>
      <w:r w:rsidRPr="00055BB0">
        <w:t>F.</w:t>
      </w:r>
      <w:r w:rsidRPr="00055BB0">
        <w:tab/>
      </w:r>
      <w:r w:rsidR="00B34FFD">
        <w:t>The type and designation of the NPM</w:t>
      </w:r>
    </w:p>
    <w:p w14:paraId="66B08A8E" w14:textId="4BF130B0" w:rsidR="009B4178" w:rsidRPr="00B34FFD" w:rsidRDefault="00B34FFD" w:rsidP="00F77BA5">
      <w:pPr>
        <w:pStyle w:val="Heading3"/>
      </w:pPr>
      <w:r w:rsidRPr="00B34FFD">
        <w:t>1.</w:t>
      </w:r>
      <w:r w:rsidRPr="00B34FFD">
        <w:tab/>
      </w:r>
      <w:r w:rsidR="009B4178" w:rsidRPr="00B34FFD">
        <w:t>The relationship between complaints and OPCAT visits</w:t>
      </w:r>
      <w:r w:rsidR="003B519B" w:rsidRPr="00B34FFD">
        <w:t xml:space="preserve"> and the broader mandate</w:t>
      </w:r>
    </w:p>
    <w:p w14:paraId="04301916" w14:textId="3EBD2735" w:rsidR="003B519B" w:rsidRPr="00114918" w:rsidRDefault="003B519B" w:rsidP="008F0D9B">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 xml:space="preserve">Many of the bodies that have been designated as NPMs were already undertaking visits prior to their designation. In addition, many also have mandates which extend beyond that of OPCAT. </w:t>
      </w:r>
      <w:r w:rsidR="00BD245A">
        <w:rPr>
          <w:rFonts w:eastAsia="Hiragino Sans W4"/>
        </w:rPr>
        <w:t>Leaving aside the need, as reiterated by the SPT, for any complaints function to be kept separate from its NPM functions (SPT 2010), t</w:t>
      </w:r>
      <w:r w:rsidRPr="00114918">
        <w:rPr>
          <w:rFonts w:eastAsia="Hiragino Sans W4"/>
        </w:rPr>
        <w:t xml:space="preserve">his has several implications for the </w:t>
      </w:r>
      <w:r w:rsidR="00C52EC5" w:rsidRPr="00114918">
        <w:rPr>
          <w:rFonts w:eastAsia="Hiragino Sans W4"/>
        </w:rPr>
        <w:t>regularity</w:t>
      </w:r>
      <w:r w:rsidRPr="00114918">
        <w:rPr>
          <w:rFonts w:eastAsia="Hiragino Sans W4"/>
        </w:rPr>
        <w:t xml:space="preserve"> of visits.</w:t>
      </w:r>
    </w:p>
    <w:p w14:paraId="26673B3A" w14:textId="3764434B" w:rsidR="00435B96" w:rsidRPr="00114918" w:rsidRDefault="003B519B" w:rsidP="008F0D9B">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Firstly, t</w:t>
      </w:r>
      <w:r w:rsidR="00C83173" w:rsidRPr="00114918">
        <w:rPr>
          <w:rFonts w:eastAsia="Hiragino Sans W4"/>
        </w:rPr>
        <w:t xml:space="preserve">he relationship </w:t>
      </w:r>
      <w:r w:rsidR="00C52EC5" w:rsidRPr="00114918">
        <w:rPr>
          <w:rFonts w:eastAsia="Hiragino Sans W4"/>
        </w:rPr>
        <w:t>between</w:t>
      </w:r>
      <w:r w:rsidR="00C83173" w:rsidRPr="00114918">
        <w:rPr>
          <w:rFonts w:eastAsia="Hiragino Sans W4"/>
        </w:rPr>
        <w:t xml:space="preserve"> </w:t>
      </w:r>
      <w:r w:rsidR="00C52EC5" w:rsidRPr="00114918">
        <w:rPr>
          <w:rFonts w:eastAsia="Hiragino Sans W4"/>
        </w:rPr>
        <w:t>complaints</w:t>
      </w:r>
      <w:r w:rsidR="00C83173" w:rsidRPr="00114918">
        <w:rPr>
          <w:rFonts w:eastAsia="Hiragino Sans W4"/>
        </w:rPr>
        <w:t xml:space="preserve"> mechanisms, where the NPM has this remit, and the visits and broader work undertaken in response to those also makes it </w:t>
      </w:r>
      <w:r w:rsidR="00C52EC5" w:rsidRPr="00114918">
        <w:rPr>
          <w:rFonts w:eastAsia="Hiragino Sans W4"/>
        </w:rPr>
        <w:t>difficult</w:t>
      </w:r>
      <w:r w:rsidR="00C83173" w:rsidRPr="00114918">
        <w:rPr>
          <w:rFonts w:eastAsia="Hiragino Sans W4"/>
        </w:rPr>
        <w:t xml:space="preserve"> to identify ‘regularity’. As was noted by the Republic of Croatia Ombudsman</w:t>
      </w:r>
      <w:r w:rsidR="001207DB">
        <w:rPr>
          <w:rFonts w:eastAsia="Hiragino Sans W4"/>
        </w:rPr>
        <w:t xml:space="preserve"> (Republic of Croatia Ombudsman 2016)</w:t>
      </w:r>
      <w:r w:rsidR="00C83173" w:rsidRPr="00114918">
        <w:rPr>
          <w:rFonts w:eastAsia="Hiragino Sans W4"/>
        </w:rPr>
        <w:t>:</w:t>
      </w:r>
    </w:p>
    <w:p w14:paraId="0B71B57F" w14:textId="30553705" w:rsidR="00651634" w:rsidRPr="00055BB0" w:rsidRDefault="00C83173" w:rsidP="008F0D9B">
      <w:pPr>
        <w:pStyle w:val="NormalWeb"/>
        <w:shd w:val="clear" w:color="auto" w:fill="FFFFFF"/>
        <w:spacing w:before="60" w:beforeAutospacing="0" w:after="60" w:afterAutospacing="0" w:line="480" w:lineRule="auto"/>
        <w:ind w:left="720"/>
        <w:jc w:val="both"/>
        <w:rPr>
          <w:rFonts w:eastAsia="Hiragino Sans W4"/>
          <w:sz w:val="18"/>
          <w:szCs w:val="18"/>
        </w:rPr>
      </w:pPr>
      <w:r w:rsidRPr="00055BB0">
        <w:rPr>
          <w:rFonts w:eastAsia="Hiragino Sans W4"/>
          <w:sz w:val="18"/>
          <w:szCs w:val="18"/>
        </w:rPr>
        <w:t>I</w:t>
      </w:r>
      <w:r w:rsidR="00651634" w:rsidRPr="00055BB0">
        <w:rPr>
          <w:rFonts w:eastAsia="Hiragino Sans W4"/>
          <w:sz w:val="18"/>
          <w:szCs w:val="18"/>
        </w:rPr>
        <w:t>n 2016 we worked on 497 cases and conducted 32 visits.</w:t>
      </w:r>
      <w:r w:rsidR="00314077" w:rsidRPr="00055BB0">
        <w:rPr>
          <w:rFonts w:eastAsia="Hiragino Sans W4"/>
          <w:sz w:val="18"/>
          <w:szCs w:val="18"/>
        </w:rPr>
        <w:t xml:space="preserve"> </w:t>
      </w:r>
      <w:r w:rsidR="00651634" w:rsidRPr="00055BB0">
        <w:rPr>
          <w:rFonts w:eastAsia="Hiragino Sans W4"/>
          <w:sz w:val="18"/>
          <w:szCs w:val="18"/>
        </w:rPr>
        <w:t>In 2016, we received 158 complaints, carried out 40 investigative procedures in the field and visited eight penal institutions</w:t>
      </w:r>
      <w:r w:rsidR="00601431" w:rsidRPr="00055BB0">
        <w:rPr>
          <w:rFonts w:eastAsia="Hiragino Sans W4"/>
          <w:sz w:val="18"/>
          <w:szCs w:val="18"/>
        </w:rPr>
        <w:t>. …I</w:t>
      </w:r>
      <w:r w:rsidR="00651634" w:rsidRPr="00055BB0">
        <w:rPr>
          <w:rFonts w:eastAsia="Hiragino Sans W4"/>
          <w:sz w:val="18"/>
          <w:szCs w:val="18"/>
        </w:rPr>
        <w:t>n 2016, we received 18 complaints pertaining to involuntary hospitalization, conducted two investigative procedures in the field and visited four healthcare institutions that offer psychiatric treatment</w:t>
      </w:r>
      <w:r w:rsidR="00055BB0">
        <w:rPr>
          <w:rFonts w:eastAsia="Hiragino Sans W4"/>
          <w:sz w:val="18"/>
          <w:szCs w:val="18"/>
        </w:rPr>
        <w:t>.</w:t>
      </w:r>
    </w:p>
    <w:p w14:paraId="7C931086" w14:textId="502C9302" w:rsidR="00A87BF6" w:rsidRPr="00114918" w:rsidRDefault="003B519B" w:rsidP="008F0D9B">
      <w:pPr>
        <w:pStyle w:val="NormalWeb"/>
        <w:shd w:val="clear" w:color="auto" w:fill="FFFFFF"/>
        <w:spacing w:before="60" w:beforeAutospacing="0" w:after="60" w:afterAutospacing="0" w:line="480" w:lineRule="auto"/>
        <w:jc w:val="both"/>
        <w:rPr>
          <w:rFonts w:eastAsia="Hiragino Sans W4"/>
        </w:rPr>
      </w:pPr>
      <w:r w:rsidRPr="00114918">
        <w:rPr>
          <w:rFonts w:eastAsia="Hiragino Sans W4"/>
        </w:rPr>
        <w:t xml:space="preserve">Secondly, there is also a </w:t>
      </w:r>
      <w:r w:rsidR="00C52EC5" w:rsidRPr="00114918">
        <w:rPr>
          <w:rFonts w:eastAsia="Hiragino Sans W4"/>
        </w:rPr>
        <w:t>question</w:t>
      </w:r>
      <w:r w:rsidRPr="00114918">
        <w:rPr>
          <w:rFonts w:eastAsia="Hiragino Sans W4"/>
        </w:rPr>
        <w:t xml:space="preserve"> of whether an NPM may visit prisons or other places of detention but this may not be considered to be part of its OPCAT mandate.</w:t>
      </w:r>
      <w:r w:rsidRPr="00114918">
        <w:rPr>
          <w:rFonts w:eastAsia="Hiragino Sans W4"/>
          <w:u w:val="single"/>
        </w:rPr>
        <w:t xml:space="preserve"> </w:t>
      </w:r>
      <w:r w:rsidRPr="00114918">
        <w:rPr>
          <w:rFonts w:eastAsia="Hiragino Sans W4"/>
        </w:rPr>
        <w:t xml:space="preserve">So, for example, the Danish </w:t>
      </w:r>
      <w:r w:rsidR="00601431" w:rsidRPr="00114918">
        <w:rPr>
          <w:rFonts w:eastAsia="Hiragino Sans W4"/>
        </w:rPr>
        <w:t>NPM</w:t>
      </w:r>
      <w:r w:rsidRPr="00114918">
        <w:rPr>
          <w:rFonts w:eastAsia="Hiragino Sans W4"/>
        </w:rPr>
        <w:t xml:space="preserve"> publishes in its monitoring report visits which it splits into several categories, including ‘general monitoring’ and ‘OPCAT monitoring’, as well as some thematic ones</w:t>
      </w:r>
      <w:r w:rsidR="000D70BB">
        <w:rPr>
          <w:rFonts w:eastAsia="Hiragino Sans W4"/>
        </w:rPr>
        <w:t xml:space="preserve"> (Danish Parliamentary Ombudsman (2014)</w:t>
      </w:r>
      <w:r w:rsidRPr="00114918">
        <w:rPr>
          <w:rFonts w:eastAsia="Hiragino Sans W4"/>
        </w:rPr>
        <w:t>.</w:t>
      </w:r>
      <w:r w:rsidR="00601431" w:rsidRPr="00114918">
        <w:rPr>
          <w:rFonts w:eastAsia="Hiragino Sans W4"/>
        </w:rPr>
        <w:t xml:space="preserve"> Related to this, therefore, </w:t>
      </w:r>
      <w:r w:rsidR="00A87BF6" w:rsidRPr="00114918">
        <w:rPr>
          <w:rFonts w:eastAsia="Hiragino Sans W4"/>
        </w:rPr>
        <w:t xml:space="preserve">some NPMs distinguish between ‘OPCAT’ functions and non-OPCAT visits. For example, </w:t>
      </w:r>
      <w:r w:rsidR="00601431" w:rsidRPr="00114918">
        <w:rPr>
          <w:rFonts w:eastAsia="Hiragino Sans W4"/>
        </w:rPr>
        <w:t>the Finnish NPM’s report notes that</w:t>
      </w:r>
      <w:r w:rsidR="000D70BB">
        <w:rPr>
          <w:rFonts w:eastAsia="Hiragino Sans W4"/>
        </w:rPr>
        <w:t xml:space="preserve"> (Finnish NPM 2017)</w:t>
      </w:r>
      <w:r w:rsidR="00601431" w:rsidRPr="00114918">
        <w:rPr>
          <w:rFonts w:eastAsia="Hiragino Sans W4"/>
        </w:rPr>
        <w:t>:</w:t>
      </w:r>
    </w:p>
    <w:p w14:paraId="30EDCF87" w14:textId="69E0332F" w:rsidR="00A87BF6" w:rsidRPr="00055BB0" w:rsidRDefault="00A87BF6" w:rsidP="008F0D9B">
      <w:pPr>
        <w:pStyle w:val="NormalWeb"/>
        <w:shd w:val="clear" w:color="auto" w:fill="FFFFFF"/>
        <w:spacing w:before="60" w:beforeAutospacing="0" w:after="60" w:afterAutospacing="0" w:line="480" w:lineRule="auto"/>
        <w:ind w:left="720"/>
        <w:jc w:val="both"/>
        <w:rPr>
          <w:rFonts w:eastAsia="Hiragino Sans W4"/>
          <w:color w:val="000000"/>
          <w:sz w:val="18"/>
          <w:szCs w:val="18"/>
        </w:rPr>
      </w:pPr>
      <w:r w:rsidRPr="00055BB0">
        <w:rPr>
          <w:rFonts w:eastAsia="Hiragino Sans W4"/>
          <w:sz w:val="18"/>
          <w:szCs w:val="18"/>
          <w:lang w:eastAsia="en-US"/>
        </w:rPr>
        <w:t>D</w:t>
      </w:r>
      <w:r w:rsidRPr="00055BB0">
        <w:rPr>
          <w:rFonts w:eastAsia="Hiragino Sans W4"/>
          <w:color w:val="000000"/>
          <w:sz w:val="18"/>
          <w:szCs w:val="18"/>
        </w:rPr>
        <w:t xml:space="preserve">uring 2015, the NPM’s first full year of operation, the Office conducted a total of 152 visits, of which 82 within the NPM mandate. A clear majority of these were carried out unannounced. Visits conducted outside the mandate of the </w:t>
      </w:r>
      <w:r w:rsidRPr="00055BB0">
        <w:rPr>
          <w:rFonts w:eastAsia="Hiragino Sans W4"/>
          <w:color w:val="000000"/>
          <w:sz w:val="18"/>
          <w:szCs w:val="18"/>
        </w:rPr>
        <w:lastRenderedPageBreak/>
        <w:t>NPM may concern facilities that closely resemble the places visited in the role of the NPM (e.g. certain residential units for the elderly and reception centres for asylum seekers).</w:t>
      </w:r>
    </w:p>
    <w:p w14:paraId="2E3F48C8" w14:textId="534CDA65" w:rsidR="00A87BF6" w:rsidRPr="00114918" w:rsidRDefault="00A87BF6" w:rsidP="008F0D9B">
      <w:pPr>
        <w:pStyle w:val="NormalWeb"/>
        <w:shd w:val="clear" w:color="auto" w:fill="FFFFFF"/>
        <w:spacing w:before="60" w:beforeAutospacing="0" w:after="60" w:afterAutospacing="0" w:line="480" w:lineRule="auto"/>
        <w:jc w:val="both"/>
        <w:rPr>
          <w:rFonts w:eastAsia="Hiragino Sans W4"/>
          <w:color w:val="000000"/>
        </w:rPr>
      </w:pPr>
      <w:r w:rsidRPr="00114918">
        <w:rPr>
          <w:rFonts w:eastAsia="Hiragino Sans W4"/>
          <w:color w:val="000000"/>
        </w:rPr>
        <w:t>Similarly Sweden</w:t>
      </w:r>
      <w:r w:rsidR="000D70BB">
        <w:rPr>
          <w:rFonts w:eastAsia="Hiragino Sans W4"/>
          <w:color w:val="000000"/>
        </w:rPr>
        <w:t xml:space="preserve"> (Swedish Parliamentary Ombudsman 2017)</w:t>
      </w:r>
      <w:r w:rsidRPr="00114918">
        <w:rPr>
          <w:rFonts w:eastAsia="Hiragino Sans W4"/>
          <w:color w:val="000000"/>
        </w:rPr>
        <w:t>:</w:t>
      </w:r>
    </w:p>
    <w:p w14:paraId="4CD7F939" w14:textId="6C58E8E5" w:rsidR="00A87BF6" w:rsidRPr="00055BB0" w:rsidRDefault="00A87BF6" w:rsidP="008F0D9B">
      <w:pPr>
        <w:spacing w:before="60" w:after="60" w:line="480" w:lineRule="auto"/>
        <w:ind w:left="720"/>
        <w:jc w:val="both"/>
        <w:rPr>
          <w:rFonts w:ascii="Times New Roman" w:eastAsia="Hiragino Sans W4" w:hAnsi="Times New Roman" w:cs="Times New Roman"/>
          <w:sz w:val="18"/>
          <w:szCs w:val="18"/>
        </w:rPr>
      </w:pPr>
      <w:r w:rsidRPr="00055BB0">
        <w:rPr>
          <w:rFonts w:ascii="Times New Roman" w:eastAsia="Hiragino Sans W4" w:hAnsi="Times New Roman" w:cs="Times New Roman"/>
          <w:sz w:val="18"/>
          <w:szCs w:val="18"/>
        </w:rPr>
        <w:t>The number of inspections during the fiscal year amounted to a total of 18 within my areas of responsibility, of which 11 were within the scope of the Parliamentary Ombudsmen’s mission as the national preventive mechanism accordin</w:t>
      </w:r>
      <w:r w:rsidR="00055BB0">
        <w:rPr>
          <w:rFonts w:ascii="Times New Roman" w:eastAsia="Hiragino Sans W4" w:hAnsi="Times New Roman" w:cs="Times New Roman"/>
          <w:sz w:val="18"/>
          <w:szCs w:val="18"/>
        </w:rPr>
        <w:t>g to the optional protocol OPCAT</w:t>
      </w:r>
      <w:r w:rsidRPr="00055BB0">
        <w:rPr>
          <w:rFonts w:ascii="Times New Roman" w:eastAsia="Hiragino Sans W4" w:hAnsi="Times New Roman" w:cs="Times New Roman"/>
          <w:sz w:val="18"/>
          <w:szCs w:val="18"/>
        </w:rPr>
        <w:t xml:space="preserve"> to the UN Convention against Torture. I have personally conducted three ordinary inspections and two together with the </w:t>
      </w:r>
      <w:r w:rsidR="00055BB0">
        <w:rPr>
          <w:rFonts w:ascii="Times New Roman" w:eastAsia="Hiragino Sans W4" w:hAnsi="Times New Roman" w:cs="Times New Roman"/>
          <w:sz w:val="18"/>
          <w:szCs w:val="18"/>
        </w:rPr>
        <w:t>OPCAT</w:t>
      </w:r>
      <w:r w:rsidR="002859CC">
        <w:rPr>
          <w:rFonts w:ascii="Times New Roman" w:eastAsia="Hiragino Sans W4" w:hAnsi="Times New Roman" w:cs="Times New Roman"/>
          <w:sz w:val="18"/>
          <w:szCs w:val="18"/>
        </w:rPr>
        <w:t xml:space="preserve"> </w:t>
      </w:r>
      <w:r w:rsidRPr="00055BB0">
        <w:rPr>
          <w:rFonts w:ascii="Times New Roman" w:eastAsia="Hiragino Sans W4" w:hAnsi="Times New Roman" w:cs="Times New Roman"/>
          <w:sz w:val="18"/>
          <w:szCs w:val="18"/>
        </w:rPr>
        <w:t xml:space="preserve">unit. Another four inspections were conducted by a delegated head of division and nine by the </w:t>
      </w:r>
      <w:r w:rsidR="00055BB0">
        <w:rPr>
          <w:rFonts w:ascii="Times New Roman" w:eastAsia="Hiragino Sans W4" w:hAnsi="Times New Roman" w:cs="Times New Roman"/>
          <w:sz w:val="18"/>
          <w:szCs w:val="18"/>
        </w:rPr>
        <w:t xml:space="preserve">OPCAT </w:t>
      </w:r>
      <w:r w:rsidRPr="00055BB0">
        <w:rPr>
          <w:rFonts w:ascii="Times New Roman" w:eastAsia="Hiragino Sans W4" w:hAnsi="Times New Roman" w:cs="Times New Roman"/>
          <w:sz w:val="18"/>
          <w:szCs w:val="18"/>
        </w:rPr>
        <w:t>unit. One visit to an authorit</w:t>
      </w:r>
      <w:r w:rsidR="00055BB0">
        <w:rPr>
          <w:rFonts w:ascii="Times New Roman" w:eastAsia="Hiragino Sans W4" w:hAnsi="Times New Roman" w:cs="Times New Roman"/>
          <w:sz w:val="18"/>
          <w:szCs w:val="18"/>
        </w:rPr>
        <w:t>y was conducted during the year</w:t>
      </w:r>
      <w:r w:rsidRPr="00055BB0">
        <w:rPr>
          <w:rFonts w:ascii="Times New Roman" w:eastAsia="Hiragino Sans W4" w:hAnsi="Times New Roman" w:cs="Times New Roman"/>
          <w:sz w:val="18"/>
          <w:szCs w:val="18"/>
        </w:rPr>
        <w:t>.</w:t>
      </w:r>
      <w:r w:rsidRPr="00055BB0">
        <w:rPr>
          <w:rStyle w:val="FootnoteReference"/>
          <w:rFonts w:ascii="Times New Roman" w:eastAsia="Hiragino Sans W4" w:hAnsi="Times New Roman" w:cs="Times New Roman"/>
          <w:sz w:val="18"/>
          <w:szCs w:val="18"/>
        </w:rPr>
        <w:footnoteReference w:id="2"/>
      </w:r>
    </w:p>
    <w:p w14:paraId="2682A224" w14:textId="10DEF9FB" w:rsidR="00A87BF6" w:rsidRPr="00114918" w:rsidRDefault="00976077" w:rsidP="008F0D9B">
      <w:pPr>
        <w:pStyle w:val="NormalWeb"/>
        <w:shd w:val="clear" w:color="auto" w:fill="FFFFFF"/>
        <w:spacing w:before="60" w:beforeAutospacing="0" w:after="60" w:afterAutospacing="0" w:line="480" w:lineRule="auto"/>
        <w:jc w:val="both"/>
        <w:rPr>
          <w:rFonts w:eastAsia="Hiragino Sans W4"/>
        </w:rPr>
      </w:pPr>
      <w:r>
        <w:rPr>
          <w:rFonts w:eastAsia="Hiragino Sans W4"/>
        </w:rPr>
        <w:t xml:space="preserve">The UK NPM is a multi-body NPM. In England and Wales for </w:t>
      </w:r>
      <w:r w:rsidR="00055BB0">
        <w:rPr>
          <w:rFonts w:eastAsia="Hiragino Sans W4"/>
        </w:rPr>
        <w:t>instance, the NPM includes the prison i</w:t>
      </w:r>
      <w:r>
        <w:rPr>
          <w:rFonts w:eastAsia="Hiragino Sans W4"/>
        </w:rPr>
        <w:t>nsp</w:t>
      </w:r>
      <w:r w:rsidR="00A97E52">
        <w:rPr>
          <w:rFonts w:eastAsia="Hiragino Sans W4"/>
        </w:rPr>
        <w:t>e</w:t>
      </w:r>
      <w:r>
        <w:rPr>
          <w:rFonts w:eastAsia="Hiragino Sans W4"/>
        </w:rPr>
        <w:t>ctorate (HM Inspectorate of Prisons</w:t>
      </w:r>
      <w:r w:rsidR="00A97E52">
        <w:rPr>
          <w:rFonts w:eastAsia="Hiragino Sans W4"/>
        </w:rPr>
        <w:t xml:space="preserve"> (HMIP)</w:t>
      </w:r>
      <w:r>
        <w:rPr>
          <w:rFonts w:eastAsia="Hiragino Sans W4"/>
        </w:rPr>
        <w:t>), the health regulator (The Care Quality Commission (CQC)) and the schools and training inspector</w:t>
      </w:r>
      <w:r w:rsidR="00A97E52">
        <w:rPr>
          <w:rFonts w:eastAsia="Hiragino Sans W4"/>
        </w:rPr>
        <w:t>ate</w:t>
      </w:r>
      <w:r>
        <w:rPr>
          <w:rFonts w:eastAsia="Hiragino Sans W4"/>
        </w:rPr>
        <w:t xml:space="preserve"> (Ofsted).</w:t>
      </w:r>
      <w:r w:rsidR="00A97E52">
        <w:rPr>
          <w:rFonts w:eastAsia="Hiragino Sans W4"/>
        </w:rPr>
        <w:t xml:space="preserve"> In addition</w:t>
      </w:r>
      <w:r w:rsidR="00BA464B">
        <w:rPr>
          <w:rFonts w:eastAsia="Hiragino Sans W4"/>
        </w:rPr>
        <w:t>,</w:t>
      </w:r>
      <w:r w:rsidR="00A97E52">
        <w:rPr>
          <w:rFonts w:eastAsia="Hiragino Sans W4"/>
        </w:rPr>
        <w:t xml:space="preserve"> personnel from the Probation Inspectorate, which is not part of the NPM, may also join the visit team.</w:t>
      </w:r>
      <w:r>
        <w:rPr>
          <w:rFonts w:eastAsia="Hiragino Sans W4"/>
        </w:rPr>
        <w:t xml:space="preserve"> Personnel from all these bodies combine to make joint visit to adu</w:t>
      </w:r>
      <w:r w:rsidR="00D85DC1">
        <w:rPr>
          <w:rFonts w:eastAsia="Hiragino Sans W4"/>
        </w:rPr>
        <w:t>l</w:t>
      </w:r>
      <w:r>
        <w:rPr>
          <w:rFonts w:eastAsia="Hiragino Sans W4"/>
        </w:rPr>
        <w:t>t prison</w:t>
      </w:r>
      <w:r w:rsidR="00D85DC1">
        <w:rPr>
          <w:rFonts w:eastAsia="Hiragino Sans W4"/>
        </w:rPr>
        <w:t>s with more than 20 personnel contributing at some point to a recent visit to HMP Wandsworth, a large prison in south London that held nearly 1,500 men</w:t>
      </w:r>
      <w:r w:rsidR="00546F0B">
        <w:rPr>
          <w:rFonts w:eastAsia="Hiragino Sans W4"/>
        </w:rPr>
        <w:t xml:space="preserve"> (Her Majesty’s Chief Inspector of Prisons 2018)</w:t>
      </w:r>
      <w:r w:rsidR="00D85DC1">
        <w:rPr>
          <w:rFonts w:eastAsia="Hiragino Sans W4"/>
        </w:rPr>
        <w:t xml:space="preserve">.  They all contribute to one main report but the CQC and Ofsted will produce their own specialist reports in addition. </w:t>
      </w:r>
      <w:r w:rsidR="00A97E52">
        <w:rPr>
          <w:rFonts w:eastAsia="Hiragino Sans W4"/>
        </w:rPr>
        <w:t>It is arguable that the role of some of the personnel on a visit such as this extends beyond the OPCAT mandate.</w:t>
      </w:r>
      <w:r>
        <w:rPr>
          <w:rFonts w:eastAsia="Hiragino Sans W4"/>
        </w:rPr>
        <w:t xml:space="preserve"> </w:t>
      </w:r>
    </w:p>
    <w:p w14:paraId="50017C47" w14:textId="7EE5B8C2" w:rsidR="003B519B" w:rsidRPr="002F381C" w:rsidRDefault="00B34FFD" w:rsidP="00F77BA5">
      <w:pPr>
        <w:pStyle w:val="Heading3"/>
      </w:pPr>
      <w:r>
        <w:t>2.</w:t>
      </w:r>
      <w:r>
        <w:tab/>
      </w:r>
      <w:r w:rsidR="003B519B" w:rsidRPr="002F381C">
        <w:t>Increases or decreases in the number of visits year-on-year</w:t>
      </w:r>
    </w:p>
    <w:p w14:paraId="0164143A" w14:textId="1154CF39" w:rsidR="00BA464B" w:rsidRDefault="00C83173" w:rsidP="008F0D9B">
      <w:pPr>
        <w:spacing w:before="60" w:after="60" w:line="480" w:lineRule="auto"/>
        <w:rPr>
          <w:rFonts w:ascii="Times New Roman" w:eastAsia="Hiragino Sans W4" w:hAnsi="Times New Roman"/>
          <w:sz w:val="24"/>
          <w:szCs w:val="24"/>
        </w:rPr>
      </w:pPr>
      <w:r w:rsidRPr="00114918">
        <w:rPr>
          <w:rFonts w:ascii="Times New Roman" w:eastAsia="Hiragino Sans W4" w:hAnsi="Times New Roman"/>
          <w:sz w:val="24"/>
          <w:szCs w:val="24"/>
        </w:rPr>
        <w:t xml:space="preserve">An NPM may increase its visiting to particular </w:t>
      </w:r>
      <w:r w:rsidR="003B519B" w:rsidRPr="00114918">
        <w:rPr>
          <w:rFonts w:ascii="Times New Roman" w:eastAsia="Hiragino Sans W4" w:hAnsi="Times New Roman"/>
          <w:sz w:val="24"/>
          <w:szCs w:val="24"/>
        </w:rPr>
        <w:t>institutions</w:t>
      </w:r>
      <w:r w:rsidRPr="00114918">
        <w:rPr>
          <w:rFonts w:ascii="Times New Roman" w:eastAsia="Hiragino Sans W4" w:hAnsi="Times New Roman"/>
          <w:sz w:val="24"/>
          <w:szCs w:val="24"/>
        </w:rPr>
        <w:t xml:space="preserve"> or types of institutions year on year</w:t>
      </w:r>
      <w:r w:rsidR="000D70BB">
        <w:rPr>
          <w:rFonts w:ascii="Times New Roman" w:eastAsia="Hiragino Sans W4" w:hAnsi="Times New Roman"/>
          <w:sz w:val="24"/>
          <w:szCs w:val="24"/>
        </w:rPr>
        <w:t xml:space="preserve">. For example, the Finnish NPM notes that </w:t>
      </w:r>
      <w:r w:rsidR="00BA464B">
        <w:rPr>
          <w:rFonts w:ascii="Times New Roman" w:eastAsia="Hiragino Sans W4" w:hAnsi="Times New Roman"/>
          <w:sz w:val="24"/>
          <w:szCs w:val="24"/>
        </w:rPr>
        <w:t>(Finnish NPM 2016):</w:t>
      </w:r>
    </w:p>
    <w:p w14:paraId="0E6461B6" w14:textId="1AE876E7" w:rsidR="00C22870" w:rsidRDefault="000D70BB" w:rsidP="009650CA">
      <w:pPr>
        <w:spacing w:before="60" w:after="60" w:line="480" w:lineRule="auto"/>
        <w:ind w:left="720"/>
        <w:rPr>
          <w:rFonts w:ascii="Times New Roman" w:eastAsia="Hiragino Sans W4" w:hAnsi="Times New Roman"/>
          <w:sz w:val="24"/>
          <w:szCs w:val="24"/>
        </w:rPr>
      </w:pPr>
      <w:r w:rsidRPr="00D86554">
        <w:rPr>
          <w:rFonts w:ascii="Calisto MT" w:hAnsi="Calisto MT"/>
        </w:rPr>
        <w:t>The role of an NPM requires conducting regular visits. The Office of the Parliamentary Ombudsman has made a conscious effort to increase the number of visits carried out. In 2014, the Office carried out a total of 111 visits, which was nearly 25 per cent more than in the year before</w:t>
      </w:r>
      <w:r w:rsidR="00C83173" w:rsidRPr="00114918">
        <w:rPr>
          <w:rFonts w:ascii="Times New Roman" w:eastAsia="Hiragino Sans W4" w:hAnsi="Times New Roman"/>
          <w:sz w:val="24"/>
          <w:szCs w:val="24"/>
        </w:rPr>
        <w:t xml:space="preserve">. </w:t>
      </w:r>
    </w:p>
    <w:p w14:paraId="5F028F63" w14:textId="63263337" w:rsidR="007101C8" w:rsidRDefault="00C83173">
      <w:pPr>
        <w:spacing w:before="60" w:after="60" w:line="480" w:lineRule="auto"/>
      </w:pPr>
      <w:r w:rsidRPr="00114918">
        <w:rPr>
          <w:rFonts w:ascii="Times New Roman" w:eastAsia="Hiragino Sans W4" w:hAnsi="Times New Roman"/>
          <w:sz w:val="24"/>
          <w:szCs w:val="24"/>
        </w:rPr>
        <w:lastRenderedPageBreak/>
        <w:t xml:space="preserve">In some </w:t>
      </w:r>
      <w:r w:rsidR="003B519B" w:rsidRPr="00114918">
        <w:rPr>
          <w:rFonts w:ascii="Times New Roman" w:eastAsia="Hiragino Sans W4" w:hAnsi="Times New Roman"/>
          <w:sz w:val="24"/>
          <w:szCs w:val="24"/>
        </w:rPr>
        <w:t>instances</w:t>
      </w:r>
      <w:r w:rsidRPr="00114918">
        <w:rPr>
          <w:rFonts w:ascii="Times New Roman" w:eastAsia="Hiragino Sans W4" w:hAnsi="Times New Roman"/>
          <w:sz w:val="24"/>
          <w:szCs w:val="24"/>
        </w:rPr>
        <w:t xml:space="preserve"> </w:t>
      </w:r>
      <w:r w:rsidR="0036685C">
        <w:rPr>
          <w:rFonts w:ascii="Times New Roman" w:eastAsia="Hiragino Sans W4" w:hAnsi="Times New Roman"/>
          <w:sz w:val="24"/>
          <w:szCs w:val="24"/>
        </w:rPr>
        <w:t>NPMs</w:t>
      </w:r>
      <w:r w:rsidR="0036685C" w:rsidRPr="00114918">
        <w:rPr>
          <w:rFonts w:ascii="Times New Roman" w:eastAsia="Hiragino Sans W4" w:hAnsi="Times New Roman"/>
          <w:sz w:val="24"/>
          <w:szCs w:val="24"/>
        </w:rPr>
        <w:t xml:space="preserve"> </w:t>
      </w:r>
      <w:r w:rsidRPr="00114918">
        <w:rPr>
          <w:rFonts w:ascii="Times New Roman" w:eastAsia="Hiragino Sans W4" w:hAnsi="Times New Roman"/>
          <w:sz w:val="24"/>
          <w:szCs w:val="24"/>
        </w:rPr>
        <w:t>have mentioned this in their report</w:t>
      </w:r>
      <w:r w:rsidR="00CC063B" w:rsidRPr="00114918">
        <w:rPr>
          <w:rFonts w:ascii="Times New Roman" w:eastAsia="Hiragino Sans W4" w:hAnsi="Times New Roman"/>
          <w:sz w:val="24"/>
          <w:szCs w:val="24"/>
        </w:rPr>
        <w:t>s, as Denmark did having increased its ‘annual monitoring visits to prisons, psychiatric wards and other institutions’ from 50 to 60</w:t>
      </w:r>
      <w:r w:rsidR="000D70BB">
        <w:rPr>
          <w:rFonts w:ascii="Times New Roman" w:eastAsia="Hiragino Sans W4" w:hAnsi="Times New Roman"/>
          <w:sz w:val="24"/>
          <w:szCs w:val="24"/>
        </w:rPr>
        <w:t xml:space="preserve"> (Danish Parliamentary Ombudsman 2016)</w:t>
      </w:r>
      <w:r w:rsidR="00CC063B" w:rsidRPr="00114918">
        <w:rPr>
          <w:rFonts w:ascii="Times New Roman" w:eastAsia="Hiragino Sans W4" w:hAnsi="Times New Roman"/>
          <w:sz w:val="24"/>
          <w:szCs w:val="24"/>
        </w:rPr>
        <w:t>;</w:t>
      </w:r>
      <w:r w:rsidR="0036685C">
        <w:rPr>
          <w:rFonts w:ascii="Times New Roman" w:eastAsia="Hiragino Sans W4" w:hAnsi="Times New Roman"/>
          <w:sz w:val="24"/>
          <w:szCs w:val="24"/>
        </w:rPr>
        <w:t xml:space="preserve"> </w:t>
      </w:r>
      <w:r w:rsidR="00CC063B" w:rsidRPr="00114918">
        <w:rPr>
          <w:rFonts w:ascii="Times New Roman" w:eastAsia="Hiragino Sans W4" w:hAnsi="Times New Roman"/>
          <w:sz w:val="24"/>
          <w:szCs w:val="24"/>
        </w:rPr>
        <w:t>and the Ombudsman in Croatia recording a 227% increase to various detention facilities compared to the previous year</w:t>
      </w:r>
      <w:r w:rsidR="000D70BB">
        <w:rPr>
          <w:rFonts w:ascii="Times New Roman" w:eastAsia="Hiragino Sans W4" w:hAnsi="Times New Roman"/>
          <w:sz w:val="24"/>
          <w:szCs w:val="24"/>
        </w:rPr>
        <w:t xml:space="preserve"> (Republic of Croatia Ombudsman 2016)</w:t>
      </w:r>
      <w:r w:rsidR="00CC063B" w:rsidRPr="00114918">
        <w:rPr>
          <w:rFonts w:ascii="Times New Roman" w:eastAsia="Hiragino Sans W4" w:hAnsi="Times New Roman"/>
          <w:sz w:val="24"/>
          <w:szCs w:val="24"/>
        </w:rPr>
        <w:t>.</w:t>
      </w:r>
      <w:r w:rsidR="007101C8" w:rsidRPr="007101C8" w:rsidDel="007101C8">
        <w:rPr>
          <w:rFonts w:eastAsia="Hiragino Sans W4"/>
        </w:rPr>
        <w:t xml:space="preserve"> </w:t>
      </w:r>
    </w:p>
    <w:p w14:paraId="42BD317A" w14:textId="2B5BB5A4" w:rsidR="007101C8" w:rsidRPr="00114918" w:rsidRDefault="002F381C" w:rsidP="008F0D9B">
      <w:pPr>
        <w:pStyle w:val="NormalWeb"/>
        <w:shd w:val="clear" w:color="auto" w:fill="FFFFFF"/>
        <w:spacing w:before="60" w:beforeAutospacing="0" w:after="60" w:afterAutospacing="0" w:line="480" w:lineRule="auto"/>
        <w:jc w:val="both"/>
        <w:rPr>
          <w:rFonts w:asciiTheme="minorHAnsi" w:hAnsiTheme="minorHAnsi" w:cstheme="minorBidi"/>
        </w:rPr>
      </w:pPr>
      <w:r>
        <w:rPr>
          <w:noProof/>
        </w:rPr>
        <w:drawing>
          <wp:anchor distT="0" distB="0" distL="114300" distR="114300" simplePos="0" relativeHeight="251666432" behindDoc="0" locked="0" layoutInCell="1" allowOverlap="1" wp14:anchorId="6688404C" wp14:editId="4F492E18">
            <wp:simplePos x="0" y="0"/>
            <wp:positionH relativeFrom="column">
              <wp:posOffset>42130</wp:posOffset>
            </wp:positionH>
            <wp:positionV relativeFrom="paragraph">
              <wp:posOffset>721995</wp:posOffset>
            </wp:positionV>
            <wp:extent cx="2720340" cy="2273300"/>
            <wp:effectExtent l="0" t="0" r="10160" b="12700"/>
            <wp:wrapSquare wrapText="bothSides"/>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0EADA3B" wp14:editId="457A2051">
            <wp:simplePos x="0" y="0"/>
            <wp:positionH relativeFrom="column">
              <wp:posOffset>2969706</wp:posOffset>
            </wp:positionH>
            <wp:positionV relativeFrom="paragraph">
              <wp:posOffset>703599</wp:posOffset>
            </wp:positionV>
            <wp:extent cx="2727960" cy="2267585"/>
            <wp:effectExtent l="0" t="0" r="15240" b="1841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A97E52">
        <w:t>In our survey w</w:t>
      </w:r>
      <w:r w:rsidR="006459BE">
        <w:t>e</w:t>
      </w:r>
      <w:r w:rsidR="007101C8" w:rsidRPr="00920D54">
        <w:t xml:space="preserve"> examined whether there was a link betwe</w:t>
      </w:r>
      <w:r>
        <w:t xml:space="preserve">en the regularity of visits and the type of NPM or </w:t>
      </w:r>
      <w:r w:rsidR="007101C8" w:rsidRPr="00920D54">
        <w:t>how long the NPM has been desig</w:t>
      </w:r>
      <w:r>
        <w:t xml:space="preserve">nated </w:t>
      </w:r>
      <w:r w:rsidR="007101C8">
        <w:t>as shown in Figures 9 and 10</w:t>
      </w:r>
      <w:r w:rsidR="007101C8" w:rsidRPr="00920D54">
        <w:t>.</w:t>
      </w:r>
    </w:p>
    <w:p w14:paraId="6B2FDEA5" w14:textId="77777777" w:rsidR="002F381C" w:rsidRDefault="002F381C" w:rsidP="008F0D9B">
      <w:pPr>
        <w:spacing w:before="60" w:after="60" w:line="480" w:lineRule="auto"/>
        <w:rPr>
          <w:rFonts w:ascii="Times New Roman" w:hAnsi="Times New Roman" w:cs="Times New Roman"/>
        </w:rPr>
      </w:pPr>
    </w:p>
    <w:p w14:paraId="548BE0F6" w14:textId="0CE87783" w:rsidR="006A4E78" w:rsidRPr="00B34FFD" w:rsidRDefault="008E45CA" w:rsidP="00B34FFD">
      <w:pPr>
        <w:spacing w:before="60" w:after="60" w:line="480" w:lineRule="auto"/>
        <w:rPr>
          <w:rFonts w:ascii="Times New Roman" w:hAnsi="Times New Roman" w:cs="Times New Roman"/>
          <w:sz w:val="24"/>
          <w:szCs w:val="24"/>
        </w:rPr>
      </w:pPr>
      <w:r w:rsidRPr="002F381C">
        <w:rPr>
          <w:rFonts w:ascii="Times New Roman" w:hAnsi="Times New Roman" w:cs="Times New Roman"/>
          <w:sz w:val="24"/>
          <w:szCs w:val="24"/>
        </w:rPr>
        <w:t>It is not possible to draw firm conclusions from a small sample but these results suggest that NPMs designated before 2010</w:t>
      </w:r>
      <w:r w:rsidR="003C6CDE" w:rsidRPr="002F381C">
        <w:rPr>
          <w:rFonts w:ascii="Times New Roman" w:hAnsi="Times New Roman" w:cs="Times New Roman"/>
          <w:sz w:val="24"/>
          <w:szCs w:val="24"/>
        </w:rPr>
        <w:t xml:space="preserve"> </w:t>
      </w:r>
      <w:r w:rsidRPr="002F381C">
        <w:rPr>
          <w:rFonts w:ascii="Times New Roman" w:hAnsi="Times New Roman" w:cs="Times New Roman"/>
          <w:sz w:val="24"/>
          <w:szCs w:val="24"/>
        </w:rPr>
        <w:t>tend to make less regular vis</w:t>
      </w:r>
      <w:r w:rsidR="003C6CDE" w:rsidRPr="002F381C">
        <w:rPr>
          <w:rFonts w:ascii="Times New Roman" w:hAnsi="Times New Roman" w:cs="Times New Roman"/>
          <w:sz w:val="24"/>
          <w:szCs w:val="24"/>
        </w:rPr>
        <w:t>i</w:t>
      </w:r>
      <w:r w:rsidRPr="002F381C">
        <w:rPr>
          <w:rFonts w:ascii="Times New Roman" w:hAnsi="Times New Roman" w:cs="Times New Roman"/>
          <w:sz w:val="24"/>
          <w:szCs w:val="24"/>
        </w:rPr>
        <w:t>ts to prison</w:t>
      </w:r>
      <w:r w:rsidR="003C6CDE" w:rsidRPr="002F381C">
        <w:rPr>
          <w:rFonts w:ascii="Times New Roman" w:hAnsi="Times New Roman" w:cs="Times New Roman"/>
          <w:sz w:val="24"/>
          <w:szCs w:val="24"/>
        </w:rPr>
        <w:t>s</w:t>
      </w:r>
      <w:r w:rsidRPr="002F381C">
        <w:rPr>
          <w:rFonts w:ascii="Times New Roman" w:hAnsi="Times New Roman" w:cs="Times New Roman"/>
          <w:sz w:val="24"/>
          <w:szCs w:val="24"/>
        </w:rPr>
        <w:t xml:space="preserve"> than those designated at a later date although</w:t>
      </w:r>
      <w:r w:rsidR="002F381C">
        <w:rPr>
          <w:rFonts w:ascii="Times New Roman" w:hAnsi="Times New Roman" w:cs="Times New Roman"/>
          <w:sz w:val="24"/>
          <w:szCs w:val="24"/>
        </w:rPr>
        <w:t>,</w:t>
      </w:r>
      <w:r w:rsidRPr="002F381C">
        <w:rPr>
          <w:rFonts w:ascii="Times New Roman" w:hAnsi="Times New Roman" w:cs="Times New Roman"/>
          <w:sz w:val="24"/>
          <w:szCs w:val="24"/>
        </w:rPr>
        <w:t xml:space="preserve"> as illustrated in Appendix A, we did not find evidence of significant differences in the resources available to NPMs according to when they were designated.  It appears that N</w:t>
      </w:r>
      <w:r w:rsidR="003C6CDE" w:rsidRPr="002F381C">
        <w:rPr>
          <w:rFonts w:ascii="Times New Roman" w:hAnsi="Times New Roman" w:cs="Times New Roman"/>
          <w:sz w:val="24"/>
          <w:szCs w:val="24"/>
        </w:rPr>
        <w:t>PM</w:t>
      </w:r>
      <w:r w:rsidRPr="002F381C">
        <w:rPr>
          <w:rFonts w:ascii="Times New Roman" w:hAnsi="Times New Roman" w:cs="Times New Roman"/>
          <w:sz w:val="24"/>
          <w:szCs w:val="24"/>
        </w:rPr>
        <w:t xml:space="preserve">s </w:t>
      </w:r>
      <w:r w:rsidR="003C6CDE" w:rsidRPr="002F381C">
        <w:rPr>
          <w:rFonts w:ascii="Times New Roman" w:hAnsi="Times New Roman" w:cs="Times New Roman"/>
          <w:sz w:val="24"/>
          <w:szCs w:val="24"/>
        </w:rPr>
        <w:t>made up of more than one body (Ombudsman plus NPMs and multi-body NPMs) tended to carry out more regular visits than single body NPMs and again we did not find indications that this was a product of the resources available to them.</w:t>
      </w:r>
    </w:p>
    <w:p w14:paraId="3BFA7F67" w14:textId="6FB810BE" w:rsidR="00B34FFD" w:rsidRDefault="00B34FFD" w:rsidP="00F77BA5">
      <w:pPr>
        <w:pStyle w:val="Heading3"/>
      </w:pPr>
      <w:r w:rsidRPr="00B34FFD">
        <w:t>G.</w:t>
      </w:r>
      <w:r w:rsidRPr="00B34FFD">
        <w:tab/>
      </w:r>
      <w:r>
        <w:t>Resources and how they are applied</w:t>
      </w:r>
    </w:p>
    <w:p w14:paraId="0C58A35A" w14:textId="6A63CB5C" w:rsidR="0019418A" w:rsidRPr="001D6C19" w:rsidRDefault="00B34FFD" w:rsidP="001D6C19">
      <w:pPr>
        <w:spacing w:before="60" w:after="60" w:line="480" w:lineRule="auto"/>
        <w:jc w:val="both"/>
        <w:rPr>
          <w:rFonts w:ascii="Times New Roman" w:hAnsi="Times New Roman" w:cs="Times New Roman"/>
          <w:b/>
          <w:i/>
          <w:sz w:val="24"/>
          <w:szCs w:val="24"/>
        </w:rPr>
      </w:pPr>
      <w:r w:rsidRPr="00B34FFD">
        <w:rPr>
          <w:rFonts w:ascii="Times New Roman" w:hAnsi="Times New Roman" w:cs="Times New Roman"/>
          <w:b/>
          <w:i/>
          <w:sz w:val="24"/>
          <w:szCs w:val="24"/>
        </w:rPr>
        <w:t>1.</w:t>
      </w:r>
      <w:r w:rsidRPr="00B34FFD">
        <w:rPr>
          <w:rFonts w:ascii="Times New Roman" w:hAnsi="Times New Roman" w:cs="Times New Roman"/>
          <w:b/>
          <w:i/>
          <w:sz w:val="24"/>
          <w:szCs w:val="24"/>
        </w:rPr>
        <w:tab/>
        <w:t>Resource</w:t>
      </w:r>
      <w:r w:rsidR="001D6C19">
        <w:rPr>
          <w:rFonts w:ascii="Times New Roman" w:hAnsi="Times New Roman" w:cs="Times New Roman"/>
          <w:b/>
          <w:i/>
          <w:sz w:val="24"/>
          <w:szCs w:val="24"/>
        </w:rPr>
        <w:t>s</w:t>
      </w:r>
    </w:p>
    <w:p w14:paraId="3F7F62D3" w14:textId="25B8FA3B" w:rsidR="0019418A" w:rsidRPr="001D6C19" w:rsidRDefault="001D6C19" w:rsidP="001D6C19">
      <w:pPr>
        <w:spacing w:before="60" w:after="60" w:line="480" w:lineRule="auto"/>
        <w:jc w:val="both"/>
        <w:rPr>
          <w:rFonts w:ascii="Times New Roman" w:hAnsi="Times New Roman" w:cs="Times New Roman"/>
          <w:sz w:val="24"/>
          <w:szCs w:val="24"/>
        </w:rPr>
      </w:pPr>
      <w:r w:rsidRPr="001D6C19">
        <w:rPr>
          <w:rFonts w:ascii="Times New Roman" w:hAnsi="Times New Roman" w:cs="Times New Roman"/>
          <w:sz w:val="24"/>
          <w:szCs w:val="24"/>
        </w:rPr>
        <w:t>The regularity of visits undertaken by NPMs will reflect how the NPM itself determines priorities and the constraints under which it operates.</w:t>
      </w:r>
      <w:r>
        <w:rPr>
          <w:rFonts w:ascii="Times New Roman" w:hAnsi="Times New Roman" w:cs="Times New Roman"/>
          <w:sz w:val="24"/>
          <w:szCs w:val="24"/>
        </w:rPr>
        <w:t xml:space="preserve"> </w:t>
      </w:r>
      <w:r w:rsidR="0019418A" w:rsidRPr="001D6C19">
        <w:rPr>
          <w:rFonts w:ascii="Times New Roman" w:hAnsi="Times New Roman" w:cs="Times New Roman"/>
          <w:sz w:val="24"/>
          <w:szCs w:val="24"/>
        </w:rPr>
        <w:t xml:space="preserve">Clearly the resources available </w:t>
      </w:r>
      <w:r w:rsidR="00730255">
        <w:rPr>
          <w:rFonts w:ascii="Times New Roman" w:hAnsi="Times New Roman" w:cs="Times New Roman"/>
          <w:sz w:val="24"/>
          <w:szCs w:val="24"/>
        </w:rPr>
        <w:t>are</w:t>
      </w:r>
      <w:r w:rsidR="0019418A" w:rsidRPr="001D6C19">
        <w:rPr>
          <w:rFonts w:ascii="Times New Roman" w:hAnsi="Times New Roman" w:cs="Times New Roman"/>
          <w:sz w:val="24"/>
          <w:szCs w:val="24"/>
        </w:rPr>
        <w:t xml:space="preserve"> likely </w:t>
      </w:r>
      <w:r w:rsidR="0019418A" w:rsidRPr="001D6C19">
        <w:rPr>
          <w:rFonts w:ascii="Times New Roman" w:hAnsi="Times New Roman" w:cs="Times New Roman"/>
          <w:sz w:val="24"/>
          <w:szCs w:val="24"/>
        </w:rPr>
        <w:lastRenderedPageBreak/>
        <w:t>to be a significant determinant of the regularity of an NPM's visits. We used what NPMs told us was the average total full-time-equivalent number of personnel available to them for visits throughout 2017</w:t>
      </w:r>
      <w:r w:rsidRPr="001D6C19">
        <w:rPr>
          <w:rFonts w:ascii="Times New Roman" w:hAnsi="Times New Roman" w:cs="Times New Roman"/>
          <w:sz w:val="24"/>
          <w:szCs w:val="24"/>
        </w:rPr>
        <w:t xml:space="preserve"> as a proxy for the resources they</w:t>
      </w:r>
      <w:r w:rsidR="0019418A" w:rsidRPr="001D6C19">
        <w:rPr>
          <w:rFonts w:ascii="Times New Roman" w:hAnsi="Times New Roman" w:cs="Times New Roman"/>
          <w:sz w:val="24"/>
          <w:szCs w:val="24"/>
        </w:rPr>
        <w:t xml:space="preserve"> had available as we felt this was the best basis for comparison between NPMs. We asked NPMs to include members, full and part-time staff, experts and personnel from civil society and other organisations in their response to this question.  We used the average total number of prisons in the state concerned in 2</w:t>
      </w:r>
      <w:r w:rsidR="004E5AB3">
        <w:rPr>
          <w:rFonts w:ascii="Times New Roman" w:hAnsi="Times New Roman" w:cs="Times New Roman"/>
          <w:sz w:val="24"/>
          <w:szCs w:val="24"/>
        </w:rPr>
        <w:t>0</w:t>
      </w:r>
      <w:r w:rsidR="0019418A" w:rsidRPr="001D6C19">
        <w:rPr>
          <w:rFonts w:ascii="Times New Roman" w:hAnsi="Times New Roman" w:cs="Times New Roman"/>
          <w:sz w:val="24"/>
          <w:szCs w:val="24"/>
        </w:rPr>
        <w:t>17 as the key variable against which the resources available for regular visits could be compared. We also asked NPMs whether they would make more visits if they had more resources available. In Table 1 below we compare responses to these questions.</w:t>
      </w:r>
    </w:p>
    <w:p w14:paraId="0353F377" w14:textId="540ABDA8" w:rsidR="00B34FFD" w:rsidRDefault="001D6C19" w:rsidP="00B34FFD">
      <w:pPr>
        <w:spacing w:before="60" w:after="60" w:line="480" w:lineRule="auto"/>
        <w:jc w:val="both"/>
        <w:rPr>
          <w:rFonts w:ascii="Times New Roman" w:hAnsi="Times New Roman" w:cs="Times New Roman"/>
          <w:b/>
          <w:sz w:val="20"/>
          <w:szCs w:val="20"/>
        </w:rPr>
      </w:pPr>
      <w:r>
        <w:rPr>
          <w:rFonts w:ascii="Times New Roman" w:hAnsi="Times New Roman" w:cs="Times New Roman"/>
          <w:b/>
          <w:sz w:val="20"/>
          <w:szCs w:val="20"/>
        </w:rPr>
        <w:t>Table 1</w:t>
      </w:r>
    </w:p>
    <w:tbl>
      <w:tblPr>
        <w:tblStyle w:val="TableGrid"/>
        <w:tblW w:w="0" w:type="auto"/>
        <w:tblLook w:val="04A0" w:firstRow="1" w:lastRow="0" w:firstColumn="1" w:lastColumn="0" w:noHBand="0" w:noVBand="1"/>
      </w:tblPr>
      <w:tblGrid>
        <w:gridCol w:w="967"/>
        <w:gridCol w:w="589"/>
        <w:gridCol w:w="803"/>
        <w:gridCol w:w="554"/>
        <w:gridCol w:w="543"/>
        <w:gridCol w:w="549"/>
        <w:gridCol w:w="553"/>
        <w:gridCol w:w="543"/>
        <w:gridCol w:w="551"/>
        <w:gridCol w:w="589"/>
        <w:gridCol w:w="542"/>
        <w:gridCol w:w="543"/>
        <w:gridCol w:w="553"/>
        <w:gridCol w:w="554"/>
        <w:gridCol w:w="547"/>
      </w:tblGrid>
      <w:tr w:rsidR="00B34FFD" w:rsidRPr="001251ED" w14:paraId="6013D7B2" w14:textId="77777777" w:rsidTr="00CA25F7">
        <w:tc>
          <w:tcPr>
            <w:tcW w:w="9010" w:type="dxa"/>
            <w:gridSpan w:val="15"/>
            <w:tcBorders>
              <w:top w:val="thinThickSmallGap" w:sz="24" w:space="0" w:color="000000"/>
              <w:left w:val="thinThickSmallGap" w:sz="24" w:space="0" w:color="000000"/>
              <w:right w:val="thickThinSmallGap" w:sz="24" w:space="0" w:color="000000"/>
            </w:tcBorders>
            <w:shd w:val="clear" w:color="auto" w:fill="BFBFBF" w:themeFill="background1" w:themeFillShade="BF"/>
          </w:tcPr>
          <w:p w14:paraId="46AFC48B" w14:textId="77777777" w:rsidR="00B34FFD" w:rsidRPr="001251ED" w:rsidRDefault="00B34FFD" w:rsidP="009650CA">
            <w:pPr>
              <w:jc w:val="center"/>
              <w:rPr>
                <w:rFonts w:ascii="Times New Roman" w:hAnsi="Times New Roman" w:cs="Times New Roman"/>
                <w:sz w:val="18"/>
                <w:szCs w:val="18"/>
              </w:rPr>
            </w:pPr>
            <w:r>
              <w:rPr>
                <w:rFonts w:ascii="Times New Roman" w:hAnsi="Times New Roman" w:cs="Times New Roman"/>
                <w:b/>
                <w:sz w:val="20"/>
                <w:szCs w:val="20"/>
              </w:rPr>
              <w:t>NPM capacity 2017</w:t>
            </w:r>
          </w:p>
        </w:tc>
      </w:tr>
      <w:tr w:rsidR="00B34FFD" w:rsidRPr="008E4674" w14:paraId="68104964" w14:textId="77777777" w:rsidTr="00CA25F7">
        <w:tc>
          <w:tcPr>
            <w:tcW w:w="2360" w:type="dxa"/>
            <w:gridSpan w:val="3"/>
            <w:vMerge w:val="restart"/>
            <w:tcBorders>
              <w:left w:val="thinThickSmallGap" w:sz="24" w:space="0" w:color="000000"/>
              <w:right w:val="single" w:sz="24" w:space="0" w:color="auto"/>
            </w:tcBorders>
            <w:shd w:val="clear" w:color="auto" w:fill="BFBFBF" w:themeFill="background1" w:themeFillShade="BF"/>
            <w:vAlign w:val="center"/>
          </w:tcPr>
          <w:p w14:paraId="7446B847" w14:textId="77777777" w:rsidR="00B34FFD" w:rsidRPr="008E4674" w:rsidRDefault="00B34FFD" w:rsidP="009650CA">
            <w:pPr>
              <w:jc w:val="center"/>
              <w:rPr>
                <w:rFonts w:ascii="Times New Roman" w:hAnsi="Times New Roman" w:cs="Times New Roman"/>
                <w:b/>
                <w:sz w:val="18"/>
                <w:szCs w:val="18"/>
              </w:rPr>
            </w:pPr>
          </w:p>
        </w:tc>
        <w:tc>
          <w:tcPr>
            <w:tcW w:w="2208" w:type="dxa"/>
            <w:gridSpan w:val="4"/>
            <w:tcBorders>
              <w:left w:val="single" w:sz="24" w:space="0" w:color="auto"/>
              <w:right w:val="single" w:sz="24" w:space="0" w:color="auto"/>
            </w:tcBorders>
            <w:shd w:val="clear" w:color="auto" w:fill="BFBFBF" w:themeFill="background1" w:themeFillShade="BF"/>
            <w:vAlign w:val="center"/>
          </w:tcPr>
          <w:p w14:paraId="58187C38" w14:textId="77777777" w:rsidR="00B34FFD" w:rsidRPr="008E4674" w:rsidRDefault="00B34FFD" w:rsidP="009650CA">
            <w:pPr>
              <w:jc w:val="center"/>
              <w:rPr>
                <w:rFonts w:ascii="Times New Roman" w:hAnsi="Times New Roman" w:cs="Times New Roman"/>
                <w:b/>
                <w:sz w:val="18"/>
                <w:szCs w:val="18"/>
              </w:rPr>
            </w:pPr>
            <w:r w:rsidRPr="008E4674">
              <w:rPr>
                <w:rFonts w:ascii="Times New Roman" w:hAnsi="Times New Roman" w:cs="Times New Roman"/>
                <w:b/>
                <w:sz w:val="18"/>
                <w:szCs w:val="18"/>
              </w:rPr>
              <w:t>F.T.E personnel</w:t>
            </w:r>
          </w:p>
        </w:tc>
        <w:tc>
          <w:tcPr>
            <w:tcW w:w="1689" w:type="dxa"/>
            <w:gridSpan w:val="3"/>
            <w:tcBorders>
              <w:left w:val="single" w:sz="24" w:space="0" w:color="auto"/>
              <w:right w:val="single" w:sz="24" w:space="0" w:color="auto"/>
            </w:tcBorders>
            <w:shd w:val="clear" w:color="auto" w:fill="BFBFBF" w:themeFill="background1" w:themeFillShade="BF"/>
            <w:vAlign w:val="center"/>
          </w:tcPr>
          <w:p w14:paraId="3E625712" w14:textId="77777777" w:rsidR="00B34FFD" w:rsidRPr="008E4674" w:rsidRDefault="00B34FFD" w:rsidP="009650CA">
            <w:pPr>
              <w:jc w:val="center"/>
              <w:rPr>
                <w:rFonts w:ascii="Times New Roman" w:hAnsi="Times New Roman" w:cs="Times New Roman"/>
                <w:b/>
                <w:sz w:val="18"/>
                <w:szCs w:val="18"/>
              </w:rPr>
            </w:pPr>
            <w:r w:rsidRPr="008E4674">
              <w:rPr>
                <w:rFonts w:ascii="Times New Roman" w:hAnsi="Times New Roman" w:cs="Times New Roman"/>
                <w:b/>
                <w:sz w:val="18"/>
                <w:szCs w:val="18"/>
              </w:rPr>
              <w:t>Av.</w:t>
            </w:r>
            <w:r>
              <w:rPr>
                <w:rFonts w:ascii="Times New Roman" w:hAnsi="Times New Roman" w:cs="Times New Roman"/>
                <w:b/>
                <w:sz w:val="18"/>
                <w:szCs w:val="18"/>
              </w:rPr>
              <w:t xml:space="preserve"> </w:t>
            </w:r>
            <w:r w:rsidRPr="008E4674">
              <w:rPr>
                <w:rFonts w:ascii="Times New Roman" w:hAnsi="Times New Roman" w:cs="Times New Roman"/>
                <w:b/>
                <w:sz w:val="18"/>
                <w:szCs w:val="18"/>
              </w:rPr>
              <w:t>total adult prisons</w:t>
            </w:r>
          </w:p>
        </w:tc>
        <w:tc>
          <w:tcPr>
            <w:tcW w:w="1647" w:type="dxa"/>
            <w:gridSpan w:val="3"/>
            <w:tcBorders>
              <w:left w:val="single" w:sz="24" w:space="0" w:color="auto"/>
              <w:right w:val="single" w:sz="24" w:space="0" w:color="000000"/>
            </w:tcBorders>
            <w:shd w:val="clear" w:color="auto" w:fill="BFBFBF" w:themeFill="background1" w:themeFillShade="BF"/>
            <w:vAlign w:val="center"/>
          </w:tcPr>
          <w:p w14:paraId="5DB32880" w14:textId="77777777" w:rsidR="00B34FFD" w:rsidRPr="008E4674" w:rsidRDefault="00B34FFD" w:rsidP="009650CA">
            <w:pPr>
              <w:jc w:val="center"/>
              <w:rPr>
                <w:rFonts w:ascii="Times New Roman" w:hAnsi="Times New Roman" w:cs="Times New Roman"/>
                <w:b/>
                <w:sz w:val="18"/>
                <w:szCs w:val="18"/>
              </w:rPr>
            </w:pPr>
            <w:r w:rsidRPr="008E4674">
              <w:rPr>
                <w:rFonts w:ascii="Times New Roman" w:hAnsi="Times New Roman" w:cs="Times New Roman"/>
                <w:b/>
                <w:sz w:val="18"/>
                <w:szCs w:val="18"/>
              </w:rPr>
              <w:t>% prisons visited</w:t>
            </w:r>
          </w:p>
        </w:tc>
        <w:tc>
          <w:tcPr>
            <w:tcW w:w="1106" w:type="dxa"/>
            <w:gridSpan w:val="2"/>
            <w:tcBorders>
              <w:left w:val="single" w:sz="24" w:space="0" w:color="000000"/>
              <w:right w:val="thickThinSmallGap" w:sz="24" w:space="0" w:color="000000"/>
            </w:tcBorders>
            <w:shd w:val="clear" w:color="auto" w:fill="BFBFBF" w:themeFill="background1" w:themeFillShade="BF"/>
            <w:vAlign w:val="center"/>
          </w:tcPr>
          <w:p w14:paraId="3D25A3F9" w14:textId="77777777" w:rsidR="00B34FFD" w:rsidRPr="008E4674" w:rsidRDefault="00B34FFD" w:rsidP="009650CA">
            <w:pPr>
              <w:jc w:val="center"/>
              <w:rPr>
                <w:rFonts w:ascii="Times New Roman" w:hAnsi="Times New Roman" w:cs="Times New Roman"/>
                <w:b/>
                <w:sz w:val="18"/>
                <w:szCs w:val="18"/>
              </w:rPr>
            </w:pPr>
            <w:r w:rsidRPr="008E4674">
              <w:rPr>
                <w:rFonts w:ascii="Times New Roman" w:hAnsi="Times New Roman" w:cs="Times New Roman"/>
                <w:b/>
                <w:sz w:val="18"/>
                <w:szCs w:val="18"/>
              </w:rPr>
              <w:t>Wish to do more</w:t>
            </w:r>
          </w:p>
        </w:tc>
      </w:tr>
      <w:tr w:rsidR="00B34FFD" w:rsidRPr="00550F24" w14:paraId="124A184F" w14:textId="77777777" w:rsidTr="00CA25F7">
        <w:tc>
          <w:tcPr>
            <w:tcW w:w="2360" w:type="dxa"/>
            <w:gridSpan w:val="3"/>
            <w:vMerge/>
            <w:tcBorders>
              <w:left w:val="thinThickSmallGap" w:sz="24" w:space="0" w:color="000000"/>
              <w:right w:val="single" w:sz="24" w:space="0" w:color="auto"/>
            </w:tcBorders>
            <w:shd w:val="clear" w:color="auto" w:fill="BFBFBF" w:themeFill="background1" w:themeFillShade="BF"/>
          </w:tcPr>
          <w:p w14:paraId="53DC7B89" w14:textId="77777777" w:rsidR="00B34FFD" w:rsidRPr="00550F24" w:rsidRDefault="00B34FFD" w:rsidP="009650CA">
            <w:pPr>
              <w:jc w:val="both"/>
              <w:rPr>
                <w:rFonts w:ascii="Times New Roman" w:hAnsi="Times New Roman" w:cs="Times New Roman"/>
                <w:b/>
                <w:sz w:val="18"/>
                <w:szCs w:val="18"/>
              </w:rPr>
            </w:pPr>
          </w:p>
        </w:tc>
        <w:tc>
          <w:tcPr>
            <w:tcW w:w="555" w:type="dxa"/>
            <w:tcBorders>
              <w:left w:val="single" w:sz="24" w:space="0" w:color="auto"/>
            </w:tcBorders>
            <w:shd w:val="clear" w:color="auto" w:fill="BFBFBF" w:themeFill="background1" w:themeFillShade="BF"/>
          </w:tcPr>
          <w:p w14:paraId="4C7C1A6C"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&lt;=5</w:t>
            </w:r>
          </w:p>
        </w:tc>
        <w:tc>
          <w:tcPr>
            <w:tcW w:w="547" w:type="dxa"/>
            <w:shd w:val="clear" w:color="auto" w:fill="BFBFBF" w:themeFill="background1" w:themeFillShade="BF"/>
          </w:tcPr>
          <w:p w14:paraId="500E9167"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6-20</w:t>
            </w:r>
          </w:p>
        </w:tc>
        <w:tc>
          <w:tcPr>
            <w:tcW w:w="552" w:type="dxa"/>
            <w:shd w:val="clear" w:color="auto" w:fill="BFBFBF" w:themeFill="background1" w:themeFillShade="BF"/>
          </w:tcPr>
          <w:p w14:paraId="59ECF309"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21-50</w:t>
            </w:r>
          </w:p>
        </w:tc>
        <w:tc>
          <w:tcPr>
            <w:tcW w:w="554" w:type="dxa"/>
            <w:tcBorders>
              <w:right w:val="single" w:sz="24" w:space="0" w:color="auto"/>
            </w:tcBorders>
            <w:shd w:val="clear" w:color="auto" w:fill="BFBFBF" w:themeFill="background1" w:themeFillShade="BF"/>
          </w:tcPr>
          <w:p w14:paraId="72347935"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&gt;50</w:t>
            </w:r>
          </w:p>
        </w:tc>
        <w:tc>
          <w:tcPr>
            <w:tcW w:w="547" w:type="dxa"/>
            <w:tcBorders>
              <w:left w:val="single" w:sz="24" w:space="0" w:color="auto"/>
            </w:tcBorders>
            <w:shd w:val="clear" w:color="auto" w:fill="BFBFBF" w:themeFill="background1" w:themeFillShade="BF"/>
            <w:vAlign w:val="center"/>
          </w:tcPr>
          <w:p w14:paraId="621AD765"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1- 20</w:t>
            </w:r>
          </w:p>
        </w:tc>
        <w:tc>
          <w:tcPr>
            <w:tcW w:w="553" w:type="dxa"/>
            <w:shd w:val="clear" w:color="auto" w:fill="BFBFBF" w:themeFill="background1" w:themeFillShade="BF"/>
            <w:vAlign w:val="center"/>
          </w:tcPr>
          <w:p w14:paraId="3AC62252"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21 - 100</w:t>
            </w:r>
          </w:p>
        </w:tc>
        <w:tc>
          <w:tcPr>
            <w:tcW w:w="589" w:type="dxa"/>
            <w:tcBorders>
              <w:right w:val="single" w:sz="24" w:space="0" w:color="auto"/>
            </w:tcBorders>
            <w:shd w:val="clear" w:color="auto" w:fill="BFBFBF" w:themeFill="background1" w:themeFillShade="BF"/>
            <w:vAlign w:val="center"/>
          </w:tcPr>
          <w:p w14:paraId="5E1F7B74"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100+</w:t>
            </w:r>
          </w:p>
        </w:tc>
        <w:tc>
          <w:tcPr>
            <w:tcW w:w="546" w:type="dxa"/>
            <w:tcBorders>
              <w:left w:val="single" w:sz="24" w:space="0" w:color="auto"/>
            </w:tcBorders>
            <w:shd w:val="clear" w:color="auto" w:fill="BFBFBF" w:themeFill="background1" w:themeFillShade="BF"/>
            <w:vAlign w:val="center"/>
          </w:tcPr>
          <w:p w14:paraId="78CFFEE8"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0 -10</w:t>
            </w:r>
          </w:p>
        </w:tc>
        <w:tc>
          <w:tcPr>
            <w:tcW w:w="547" w:type="dxa"/>
            <w:shd w:val="clear" w:color="auto" w:fill="BFBFBF" w:themeFill="background1" w:themeFillShade="BF"/>
            <w:vAlign w:val="center"/>
          </w:tcPr>
          <w:p w14:paraId="5E730E74" w14:textId="77777777" w:rsidR="00B34FFD" w:rsidRPr="00550F24" w:rsidRDefault="00B34FFD" w:rsidP="009650CA">
            <w:pPr>
              <w:rPr>
                <w:rFonts w:ascii="Times New Roman" w:hAnsi="Times New Roman" w:cs="Times New Roman"/>
                <w:b/>
                <w:sz w:val="18"/>
                <w:szCs w:val="18"/>
              </w:rPr>
            </w:pPr>
            <w:r w:rsidRPr="00550F24">
              <w:rPr>
                <w:rFonts w:ascii="Times New Roman" w:hAnsi="Times New Roman" w:cs="Times New Roman"/>
                <w:b/>
                <w:sz w:val="18"/>
                <w:szCs w:val="18"/>
              </w:rPr>
              <w:t>11 - 30</w:t>
            </w:r>
          </w:p>
        </w:tc>
        <w:tc>
          <w:tcPr>
            <w:tcW w:w="554" w:type="dxa"/>
            <w:tcBorders>
              <w:right w:val="single" w:sz="24" w:space="0" w:color="000000"/>
            </w:tcBorders>
            <w:shd w:val="clear" w:color="auto" w:fill="BFBFBF" w:themeFill="background1" w:themeFillShade="BF"/>
            <w:vAlign w:val="center"/>
          </w:tcPr>
          <w:p w14:paraId="7EFE61DC"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30+</w:t>
            </w:r>
          </w:p>
        </w:tc>
        <w:tc>
          <w:tcPr>
            <w:tcW w:w="556" w:type="dxa"/>
            <w:tcBorders>
              <w:left w:val="single" w:sz="24" w:space="0" w:color="000000"/>
            </w:tcBorders>
            <w:shd w:val="clear" w:color="auto" w:fill="BFBFBF" w:themeFill="background1" w:themeFillShade="BF"/>
            <w:vAlign w:val="center"/>
          </w:tcPr>
          <w:p w14:paraId="7FFD406F"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Yes</w:t>
            </w:r>
          </w:p>
        </w:tc>
        <w:tc>
          <w:tcPr>
            <w:tcW w:w="550" w:type="dxa"/>
            <w:tcBorders>
              <w:right w:val="thickThinSmallGap" w:sz="24" w:space="0" w:color="000000"/>
            </w:tcBorders>
            <w:shd w:val="clear" w:color="auto" w:fill="BFBFBF" w:themeFill="background1" w:themeFillShade="BF"/>
            <w:vAlign w:val="center"/>
          </w:tcPr>
          <w:p w14:paraId="319DEAEB" w14:textId="77777777" w:rsidR="00B34FFD" w:rsidRPr="00550F24" w:rsidRDefault="00B34FFD" w:rsidP="009650CA">
            <w:pPr>
              <w:jc w:val="both"/>
              <w:rPr>
                <w:rFonts w:ascii="Times New Roman" w:hAnsi="Times New Roman" w:cs="Times New Roman"/>
                <w:b/>
                <w:sz w:val="18"/>
                <w:szCs w:val="18"/>
              </w:rPr>
            </w:pPr>
            <w:r w:rsidRPr="00550F24">
              <w:rPr>
                <w:rFonts w:ascii="Times New Roman" w:hAnsi="Times New Roman" w:cs="Times New Roman"/>
                <w:b/>
                <w:sz w:val="18"/>
                <w:szCs w:val="18"/>
              </w:rPr>
              <w:t>No</w:t>
            </w:r>
          </w:p>
        </w:tc>
      </w:tr>
      <w:tr w:rsidR="00B34FFD" w:rsidRPr="001251ED" w14:paraId="47FB18D5" w14:textId="77777777" w:rsidTr="00CA25F7">
        <w:tc>
          <w:tcPr>
            <w:tcW w:w="1556" w:type="dxa"/>
            <w:gridSpan w:val="2"/>
            <w:tcBorders>
              <w:left w:val="thinThickSmallGap" w:sz="24" w:space="0" w:color="000000"/>
              <w:bottom w:val="single" w:sz="24" w:space="0" w:color="000000"/>
            </w:tcBorders>
            <w:shd w:val="clear" w:color="auto" w:fill="BFBFBF" w:themeFill="background1" w:themeFillShade="BF"/>
          </w:tcPr>
          <w:p w14:paraId="3F93477F" w14:textId="77777777" w:rsidR="00B34FFD" w:rsidRPr="001251ED" w:rsidRDefault="00B34FFD" w:rsidP="009650CA">
            <w:pPr>
              <w:jc w:val="both"/>
              <w:rPr>
                <w:rFonts w:ascii="Times New Roman" w:hAnsi="Times New Roman" w:cs="Times New Roman"/>
                <w:sz w:val="18"/>
                <w:szCs w:val="18"/>
              </w:rPr>
            </w:pPr>
          </w:p>
        </w:tc>
        <w:tc>
          <w:tcPr>
            <w:tcW w:w="804" w:type="dxa"/>
            <w:tcBorders>
              <w:bottom w:val="single" w:sz="24" w:space="0" w:color="000000"/>
              <w:right w:val="single" w:sz="24" w:space="0" w:color="auto"/>
            </w:tcBorders>
          </w:tcPr>
          <w:p w14:paraId="102AA0D7"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TOTAL</w:t>
            </w:r>
          </w:p>
        </w:tc>
        <w:tc>
          <w:tcPr>
            <w:tcW w:w="555" w:type="dxa"/>
            <w:tcBorders>
              <w:left w:val="single" w:sz="24" w:space="0" w:color="auto"/>
              <w:bottom w:val="single" w:sz="24" w:space="0" w:color="000000"/>
            </w:tcBorders>
          </w:tcPr>
          <w:p w14:paraId="4E691971"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6</w:t>
            </w:r>
          </w:p>
        </w:tc>
        <w:tc>
          <w:tcPr>
            <w:tcW w:w="547" w:type="dxa"/>
            <w:tcBorders>
              <w:bottom w:val="single" w:sz="24" w:space="0" w:color="000000"/>
            </w:tcBorders>
          </w:tcPr>
          <w:p w14:paraId="3101ECE0"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9</w:t>
            </w:r>
          </w:p>
        </w:tc>
        <w:tc>
          <w:tcPr>
            <w:tcW w:w="552" w:type="dxa"/>
            <w:tcBorders>
              <w:bottom w:val="single" w:sz="24" w:space="0" w:color="000000"/>
            </w:tcBorders>
          </w:tcPr>
          <w:p w14:paraId="31E92BA3"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2</w:t>
            </w:r>
          </w:p>
        </w:tc>
        <w:tc>
          <w:tcPr>
            <w:tcW w:w="554" w:type="dxa"/>
            <w:tcBorders>
              <w:bottom w:val="single" w:sz="24" w:space="0" w:color="000000"/>
              <w:right w:val="single" w:sz="24" w:space="0" w:color="auto"/>
            </w:tcBorders>
          </w:tcPr>
          <w:p w14:paraId="593BD305"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1</w:t>
            </w:r>
          </w:p>
        </w:tc>
        <w:tc>
          <w:tcPr>
            <w:tcW w:w="547" w:type="dxa"/>
            <w:tcBorders>
              <w:left w:val="single" w:sz="24" w:space="0" w:color="auto"/>
              <w:bottom w:val="single" w:sz="24" w:space="0" w:color="000000"/>
            </w:tcBorders>
            <w:vAlign w:val="center"/>
          </w:tcPr>
          <w:p w14:paraId="671B599B"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7</w:t>
            </w:r>
          </w:p>
        </w:tc>
        <w:tc>
          <w:tcPr>
            <w:tcW w:w="553" w:type="dxa"/>
            <w:tcBorders>
              <w:bottom w:val="single" w:sz="24" w:space="0" w:color="000000"/>
            </w:tcBorders>
            <w:vAlign w:val="center"/>
          </w:tcPr>
          <w:p w14:paraId="1F4973A4"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6</w:t>
            </w:r>
          </w:p>
        </w:tc>
        <w:tc>
          <w:tcPr>
            <w:tcW w:w="589" w:type="dxa"/>
            <w:tcBorders>
              <w:bottom w:val="single" w:sz="24" w:space="0" w:color="000000"/>
              <w:right w:val="single" w:sz="24" w:space="0" w:color="auto"/>
            </w:tcBorders>
            <w:vAlign w:val="center"/>
          </w:tcPr>
          <w:p w14:paraId="5FE6165F"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5</w:t>
            </w:r>
          </w:p>
        </w:tc>
        <w:tc>
          <w:tcPr>
            <w:tcW w:w="546" w:type="dxa"/>
            <w:tcBorders>
              <w:left w:val="single" w:sz="24" w:space="0" w:color="auto"/>
              <w:bottom w:val="single" w:sz="24" w:space="0" w:color="000000"/>
            </w:tcBorders>
            <w:vAlign w:val="center"/>
          </w:tcPr>
          <w:p w14:paraId="18F51268"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7</w:t>
            </w:r>
          </w:p>
        </w:tc>
        <w:tc>
          <w:tcPr>
            <w:tcW w:w="547" w:type="dxa"/>
            <w:tcBorders>
              <w:bottom w:val="single" w:sz="24" w:space="0" w:color="000000"/>
            </w:tcBorders>
            <w:vAlign w:val="center"/>
          </w:tcPr>
          <w:p w14:paraId="0CCFD5BC"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4</w:t>
            </w:r>
          </w:p>
        </w:tc>
        <w:tc>
          <w:tcPr>
            <w:tcW w:w="554" w:type="dxa"/>
            <w:tcBorders>
              <w:bottom w:val="single" w:sz="24" w:space="0" w:color="000000"/>
              <w:right w:val="single" w:sz="24" w:space="0" w:color="000000"/>
            </w:tcBorders>
            <w:vAlign w:val="center"/>
          </w:tcPr>
          <w:p w14:paraId="1C473862"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7</w:t>
            </w:r>
          </w:p>
        </w:tc>
        <w:tc>
          <w:tcPr>
            <w:tcW w:w="556" w:type="dxa"/>
            <w:tcBorders>
              <w:left w:val="single" w:sz="24" w:space="0" w:color="000000"/>
              <w:bottom w:val="single" w:sz="24" w:space="0" w:color="000000"/>
            </w:tcBorders>
            <w:vAlign w:val="center"/>
          </w:tcPr>
          <w:p w14:paraId="734ACC15"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14</w:t>
            </w:r>
          </w:p>
        </w:tc>
        <w:tc>
          <w:tcPr>
            <w:tcW w:w="550" w:type="dxa"/>
            <w:tcBorders>
              <w:bottom w:val="single" w:sz="24" w:space="0" w:color="000000"/>
              <w:right w:val="thickThinSmallGap" w:sz="24" w:space="0" w:color="000000"/>
            </w:tcBorders>
            <w:vAlign w:val="center"/>
          </w:tcPr>
          <w:p w14:paraId="17844295"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4</w:t>
            </w:r>
          </w:p>
        </w:tc>
      </w:tr>
      <w:tr w:rsidR="00B34FFD" w:rsidRPr="001251ED" w14:paraId="2F1E67F8" w14:textId="77777777" w:rsidTr="00CA25F7">
        <w:tc>
          <w:tcPr>
            <w:tcW w:w="967" w:type="dxa"/>
            <w:vMerge w:val="restart"/>
            <w:tcBorders>
              <w:top w:val="single" w:sz="24" w:space="0" w:color="000000"/>
              <w:left w:val="thinThickSmallGap" w:sz="24" w:space="0" w:color="000000"/>
            </w:tcBorders>
            <w:shd w:val="clear" w:color="auto" w:fill="BFBFBF" w:themeFill="background1" w:themeFillShade="BF"/>
            <w:vAlign w:val="center"/>
          </w:tcPr>
          <w:p w14:paraId="06F480E5" w14:textId="77777777" w:rsidR="00B34FFD" w:rsidRPr="008706F7" w:rsidRDefault="00B34FFD" w:rsidP="009650CA">
            <w:pPr>
              <w:rPr>
                <w:rFonts w:ascii="Times New Roman" w:hAnsi="Times New Roman" w:cs="Times New Roman"/>
                <w:b/>
                <w:sz w:val="18"/>
                <w:szCs w:val="18"/>
              </w:rPr>
            </w:pPr>
            <w:r w:rsidRPr="008706F7">
              <w:rPr>
                <w:rFonts w:ascii="Times New Roman" w:hAnsi="Times New Roman" w:cs="Times New Roman"/>
                <w:b/>
                <w:sz w:val="18"/>
                <w:szCs w:val="18"/>
              </w:rPr>
              <w:t>f.t.e personnel</w:t>
            </w:r>
          </w:p>
        </w:tc>
        <w:tc>
          <w:tcPr>
            <w:tcW w:w="589" w:type="dxa"/>
            <w:tcBorders>
              <w:top w:val="single" w:sz="24" w:space="0" w:color="000000"/>
            </w:tcBorders>
            <w:shd w:val="clear" w:color="auto" w:fill="BFBFBF" w:themeFill="background1" w:themeFillShade="BF"/>
          </w:tcPr>
          <w:p w14:paraId="6D0178AD"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&lt;=5</w:t>
            </w:r>
          </w:p>
        </w:tc>
        <w:tc>
          <w:tcPr>
            <w:tcW w:w="804" w:type="dxa"/>
            <w:tcBorders>
              <w:top w:val="single" w:sz="24" w:space="0" w:color="000000"/>
              <w:right w:val="single" w:sz="24" w:space="0" w:color="auto"/>
            </w:tcBorders>
          </w:tcPr>
          <w:p w14:paraId="6C7F7A7C"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6</w:t>
            </w:r>
          </w:p>
        </w:tc>
        <w:tc>
          <w:tcPr>
            <w:tcW w:w="555" w:type="dxa"/>
            <w:tcBorders>
              <w:top w:val="single" w:sz="24" w:space="0" w:color="000000"/>
              <w:left w:val="single" w:sz="24" w:space="0" w:color="auto"/>
            </w:tcBorders>
            <w:shd w:val="clear" w:color="auto" w:fill="808080" w:themeFill="background1" w:themeFillShade="80"/>
          </w:tcPr>
          <w:p w14:paraId="718AC7C7" w14:textId="77777777" w:rsidR="00B34FFD" w:rsidRPr="001251ED" w:rsidRDefault="00B34FFD" w:rsidP="009650CA">
            <w:pPr>
              <w:jc w:val="both"/>
              <w:rPr>
                <w:rFonts w:ascii="Times New Roman" w:hAnsi="Times New Roman" w:cs="Times New Roman"/>
                <w:sz w:val="18"/>
                <w:szCs w:val="18"/>
              </w:rPr>
            </w:pPr>
          </w:p>
        </w:tc>
        <w:tc>
          <w:tcPr>
            <w:tcW w:w="547" w:type="dxa"/>
            <w:tcBorders>
              <w:top w:val="single" w:sz="24" w:space="0" w:color="000000"/>
            </w:tcBorders>
            <w:shd w:val="clear" w:color="auto" w:fill="808080" w:themeFill="background1" w:themeFillShade="80"/>
          </w:tcPr>
          <w:p w14:paraId="741F0A50" w14:textId="77777777" w:rsidR="00B34FFD" w:rsidRPr="001251ED" w:rsidRDefault="00B34FFD" w:rsidP="009650CA">
            <w:pPr>
              <w:jc w:val="both"/>
              <w:rPr>
                <w:rFonts w:ascii="Times New Roman" w:hAnsi="Times New Roman" w:cs="Times New Roman"/>
                <w:sz w:val="18"/>
                <w:szCs w:val="18"/>
              </w:rPr>
            </w:pPr>
          </w:p>
        </w:tc>
        <w:tc>
          <w:tcPr>
            <w:tcW w:w="552" w:type="dxa"/>
            <w:tcBorders>
              <w:top w:val="single" w:sz="24" w:space="0" w:color="000000"/>
            </w:tcBorders>
            <w:shd w:val="clear" w:color="auto" w:fill="808080" w:themeFill="background1" w:themeFillShade="80"/>
          </w:tcPr>
          <w:p w14:paraId="65DB83FD" w14:textId="77777777" w:rsidR="00B34FFD" w:rsidRPr="001251ED" w:rsidRDefault="00B34FFD" w:rsidP="009650CA">
            <w:pPr>
              <w:jc w:val="both"/>
              <w:rPr>
                <w:rFonts w:ascii="Times New Roman" w:hAnsi="Times New Roman" w:cs="Times New Roman"/>
                <w:sz w:val="18"/>
                <w:szCs w:val="18"/>
              </w:rPr>
            </w:pPr>
          </w:p>
        </w:tc>
        <w:tc>
          <w:tcPr>
            <w:tcW w:w="554" w:type="dxa"/>
            <w:tcBorders>
              <w:top w:val="single" w:sz="24" w:space="0" w:color="000000"/>
              <w:right w:val="single" w:sz="24" w:space="0" w:color="auto"/>
            </w:tcBorders>
            <w:shd w:val="clear" w:color="auto" w:fill="808080" w:themeFill="background1" w:themeFillShade="80"/>
          </w:tcPr>
          <w:p w14:paraId="31637487" w14:textId="77777777" w:rsidR="00B34FFD" w:rsidRPr="001251ED" w:rsidRDefault="00B34FFD" w:rsidP="009650CA">
            <w:pPr>
              <w:jc w:val="both"/>
              <w:rPr>
                <w:rFonts w:ascii="Times New Roman" w:hAnsi="Times New Roman" w:cs="Times New Roman"/>
                <w:sz w:val="18"/>
                <w:szCs w:val="18"/>
              </w:rPr>
            </w:pPr>
          </w:p>
        </w:tc>
        <w:tc>
          <w:tcPr>
            <w:tcW w:w="547" w:type="dxa"/>
            <w:tcBorders>
              <w:top w:val="single" w:sz="24" w:space="0" w:color="000000"/>
              <w:left w:val="single" w:sz="24" w:space="0" w:color="auto"/>
            </w:tcBorders>
            <w:vAlign w:val="center"/>
          </w:tcPr>
          <w:p w14:paraId="4F7A1CEF"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2</w:t>
            </w:r>
          </w:p>
        </w:tc>
        <w:tc>
          <w:tcPr>
            <w:tcW w:w="553" w:type="dxa"/>
            <w:tcBorders>
              <w:top w:val="single" w:sz="24" w:space="0" w:color="000000"/>
            </w:tcBorders>
            <w:vAlign w:val="center"/>
          </w:tcPr>
          <w:p w14:paraId="1AB4D804"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3</w:t>
            </w:r>
          </w:p>
        </w:tc>
        <w:tc>
          <w:tcPr>
            <w:tcW w:w="589" w:type="dxa"/>
            <w:tcBorders>
              <w:top w:val="single" w:sz="24" w:space="0" w:color="000000"/>
              <w:right w:val="single" w:sz="24" w:space="0" w:color="auto"/>
            </w:tcBorders>
            <w:vAlign w:val="center"/>
          </w:tcPr>
          <w:p w14:paraId="26CFC71B"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46" w:type="dxa"/>
            <w:tcBorders>
              <w:top w:val="single" w:sz="24" w:space="0" w:color="000000"/>
              <w:left w:val="single" w:sz="24" w:space="0" w:color="auto"/>
            </w:tcBorders>
            <w:vAlign w:val="center"/>
          </w:tcPr>
          <w:p w14:paraId="0C160C63"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3</w:t>
            </w:r>
          </w:p>
        </w:tc>
        <w:tc>
          <w:tcPr>
            <w:tcW w:w="547" w:type="dxa"/>
            <w:tcBorders>
              <w:top w:val="single" w:sz="24" w:space="0" w:color="000000"/>
            </w:tcBorders>
            <w:vAlign w:val="center"/>
          </w:tcPr>
          <w:p w14:paraId="44E5E092"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54" w:type="dxa"/>
            <w:tcBorders>
              <w:top w:val="single" w:sz="24" w:space="0" w:color="000000"/>
              <w:right w:val="single" w:sz="24" w:space="0" w:color="000000"/>
            </w:tcBorders>
            <w:vAlign w:val="center"/>
          </w:tcPr>
          <w:p w14:paraId="41E51A21"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2</w:t>
            </w:r>
          </w:p>
        </w:tc>
        <w:tc>
          <w:tcPr>
            <w:tcW w:w="556" w:type="dxa"/>
            <w:tcBorders>
              <w:top w:val="single" w:sz="24" w:space="0" w:color="000000"/>
              <w:left w:val="single" w:sz="24" w:space="0" w:color="000000"/>
            </w:tcBorders>
            <w:vAlign w:val="center"/>
          </w:tcPr>
          <w:p w14:paraId="0D283CB5"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5</w:t>
            </w:r>
          </w:p>
        </w:tc>
        <w:tc>
          <w:tcPr>
            <w:tcW w:w="550" w:type="dxa"/>
            <w:tcBorders>
              <w:top w:val="single" w:sz="24" w:space="0" w:color="000000"/>
              <w:right w:val="thickThinSmallGap" w:sz="24" w:space="0" w:color="000000"/>
            </w:tcBorders>
            <w:vAlign w:val="center"/>
          </w:tcPr>
          <w:p w14:paraId="5BADA1A0"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r>
      <w:tr w:rsidR="00B34FFD" w:rsidRPr="001251ED" w14:paraId="2CCACCB2" w14:textId="77777777" w:rsidTr="00CA25F7">
        <w:tc>
          <w:tcPr>
            <w:tcW w:w="967" w:type="dxa"/>
            <w:vMerge/>
            <w:tcBorders>
              <w:left w:val="thinThickSmallGap" w:sz="24" w:space="0" w:color="000000"/>
            </w:tcBorders>
            <w:shd w:val="clear" w:color="auto" w:fill="BFBFBF" w:themeFill="background1" w:themeFillShade="BF"/>
          </w:tcPr>
          <w:p w14:paraId="3C875DB3" w14:textId="77777777" w:rsidR="00B34FFD" w:rsidRPr="008706F7" w:rsidRDefault="00B34FFD" w:rsidP="009650CA">
            <w:pPr>
              <w:jc w:val="both"/>
              <w:rPr>
                <w:rFonts w:ascii="Times New Roman" w:hAnsi="Times New Roman" w:cs="Times New Roman"/>
                <w:b/>
                <w:sz w:val="18"/>
                <w:szCs w:val="18"/>
              </w:rPr>
            </w:pPr>
          </w:p>
        </w:tc>
        <w:tc>
          <w:tcPr>
            <w:tcW w:w="589" w:type="dxa"/>
            <w:shd w:val="clear" w:color="auto" w:fill="BFBFBF" w:themeFill="background1" w:themeFillShade="BF"/>
          </w:tcPr>
          <w:p w14:paraId="3022763E"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6-20</w:t>
            </w:r>
          </w:p>
        </w:tc>
        <w:tc>
          <w:tcPr>
            <w:tcW w:w="804" w:type="dxa"/>
            <w:tcBorders>
              <w:right w:val="single" w:sz="24" w:space="0" w:color="auto"/>
            </w:tcBorders>
          </w:tcPr>
          <w:p w14:paraId="351EF6AD"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9</w:t>
            </w:r>
          </w:p>
        </w:tc>
        <w:tc>
          <w:tcPr>
            <w:tcW w:w="555" w:type="dxa"/>
            <w:tcBorders>
              <w:left w:val="single" w:sz="24" w:space="0" w:color="auto"/>
            </w:tcBorders>
            <w:shd w:val="clear" w:color="auto" w:fill="808080" w:themeFill="background1" w:themeFillShade="80"/>
          </w:tcPr>
          <w:p w14:paraId="7FEA0FA1" w14:textId="77777777" w:rsidR="00B34FFD" w:rsidRPr="001251ED" w:rsidRDefault="00B34FFD" w:rsidP="009650CA">
            <w:pPr>
              <w:jc w:val="both"/>
              <w:rPr>
                <w:rFonts w:ascii="Times New Roman" w:hAnsi="Times New Roman" w:cs="Times New Roman"/>
                <w:sz w:val="18"/>
                <w:szCs w:val="18"/>
              </w:rPr>
            </w:pPr>
          </w:p>
        </w:tc>
        <w:tc>
          <w:tcPr>
            <w:tcW w:w="547" w:type="dxa"/>
            <w:shd w:val="clear" w:color="auto" w:fill="808080" w:themeFill="background1" w:themeFillShade="80"/>
          </w:tcPr>
          <w:p w14:paraId="516689F3" w14:textId="77777777" w:rsidR="00B34FFD" w:rsidRPr="001251ED" w:rsidRDefault="00B34FFD" w:rsidP="009650CA">
            <w:pPr>
              <w:jc w:val="both"/>
              <w:rPr>
                <w:rFonts w:ascii="Times New Roman" w:hAnsi="Times New Roman" w:cs="Times New Roman"/>
                <w:sz w:val="18"/>
                <w:szCs w:val="18"/>
              </w:rPr>
            </w:pPr>
          </w:p>
        </w:tc>
        <w:tc>
          <w:tcPr>
            <w:tcW w:w="552" w:type="dxa"/>
            <w:shd w:val="clear" w:color="auto" w:fill="808080" w:themeFill="background1" w:themeFillShade="80"/>
          </w:tcPr>
          <w:p w14:paraId="65C70FDC" w14:textId="77777777" w:rsidR="00B34FFD" w:rsidRPr="001251ED" w:rsidRDefault="00B34FFD" w:rsidP="009650CA">
            <w:pPr>
              <w:jc w:val="both"/>
              <w:rPr>
                <w:rFonts w:ascii="Times New Roman" w:hAnsi="Times New Roman" w:cs="Times New Roman"/>
                <w:sz w:val="18"/>
                <w:szCs w:val="18"/>
              </w:rPr>
            </w:pPr>
          </w:p>
        </w:tc>
        <w:tc>
          <w:tcPr>
            <w:tcW w:w="554" w:type="dxa"/>
            <w:tcBorders>
              <w:right w:val="single" w:sz="24" w:space="0" w:color="auto"/>
            </w:tcBorders>
            <w:shd w:val="clear" w:color="auto" w:fill="808080" w:themeFill="background1" w:themeFillShade="80"/>
          </w:tcPr>
          <w:p w14:paraId="20B849EF" w14:textId="77777777" w:rsidR="00B34FFD" w:rsidRPr="001251ED" w:rsidRDefault="00B34FFD" w:rsidP="009650CA">
            <w:pPr>
              <w:jc w:val="both"/>
              <w:rPr>
                <w:rFonts w:ascii="Times New Roman" w:hAnsi="Times New Roman" w:cs="Times New Roman"/>
                <w:sz w:val="18"/>
                <w:szCs w:val="18"/>
              </w:rPr>
            </w:pPr>
          </w:p>
        </w:tc>
        <w:tc>
          <w:tcPr>
            <w:tcW w:w="547" w:type="dxa"/>
            <w:tcBorders>
              <w:left w:val="single" w:sz="24" w:space="0" w:color="auto"/>
            </w:tcBorders>
            <w:vAlign w:val="center"/>
          </w:tcPr>
          <w:p w14:paraId="58F91596"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4</w:t>
            </w:r>
          </w:p>
        </w:tc>
        <w:tc>
          <w:tcPr>
            <w:tcW w:w="553" w:type="dxa"/>
            <w:vAlign w:val="center"/>
          </w:tcPr>
          <w:p w14:paraId="66BE0B6F"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3</w:t>
            </w:r>
          </w:p>
        </w:tc>
        <w:tc>
          <w:tcPr>
            <w:tcW w:w="589" w:type="dxa"/>
            <w:tcBorders>
              <w:right w:val="single" w:sz="24" w:space="0" w:color="auto"/>
            </w:tcBorders>
            <w:vAlign w:val="center"/>
          </w:tcPr>
          <w:p w14:paraId="23C98967"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2</w:t>
            </w:r>
          </w:p>
        </w:tc>
        <w:tc>
          <w:tcPr>
            <w:tcW w:w="546" w:type="dxa"/>
            <w:tcBorders>
              <w:left w:val="single" w:sz="24" w:space="0" w:color="auto"/>
            </w:tcBorders>
            <w:vAlign w:val="center"/>
          </w:tcPr>
          <w:p w14:paraId="05A8F35D"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4</w:t>
            </w:r>
          </w:p>
        </w:tc>
        <w:tc>
          <w:tcPr>
            <w:tcW w:w="547" w:type="dxa"/>
            <w:vAlign w:val="center"/>
          </w:tcPr>
          <w:p w14:paraId="3D8CDA14"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2</w:t>
            </w:r>
          </w:p>
        </w:tc>
        <w:tc>
          <w:tcPr>
            <w:tcW w:w="554" w:type="dxa"/>
            <w:tcBorders>
              <w:right w:val="single" w:sz="24" w:space="0" w:color="000000"/>
            </w:tcBorders>
            <w:vAlign w:val="center"/>
          </w:tcPr>
          <w:p w14:paraId="5F96F9F2"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3</w:t>
            </w:r>
          </w:p>
        </w:tc>
        <w:tc>
          <w:tcPr>
            <w:tcW w:w="556" w:type="dxa"/>
            <w:tcBorders>
              <w:left w:val="single" w:sz="24" w:space="0" w:color="000000"/>
            </w:tcBorders>
            <w:vAlign w:val="center"/>
          </w:tcPr>
          <w:p w14:paraId="3DFF9A19"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7</w:t>
            </w:r>
          </w:p>
        </w:tc>
        <w:tc>
          <w:tcPr>
            <w:tcW w:w="550" w:type="dxa"/>
            <w:tcBorders>
              <w:right w:val="thickThinSmallGap" w:sz="24" w:space="0" w:color="000000"/>
            </w:tcBorders>
            <w:vAlign w:val="center"/>
          </w:tcPr>
          <w:p w14:paraId="11C77B1D"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2</w:t>
            </w:r>
          </w:p>
        </w:tc>
      </w:tr>
      <w:tr w:rsidR="00B34FFD" w:rsidRPr="001251ED" w14:paraId="28EB2FFE" w14:textId="77777777" w:rsidTr="00CA25F7">
        <w:tc>
          <w:tcPr>
            <w:tcW w:w="967" w:type="dxa"/>
            <w:vMerge/>
            <w:tcBorders>
              <w:left w:val="thinThickSmallGap" w:sz="24" w:space="0" w:color="000000"/>
            </w:tcBorders>
            <w:shd w:val="clear" w:color="auto" w:fill="BFBFBF" w:themeFill="background1" w:themeFillShade="BF"/>
          </w:tcPr>
          <w:p w14:paraId="7B1B953D" w14:textId="77777777" w:rsidR="00B34FFD" w:rsidRPr="008706F7" w:rsidRDefault="00B34FFD" w:rsidP="009650CA">
            <w:pPr>
              <w:jc w:val="both"/>
              <w:rPr>
                <w:rFonts w:ascii="Times New Roman" w:hAnsi="Times New Roman" w:cs="Times New Roman"/>
                <w:b/>
                <w:sz w:val="18"/>
                <w:szCs w:val="18"/>
              </w:rPr>
            </w:pPr>
          </w:p>
        </w:tc>
        <w:tc>
          <w:tcPr>
            <w:tcW w:w="589" w:type="dxa"/>
            <w:shd w:val="clear" w:color="auto" w:fill="BFBFBF" w:themeFill="background1" w:themeFillShade="BF"/>
          </w:tcPr>
          <w:p w14:paraId="6C39376C"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21-50</w:t>
            </w:r>
          </w:p>
        </w:tc>
        <w:tc>
          <w:tcPr>
            <w:tcW w:w="804" w:type="dxa"/>
            <w:tcBorders>
              <w:right w:val="single" w:sz="24" w:space="0" w:color="auto"/>
            </w:tcBorders>
          </w:tcPr>
          <w:p w14:paraId="6A102A96"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2</w:t>
            </w:r>
          </w:p>
        </w:tc>
        <w:tc>
          <w:tcPr>
            <w:tcW w:w="555" w:type="dxa"/>
            <w:tcBorders>
              <w:left w:val="single" w:sz="24" w:space="0" w:color="auto"/>
            </w:tcBorders>
            <w:shd w:val="clear" w:color="auto" w:fill="808080" w:themeFill="background1" w:themeFillShade="80"/>
          </w:tcPr>
          <w:p w14:paraId="093E9C2E" w14:textId="77777777" w:rsidR="00B34FFD" w:rsidRPr="001251ED" w:rsidRDefault="00B34FFD" w:rsidP="009650CA">
            <w:pPr>
              <w:jc w:val="both"/>
              <w:rPr>
                <w:rFonts w:ascii="Times New Roman" w:hAnsi="Times New Roman" w:cs="Times New Roman"/>
                <w:sz w:val="18"/>
                <w:szCs w:val="18"/>
              </w:rPr>
            </w:pPr>
          </w:p>
        </w:tc>
        <w:tc>
          <w:tcPr>
            <w:tcW w:w="547" w:type="dxa"/>
            <w:shd w:val="clear" w:color="auto" w:fill="808080" w:themeFill="background1" w:themeFillShade="80"/>
          </w:tcPr>
          <w:p w14:paraId="41FA4277" w14:textId="77777777" w:rsidR="00B34FFD" w:rsidRPr="001251ED" w:rsidRDefault="00B34FFD" w:rsidP="009650CA">
            <w:pPr>
              <w:jc w:val="both"/>
              <w:rPr>
                <w:rFonts w:ascii="Times New Roman" w:hAnsi="Times New Roman" w:cs="Times New Roman"/>
                <w:sz w:val="18"/>
                <w:szCs w:val="18"/>
              </w:rPr>
            </w:pPr>
          </w:p>
        </w:tc>
        <w:tc>
          <w:tcPr>
            <w:tcW w:w="552" w:type="dxa"/>
            <w:shd w:val="clear" w:color="auto" w:fill="808080" w:themeFill="background1" w:themeFillShade="80"/>
          </w:tcPr>
          <w:p w14:paraId="38D49A16" w14:textId="77777777" w:rsidR="00B34FFD" w:rsidRPr="001251ED" w:rsidRDefault="00B34FFD" w:rsidP="009650CA">
            <w:pPr>
              <w:jc w:val="both"/>
              <w:rPr>
                <w:rFonts w:ascii="Times New Roman" w:hAnsi="Times New Roman" w:cs="Times New Roman"/>
                <w:sz w:val="18"/>
                <w:szCs w:val="18"/>
              </w:rPr>
            </w:pPr>
          </w:p>
        </w:tc>
        <w:tc>
          <w:tcPr>
            <w:tcW w:w="554" w:type="dxa"/>
            <w:tcBorders>
              <w:right w:val="single" w:sz="24" w:space="0" w:color="auto"/>
            </w:tcBorders>
            <w:shd w:val="clear" w:color="auto" w:fill="808080" w:themeFill="background1" w:themeFillShade="80"/>
          </w:tcPr>
          <w:p w14:paraId="4F280313" w14:textId="77777777" w:rsidR="00B34FFD" w:rsidRPr="001251ED" w:rsidRDefault="00B34FFD" w:rsidP="009650CA">
            <w:pPr>
              <w:jc w:val="both"/>
              <w:rPr>
                <w:rFonts w:ascii="Times New Roman" w:hAnsi="Times New Roman" w:cs="Times New Roman"/>
                <w:sz w:val="18"/>
                <w:szCs w:val="18"/>
              </w:rPr>
            </w:pPr>
          </w:p>
        </w:tc>
        <w:tc>
          <w:tcPr>
            <w:tcW w:w="547" w:type="dxa"/>
            <w:tcBorders>
              <w:left w:val="single" w:sz="24" w:space="0" w:color="auto"/>
            </w:tcBorders>
            <w:vAlign w:val="center"/>
          </w:tcPr>
          <w:p w14:paraId="4D0ADBE0"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53" w:type="dxa"/>
            <w:vAlign w:val="center"/>
          </w:tcPr>
          <w:p w14:paraId="34A1F066"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0</w:t>
            </w:r>
          </w:p>
        </w:tc>
        <w:tc>
          <w:tcPr>
            <w:tcW w:w="589" w:type="dxa"/>
            <w:tcBorders>
              <w:right w:val="single" w:sz="24" w:space="0" w:color="auto"/>
            </w:tcBorders>
            <w:vAlign w:val="center"/>
          </w:tcPr>
          <w:p w14:paraId="43905298"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46" w:type="dxa"/>
            <w:tcBorders>
              <w:left w:val="single" w:sz="24" w:space="0" w:color="auto"/>
            </w:tcBorders>
            <w:vAlign w:val="center"/>
          </w:tcPr>
          <w:p w14:paraId="12BD6D62"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0</w:t>
            </w:r>
          </w:p>
        </w:tc>
        <w:tc>
          <w:tcPr>
            <w:tcW w:w="547" w:type="dxa"/>
            <w:vAlign w:val="center"/>
          </w:tcPr>
          <w:p w14:paraId="081A0C1E"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54" w:type="dxa"/>
            <w:tcBorders>
              <w:right w:val="single" w:sz="24" w:space="0" w:color="000000"/>
            </w:tcBorders>
            <w:vAlign w:val="center"/>
          </w:tcPr>
          <w:p w14:paraId="6A4F8142"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56" w:type="dxa"/>
            <w:tcBorders>
              <w:left w:val="single" w:sz="24" w:space="0" w:color="000000"/>
            </w:tcBorders>
            <w:vAlign w:val="center"/>
          </w:tcPr>
          <w:p w14:paraId="071EC12F"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50" w:type="dxa"/>
            <w:tcBorders>
              <w:right w:val="thickThinSmallGap" w:sz="24" w:space="0" w:color="000000"/>
            </w:tcBorders>
            <w:vAlign w:val="center"/>
          </w:tcPr>
          <w:p w14:paraId="41E5D362"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r>
      <w:tr w:rsidR="00B34FFD" w:rsidRPr="001251ED" w14:paraId="5C11D750" w14:textId="77777777" w:rsidTr="00CA25F7">
        <w:tc>
          <w:tcPr>
            <w:tcW w:w="967" w:type="dxa"/>
            <w:vMerge/>
            <w:tcBorders>
              <w:left w:val="thinThickSmallGap" w:sz="24" w:space="0" w:color="000000"/>
              <w:bottom w:val="single" w:sz="24" w:space="0" w:color="000000"/>
            </w:tcBorders>
            <w:shd w:val="clear" w:color="auto" w:fill="BFBFBF" w:themeFill="background1" w:themeFillShade="BF"/>
          </w:tcPr>
          <w:p w14:paraId="619CF17F" w14:textId="77777777" w:rsidR="00B34FFD" w:rsidRPr="008706F7" w:rsidRDefault="00B34FFD" w:rsidP="009650CA">
            <w:pPr>
              <w:jc w:val="both"/>
              <w:rPr>
                <w:rFonts w:ascii="Times New Roman" w:hAnsi="Times New Roman" w:cs="Times New Roman"/>
                <w:b/>
                <w:sz w:val="18"/>
                <w:szCs w:val="18"/>
              </w:rPr>
            </w:pPr>
          </w:p>
        </w:tc>
        <w:tc>
          <w:tcPr>
            <w:tcW w:w="589" w:type="dxa"/>
            <w:tcBorders>
              <w:bottom w:val="single" w:sz="24" w:space="0" w:color="000000"/>
            </w:tcBorders>
            <w:shd w:val="clear" w:color="auto" w:fill="BFBFBF" w:themeFill="background1" w:themeFillShade="BF"/>
          </w:tcPr>
          <w:p w14:paraId="5CE98740"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&gt;50</w:t>
            </w:r>
          </w:p>
        </w:tc>
        <w:tc>
          <w:tcPr>
            <w:tcW w:w="804" w:type="dxa"/>
            <w:tcBorders>
              <w:bottom w:val="single" w:sz="24" w:space="0" w:color="000000"/>
              <w:right w:val="single" w:sz="24" w:space="0" w:color="auto"/>
            </w:tcBorders>
          </w:tcPr>
          <w:p w14:paraId="05F69498"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1</w:t>
            </w:r>
          </w:p>
        </w:tc>
        <w:tc>
          <w:tcPr>
            <w:tcW w:w="555" w:type="dxa"/>
            <w:tcBorders>
              <w:left w:val="single" w:sz="24" w:space="0" w:color="auto"/>
              <w:bottom w:val="single" w:sz="24" w:space="0" w:color="000000"/>
            </w:tcBorders>
            <w:shd w:val="clear" w:color="auto" w:fill="808080" w:themeFill="background1" w:themeFillShade="80"/>
          </w:tcPr>
          <w:p w14:paraId="5FAF45BC" w14:textId="77777777" w:rsidR="00B34FFD" w:rsidRPr="001251ED" w:rsidRDefault="00B34FFD" w:rsidP="009650CA">
            <w:pPr>
              <w:jc w:val="both"/>
              <w:rPr>
                <w:rFonts w:ascii="Times New Roman" w:hAnsi="Times New Roman" w:cs="Times New Roman"/>
                <w:sz w:val="18"/>
                <w:szCs w:val="18"/>
              </w:rPr>
            </w:pPr>
          </w:p>
        </w:tc>
        <w:tc>
          <w:tcPr>
            <w:tcW w:w="547" w:type="dxa"/>
            <w:tcBorders>
              <w:bottom w:val="single" w:sz="24" w:space="0" w:color="000000"/>
            </w:tcBorders>
            <w:shd w:val="clear" w:color="auto" w:fill="808080" w:themeFill="background1" w:themeFillShade="80"/>
          </w:tcPr>
          <w:p w14:paraId="6213382D" w14:textId="77777777" w:rsidR="00B34FFD" w:rsidRPr="001251ED" w:rsidRDefault="00B34FFD" w:rsidP="009650CA">
            <w:pPr>
              <w:jc w:val="both"/>
              <w:rPr>
                <w:rFonts w:ascii="Times New Roman" w:hAnsi="Times New Roman" w:cs="Times New Roman"/>
                <w:sz w:val="18"/>
                <w:szCs w:val="18"/>
              </w:rPr>
            </w:pPr>
          </w:p>
        </w:tc>
        <w:tc>
          <w:tcPr>
            <w:tcW w:w="552" w:type="dxa"/>
            <w:tcBorders>
              <w:bottom w:val="single" w:sz="24" w:space="0" w:color="000000"/>
            </w:tcBorders>
            <w:shd w:val="clear" w:color="auto" w:fill="808080" w:themeFill="background1" w:themeFillShade="80"/>
          </w:tcPr>
          <w:p w14:paraId="165F125B" w14:textId="77777777" w:rsidR="00B34FFD" w:rsidRPr="001251ED" w:rsidRDefault="00B34FFD" w:rsidP="009650CA">
            <w:pPr>
              <w:jc w:val="both"/>
              <w:rPr>
                <w:rFonts w:ascii="Times New Roman" w:hAnsi="Times New Roman" w:cs="Times New Roman"/>
                <w:sz w:val="18"/>
                <w:szCs w:val="18"/>
              </w:rPr>
            </w:pPr>
          </w:p>
        </w:tc>
        <w:tc>
          <w:tcPr>
            <w:tcW w:w="554" w:type="dxa"/>
            <w:tcBorders>
              <w:bottom w:val="single" w:sz="24" w:space="0" w:color="000000"/>
              <w:right w:val="single" w:sz="24" w:space="0" w:color="auto"/>
            </w:tcBorders>
            <w:shd w:val="clear" w:color="auto" w:fill="808080" w:themeFill="background1" w:themeFillShade="80"/>
          </w:tcPr>
          <w:p w14:paraId="584FF823" w14:textId="77777777" w:rsidR="00B34FFD" w:rsidRPr="001251ED" w:rsidRDefault="00B34FFD" w:rsidP="009650CA">
            <w:pPr>
              <w:jc w:val="both"/>
              <w:rPr>
                <w:rFonts w:ascii="Times New Roman" w:hAnsi="Times New Roman" w:cs="Times New Roman"/>
                <w:sz w:val="18"/>
                <w:szCs w:val="18"/>
              </w:rPr>
            </w:pPr>
          </w:p>
        </w:tc>
        <w:tc>
          <w:tcPr>
            <w:tcW w:w="547" w:type="dxa"/>
            <w:tcBorders>
              <w:left w:val="single" w:sz="24" w:space="0" w:color="auto"/>
              <w:bottom w:val="single" w:sz="24" w:space="0" w:color="000000"/>
            </w:tcBorders>
            <w:vAlign w:val="center"/>
          </w:tcPr>
          <w:p w14:paraId="0EEF30B5"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0</w:t>
            </w:r>
          </w:p>
        </w:tc>
        <w:tc>
          <w:tcPr>
            <w:tcW w:w="553" w:type="dxa"/>
            <w:tcBorders>
              <w:bottom w:val="single" w:sz="24" w:space="0" w:color="000000"/>
            </w:tcBorders>
            <w:vAlign w:val="center"/>
          </w:tcPr>
          <w:p w14:paraId="092C4901"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0</w:t>
            </w:r>
          </w:p>
        </w:tc>
        <w:tc>
          <w:tcPr>
            <w:tcW w:w="589" w:type="dxa"/>
            <w:tcBorders>
              <w:bottom w:val="single" w:sz="24" w:space="0" w:color="000000"/>
              <w:right w:val="single" w:sz="24" w:space="0" w:color="auto"/>
            </w:tcBorders>
            <w:vAlign w:val="center"/>
          </w:tcPr>
          <w:p w14:paraId="02F95627"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46" w:type="dxa"/>
            <w:tcBorders>
              <w:left w:val="single" w:sz="24" w:space="0" w:color="auto"/>
              <w:bottom w:val="single" w:sz="24" w:space="0" w:color="000000"/>
            </w:tcBorders>
            <w:vAlign w:val="center"/>
          </w:tcPr>
          <w:p w14:paraId="326ABEC8"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0</w:t>
            </w:r>
          </w:p>
        </w:tc>
        <w:tc>
          <w:tcPr>
            <w:tcW w:w="547" w:type="dxa"/>
            <w:tcBorders>
              <w:bottom w:val="single" w:sz="24" w:space="0" w:color="000000"/>
            </w:tcBorders>
            <w:vAlign w:val="center"/>
          </w:tcPr>
          <w:p w14:paraId="4425C35E"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0</w:t>
            </w:r>
          </w:p>
        </w:tc>
        <w:tc>
          <w:tcPr>
            <w:tcW w:w="554" w:type="dxa"/>
            <w:tcBorders>
              <w:bottom w:val="single" w:sz="24" w:space="0" w:color="000000"/>
              <w:right w:val="single" w:sz="24" w:space="0" w:color="000000"/>
            </w:tcBorders>
            <w:vAlign w:val="center"/>
          </w:tcPr>
          <w:p w14:paraId="77C4CD47"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56" w:type="dxa"/>
            <w:tcBorders>
              <w:left w:val="single" w:sz="24" w:space="0" w:color="000000"/>
              <w:bottom w:val="single" w:sz="24" w:space="0" w:color="000000"/>
            </w:tcBorders>
            <w:vAlign w:val="center"/>
          </w:tcPr>
          <w:p w14:paraId="54041EB8"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1</w:t>
            </w:r>
          </w:p>
        </w:tc>
        <w:tc>
          <w:tcPr>
            <w:tcW w:w="550" w:type="dxa"/>
            <w:tcBorders>
              <w:bottom w:val="single" w:sz="24" w:space="0" w:color="000000"/>
              <w:right w:val="thickThinSmallGap" w:sz="24" w:space="0" w:color="000000"/>
            </w:tcBorders>
            <w:vAlign w:val="center"/>
          </w:tcPr>
          <w:p w14:paraId="3D1B517C" w14:textId="77777777" w:rsidR="00B34FFD" w:rsidRPr="008E4674" w:rsidRDefault="00B34FFD" w:rsidP="009650CA">
            <w:pPr>
              <w:jc w:val="both"/>
              <w:rPr>
                <w:rFonts w:ascii="Times New Roman" w:hAnsi="Times New Roman" w:cs="Times New Roman"/>
                <w:sz w:val="18"/>
                <w:szCs w:val="18"/>
              </w:rPr>
            </w:pPr>
            <w:r w:rsidRPr="008E4674">
              <w:rPr>
                <w:rFonts w:ascii="Times New Roman" w:hAnsi="Times New Roman" w:cs="Times New Roman"/>
                <w:sz w:val="18"/>
                <w:szCs w:val="18"/>
              </w:rPr>
              <w:t>0</w:t>
            </w:r>
          </w:p>
        </w:tc>
      </w:tr>
      <w:tr w:rsidR="00B34FFD" w:rsidRPr="001251ED" w14:paraId="63B7132F" w14:textId="77777777" w:rsidTr="00CA25F7">
        <w:tc>
          <w:tcPr>
            <w:tcW w:w="967" w:type="dxa"/>
            <w:vMerge w:val="restart"/>
            <w:tcBorders>
              <w:top w:val="single" w:sz="24" w:space="0" w:color="000000"/>
              <w:left w:val="thinThickSmallGap" w:sz="24" w:space="0" w:color="000000"/>
            </w:tcBorders>
            <w:shd w:val="clear" w:color="auto" w:fill="BFBFBF" w:themeFill="background1" w:themeFillShade="BF"/>
          </w:tcPr>
          <w:p w14:paraId="337E0D07"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Av total adult prisons</w:t>
            </w:r>
          </w:p>
        </w:tc>
        <w:tc>
          <w:tcPr>
            <w:tcW w:w="589" w:type="dxa"/>
            <w:tcBorders>
              <w:top w:val="single" w:sz="24" w:space="0" w:color="000000"/>
            </w:tcBorders>
            <w:shd w:val="clear" w:color="auto" w:fill="BFBFBF" w:themeFill="background1" w:themeFillShade="BF"/>
          </w:tcPr>
          <w:p w14:paraId="05C68DC7"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1-20</w:t>
            </w:r>
          </w:p>
        </w:tc>
        <w:tc>
          <w:tcPr>
            <w:tcW w:w="804" w:type="dxa"/>
            <w:tcBorders>
              <w:top w:val="single" w:sz="24" w:space="0" w:color="000000"/>
              <w:right w:val="single" w:sz="24" w:space="0" w:color="auto"/>
            </w:tcBorders>
          </w:tcPr>
          <w:p w14:paraId="2D39C2AB"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7</w:t>
            </w:r>
          </w:p>
        </w:tc>
        <w:tc>
          <w:tcPr>
            <w:tcW w:w="555" w:type="dxa"/>
            <w:tcBorders>
              <w:top w:val="single" w:sz="24" w:space="0" w:color="000000"/>
              <w:left w:val="single" w:sz="24" w:space="0" w:color="auto"/>
            </w:tcBorders>
          </w:tcPr>
          <w:p w14:paraId="1BEDD684"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47" w:type="dxa"/>
            <w:tcBorders>
              <w:top w:val="single" w:sz="24" w:space="0" w:color="000000"/>
            </w:tcBorders>
          </w:tcPr>
          <w:p w14:paraId="0E4B48DE"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4</w:t>
            </w:r>
          </w:p>
        </w:tc>
        <w:tc>
          <w:tcPr>
            <w:tcW w:w="552" w:type="dxa"/>
            <w:tcBorders>
              <w:top w:val="single" w:sz="24" w:space="0" w:color="000000"/>
            </w:tcBorders>
          </w:tcPr>
          <w:p w14:paraId="793727FD"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top w:val="single" w:sz="24" w:space="0" w:color="000000"/>
              <w:right w:val="single" w:sz="24" w:space="0" w:color="auto"/>
            </w:tcBorders>
          </w:tcPr>
          <w:p w14:paraId="54060FB7"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0</w:t>
            </w:r>
          </w:p>
        </w:tc>
        <w:tc>
          <w:tcPr>
            <w:tcW w:w="547" w:type="dxa"/>
            <w:tcBorders>
              <w:top w:val="single" w:sz="24" w:space="0" w:color="000000"/>
              <w:left w:val="single" w:sz="24" w:space="0" w:color="auto"/>
            </w:tcBorders>
            <w:shd w:val="clear" w:color="auto" w:fill="808080" w:themeFill="background1" w:themeFillShade="80"/>
          </w:tcPr>
          <w:p w14:paraId="0795D499" w14:textId="77777777" w:rsidR="00B34FFD" w:rsidRPr="001251ED" w:rsidRDefault="00B34FFD" w:rsidP="009650CA">
            <w:pPr>
              <w:jc w:val="both"/>
              <w:rPr>
                <w:rFonts w:ascii="Times New Roman" w:hAnsi="Times New Roman" w:cs="Times New Roman"/>
                <w:sz w:val="18"/>
                <w:szCs w:val="18"/>
              </w:rPr>
            </w:pPr>
          </w:p>
        </w:tc>
        <w:tc>
          <w:tcPr>
            <w:tcW w:w="553" w:type="dxa"/>
            <w:tcBorders>
              <w:top w:val="single" w:sz="24" w:space="0" w:color="000000"/>
            </w:tcBorders>
            <w:shd w:val="clear" w:color="auto" w:fill="808080" w:themeFill="background1" w:themeFillShade="80"/>
          </w:tcPr>
          <w:p w14:paraId="1A09A164" w14:textId="77777777" w:rsidR="00B34FFD" w:rsidRPr="001251ED" w:rsidRDefault="00B34FFD" w:rsidP="009650CA">
            <w:pPr>
              <w:jc w:val="both"/>
              <w:rPr>
                <w:rFonts w:ascii="Times New Roman" w:hAnsi="Times New Roman" w:cs="Times New Roman"/>
                <w:sz w:val="18"/>
                <w:szCs w:val="18"/>
              </w:rPr>
            </w:pPr>
          </w:p>
        </w:tc>
        <w:tc>
          <w:tcPr>
            <w:tcW w:w="589" w:type="dxa"/>
            <w:tcBorders>
              <w:top w:val="single" w:sz="24" w:space="0" w:color="000000"/>
              <w:right w:val="single" w:sz="24" w:space="0" w:color="auto"/>
            </w:tcBorders>
            <w:shd w:val="clear" w:color="auto" w:fill="808080" w:themeFill="background1" w:themeFillShade="80"/>
          </w:tcPr>
          <w:p w14:paraId="7E812874" w14:textId="77777777" w:rsidR="00B34FFD" w:rsidRPr="001251ED" w:rsidRDefault="00B34FFD" w:rsidP="009650CA">
            <w:pPr>
              <w:jc w:val="both"/>
              <w:rPr>
                <w:rFonts w:ascii="Times New Roman" w:hAnsi="Times New Roman" w:cs="Times New Roman"/>
                <w:sz w:val="18"/>
                <w:szCs w:val="18"/>
              </w:rPr>
            </w:pPr>
          </w:p>
        </w:tc>
        <w:tc>
          <w:tcPr>
            <w:tcW w:w="546" w:type="dxa"/>
            <w:tcBorders>
              <w:top w:val="single" w:sz="24" w:space="0" w:color="000000"/>
              <w:left w:val="single" w:sz="24" w:space="0" w:color="auto"/>
            </w:tcBorders>
          </w:tcPr>
          <w:p w14:paraId="3BF9F402"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7" w:type="dxa"/>
            <w:tcBorders>
              <w:top w:val="single" w:sz="24" w:space="0" w:color="000000"/>
            </w:tcBorders>
          </w:tcPr>
          <w:p w14:paraId="7F12D2F4"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top w:val="single" w:sz="24" w:space="0" w:color="000000"/>
              <w:right w:val="single" w:sz="24" w:space="0" w:color="000000"/>
            </w:tcBorders>
          </w:tcPr>
          <w:p w14:paraId="1033DFDE"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5</w:t>
            </w:r>
          </w:p>
        </w:tc>
        <w:tc>
          <w:tcPr>
            <w:tcW w:w="556" w:type="dxa"/>
            <w:tcBorders>
              <w:top w:val="single" w:sz="24" w:space="0" w:color="000000"/>
              <w:left w:val="single" w:sz="24" w:space="0" w:color="000000"/>
            </w:tcBorders>
          </w:tcPr>
          <w:p w14:paraId="311FF9A0"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6</w:t>
            </w:r>
          </w:p>
        </w:tc>
        <w:tc>
          <w:tcPr>
            <w:tcW w:w="550" w:type="dxa"/>
            <w:tcBorders>
              <w:top w:val="single" w:sz="24" w:space="0" w:color="000000"/>
              <w:right w:val="thickThinSmallGap" w:sz="24" w:space="0" w:color="000000"/>
            </w:tcBorders>
          </w:tcPr>
          <w:p w14:paraId="32B84EE2"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r>
      <w:tr w:rsidR="00B34FFD" w:rsidRPr="001251ED" w14:paraId="24BB28C6" w14:textId="77777777" w:rsidTr="00CA25F7">
        <w:tc>
          <w:tcPr>
            <w:tcW w:w="967" w:type="dxa"/>
            <w:vMerge/>
            <w:tcBorders>
              <w:left w:val="thinThickSmallGap" w:sz="24" w:space="0" w:color="000000"/>
            </w:tcBorders>
            <w:shd w:val="clear" w:color="auto" w:fill="BFBFBF" w:themeFill="background1" w:themeFillShade="BF"/>
          </w:tcPr>
          <w:p w14:paraId="0167DF2D" w14:textId="77777777" w:rsidR="00B34FFD" w:rsidRPr="008706F7" w:rsidRDefault="00B34FFD" w:rsidP="009650CA">
            <w:pPr>
              <w:jc w:val="both"/>
              <w:rPr>
                <w:rFonts w:ascii="Times New Roman" w:hAnsi="Times New Roman" w:cs="Times New Roman"/>
                <w:b/>
                <w:sz w:val="18"/>
                <w:szCs w:val="18"/>
              </w:rPr>
            </w:pPr>
          </w:p>
        </w:tc>
        <w:tc>
          <w:tcPr>
            <w:tcW w:w="589" w:type="dxa"/>
            <w:shd w:val="clear" w:color="auto" w:fill="BFBFBF" w:themeFill="background1" w:themeFillShade="BF"/>
          </w:tcPr>
          <w:p w14:paraId="08E96072"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21-100</w:t>
            </w:r>
          </w:p>
        </w:tc>
        <w:tc>
          <w:tcPr>
            <w:tcW w:w="804" w:type="dxa"/>
            <w:tcBorders>
              <w:right w:val="single" w:sz="24" w:space="0" w:color="auto"/>
            </w:tcBorders>
          </w:tcPr>
          <w:p w14:paraId="7C25B780"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6</w:t>
            </w:r>
          </w:p>
        </w:tc>
        <w:tc>
          <w:tcPr>
            <w:tcW w:w="555" w:type="dxa"/>
            <w:tcBorders>
              <w:left w:val="single" w:sz="24" w:space="0" w:color="auto"/>
            </w:tcBorders>
          </w:tcPr>
          <w:p w14:paraId="4DFD96C8"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47" w:type="dxa"/>
          </w:tcPr>
          <w:p w14:paraId="148E60D5"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52" w:type="dxa"/>
          </w:tcPr>
          <w:p w14:paraId="35258D9E"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0</w:t>
            </w:r>
          </w:p>
        </w:tc>
        <w:tc>
          <w:tcPr>
            <w:tcW w:w="554" w:type="dxa"/>
            <w:tcBorders>
              <w:right w:val="single" w:sz="24" w:space="0" w:color="auto"/>
            </w:tcBorders>
          </w:tcPr>
          <w:p w14:paraId="7CB6AFC0"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0</w:t>
            </w:r>
          </w:p>
        </w:tc>
        <w:tc>
          <w:tcPr>
            <w:tcW w:w="547" w:type="dxa"/>
            <w:tcBorders>
              <w:left w:val="single" w:sz="24" w:space="0" w:color="auto"/>
            </w:tcBorders>
            <w:shd w:val="clear" w:color="auto" w:fill="808080" w:themeFill="background1" w:themeFillShade="80"/>
          </w:tcPr>
          <w:p w14:paraId="0781524A" w14:textId="77777777" w:rsidR="00B34FFD" w:rsidRPr="001251ED" w:rsidRDefault="00B34FFD" w:rsidP="009650CA">
            <w:pPr>
              <w:jc w:val="both"/>
              <w:rPr>
                <w:rFonts w:ascii="Times New Roman" w:hAnsi="Times New Roman" w:cs="Times New Roman"/>
                <w:sz w:val="18"/>
                <w:szCs w:val="18"/>
              </w:rPr>
            </w:pPr>
          </w:p>
        </w:tc>
        <w:tc>
          <w:tcPr>
            <w:tcW w:w="553" w:type="dxa"/>
            <w:shd w:val="clear" w:color="auto" w:fill="808080" w:themeFill="background1" w:themeFillShade="80"/>
          </w:tcPr>
          <w:p w14:paraId="073E85FA" w14:textId="77777777" w:rsidR="00B34FFD" w:rsidRPr="001251ED" w:rsidRDefault="00B34FFD" w:rsidP="009650CA">
            <w:pPr>
              <w:jc w:val="both"/>
              <w:rPr>
                <w:rFonts w:ascii="Times New Roman" w:hAnsi="Times New Roman" w:cs="Times New Roman"/>
                <w:sz w:val="18"/>
                <w:szCs w:val="18"/>
              </w:rPr>
            </w:pPr>
          </w:p>
        </w:tc>
        <w:tc>
          <w:tcPr>
            <w:tcW w:w="589" w:type="dxa"/>
            <w:tcBorders>
              <w:right w:val="single" w:sz="24" w:space="0" w:color="auto"/>
            </w:tcBorders>
            <w:shd w:val="clear" w:color="auto" w:fill="808080" w:themeFill="background1" w:themeFillShade="80"/>
          </w:tcPr>
          <w:p w14:paraId="04A677EE" w14:textId="77777777" w:rsidR="00B34FFD" w:rsidRPr="001251ED" w:rsidRDefault="00B34FFD" w:rsidP="009650CA">
            <w:pPr>
              <w:jc w:val="both"/>
              <w:rPr>
                <w:rFonts w:ascii="Times New Roman" w:hAnsi="Times New Roman" w:cs="Times New Roman"/>
                <w:sz w:val="18"/>
                <w:szCs w:val="18"/>
              </w:rPr>
            </w:pPr>
          </w:p>
        </w:tc>
        <w:tc>
          <w:tcPr>
            <w:tcW w:w="546" w:type="dxa"/>
            <w:tcBorders>
              <w:left w:val="single" w:sz="24" w:space="0" w:color="auto"/>
            </w:tcBorders>
          </w:tcPr>
          <w:p w14:paraId="01538A1B"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47" w:type="dxa"/>
          </w:tcPr>
          <w:p w14:paraId="7CE5DA76"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54" w:type="dxa"/>
            <w:tcBorders>
              <w:right w:val="single" w:sz="24" w:space="0" w:color="000000"/>
            </w:tcBorders>
          </w:tcPr>
          <w:p w14:paraId="18FAEAF7"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6" w:type="dxa"/>
            <w:tcBorders>
              <w:left w:val="single" w:sz="24" w:space="0" w:color="000000"/>
            </w:tcBorders>
          </w:tcPr>
          <w:p w14:paraId="6D14BBC0"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5</w:t>
            </w:r>
          </w:p>
        </w:tc>
        <w:tc>
          <w:tcPr>
            <w:tcW w:w="550" w:type="dxa"/>
            <w:tcBorders>
              <w:right w:val="thickThinSmallGap" w:sz="24" w:space="0" w:color="000000"/>
            </w:tcBorders>
          </w:tcPr>
          <w:p w14:paraId="4F73B387"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r>
      <w:tr w:rsidR="00B34FFD" w:rsidRPr="001251ED" w14:paraId="4EC209EC" w14:textId="77777777" w:rsidTr="00CA25F7">
        <w:tc>
          <w:tcPr>
            <w:tcW w:w="967" w:type="dxa"/>
            <w:vMerge/>
            <w:tcBorders>
              <w:left w:val="thinThickSmallGap" w:sz="24" w:space="0" w:color="000000"/>
              <w:bottom w:val="single" w:sz="24" w:space="0" w:color="000000"/>
            </w:tcBorders>
            <w:shd w:val="clear" w:color="auto" w:fill="BFBFBF" w:themeFill="background1" w:themeFillShade="BF"/>
          </w:tcPr>
          <w:p w14:paraId="3B17E888" w14:textId="77777777" w:rsidR="00B34FFD" w:rsidRPr="008706F7" w:rsidRDefault="00B34FFD" w:rsidP="009650CA">
            <w:pPr>
              <w:jc w:val="both"/>
              <w:rPr>
                <w:rFonts w:ascii="Times New Roman" w:hAnsi="Times New Roman" w:cs="Times New Roman"/>
                <w:b/>
                <w:sz w:val="18"/>
                <w:szCs w:val="18"/>
              </w:rPr>
            </w:pPr>
          </w:p>
        </w:tc>
        <w:tc>
          <w:tcPr>
            <w:tcW w:w="589" w:type="dxa"/>
            <w:tcBorders>
              <w:bottom w:val="single" w:sz="24" w:space="0" w:color="000000"/>
            </w:tcBorders>
            <w:shd w:val="clear" w:color="auto" w:fill="BFBFBF" w:themeFill="background1" w:themeFillShade="BF"/>
          </w:tcPr>
          <w:p w14:paraId="1F407084"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100+</w:t>
            </w:r>
          </w:p>
        </w:tc>
        <w:tc>
          <w:tcPr>
            <w:tcW w:w="804" w:type="dxa"/>
            <w:tcBorders>
              <w:bottom w:val="single" w:sz="24" w:space="0" w:color="000000"/>
              <w:right w:val="single" w:sz="24" w:space="0" w:color="auto"/>
            </w:tcBorders>
          </w:tcPr>
          <w:p w14:paraId="062939E5" w14:textId="77777777" w:rsidR="00B34FFD" w:rsidRPr="008706F7" w:rsidRDefault="00B34FFD" w:rsidP="009650CA">
            <w:pPr>
              <w:jc w:val="both"/>
              <w:rPr>
                <w:rFonts w:ascii="Times New Roman" w:hAnsi="Times New Roman" w:cs="Times New Roman"/>
                <w:i/>
                <w:sz w:val="18"/>
                <w:szCs w:val="18"/>
              </w:rPr>
            </w:pPr>
            <w:r w:rsidRPr="008706F7">
              <w:rPr>
                <w:rFonts w:ascii="Times New Roman" w:hAnsi="Times New Roman" w:cs="Times New Roman"/>
                <w:i/>
                <w:sz w:val="18"/>
                <w:szCs w:val="18"/>
              </w:rPr>
              <w:t>5</w:t>
            </w:r>
          </w:p>
        </w:tc>
        <w:tc>
          <w:tcPr>
            <w:tcW w:w="555" w:type="dxa"/>
            <w:tcBorders>
              <w:left w:val="single" w:sz="24" w:space="0" w:color="auto"/>
              <w:bottom w:val="single" w:sz="24" w:space="0" w:color="000000"/>
            </w:tcBorders>
          </w:tcPr>
          <w:p w14:paraId="769EB3AB"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7" w:type="dxa"/>
            <w:tcBorders>
              <w:bottom w:val="single" w:sz="24" w:space="0" w:color="000000"/>
            </w:tcBorders>
          </w:tcPr>
          <w:p w14:paraId="415FB124"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52" w:type="dxa"/>
            <w:tcBorders>
              <w:bottom w:val="single" w:sz="24" w:space="0" w:color="000000"/>
            </w:tcBorders>
          </w:tcPr>
          <w:p w14:paraId="0F1B7C09"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bottom w:val="single" w:sz="24" w:space="0" w:color="000000"/>
              <w:right w:val="single" w:sz="24" w:space="0" w:color="auto"/>
            </w:tcBorders>
          </w:tcPr>
          <w:p w14:paraId="2C722376"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7" w:type="dxa"/>
            <w:tcBorders>
              <w:left w:val="single" w:sz="24" w:space="0" w:color="auto"/>
              <w:bottom w:val="single" w:sz="24" w:space="0" w:color="000000"/>
            </w:tcBorders>
            <w:shd w:val="clear" w:color="auto" w:fill="808080" w:themeFill="background1" w:themeFillShade="80"/>
          </w:tcPr>
          <w:p w14:paraId="31C73691" w14:textId="77777777" w:rsidR="00B34FFD" w:rsidRPr="001251ED" w:rsidRDefault="00B34FFD" w:rsidP="009650CA">
            <w:pPr>
              <w:jc w:val="both"/>
              <w:rPr>
                <w:rFonts w:ascii="Times New Roman" w:hAnsi="Times New Roman" w:cs="Times New Roman"/>
                <w:sz w:val="18"/>
                <w:szCs w:val="18"/>
              </w:rPr>
            </w:pPr>
          </w:p>
        </w:tc>
        <w:tc>
          <w:tcPr>
            <w:tcW w:w="553" w:type="dxa"/>
            <w:tcBorders>
              <w:bottom w:val="single" w:sz="24" w:space="0" w:color="000000"/>
            </w:tcBorders>
            <w:shd w:val="clear" w:color="auto" w:fill="808080" w:themeFill="background1" w:themeFillShade="80"/>
          </w:tcPr>
          <w:p w14:paraId="42852434" w14:textId="77777777" w:rsidR="00B34FFD" w:rsidRPr="001251ED" w:rsidRDefault="00B34FFD" w:rsidP="009650CA">
            <w:pPr>
              <w:jc w:val="both"/>
              <w:rPr>
                <w:rFonts w:ascii="Times New Roman" w:hAnsi="Times New Roman" w:cs="Times New Roman"/>
                <w:sz w:val="18"/>
                <w:szCs w:val="18"/>
              </w:rPr>
            </w:pPr>
          </w:p>
        </w:tc>
        <w:tc>
          <w:tcPr>
            <w:tcW w:w="589" w:type="dxa"/>
            <w:tcBorders>
              <w:bottom w:val="single" w:sz="24" w:space="0" w:color="000000"/>
              <w:right w:val="single" w:sz="24" w:space="0" w:color="auto"/>
            </w:tcBorders>
            <w:shd w:val="clear" w:color="auto" w:fill="808080" w:themeFill="background1" w:themeFillShade="80"/>
          </w:tcPr>
          <w:p w14:paraId="08CABC54" w14:textId="77777777" w:rsidR="00B34FFD" w:rsidRPr="001251ED" w:rsidRDefault="00B34FFD" w:rsidP="009650CA">
            <w:pPr>
              <w:jc w:val="both"/>
              <w:rPr>
                <w:rFonts w:ascii="Times New Roman" w:hAnsi="Times New Roman" w:cs="Times New Roman"/>
                <w:sz w:val="18"/>
                <w:szCs w:val="18"/>
              </w:rPr>
            </w:pPr>
          </w:p>
        </w:tc>
        <w:tc>
          <w:tcPr>
            <w:tcW w:w="546" w:type="dxa"/>
            <w:tcBorders>
              <w:left w:val="single" w:sz="24" w:space="0" w:color="auto"/>
              <w:bottom w:val="single" w:sz="24" w:space="0" w:color="000000"/>
            </w:tcBorders>
          </w:tcPr>
          <w:p w14:paraId="64A7A965"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47" w:type="dxa"/>
            <w:tcBorders>
              <w:bottom w:val="single" w:sz="24" w:space="0" w:color="000000"/>
            </w:tcBorders>
          </w:tcPr>
          <w:p w14:paraId="0F1A8174"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bottom w:val="single" w:sz="24" w:space="0" w:color="000000"/>
              <w:right w:val="single" w:sz="24" w:space="0" w:color="000000"/>
            </w:tcBorders>
          </w:tcPr>
          <w:p w14:paraId="06E4F8FD"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6" w:type="dxa"/>
            <w:tcBorders>
              <w:left w:val="single" w:sz="24" w:space="0" w:color="000000"/>
              <w:bottom w:val="single" w:sz="24" w:space="0" w:color="000000"/>
            </w:tcBorders>
          </w:tcPr>
          <w:p w14:paraId="1930BE15"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50" w:type="dxa"/>
            <w:tcBorders>
              <w:bottom w:val="single" w:sz="24" w:space="0" w:color="000000"/>
              <w:right w:val="thickThinSmallGap" w:sz="24" w:space="0" w:color="000000"/>
            </w:tcBorders>
          </w:tcPr>
          <w:p w14:paraId="7DF8D9A2"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r>
      <w:tr w:rsidR="00B34FFD" w:rsidRPr="001251ED" w14:paraId="058885D3" w14:textId="77777777" w:rsidTr="00CA25F7">
        <w:tc>
          <w:tcPr>
            <w:tcW w:w="967" w:type="dxa"/>
            <w:vMerge w:val="restart"/>
            <w:tcBorders>
              <w:top w:val="single" w:sz="24" w:space="0" w:color="000000"/>
              <w:left w:val="thinThickSmallGap" w:sz="24" w:space="0" w:color="000000"/>
            </w:tcBorders>
            <w:shd w:val="clear" w:color="auto" w:fill="BFBFBF" w:themeFill="background1" w:themeFillShade="BF"/>
          </w:tcPr>
          <w:p w14:paraId="05037622" w14:textId="77777777" w:rsidR="00B34FFD" w:rsidRPr="008706F7" w:rsidRDefault="00B34FFD" w:rsidP="009650CA">
            <w:pPr>
              <w:rPr>
                <w:rFonts w:ascii="Times New Roman" w:hAnsi="Times New Roman" w:cs="Times New Roman"/>
                <w:b/>
                <w:sz w:val="18"/>
                <w:szCs w:val="18"/>
              </w:rPr>
            </w:pPr>
            <w:r w:rsidRPr="008706F7">
              <w:rPr>
                <w:rFonts w:ascii="Times New Roman" w:hAnsi="Times New Roman" w:cs="Times New Roman"/>
                <w:b/>
                <w:sz w:val="18"/>
                <w:szCs w:val="18"/>
              </w:rPr>
              <w:t>% of prisons visited</w:t>
            </w:r>
          </w:p>
        </w:tc>
        <w:tc>
          <w:tcPr>
            <w:tcW w:w="589" w:type="dxa"/>
            <w:tcBorders>
              <w:top w:val="single" w:sz="24" w:space="0" w:color="000000"/>
            </w:tcBorders>
            <w:shd w:val="clear" w:color="auto" w:fill="BFBFBF" w:themeFill="background1" w:themeFillShade="BF"/>
          </w:tcPr>
          <w:p w14:paraId="70D7B032"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0-10</w:t>
            </w:r>
          </w:p>
        </w:tc>
        <w:tc>
          <w:tcPr>
            <w:tcW w:w="804" w:type="dxa"/>
            <w:tcBorders>
              <w:top w:val="single" w:sz="24" w:space="0" w:color="000000"/>
              <w:right w:val="single" w:sz="24" w:space="0" w:color="auto"/>
            </w:tcBorders>
          </w:tcPr>
          <w:p w14:paraId="1D8F50B2" w14:textId="77777777" w:rsidR="00B34FFD" w:rsidRPr="008706F7" w:rsidRDefault="00B34FFD" w:rsidP="009650CA">
            <w:pPr>
              <w:jc w:val="both"/>
              <w:rPr>
                <w:rFonts w:ascii="Times New Roman" w:hAnsi="Times New Roman" w:cs="Times New Roman"/>
                <w:i/>
                <w:sz w:val="18"/>
                <w:szCs w:val="18"/>
              </w:rPr>
            </w:pPr>
            <w:r>
              <w:rPr>
                <w:rFonts w:ascii="Times New Roman" w:hAnsi="Times New Roman" w:cs="Times New Roman"/>
                <w:i/>
                <w:sz w:val="18"/>
                <w:szCs w:val="18"/>
              </w:rPr>
              <w:t>7</w:t>
            </w:r>
          </w:p>
        </w:tc>
        <w:tc>
          <w:tcPr>
            <w:tcW w:w="555" w:type="dxa"/>
            <w:tcBorders>
              <w:top w:val="single" w:sz="24" w:space="0" w:color="000000"/>
              <w:left w:val="single" w:sz="24" w:space="0" w:color="auto"/>
            </w:tcBorders>
          </w:tcPr>
          <w:p w14:paraId="1E17911C"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47" w:type="dxa"/>
            <w:tcBorders>
              <w:top w:val="single" w:sz="24" w:space="0" w:color="000000"/>
            </w:tcBorders>
          </w:tcPr>
          <w:p w14:paraId="0926ADDA"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4</w:t>
            </w:r>
          </w:p>
        </w:tc>
        <w:tc>
          <w:tcPr>
            <w:tcW w:w="552" w:type="dxa"/>
            <w:tcBorders>
              <w:top w:val="single" w:sz="24" w:space="0" w:color="000000"/>
            </w:tcBorders>
          </w:tcPr>
          <w:p w14:paraId="2BE82D08"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0</w:t>
            </w:r>
          </w:p>
        </w:tc>
        <w:tc>
          <w:tcPr>
            <w:tcW w:w="554" w:type="dxa"/>
            <w:tcBorders>
              <w:top w:val="single" w:sz="24" w:space="0" w:color="000000"/>
              <w:right w:val="single" w:sz="24" w:space="0" w:color="auto"/>
            </w:tcBorders>
          </w:tcPr>
          <w:p w14:paraId="05146586"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0</w:t>
            </w:r>
          </w:p>
        </w:tc>
        <w:tc>
          <w:tcPr>
            <w:tcW w:w="547" w:type="dxa"/>
            <w:tcBorders>
              <w:top w:val="single" w:sz="24" w:space="0" w:color="000000"/>
              <w:left w:val="single" w:sz="24" w:space="0" w:color="auto"/>
            </w:tcBorders>
          </w:tcPr>
          <w:p w14:paraId="7A878271"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tcPr>
          <w:p w14:paraId="3BA4352B"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89" w:type="dxa"/>
            <w:tcBorders>
              <w:top w:val="single" w:sz="24" w:space="0" w:color="000000"/>
              <w:right w:val="single" w:sz="24" w:space="0" w:color="auto"/>
            </w:tcBorders>
          </w:tcPr>
          <w:p w14:paraId="25987FE0"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46" w:type="dxa"/>
            <w:tcBorders>
              <w:top w:val="single" w:sz="24" w:space="0" w:color="000000"/>
              <w:left w:val="single" w:sz="24" w:space="0" w:color="auto"/>
            </w:tcBorders>
            <w:shd w:val="clear" w:color="auto" w:fill="808080" w:themeFill="background1" w:themeFillShade="80"/>
          </w:tcPr>
          <w:p w14:paraId="666E7244" w14:textId="77777777" w:rsidR="00B34FFD" w:rsidRPr="001251ED" w:rsidRDefault="00B34FFD" w:rsidP="009650CA">
            <w:pPr>
              <w:jc w:val="both"/>
              <w:rPr>
                <w:rFonts w:ascii="Times New Roman" w:hAnsi="Times New Roman" w:cs="Times New Roman"/>
                <w:sz w:val="18"/>
                <w:szCs w:val="18"/>
              </w:rPr>
            </w:pPr>
          </w:p>
        </w:tc>
        <w:tc>
          <w:tcPr>
            <w:tcW w:w="547" w:type="dxa"/>
            <w:tcBorders>
              <w:top w:val="single" w:sz="24" w:space="0" w:color="000000"/>
            </w:tcBorders>
            <w:shd w:val="clear" w:color="auto" w:fill="808080" w:themeFill="background1" w:themeFillShade="80"/>
          </w:tcPr>
          <w:p w14:paraId="362275E4" w14:textId="77777777" w:rsidR="00B34FFD" w:rsidRPr="001251ED" w:rsidRDefault="00B34FFD" w:rsidP="009650CA">
            <w:pPr>
              <w:jc w:val="both"/>
              <w:rPr>
                <w:rFonts w:ascii="Times New Roman" w:hAnsi="Times New Roman" w:cs="Times New Roman"/>
                <w:sz w:val="18"/>
                <w:szCs w:val="18"/>
              </w:rPr>
            </w:pPr>
          </w:p>
        </w:tc>
        <w:tc>
          <w:tcPr>
            <w:tcW w:w="554" w:type="dxa"/>
            <w:tcBorders>
              <w:top w:val="single" w:sz="24" w:space="0" w:color="000000"/>
              <w:right w:val="single" w:sz="24" w:space="0" w:color="000000"/>
            </w:tcBorders>
            <w:shd w:val="clear" w:color="auto" w:fill="808080" w:themeFill="background1" w:themeFillShade="80"/>
          </w:tcPr>
          <w:p w14:paraId="631187D7" w14:textId="77777777" w:rsidR="00B34FFD" w:rsidRPr="001251ED" w:rsidRDefault="00B34FFD" w:rsidP="009650CA">
            <w:pPr>
              <w:jc w:val="both"/>
              <w:rPr>
                <w:rFonts w:ascii="Times New Roman" w:hAnsi="Times New Roman" w:cs="Times New Roman"/>
                <w:sz w:val="18"/>
                <w:szCs w:val="18"/>
              </w:rPr>
            </w:pPr>
          </w:p>
        </w:tc>
        <w:tc>
          <w:tcPr>
            <w:tcW w:w="556" w:type="dxa"/>
            <w:tcBorders>
              <w:top w:val="single" w:sz="24" w:space="0" w:color="000000"/>
              <w:left w:val="single" w:sz="24" w:space="0" w:color="000000"/>
            </w:tcBorders>
          </w:tcPr>
          <w:p w14:paraId="32951F0B"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5</w:t>
            </w:r>
          </w:p>
        </w:tc>
        <w:tc>
          <w:tcPr>
            <w:tcW w:w="550" w:type="dxa"/>
            <w:tcBorders>
              <w:top w:val="single" w:sz="24" w:space="0" w:color="000000"/>
              <w:right w:val="thickThinSmallGap" w:sz="24" w:space="0" w:color="000000"/>
            </w:tcBorders>
          </w:tcPr>
          <w:p w14:paraId="1DD4BDF8"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r>
      <w:tr w:rsidR="00B34FFD" w:rsidRPr="001251ED" w14:paraId="2DD58E2D" w14:textId="77777777" w:rsidTr="00CA25F7">
        <w:tc>
          <w:tcPr>
            <w:tcW w:w="967" w:type="dxa"/>
            <w:vMerge/>
            <w:tcBorders>
              <w:left w:val="thinThickSmallGap" w:sz="24" w:space="0" w:color="000000"/>
            </w:tcBorders>
            <w:shd w:val="clear" w:color="auto" w:fill="BFBFBF" w:themeFill="background1" w:themeFillShade="BF"/>
          </w:tcPr>
          <w:p w14:paraId="6182A201" w14:textId="77777777" w:rsidR="00B34FFD" w:rsidRPr="008706F7" w:rsidRDefault="00B34FFD" w:rsidP="009650CA">
            <w:pPr>
              <w:jc w:val="both"/>
              <w:rPr>
                <w:rFonts w:ascii="Times New Roman" w:hAnsi="Times New Roman" w:cs="Times New Roman"/>
                <w:b/>
                <w:sz w:val="18"/>
                <w:szCs w:val="18"/>
              </w:rPr>
            </w:pPr>
          </w:p>
        </w:tc>
        <w:tc>
          <w:tcPr>
            <w:tcW w:w="589" w:type="dxa"/>
            <w:shd w:val="clear" w:color="auto" w:fill="BFBFBF" w:themeFill="background1" w:themeFillShade="BF"/>
          </w:tcPr>
          <w:p w14:paraId="6B8DDC99"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11-30</w:t>
            </w:r>
          </w:p>
        </w:tc>
        <w:tc>
          <w:tcPr>
            <w:tcW w:w="804" w:type="dxa"/>
            <w:tcBorders>
              <w:right w:val="single" w:sz="24" w:space="0" w:color="auto"/>
            </w:tcBorders>
          </w:tcPr>
          <w:p w14:paraId="3C54CA6D" w14:textId="77777777" w:rsidR="00B34FFD" w:rsidRPr="008706F7" w:rsidRDefault="00B34FFD" w:rsidP="009650CA">
            <w:pPr>
              <w:jc w:val="both"/>
              <w:rPr>
                <w:rFonts w:ascii="Times New Roman" w:hAnsi="Times New Roman" w:cs="Times New Roman"/>
                <w:i/>
                <w:sz w:val="18"/>
                <w:szCs w:val="18"/>
              </w:rPr>
            </w:pPr>
            <w:r>
              <w:rPr>
                <w:rFonts w:ascii="Times New Roman" w:hAnsi="Times New Roman" w:cs="Times New Roman"/>
                <w:i/>
                <w:sz w:val="18"/>
                <w:szCs w:val="18"/>
              </w:rPr>
              <w:t>4</w:t>
            </w:r>
          </w:p>
        </w:tc>
        <w:tc>
          <w:tcPr>
            <w:tcW w:w="555" w:type="dxa"/>
            <w:tcBorders>
              <w:left w:val="single" w:sz="24" w:space="0" w:color="auto"/>
            </w:tcBorders>
          </w:tcPr>
          <w:p w14:paraId="1BE6805B"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7" w:type="dxa"/>
          </w:tcPr>
          <w:p w14:paraId="74D6E4D8"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52" w:type="dxa"/>
          </w:tcPr>
          <w:p w14:paraId="73161EBD"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right w:val="single" w:sz="24" w:space="0" w:color="auto"/>
            </w:tcBorders>
          </w:tcPr>
          <w:p w14:paraId="32A624A2"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0</w:t>
            </w:r>
          </w:p>
        </w:tc>
        <w:tc>
          <w:tcPr>
            <w:tcW w:w="547" w:type="dxa"/>
            <w:tcBorders>
              <w:left w:val="single" w:sz="24" w:space="0" w:color="auto"/>
            </w:tcBorders>
          </w:tcPr>
          <w:p w14:paraId="2AD82AF4"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41F48CC9"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89" w:type="dxa"/>
            <w:tcBorders>
              <w:right w:val="single" w:sz="24" w:space="0" w:color="auto"/>
            </w:tcBorders>
          </w:tcPr>
          <w:p w14:paraId="5DC9D30F"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6" w:type="dxa"/>
            <w:tcBorders>
              <w:left w:val="single" w:sz="24" w:space="0" w:color="auto"/>
            </w:tcBorders>
            <w:shd w:val="clear" w:color="auto" w:fill="808080" w:themeFill="background1" w:themeFillShade="80"/>
          </w:tcPr>
          <w:p w14:paraId="22B2D0B3" w14:textId="77777777" w:rsidR="00B34FFD" w:rsidRPr="001251ED" w:rsidRDefault="00B34FFD" w:rsidP="009650CA">
            <w:pPr>
              <w:jc w:val="both"/>
              <w:rPr>
                <w:rFonts w:ascii="Times New Roman" w:hAnsi="Times New Roman" w:cs="Times New Roman"/>
                <w:sz w:val="18"/>
                <w:szCs w:val="18"/>
              </w:rPr>
            </w:pPr>
          </w:p>
        </w:tc>
        <w:tc>
          <w:tcPr>
            <w:tcW w:w="547" w:type="dxa"/>
            <w:shd w:val="clear" w:color="auto" w:fill="808080" w:themeFill="background1" w:themeFillShade="80"/>
          </w:tcPr>
          <w:p w14:paraId="40FD2C3C" w14:textId="77777777" w:rsidR="00B34FFD" w:rsidRPr="001251ED" w:rsidRDefault="00B34FFD" w:rsidP="009650CA">
            <w:pPr>
              <w:jc w:val="both"/>
              <w:rPr>
                <w:rFonts w:ascii="Times New Roman" w:hAnsi="Times New Roman" w:cs="Times New Roman"/>
                <w:sz w:val="18"/>
                <w:szCs w:val="18"/>
              </w:rPr>
            </w:pPr>
          </w:p>
        </w:tc>
        <w:tc>
          <w:tcPr>
            <w:tcW w:w="554" w:type="dxa"/>
            <w:tcBorders>
              <w:right w:val="single" w:sz="24" w:space="0" w:color="000000"/>
            </w:tcBorders>
            <w:shd w:val="clear" w:color="auto" w:fill="808080" w:themeFill="background1" w:themeFillShade="80"/>
          </w:tcPr>
          <w:p w14:paraId="4B96BF08" w14:textId="77777777" w:rsidR="00B34FFD" w:rsidRPr="001251ED" w:rsidRDefault="00B34FFD" w:rsidP="009650CA">
            <w:pPr>
              <w:jc w:val="both"/>
              <w:rPr>
                <w:rFonts w:ascii="Times New Roman" w:hAnsi="Times New Roman" w:cs="Times New Roman"/>
                <w:sz w:val="18"/>
                <w:szCs w:val="18"/>
              </w:rPr>
            </w:pPr>
          </w:p>
        </w:tc>
        <w:tc>
          <w:tcPr>
            <w:tcW w:w="556" w:type="dxa"/>
            <w:tcBorders>
              <w:left w:val="single" w:sz="24" w:space="0" w:color="000000"/>
            </w:tcBorders>
          </w:tcPr>
          <w:p w14:paraId="712B6973"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50" w:type="dxa"/>
            <w:tcBorders>
              <w:right w:val="thickThinSmallGap" w:sz="24" w:space="0" w:color="000000"/>
            </w:tcBorders>
          </w:tcPr>
          <w:p w14:paraId="29794EEC"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r>
      <w:tr w:rsidR="00B34FFD" w:rsidRPr="001251ED" w14:paraId="78B8A28F" w14:textId="77777777" w:rsidTr="00CA25F7">
        <w:tc>
          <w:tcPr>
            <w:tcW w:w="967" w:type="dxa"/>
            <w:vMerge/>
            <w:tcBorders>
              <w:left w:val="thinThickSmallGap" w:sz="24" w:space="0" w:color="000000"/>
              <w:bottom w:val="single" w:sz="24" w:space="0" w:color="000000"/>
            </w:tcBorders>
            <w:shd w:val="clear" w:color="auto" w:fill="BFBFBF" w:themeFill="background1" w:themeFillShade="BF"/>
          </w:tcPr>
          <w:p w14:paraId="74BC1109" w14:textId="77777777" w:rsidR="00B34FFD" w:rsidRPr="008706F7" w:rsidRDefault="00B34FFD" w:rsidP="009650CA">
            <w:pPr>
              <w:jc w:val="both"/>
              <w:rPr>
                <w:rFonts w:ascii="Times New Roman" w:hAnsi="Times New Roman" w:cs="Times New Roman"/>
                <w:b/>
                <w:sz w:val="18"/>
                <w:szCs w:val="18"/>
              </w:rPr>
            </w:pPr>
          </w:p>
        </w:tc>
        <w:tc>
          <w:tcPr>
            <w:tcW w:w="589" w:type="dxa"/>
            <w:tcBorders>
              <w:bottom w:val="single" w:sz="24" w:space="0" w:color="000000"/>
            </w:tcBorders>
            <w:shd w:val="clear" w:color="auto" w:fill="BFBFBF" w:themeFill="background1" w:themeFillShade="BF"/>
          </w:tcPr>
          <w:p w14:paraId="6DE68B6A"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30+</w:t>
            </w:r>
          </w:p>
        </w:tc>
        <w:tc>
          <w:tcPr>
            <w:tcW w:w="804" w:type="dxa"/>
            <w:tcBorders>
              <w:bottom w:val="single" w:sz="24" w:space="0" w:color="000000"/>
              <w:right w:val="single" w:sz="24" w:space="0" w:color="auto"/>
            </w:tcBorders>
          </w:tcPr>
          <w:p w14:paraId="407F592B" w14:textId="77777777" w:rsidR="00B34FFD" w:rsidRPr="008706F7" w:rsidRDefault="00B34FFD" w:rsidP="009650CA">
            <w:pPr>
              <w:jc w:val="both"/>
              <w:rPr>
                <w:rFonts w:ascii="Times New Roman" w:hAnsi="Times New Roman" w:cs="Times New Roman"/>
                <w:i/>
                <w:sz w:val="18"/>
                <w:szCs w:val="18"/>
              </w:rPr>
            </w:pPr>
            <w:r>
              <w:rPr>
                <w:rFonts w:ascii="Times New Roman" w:hAnsi="Times New Roman" w:cs="Times New Roman"/>
                <w:i/>
                <w:sz w:val="18"/>
                <w:szCs w:val="18"/>
              </w:rPr>
              <w:t>7</w:t>
            </w:r>
          </w:p>
        </w:tc>
        <w:tc>
          <w:tcPr>
            <w:tcW w:w="555" w:type="dxa"/>
            <w:tcBorders>
              <w:left w:val="single" w:sz="24" w:space="0" w:color="auto"/>
              <w:bottom w:val="single" w:sz="24" w:space="0" w:color="000000"/>
            </w:tcBorders>
          </w:tcPr>
          <w:p w14:paraId="708CA39B"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47" w:type="dxa"/>
            <w:tcBorders>
              <w:bottom w:val="single" w:sz="24" w:space="0" w:color="000000"/>
            </w:tcBorders>
          </w:tcPr>
          <w:p w14:paraId="5E6D5B1B"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52" w:type="dxa"/>
            <w:tcBorders>
              <w:bottom w:val="single" w:sz="24" w:space="0" w:color="000000"/>
            </w:tcBorders>
          </w:tcPr>
          <w:p w14:paraId="244D06EF"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bottom w:val="single" w:sz="24" w:space="0" w:color="000000"/>
              <w:right w:val="single" w:sz="24" w:space="0" w:color="auto"/>
            </w:tcBorders>
          </w:tcPr>
          <w:p w14:paraId="3A0FB66C"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7" w:type="dxa"/>
            <w:tcBorders>
              <w:left w:val="single" w:sz="24" w:space="0" w:color="auto"/>
              <w:bottom w:val="single" w:sz="24" w:space="0" w:color="000000"/>
            </w:tcBorders>
          </w:tcPr>
          <w:p w14:paraId="07D61E89"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bottom w:val="single" w:sz="24" w:space="0" w:color="000000"/>
            </w:tcBorders>
          </w:tcPr>
          <w:p w14:paraId="3C5E2451"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89" w:type="dxa"/>
            <w:tcBorders>
              <w:bottom w:val="single" w:sz="24" w:space="0" w:color="000000"/>
              <w:right w:val="single" w:sz="24" w:space="0" w:color="auto"/>
            </w:tcBorders>
          </w:tcPr>
          <w:p w14:paraId="02A41A43"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6" w:type="dxa"/>
            <w:tcBorders>
              <w:left w:val="single" w:sz="24" w:space="0" w:color="auto"/>
              <w:bottom w:val="single" w:sz="24" w:space="0" w:color="000000"/>
            </w:tcBorders>
            <w:shd w:val="clear" w:color="auto" w:fill="808080" w:themeFill="background1" w:themeFillShade="80"/>
          </w:tcPr>
          <w:p w14:paraId="6C901FDA" w14:textId="77777777" w:rsidR="00B34FFD" w:rsidRPr="001251ED" w:rsidRDefault="00B34FFD" w:rsidP="009650CA">
            <w:pPr>
              <w:jc w:val="both"/>
              <w:rPr>
                <w:rFonts w:ascii="Times New Roman" w:hAnsi="Times New Roman" w:cs="Times New Roman"/>
                <w:sz w:val="18"/>
                <w:szCs w:val="18"/>
              </w:rPr>
            </w:pPr>
          </w:p>
        </w:tc>
        <w:tc>
          <w:tcPr>
            <w:tcW w:w="547" w:type="dxa"/>
            <w:tcBorders>
              <w:bottom w:val="single" w:sz="24" w:space="0" w:color="000000"/>
            </w:tcBorders>
            <w:shd w:val="clear" w:color="auto" w:fill="808080" w:themeFill="background1" w:themeFillShade="80"/>
          </w:tcPr>
          <w:p w14:paraId="7022F225" w14:textId="77777777" w:rsidR="00B34FFD" w:rsidRPr="001251ED" w:rsidRDefault="00B34FFD" w:rsidP="009650CA">
            <w:pPr>
              <w:jc w:val="both"/>
              <w:rPr>
                <w:rFonts w:ascii="Times New Roman" w:hAnsi="Times New Roman" w:cs="Times New Roman"/>
                <w:sz w:val="18"/>
                <w:szCs w:val="18"/>
              </w:rPr>
            </w:pPr>
          </w:p>
        </w:tc>
        <w:tc>
          <w:tcPr>
            <w:tcW w:w="554" w:type="dxa"/>
            <w:tcBorders>
              <w:bottom w:val="single" w:sz="24" w:space="0" w:color="000000"/>
              <w:right w:val="single" w:sz="24" w:space="0" w:color="000000"/>
            </w:tcBorders>
            <w:shd w:val="clear" w:color="auto" w:fill="808080" w:themeFill="background1" w:themeFillShade="80"/>
          </w:tcPr>
          <w:p w14:paraId="07B06144" w14:textId="77777777" w:rsidR="00B34FFD" w:rsidRPr="001251ED" w:rsidRDefault="00B34FFD" w:rsidP="009650CA">
            <w:pPr>
              <w:jc w:val="both"/>
              <w:rPr>
                <w:rFonts w:ascii="Times New Roman" w:hAnsi="Times New Roman" w:cs="Times New Roman"/>
                <w:sz w:val="18"/>
                <w:szCs w:val="18"/>
              </w:rPr>
            </w:pPr>
          </w:p>
        </w:tc>
        <w:tc>
          <w:tcPr>
            <w:tcW w:w="556" w:type="dxa"/>
            <w:tcBorders>
              <w:left w:val="single" w:sz="24" w:space="0" w:color="000000"/>
              <w:bottom w:val="single" w:sz="24" w:space="0" w:color="000000"/>
            </w:tcBorders>
          </w:tcPr>
          <w:p w14:paraId="14902FDE"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6</w:t>
            </w:r>
          </w:p>
        </w:tc>
        <w:tc>
          <w:tcPr>
            <w:tcW w:w="550" w:type="dxa"/>
            <w:tcBorders>
              <w:bottom w:val="single" w:sz="24" w:space="0" w:color="000000"/>
              <w:right w:val="thickThinSmallGap" w:sz="24" w:space="0" w:color="000000"/>
            </w:tcBorders>
          </w:tcPr>
          <w:p w14:paraId="7A891A08"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r>
      <w:tr w:rsidR="00B34FFD" w:rsidRPr="001251ED" w14:paraId="351C9960" w14:textId="77777777" w:rsidTr="00CA25F7">
        <w:tc>
          <w:tcPr>
            <w:tcW w:w="967" w:type="dxa"/>
            <w:vMerge w:val="restart"/>
            <w:tcBorders>
              <w:top w:val="single" w:sz="24" w:space="0" w:color="000000"/>
              <w:left w:val="thinThickSmallGap" w:sz="24" w:space="0" w:color="000000"/>
            </w:tcBorders>
            <w:shd w:val="clear" w:color="auto" w:fill="BFBFBF" w:themeFill="background1" w:themeFillShade="BF"/>
          </w:tcPr>
          <w:p w14:paraId="5E413950" w14:textId="77777777" w:rsidR="00B34FFD" w:rsidRPr="008706F7" w:rsidRDefault="00B34FFD" w:rsidP="009650CA">
            <w:pPr>
              <w:rPr>
                <w:rFonts w:ascii="Times New Roman" w:hAnsi="Times New Roman" w:cs="Times New Roman"/>
                <w:b/>
                <w:sz w:val="18"/>
                <w:szCs w:val="18"/>
              </w:rPr>
            </w:pPr>
            <w:r w:rsidRPr="008706F7">
              <w:rPr>
                <w:rFonts w:ascii="Times New Roman" w:hAnsi="Times New Roman" w:cs="Times New Roman"/>
                <w:b/>
                <w:sz w:val="18"/>
                <w:szCs w:val="18"/>
              </w:rPr>
              <w:t>Wish to do more</w:t>
            </w:r>
          </w:p>
        </w:tc>
        <w:tc>
          <w:tcPr>
            <w:tcW w:w="589" w:type="dxa"/>
            <w:tcBorders>
              <w:top w:val="single" w:sz="24" w:space="0" w:color="000000"/>
            </w:tcBorders>
            <w:shd w:val="clear" w:color="auto" w:fill="BFBFBF" w:themeFill="background1" w:themeFillShade="BF"/>
          </w:tcPr>
          <w:p w14:paraId="0740AB86"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Yes</w:t>
            </w:r>
          </w:p>
        </w:tc>
        <w:tc>
          <w:tcPr>
            <w:tcW w:w="804" w:type="dxa"/>
            <w:tcBorders>
              <w:top w:val="single" w:sz="24" w:space="0" w:color="000000"/>
              <w:right w:val="single" w:sz="24" w:space="0" w:color="auto"/>
            </w:tcBorders>
          </w:tcPr>
          <w:p w14:paraId="5700F803" w14:textId="77777777" w:rsidR="00B34FFD" w:rsidRPr="008706F7" w:rsidRDefault="00B34FFD" w:rsidP="009650CA">
            <w:pPr>
              <w:jc w:val="both"/>
              <w:rPr>
                <w:rFonts w:ascii="Times New Roman" w:hAnsi="Times New Roman" w:cs="Times New Roman"/>
                <w:i/>
                <w:sz w:val="18"/>
                <w:szCs w:val="18"/>
              </w:rPr>
            </w:pPr>
            <w:r>
              <w:rPr>
                <w:rFonts w:ascii="Times New Roman" w:hAnsi="Times New Roman" w:cs="Times New Roman"/>
                <w:i/>
                <w:sz w:val="18"/>
                <w:szCs w:val="18"/>
              </w:rPr>
              <w:t>14</w:t>
            </w:r>
          </w:p>
        </w:tc>
        <w:tc>
          <w:tcPr>
            <w:tcW w:w="555" w:type="dxa"/>
            <w:tcBorders>
              <w:top w:val="single" w:sz="24" w:space="0" w:color="000000"/>
              <w:left w:val="single" w:sz="24" w:space="0" w:color="auto"/>
            </w:tcBorders>
          </w:tcPr>
          <w:p w14:paraId="5B377E1A"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5</w:t>
            </w:r>
          </w:p>
        </w:tc>
        <w:tc>
          <w:tcPr>
            <w:tcW w:w="547" w:type="dxa"/>
            <w:tcBorders>
              <w:top w:val="single" w:sz="24" w:space="0" w:color="000000"/>
            </w:tcBorders>
          </w:tcPr>
          <w:p w14:paraId="7AEDA4AD"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7</w:t>
            </w:r>
          </w:p>
        </w:tc>
        <w:tc>
          <w:tcPr>
            <w:tcW w:w="552" w:type="dxa"/>
            <w:tcBorders>
              <w:top w:val="single" w:sz="24" w:space="0" w:color="000000"/>
            </w:tcBorders>
          </w:tcPr>
          <w:p w14:paraId="09D37D02"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top w:val="single" w:sz="24" w:space="0" w:color="000000"/>
              <w:right w:val="single" w:sz="24" w:space="0" w:color="auto"/>
            </w:tcBorders>
          </w:tcPr>
          <w:p w14:paraId="116F6875"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7" w:type="dxa"/>
            <w:tcBorders>
              <w:top w:val="single" w:sz="24" w:space="0" w:color="000000"/>
              <w:left w:val="single" w:sz="24" w:space="0" w:color="auto"/>
            </w:tcBorders>
          </w:tcPr>
          <w:p w14:paraId="7A0702DA"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top w:val="single" w:sz="24" w:space="0" w:color="000000"/>
            </w:tcBorders>
          </w:tcPr>
          <w:p w14:paraId="7A0567CB"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5</w:t>
            </w:r>
          </w:p>
        </w:tc>
        <w:tc>
          <w:tcPr>
            <w:tcW w:w="589" w:type="dxa"/>
            <w:tcBorders>
              <w:top w:val="single" w:sz="24" w:space="0" w:color="000000"/>
              <w:right w:val="single" w:sz="24" w:space="0" w:color="auto"/>
            </w:tcBorders>
          </w:tcPr>
          <w:p w14:paraId="3C6BC7AA"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46" w:type="dxa"/>
            <w:tcBorders>
              <w:top w:val="single" w:sz="24" w:space="0" w:color="000000"/>
              <w:left w:val="single" w:sz="24" w:space="0" w:color="auto"/>
            </w:tcBorders>
          </w:tcPr>
          <w:p w14:paraId="0DD79469"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5</w:t>
            </w:r>
          </w:p>
        </w:tc>
        <w:tc>
          <w:tcPr>
            <w:tcW w:w="547" w:type="dxa"/>
            <w:tcBorders>
              <w:top w:val="single" w:sz="24" w:space="0" w:color="000000"/>
            </w:tcBorders>
          </w:tcPr>
          <w:p w14:paraId="226536D8"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3</w:t>
            </w:r>
          </w:p>
        </w:tc>
        <w:tc>
          <w:tcPr>
            <w:tcW w:w="554" w:type="dxa"/>
            <w:tcBorders>
              <w:top w:val="single" w:sz="24" w:space="0" w:color="000000"/>
              <w:right w:val="single" w:sz="24" w:space="0" w:color="000000"/>
            </w:tcBorders>
          </w:tcPr>
          <w:p w14:paraId="1FF5C6E0"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6</w:t>
            </w:r>
          </w:p>
        </w:tc>
        <w:tc>
          <w:tcPr>
            <w:tcW w:w="556" w:type="dxa"/>
            <w:tcBorders>
              <w:top w:val="single" w:sz="24" w:space="0" w:color="000000"/>
              <w:left w:val="single" w:sz="24" w:space="0" w:color="000000"/>
            </w:tcBorders>
            <w:shd w:val="clear" w:color="auto" w:fill="808080" w:themeFill="background1" w:themeFillShade="80"/>
          </w:tcPr>
          <w:p w14:paraId="32DB4103" w14:textId="77777777" w:rsidR="00B34FFD" w:rsidRPr="001251ED" w:rsidRDefault="00B34FFD" w:rsidP="009650CA">
            <w:pPr>
              <w:jc w:val="both"/>
              <w:rPr>
                <w:rFonts w:ascii="Times New Roman" w:hAnsi="Times New Roman" w:cs="Times New Roman"/>
                <w:sz w:val="18"/>
                <w:szCs w:val="18"/>
              </w:rPr>
            </w:pPr>
          </w:p>
        </w:tc>
        <w:tc>
          <w:tcPr>
            <w:tcW w:w="550" w:type="dxa"/>
            <w:tcBorders>
              <w:top w:val="single" w:sz="24" w:space="0" w:color="000000"/>
              <w:right w:val="thickThinSmallGap" w:sz="24" w:space="0" w:color="000000"/>
            </w:tcBorders>
            <w:shd w:val="clear" w:color="auto" w:fill="808080" w:themeFill="background1" w:themeFillShade="80"/>
          </w:tcPr>
          <w:p w14:paraId="2059EE6D" w14:textId="77777777" w:rsidR="00B34FFD" w:rsidRPr="001251ED" w:rsidRDefault="00B34FFD" w:rsidP="009650CA">
            <w:pPr>
              <w:jc w:val="both"/>
              <w:rPr>
                <w:rFonts w:ascii="Times New Roman" w:hAnsi="Times New Roman" w:cs="Times New Roman"/>
                <w:sz w:val="18"/>
                <w:szCs w:val="18"/>
              </w:rPr>
            </w:pPr>
          </w:p>
        </w:tc>
      </w:tr>
      <w:tr w:rsidR="00B34FFD" w:rsidRPr="001251ED" w14:paraId="0DAFEB80" w14:textId="77777777" w:rsidTr="00CA25F7">
        <w:tc>
          <w:tcPr>
            <w:tcW w:w="967" w:type="dxa"/>
            <w:vMerge/>
            <w:tcBorders>
              <w:left w:val="thinThickSmallGap" w:sz="24" w:space="0" w:color="000000"/>
              <w:bottom w:val="thickThinSmallGap" w:sz="24" w:space="0" w:color="000000"/>
            </w:tcBorders>
            <w:shd w:val="clear" w:color="auto" w:fill="BFBFBF" w:themeFill="background1" w:themeFillShade="BF"/>
          </w:tcPr>
          <w:p w14:paraId="2534C02F" w14:textId="77777777" w:rsidR="00B34FFD" w:rsidRPr="008706F7" w:rsidRDefault="00B34FFD" w:rsidP="009650CA">
            <w:pPr>
              <w:jc w:val="both"/>
              <w:rPr>
                <w:rFonts w:ascii="Times New Roman" w:hAnsi="Times New Roman" w:cs="Times New Roman"/>
                <w:b/>
                <w:sz w:val="18"/>
                <w:szCs w:val="18"/>
              </w:rPr>
            </w:pPr>
          </w:p>
        </w:tc>
        <w:tc>
          <w:tcPr>
            <w:tcW w:w="589" w:type="dxa"/>
            <w:tcBorders>
              <w:bottom w:val="thickThinSmallGap" w:sz="24" w:space="0" w:color="000000"/>
            </w:tcBorders>
            <w:shd w:val="clear" w:color="auto" w:fill="BFBFBF" w:themeFill="background1" w:themeFillShade="BF"/>
          </w:tcPr>
          <w:p w14:paraId="73BD8969" w14:textId="77777777" w:rsidR="00B34FFD" w:rsidRPr="008706F7" w:rsidRDefault="00B34FFD" w:rsidP="009650CA">
            <w:pPr>
              <w:jc w:val="both"/>
              <w:rPr>
                <w:rFonts w:ascii="Times New Roman" w:hAnsi="Times New Roman" w:cs="Times New Roman"/>
                <w:b/>
                <w:sz w:val="18"/>
                <w:szCs w:val="18"/>
              </w:rPr>
            </w:pPr>
            <w:r w:rsidRPr="008706F7">
              <w:rPr>
                <w:rFonts w:ascii="Times New Roman" w:hAnsi="Times New Roman" w:cs="Times New Roman"/>
                <w:b/>
                <w:sz w:val="18"/>
                <w:szCs w:val="18"/>
              </w:rPr>
              <w:t>No</w:t>
            </w:r>
          </w:p>
        </w:tc>
        <w:tc>
          <w:tcPr>
            <w:tcW w:w="804" w:type="dxa"/>
            <w:tcBorders>
              <w:bottom w:val="thickThinSmallGap" w:sz="24" w:space="0" w:color="000000"/>
              <w:right w:val="single" w:sz="24" w:space="0" w:color="auto"/>
            </w:tcBorders>
          </w:tcPr>
          <w:p w14:paraId="494D8624" w14:textId="77777777" w:rsidR="00B34FFD" w:rsidRPr="008706F7" w:rsidRDefault="00B34FFD" w:rsidP="009650CA">
            <w:pPr>
              <w:jc w:val="both"/>
              <w:rPr>
                <w:rFonts w:ascii="Times New Roman" w:hAnsi="Times New Roman" w:cs="Times New Roman"/>
                <w:i/>
                <w:sz w:val="18"/>
                <w:szCs w:val="18"/>
              </w:rPr>
            </w:pPr>
            <w:r>
              <w:rPr>
                <w:rFonts w:ascii="Times New Roman" w:hAnsi="Times New Roman" w:cs="Times New Roman"/>
                <w:i/>
                <w:sz w:val="18"/>
                <w:szCs w:val="18"/>
              </w:rPr>
              <w:t>4</w:t>
            </w:r>
          </w:p>
        </w:tc>
        <w:tc>
          <w:tcPr>
            <w:tcW w:w="555" w:type="dxa"/>
            <w:tcBorders>
              <w:left w:val="single" w:sz="24" w:space="0" w:color="auto"/>
              <w:bottom w:val="thickThinSmallGap" w:sz="24" w:space="0" w:color="000000"/>
            </w:tcBorders>
          </w:tcPr>
          <w:p w14:paraId="3E1FFCCD"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47" w:type="dxa"/>
            <w:tcBorders>
              <w:bottom w:val="thickThinSmallGap" w:sz="24" w:space="0" w:color="000000"/>
            </w:tcBorders>
          </w:tcPr>
          <w:p w14:paraId="6C3229A0"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52" w:type="dxa"/>
            <w:tcBorders>
              <w:bottom w:val="thickThinSmallGap" w:sz="24" w:space="0" w:color="000000"/>
            </w:tcBorders>
          </w:tcPr>
          <w:p w14:paraId="5B73C134"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bottom w:val="thickThinSmallGap" w:sz="24" w:space="0" w:color="000000"/>
              <w:right w:val="single" w:sz="24" w:space="0" w:color="auto"/>
            </w:tcBorders>
          </w:tcPr>
          <w:p w14:paraId="02C7DF41"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0</w:t>
            </w:r>
          </w:p>
        </w:tc>
        <w:tc>
          <w:tcPr>
            <w:tcW w:w="547" w:type="dxa"/>
            <w:tcBorders>
              <w:left w:val="single" w:sz="24" w:space="0" w:color="auto"/>
              <w:bottom w:val="thickThinSmallGap" w:sz="24" w:space="0" w:color="000000"/>
            </w:tcBorders>
          </w:tcPr>
          <w:p w14:paraId="48CC81A7"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tcBorders>
          </w:tcPr>
          <w:p w14:paraId="6896B09F"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89" w:type="dxa"/>
            <w:tcBorders>
              <w:bottom w:val="thickThinSmallGap" w:sz="24" w:space="0" w:color="000000"/>
              <w:right w:val="single" w:sz="24" w:space="0" w:color="auto"/>
            </w:tcBorders>
          </w:tcPr>
          <w:p w14:paraId="7802A324"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46" w:type="dxa"/>
            <w:tcBorders>
              <w:left w:val="single" w:sz="24" w:space="0" w:color="auto"/>
              <w:bottom w:val="thickThinSmallGap" w:sz="24" w:space="0" w:color="000000"/>
            </w:tcBorders>
          </w:tcPr>
          <w:p w14:paraId="1839A50D"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2</w:t>
            </w:r>
          </w:p>
        </w:tc>
        <w:tc>
          <w:tcPr>
            <w:tcW w:w="547" w:type="dxa"/>
            <w:tcBorders>
              <w:bottom w:val="thickThinSmallGap" w:sz="24" w:space="0" w:color="000000"/>
            </w:tcBorders>
          </w:tcPr>
          <w:p w14:paraId="767D98B2"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4" w:type="dxa"/>
            <w:tcBorders>
              <w:bottom w:val="thickThinSmallGap" w:sz="24" w:space="0" w:color="000000"/>
              <w:right w:val="single" w:sz="24" w:space="0" w:color="000000"/>
            </w:tcBorders>
          </w:tcPr>
          <w:p w14:paraId="4B57CE9D" w14:textId="77777777" w:rsidR="00B34FFD" w:rsidRPr="001251ED" w:rsidRDefault="00B34FFD" w:rsidP="009650CA">
            <w:pPr>
              <w:jc w:val="both"/>
              <w:rPr>
                <w:rFonts w:ascii="Times New Roman" w:hAnsi="Times New Roman" w:cs="Times New Roman"/>
                <w:sz w:val="18"/>
                <w:szCs w:val="18"/>
              </w:rPr>
            </w:pPr>
            <w:r w:rsidRPr="0034763B">
              <w:rPr>
                <w:rFonts w:ascii="Times New Roman" w:hAnsi="Times New Roman" w:cs="Times New Roman"/>
                <w:sz w:val="18"/>
                <w:szCs w:val="18"/>
              </w:rPr>
              <w:t>1</w:t>
            </w:r>
          </w:p>
        </w:tc>
        <w:tc>
          <w:tcPr>
            <w:tcW w:w="556" w:type="dxa"/>
            <w:tcBorders>
              <w:left w:val="single" w:sz="24" w:space="0" w:color="000000"/>
              <w:bottom w:val="thickThinSmallGap" w:sz="24" w:space="0" w:color="000000"/>
            </w:tcBorders>
            <w:shd w:val="clear" w:color="auto" w:fill="808080" w:themeFill="background1" w:themeFillShade="80"/>
          </w:tcPr>
          <w:p w14:paraId="029E30E2" w14:textId="77777777" w:rsidR="00B34FFD" w:rsidRPr="001251ED" w:rsidRDefault="00B34FFD" w:rsidP="009650CA">
            <w:pPr>
              <w:jc w:val="both"/>
              <w:rPr>
                <w:rFonts w:ascii="Times New Roman" w:hAnsi="Times New Roman" w:cs="Times New Roman"/>
                <w:sz w:val="18"/>
                <w:szCs w:val="18"/>
              </w:rPr>
            </w:pPr>
          </w:p>
        </w:tc>
        <w:tc>
          <w:tcPr>
            <w:tcW w:w="550" w:type="dxa"/>
            <w:tcBorders>
              <w:bottom w:val="thickThinSmallGap" w:sz="24" w:space="0" w:color="000000"/>
              <w:right w:val="thickThinSmallGap" w:sz="24" w:space="0" w:color="000000"/>
            </w:tcBorders>
            <w:shd w:val="clear" w:color="auto" w:fill="808080" w:themeFill="background1" w:themeFillShade="80"/>
          </w:tcPr>
          <w:p w14:paraId="09C60B66" w14:textId="77777777" w:rsidR="00B34FFD" w:rsidRPr="001251ED" w:rsidRDefault="00B34FFD" w:rsidP="009650CA">
            <w:pPr>
              <w:jc w:val="both"/>
              <w:rPr>
                <w:rFonts w:ascii="Times New Roman" w:hAnsi="Times New Roman" w:cs="Times New Roman"/>
                <w:sz w:val="18"/>
                <w:szCs w:val="18"/>
              </w:rPr>
            </w:pPr>
          </w:p>
        </w:tc>
      </w:tr>
    </w:tbl>
    <w:p w14:paraId="30EA54C0" w14:textId="77777777" w:rsidR="00B34FFD" w:rsidRPr="00541B88" w:rsidRDefault="00B34FFD" w:rsidP="00B34FFD">
      <w:pPr>
        <w:spacing w:before="60" w:after="60" w:line="480" w:lineRule="auto"/>
        <w:jc w:val="both"/>
        <w:rPr>
          <w:rFonts w:ascii="Times New Roman" w:hAnsi="Times New Roman" w:cs="Times New Roman"/>
          <w:b/>
          <w:sz w:val="20"/>
          <w:szCs w:val="20"/>
        </w:rPr>
      </w:pPr>
    </w:p>
    <w:p w14:paraId="28C20A61" w14:textId="04D89D6C" w:rsidR="00B34FFD" w:rsidRPr="001D6C19" w:rsidRDefault="00B34FFD" w:rsidP="00B34FFD">
      <w:pPr>
        <w:spacing w:before="60" w:after="60" w:line="480" w:lineRule="auto"/>
        <w:jc w:val="both"/>
        <w:rPr>
          <w:rFonts w:ascii="Times New Roman" w:hAnsi="Times New Roman" w:cs="Times New Roman"/>
          <w:sz w:val="24"/>
          <w:szCs w:val="24"/>
        </w:rPr>
      </w:pPr>
      <w:r w:rsidRPr="001D6C19">
        <w:rPr>
          <w:rFonts w:ascii="Times New Roman" w:hAnsi="Times New Roman" w:cs="Times New Roman"/>
          <w:sz w:val="24"/>
          <w:szCs w:val="24"/>
        </w:rPr>
        <w:t xml:space="preserve">Perhaps surprisingly, there do not appear to be any striking correlations between the NPM's resources, the number or prisons or the </w:t>
      </w:r>
      <w:r w:rsidR="00E91F5C">
        <w:rPr>
          <w:rFonts w:ascii="Times New Roman" w:hAnsi="Times New Roman" w:cs="Times New Roman"/>
          <w:sz w:val="24"/>
          <w:szCs w:val="24"/>
        </w:rPr>
        <w:t>percentage</w:t>
      </w:r>
      <w:r w:rsidRPr="001D6C19">
        <w:rPr>
          <w:rFonts w:ascii="Times New Roman" w:hAnsi="Times New Roman" w:cs="Times New Roman"/>
          <w:sz w:val="24"/>
          <w:szCs w:val="24"/>
        </w:rPr>
        <w:t xml:space="preserve"> of those visited in 2017.  On the whole, NPMs with 20 or less personnel are slightly more likely to be found in states with 100 or less prisons</w:t>
      </w:r>
      <w:r w:rsidR="001D6C19" w:rsidRPr="001D6C19">
        <w:rPr>
          <w:rFonts w:ascii="Times New Roman" w:hAnsi="Times New Roman" w:cs="Times New Roman"/>
          <w:sz w:val="24"/>
          <w:szCs w:val="24"/>
        </w:rPr>
        <w:t xml:space="preserve"> (five NPMs in 13 states) than in</w:t>
      </w:r>
      <w:r w:rsidRPr="001D6C19">
        <w:rPr>
          <w:rFonts w:ascii="Times New Roman" w:hAnsi="Times New Roman" w:cs="Times New Roman"/>
          <w:sz w:val="24"/>
          <w:szCs w:val="24"/>
        </w:rPr>
        <w:t xml:space="preserve"> states with more than 100 prisons (one NPM in five states).    Similarly, smaller NPMs tend to visit a lower proportion of prisons. It is striking that two of the four NPMs that would not wish to do more visits if more resources were available </w:t>
      </w:r>
      <w:r w:rsidRPr="001D6C19">
        <w:rPr>
          <w:rFonts w:ascii="Times New Roman" w:hAnsi="Times New Roman" w:cs="Times New Roman"/>
          <w:sz w:val="24"/>
          <w:szCs w:val="24"/>
        </w:rPr>
        <w:lastRenderedPageBreak/>
        <w:t xml:space="preserve">visited 10% or less of the total number of prisons in 2017. In one case this can be explained by the very small number of prisons in the state concerned but the other was in a state with one of the largest numbers of prisons in our sample. </w:t>
      </w:r>
    </w:p>
    <w:p w14:paraId="3C3A6B7C" w14:textId="17905811" w:rsidR="009873C3" w:rsidRPr="001D6C19" w:rsidRDefault="001D6C19" w:rsidP="00F77BA5">
      <w:pPr>
        <w:pStyle w:val="Heading3"/>
      </w:pPr>
      <w:r w:rsidRPr="001D6C19">
        <w:t>2.</w:t>
      </w:r>
      <w:r w:rsidRPr="001D6C19">
        <w:tab/>
      </w:r>
      <w:r w:rsidR="00A87BF6" w:rsidRPr="001D6C19">
        <w:t>Depth and length of visits</w:t>
      </w:r>
    </w:p>
    <w:p w14:paraId="75E59003" w14:textId="4ECB69D3" w:rsidR="00330E1C" w:rsidRDefault="003826B5" w:rsidP="001D6C19">
      <w:pPr>
        <w:pStyle w:val="NormalWeb"/>
        <w:shd w:val="clear" w:color="auto" w:fill="FFFFFF"/>
        <w:spacing w:before="60" w:beforeAutospacing="0" w:after="60" w:afterAutospacing="0" w:line="480" w:lineRule="auto"/>
        <w:jc w:val="both"/>
        <w:rPr>
          <w:rFonts w:eastAsia="Hiragino Sans W4"/>
          <w:color w:val="000000"/>
        </w:rPr>
      </w:pPr>
      <w:r w:rsidRPr="00114918">
        <w:rPr>
          <w:rFonts w:eastAsia="Hiragino Sans W4"/>
          <w:color w:val="000000"/>
        </w:rPr>
        <w:t>A further</w:t>
      </w:r>
      <w:r w:rsidR="00EE4FE6" w:rsidRPr="00114918">
        <w:rPr>
          <w:rFonts w:eastAsia="Hiragino Sans W4"/>
          <w:color w:val="000000"/>
        </w:rPr>
        <w:t xml:space="preserve"> factor that may impact on </w:t>
      </w:r>
      <w:r w:rsidR="007F1ED0" w:rsidRPr="00114918">
        <w:rPr>
          <w:rFonts w:eastAsia="Hiragino Sans W4"/>
          <w:color w:val="000000"/>
        </w:rPr>
        <w:t xml:space="preserve">understanding </w:t>
      </w:r>
      <w:r w:rsidR="00EE4FE6" w:rsidRPr="00114918">
        <w:rPr>
          <w:rFonts w:eastAsia="Hiragino Sans W4"/>
          <w:color w:val="000000"/>
        </w:rPr>
        <w:t xml:space="preserve">frequency and regularity is </w:t>
      </w:r>
      <w:r w:rsidR="007F1ED0" w:rsidRPr="00114918">
        <w:rPr>
          <w:rFonts w:eastAsia="Hiragino Sans W4"/>
          <w:color w:val="000000"/>
        </w:rPr>
        <w:t>the length of time taken on inspections w</w:t>
      </w:r>
      <w:r w:rsidR="001D2D00">
        <w:rPr>
          <w:rFonts w:eastAsia="Hiragino Sans W4"/>
          <w:color w:val="000000"/>
        </w:rPr>
        <w:t>hich as the Finnish NPM notes, "</w:t>
      </w:r>
      <w:r w:rsidR="007F1ED0" w:rsidRPr="00114918">
        <w:rPr>
          <w:rFonts w:eastAsia="Hiragino Sans W4"/>
          <w:color w:val="000000"/>
        </w:rPr>
        <w:t>the quality of visits remains high because that has an impact on their effectiveness</w:t>
      </w:r>
      <w:r w:rsidR="001D2D00">
        <w:rPr>
          <w:rFonts w:eastAsia="Hiragino Sans W4"/>
          <w:color w:val="000000"/>
        </w:rPr>
        <w:t>"</w:t>
      </w:r>
      <w:r w:rsidR="000D70BB">
        <w:rPr>
          <w:rFonts w:eastAsia="Hiragino Sans W4"/>
          <w:color w:val="000000"/>
        </w:rPr>
        <w:t xml:space="preserve"> (Finnish NPM 2016)</w:t>
      </w:r>
      <w:r w:rsidR="007F1ED0" w:rsidRPr="00114918">
        <w:rPr>
          <w:rFonts w:eastAsia="Hiragino Sans W4"/>
          <w:color w:val="000000"/>
        </w:rPr>
        <w:t>. NPMs can spend varying amounts of time on each visit. The French CGLPL for example, in 2016, undertook 146 visits each lasting three days, which according to their calculations resulted in 456 days of direct contact with those deprived of their liberty and staff responsible for them</w:t>
      </w:r>
      <w:r w:rsidR="000D70BB">
        <w:rPr>
          <w:rFonts w:eastAsia="Hiragino Sans W4"/>
          <w:color w:val="000000"/>
        </w:rPr>
        <w:t xml:space="preserve"> (CGLPL 2016)</w:t>
      </w:r>
      <w:r w:rsidR="007F1ED0" w:rsidRPr="00114918">
        <w:rPr>
          <w:rFonts w:eastAsia="Hiragino Sans W4"/>
          <w:color w:val="000000"/>
        </w:rPr>
        <w:t>. Simply looking at headline figures of the number of visits per year may not be particularly helpful, therefore, in determining the depth of each of those visits. As a member of the Norwegian NPM has said, it is important to go ‘l</w:t>
      </w:r>
      <w:r w:rsidR="00FF3888" w:rsidRPr="00114918">
        <w:rPr>
          <w:rFonts w:eastAsia="Hiragino Sans W4"/>
          <w:color w:val="000000"/>
        </w:rPr>
        <w:t xml:space="preserve">ong and deep’ </w:t>
      </w:r>
      <w:r w:rsidR="007F1ED0" w:rsidRPr="00114918">
        <w:rPr>
          <w:rFonts w:eastAsia="Hiragino Sans W4"/>
          <w:color w:val="000000"/>
        </w:rPr>
        <w:t xml:space="preserve">with a focus on </w:t>
      </w:r>
      <w:r w:rsidR="00053752" w:rsidRPr="00114918">
        <w:rPr>
          <w:rFonts w:eastAsia="Hiragino Sans W4"/>
        </w:rPr>
        <w:t>quality not quantity</w:t>
      </w:r>
      <w:r w:rsidR="00FF3888" w:rsidRPr="00114918">
        <w:rPr>
          <w:rFonts w:eastAsia="Hiragino Sans W4"/>
        </w:rPr>
        <w:t xml:space="preserve"> and ‘go deep to reach wide’</w:t>
      </w:r>
      <w:r w:rsidR="000D70BB">
        <w:rPr>
          <w:rFonts w:eastAsia="Hiragino Sans W4"/>
        </w:rPr>
        <w:t xml:space="preserve"> (Ervik 2017)</w:t>
      </w:r>
      <w:r w:rsidR="00FF3888" w:rsidRPr="00114918">
        <w:rPr>
          <w:rFonts w:eastAsia="Hiragino Sans W4"/>
        </w:rPr>
        <w:t xml:space="preserve">. </w:t>
      </w:r>
      <w:r w:rsidR="001D2D00">
        <w:rPr>
          <w:rFonts w:eastAsia="Hiragino Sans W4"/>
        </w:rPr>
        <w:t xml:space="preserve">Nevertheless </w:t>
      </w:r>
      <w:r w:rsidR="00E046D5" w:rsidRPr="00114918">
        <w:rPr>
          <w:rFonts w:eastAsia="Hiragino Sans W4"/>
          <w:color w:val="000000"/>
        </w:rPr>
        <w:t xml:space="preserve">the Norwegian NPM still considers ‘regular’ visits to be a key </w:t>
      </w:r>
      <w:r w:rsidR="007F1ED0" w:rsidRPr="00114918">
        <w:rPr>
          <w:rFonts w:eastAsia="Hiragino Sans W4"/>
          <w:color w:val="000000"/>
        </w:rPr>
        <w:t>competent</w:t>
      </w:r>
      <w:r w:rsidR="00E046D5" w:rsidRPr="00114918">
        <w:rPr>
          <w:rFonts w:eastAsia="Hiragino Sans W4"/>
          <w:color w:val="000000"/>
        </w:rPr>
        <w:t xml:space="preserve"> of its work ‘but other work methods are also emphasised’, including a ‘continuous dialogue’ with different levels of authority, and with the length of visit lasting between one to four days</w:t>
      </w:r>
      <w:r w:rsidR="000D70BB">
        <w:rPr>
          <w:rFonts w:eastAsia="Hiragino Sans W4"/>
          <w:color w:val="000000"/>
        </w:rPr>
        <w:t xml:space="preserve"> (Norwegian Parliamentary Ombudsman 2017)</w:t>
      </w:r>
      <w:r w:rsidR="00E046D5" w:rsidRPr="00114918">
        <w:rPr>
          <w:rFonts w:eastAsia="Hiragino Sans W4"/>
          <w:color w:val="000000"/>
        </w:rPr>
        <w:t>.</w:t>
      </w:r>
    </w:p>
    <w:p w14:paraId="7AFAE5BC" w14:textId="423B8FF9" w:rsidR="003C6CDE" w:rsidRPr="00330E1C" w:rsidRDefault="00357F48" w:rsidP="00330E1C">
      <w:pPr>
        <w:pStyle w:val="NormalWeb"/>
        <w:shd w:val="clear" w:color="auto" w:fill="FFFFFF"/>
        <w:spacing w:before="60" w:beforeAutospacing="0" w:after="60" w:afterAutospacing="0" w:line="480" w:lineRule="auto"/>
        <w:jc w:val="both"/>
        <w:rPr>
          <w:rFonts w:eastAsia="Hiragino Sans W4"/>
        </w:rPr>
      </w:pPr>
      <w:r w:rsidRPr="00935305">
        <w:t xml:space="preserve">On the other hand, Prison 'C' in </w:t>
      </w:r>
      <w:r w:rsidR="004D6FC8" w:rsidRPr="00935305">
        <w:t xml:space="preserve">Table 3 </w:t>
      </w:r>
      <w:r w:rsidRPr="00935305">
        <w:t>below, told us they made 21 visits in 2017 despite there being only 13 prisons in the state concerned.  This was because they returned to some prison</w:t>
      </w:r>
      <w:r w:rsidR="00BC32E3" w:rsidRPr="00935305">
        <w:t>s</w:t>
      </w:r>
      <w:r w:rsidRPr="00935305">
        <w:t xml:space="preserve"> on more than one occasion as part of 'thematic' visits.</w:t>
      </w:r>
      <w:r>
        <w:t xml:space="preserve"> </w:t>
      </w:r>
      <w:r w:rsidR="00330E1C">
        <w:t>In our ana</w:t>
      </w:r>
      <w:r w:rsidR="001D6C19" w:rsidRPr="001D6C19">
        <w:t>l</w:t>
      </w:r>
      <w:r w:rsidR="00330E1C">
        <w:t>ysis</w:t>
      </w:r>
      <w:r w:rsidR="001D6C19" w:rsidRPr="001D6C19">
        <w:t xml:space="preserve"> of the survey results</w:t>
      </w:r>
      <w:r w:rsidR="00330E1C">
        <w:t xml:space="preserve"> w</w:t>
      </w:r>
      <w:r w:rsidR="008F0D9B" w:rsidRPr="001D6C19">
        <w:t>e estimated the resources used in each visit by multiplying the</w:t>
      </w:r>
      <w:r w:rsidR="008F0D9B">
        <w:t xml:space="preserve"> average number of personnel participating in a visit by the number of days the visit las</w:t>
      </w:r>
      <w:r w:rsidR="00330E1C">
        <w:t>ted. We expressed this as 'personnel</w:t>
      </w:r>
      <w:r w:rsidR="008F0D9B">
        <w:t xml:space="preserve"> </w:t>
      </w:r>
      <w:r w:rsidR="008F0D9B">
        <w:lastRenderedPageBreak/>
        <w:t>days'.</w:t>
      </w:r>
      <w:r w:rsidR="00330E1C">
        <w:t xml:space="preserve"> T</w:t>
      </w:r>
      <w:r w:rsidR="003C6CDE" w:rsidRPr="00330E1C">
        <w:t xml:space="preserve">his can then be compared with the </w:t>
      </w:r>
      <w:r w:rsidR="001E3357">
        <w:t xml:space="preserve">percentage of prisons visited </w:t>
      </w:r>
      <w:r w:rsidR="003C6CDE" w:rsidRPr="00330E1C">
        <w:t>as set out in Table 3 and Figures 7</w:t>
      </w:r>
      <w:r w:rsidR="006678E4">
        <w:rPr>
          <w:rStyle w:val="FootnoteReference"/>
        </w:rPr>
        <w:footnoteReference w:id="3"/>
      </w:r>
      <w:r w:rsidR="003C6CDE" w:rsidRPr="00330E1C">
        <w:t xml:space="preserve"> and </w:t>
      </w:r>
      <w:r w:rsidR="001E3357" w:rsidRPr="00330E1C">
        <w:t>frequency of its visits</w:t>
      </w:r>
      <w:r w:rsidR="001E3357" w:rsidDel="001E3357">
        <w:t xml:space="preserve"> </w:t>
      </w:r>
      <w:r w:rsidR="00330E1C">
        <w:t xml:space="preserve">in Figure </w:t>
      </w:r>
      <w:r w:rsidR="003C6CDE" w:rsidRPr="00330E1C">
        <w:t>8</w:t>
      </w:r>
      <w:r w:rsidR="007D0A54">
        <w:rPr>
          <w:rStyle w:val="FootnoteReference"/>
        </w:rPr>
        <w:footnoteReference w:id="4"/>
      </w:r>
      <w:r w:rsidR="003C6CDE" w:rsidRPr="00330E1C">
        <w:t xml:space="preserve"> below.</w:t>
      </w:r>
    </w:p>
    <w:p w14:paraId="3B470244" w14:textId="5626A862" w:rsidR="003C6CDE" w:rsidRPr="00330E1C" w:rsidRDefault="003C6CDE" w:rsidP="008F0D9B">
      <w:pPr>
        <w:spacing w:before="60" w:after="60" w:line="480" w:lineRule="auto"/>
        <w:rPr>
          <w:rFonts w:ascii="Times New Roman" w:hAnsi="Times New Roman" w:cs="Times New Roman"/>
          <w:b/>
          <w:sz w:val="20"/>
          <w:szCs w:val="20"/>
        </w:rPr>
      </w:pPr>
      <w:r>
        <w:rPr>
          <w:rFonts w:ascii="Times New Roman" w:hAnsi="Times New Roman" w:cs="Times New Roman"/>
          <w:b/>
          <w:sz w:val="20"/>
          <w:szCs w:val="20"/>
        </w:rPr>
        <w:t>Table 3</w:t>
      </w:r>
    </w:p>
    <w:tbl>
      <w:tblPr>
        <w:tblStyle w:val="TableGrid"/>
        <w:tblW w:w="0" w:type="auto"/>
        <w:tblLook w:val="04A0" w:firstRow="1" w:lastRow="0" w:firstColumn="1" w:lastColumn="0" w:noHBand="0" w:noVBand="1"/>
      </w:tblPr>
      <w:tblGrid>
        <w:gridCol w:w="967"/>
        <w:gridCol w:w="353"/>
        <w:gridCol w:w="396"/>
        <w:gridCol w:w="396"/>
        <w:gridCol w:w="374"/>
        <w:gridCol w:w="512"/>
        <w:gridCol w:w="395"/>
        <w:gridCol w:w="512"/>
        <w:gridCol w:w="447"/>
        <w:gridCol w:w="512"/>
        <w:gridCol w:w="395"/>
        <w:gridCol w:w="512"/>
        <w:gridCol w:w="395"/>
        <w:gridCol w:w="395"/>
        <w:gridCol w:w="512"/>
        <w:gridCol w:w="447"/>
        <w:gridCol w:w="512"/>
        <w:gridCol w:w="459"/>
        <w:gridCol w:w="459"/>
      </w:tblGrid>
      <w:tr w:rsidR="003C6CDE" w:rsidRPr="009514EA" w14:paraId="5784E253" w14:textId="77777777" w:rsidTr="00F72C93">
        <w:tc>
          <w:tcPr>
            <w:tcW w:w="994" w:type="dxa"/>
            <w:tcBorders>
              <w:top w:val="thinThickMediumGap" w:sz="24" w:space="0" w:color="000000"/>
              <w:left w:val="thinThickMediumGap" w:sz="24" w:space="0" w:color="000000"/>
            </w:tcBorders>
            <w:shd w:val="clear" w:color="auto" w:fill="BFBFBF" w:themeFill="background1" w:themeFillShade="BF"/>
          </w:tcPr>
          <w:p w14:paraId="2E2EAC57" w14:textId="77777777" w:rsidR="003C6CDE" w:rsidRPr="009514EA" w:rsidRDefault="003C6CDE" w:rsidP="009650CA">
            <w:pPr>
              <w:rPr>
                <w:rFonts w:ascii="Times New Roman" w:hAnsi="Times New Roman" w:cs="Times New Roman"/>
                <w:sz w:val="16"/>
                <w:szCs w:val="16"/>
              </w:rPr>
            </w:pPr>
          </w:p>
        </w:tc>
        <w:tc>
          <w:tcPr>
            <w:tcW w:w="8016" w:type="dxa"/>
            <w:gridSpan w:val="18"/>
            <w:tcBorders>
              <w:top w:val="thinThickMediumGap" w:sz="24" w:space="0" w:color="000000"/>
              <w:right w:val="thinThickMediumGap" w:sz="24" w:space="0" w:color="000000"/>
            </w:tcBorders>
            <w:shd w:val="clear" w:color="auto" w:fill="BFBFBF" w:themeFill="background1" w:themeFillShade="BF"/>
            <w:vAlign w:val="center"/>
          </w:tcPr>
          <w:p w14:paraId="4F9663F1" w14:textId="77777777" w:rsidR="003C6CDE" w:rsidRPr="009514EA" w:rsidRDefault="003C6CDE" w:rsidP="009650CA">
            <w:pPr>
              <w:jc w:val="center"/>
              <w:rPr>
                <w:rFonts w:ascii="Times New Roman" w:hAnsi="Times New Roman" w:cs="Times New Roman"/>
                <w:b/>
                <w:sz w:val="16"/>
                <w:szCs w:val="16"/>
              </w:rPr>
            </w:pPr>
            <w:r w:rsidRPr="009514EA">
              <w:rPr>
                <w:rFonts w:ascii="Times New Roman" w:hAnsi="Times New Roman" w:cs="Times New Roman"/>
                <w:b/>
                <w:sz w:val="16"/>
                <w:szCs w:val="16"/>
              </w:rPr>
              <w:t>NPM</w:t>
            </w:r>
          </w:p>
        </w:tc>
      </w:tr>
      <w:tr w:rsidR="003C6CDE" w:rsidRPr="009514EA" w14:paraId="61B61CED" w14:textId="77777777" w:rsidTr="00F72C93">
        <w:tc>
          <w:tcPr>
            <w:tcW w:w="994" w:type="dxa"/>
            <w:tcBorders>
              <w:left w:val="thinThickMediumGap" w:sz="24" w:space="0" w:color="000000"/>
            </w:tcBorders>
            <w:shd w:val="clear" w:color="auto" w:fill="BFBFBF" w:themeFill="background1" w:themeFillShade="BF"/>
            <w:vAlign w:val="center"/>
          </w:tcPr>
          <w:p w14:paraId="1FEB78D3" w14:textId="77777777" w:rsidR="003C6CDE" w:rsidRPr="009514EA" w:rsidRDefault="003C6CDE" w:rsidP="009650CA">
            <w:pPr>
              <w:jc w:val="center"/>
              <w:rPr>
                <w:rFonts w:ascii="Times New Roman" w:hAnsi="Times New Roman" w:cs="Times New Roman"/>
                <w:sz w:val="16"/>
                <w:szCs w:val="16"/>
              </w:rPr>
            </w:pPr>
          </w:p>
        </w:tc>
        <w:tc>
          <w:tcPr>
            <w:tcW w:w="355" w:type="dxa"/>
            <w:shd w:val="clear" w:color="auto" w:fill="BFBFBF" w:themeFill="background1" w:themeFillShade="BF"/>
            <w:vAlign w:val="center"/>
          </w:tcPr>
          <w:p w14:paraId="2786F4F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A</w:t>
            </w:r>
          </w:p>
        </w:tc>
        <w:tc>
          <w:tcPr>
            <w:tcW w:w="399" w:type="dxa"/>
            <w:shd w:val="clear" w:color="auto" w:fill="BFBFBF" w:themeFill="background1" w:themeFillShade="BF"/>
            <w:vAlign w:val="center"/>
          </w:tcPr>
          <w:p w14:paraId="7F7192E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P</w:t>
            </w:r>
          </w:p>
        </w:tc>
        <w:tc>
          <w:tcPr>
            <w:tcW w:w="399" w:type="dxa"/>
            <w:shd w:val="clear" w:color="auto" w:fill="BFBFBF" w:themeFill="background1" w:themeFillShade="BF"/>
            <w:vAlign w:val="center"/>
          </w:tcPr>
          <w:p w14:paraId="431DB7EE"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Q</w:t>
            </w:r>
          </w:p>
        </w:tc>
        <w:tc>
          <w:tcPr>
            <w:tcW w:w="379" w:type="dxa"/>
            <w:shd w:val="clear" w:color="auto" w:fill="BFBFBF" w:themeFill="background1" w:themeFillShade="BF"/>
            <w:vAlign w:val="center"/>
          </w:tcPr>
          <w:p w14:paraId="662603CB"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N</w:t>
            </w:r>
          </w:p>
        </w:tc>
        <w:tc>
          <w:tcPr>
            <w:tcW w:w="513" w:type="dxa"/>
            <w:shd w:val="clear" w:color="auto" w:fill="BFBFBF" w:themeFill="background1" w:themeFillShade="BF"/>
            <w:vAlign w:val="center"/>
          </w:tcPr>
          <w:p w14:paraId="5B6C76E2"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F</w:t>
            </w:r>
          </w:p>
        </w:tc>
        <w:tc>
          <w:tcPr>
            <w:tcW w:w="398" w:type="dxa"/>
            <w:shd w:val="clear" w:color="auto" w:fill="BFBFBF" w:themeFill="background1" w:themeFillShade="BF"/>
            <w:vAlign w:val="center"/>
          </w:tcPr>
          <w:p w14:paraId="6B19AAC5"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I</w:t>
            </w:r>
          </w:p>
        </w:tc>
        <w:tc>
          <w:tcPr>
            <w:tcW w:w="513" w:type="dxa"/>
            <w:shd w:val="clear" w:color="auto" w:fill="BFBFBF" w:themeFill="background1" w:themeFillShade="BF"/>
            <w:vAlign w:val="center"/>
          </w:tcPr>
          <w:p w14:paraId="52B92C45"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G</w:t>
            </w:r>
          </w:p>
        </w:tc>
        <w:tc>
          <w:tcPr>
            <w:tcW w:w="447" w:type="dxa"/>
            <w:shd w:val="clear" w:color="auto" w:fill="BFBFBF" w:themeFill="background1" w:themeFillShade="BF"/>
            <w:vAlign w:val="center"/>
          </w:tcPr>
          <w:p w14:paraId="24E431B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M</w:t>
            </w:r>
          </w:p>
        </w:tc>
        <w:tc>
          <w:tcPr>
            <w:tcW w:w="513" w:type="dxa"/>
            <w:shd w:val="clear" w:color="auto" w:fill="BFBFBF" w:themeFill="background1" w:themeFillShade="BF"/>
            <w:vAlign w:val="center"/>
          </w:tcPr>
          <w:p w14:paraId="615389A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O</w:t>
            </w:r>
          </w:p>
        </w:tc>
        <w:tc>
          <w:tcPr>
            <w:tcW w:w="398" w:type="dxa"/>
            <w:shd w:val="clear" w:color="auto" w:fill="BFBFBF" w:themeFill="background1" w:themeFillShade="BF"/>
            <w:vAlign w:val="center"/>
          </w:tcPr>
          <w:p w14:paraId="5CD5900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K</w:t>
            </w:r>
          </w:p>
        </w:tc>
        <w:tc>
          <w:tcPr>
            <w:tcW w:w="513" w:type="dxa"/>
            <w:shd w:val="clear" w:color="auto" w:fill="BFBFBF" w:themeFill="background1" w:themeFillShade="BF"/>
            <w:vAlign w:val="center"/>
          </w:tcPr>
          <w:p w14:paraId="0803691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D</w:t>
            </w:r>
          </w:p>
        </w:tc>
        <w:tc>
          <w:tcPr>
            <w:tcW w:w="398" w:type="dxa"/>
            <w:shd w:val="clear" w:color="auto" w:fill="BFBFBF" w:themeFill="background1" w:themeFillShade="BF"/>
            <w:vAlign w:val="center"/>
          </w:tcPr>
          <w:p w14:paraId="05E427B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E</w:t>
            </w:r>
          </w:p>
        </w:tc>
        <w:tc>
          <w:tcPr>
            <w:tcW w:w="398" w:type="dxa"/>
            <w:shd w:val="clear" w:color="auto" w:fill="BFBFBF" w:themeFill="background1" w:themeFillShade="BF"/>
            <w:vAlign w:val="center"/>
          </w:tcPr>
          <w:p w14:paraId="1CD4A1C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H</w:t>
            </w:r>
          </w:p>
        </w:tc>
        <w:tc>
          <w:tcPr>
            <w:tcW w:w="513" w:type="dxa"/>
            <w:shd w:val="clear" w:color="auto" w:fill="BFBFBF" w:themeFill="background1" w:themeFillShade="BF"/>
            <w:vAlign w:val="center"/>
          </w:tcPr>
          <w:p w14:paraId="244FF4CA"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R</w:t>
            </w:r>
          </w:p>
        </w:tc>
        <w:tc>
          <w:tcPr>
            <w:tcW w:w="447" w:type="dxa"/>
            <w:shd w:val="clear" w:color="auto" w:fill="BFBFBF" w:themeFill="background1" w:themeFillShade="BF"/>
            <w:vAlign w:val="center"/>
          </w:tcPr>
          <w:p w14:paraId="2A6EAF8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L</w:t>
            </w:r>
          </w:p>
        </w:tc>
        <w:tc>
          <w:tcPr>
            <w:tcW w:w="513" w:type="dxa"/>
            <w:shd w:val="clear" w:color="auto" w:fill="BFBFBF" w:themeFill="background1" w:themeFillShade="BF"/>
            <w:vAlign w:val="center"/>
          </w:tcPr>
          <w:p w14:paraId="7350356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J</w:t>
            </w:r>
          </w:p>
        </w:tc>
        <w:tc>
          <w:tcPr>
            <w:tcW w:w="460" w:type="dxa"/>
            <w:shd w:val="clear" w:color="auto" w:fill="BFBFBF" w:themeFill="background1" w:themeFillShade="BF"/>
            <w:vAlign w:val="center"/>
          </w:tcPr>
          <w:p w14:paraId="671D2062"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B</w:t>
            </w:r>
          </w:p>
        </w:tc>
        <w:tc>
          <w:tcPr>
            <w:tcW w:w="460" w:type="dxa"/>
            <w:tcBorders>
              <w:right w:val="thinThickMediumGap" w:sz="24" w:space="0" w:color="000000"/>
            </w:tcBorders>
            <w:shd w:val="clear" w:color="auto" w:fill="BFBFBF" w:themeFill="background1" w:themeFillShade="BF"/>
            <w:vAlign w:val="center"/>
          </w:tcPr>
          <w:p w14:paraId="63702E8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C</w:t>
            </w:r>
          </w:p>
        </w:tc>
      </w:tr>
      <w:tr w:rsidR="003C6CDE" w:rsidRPr="009514EA" w14:paraId="5708EBA2" w14:textId="77777777" w:rsidTr="00F72C93">
        <w:tc>
          <w:tcPr>
            <w:tcW w:w="994" w:type="dxa"/>
            <w:tcBorders>
              <w:left w:val="thinThickMediumGap" w:sz="24" w:space="0" w:color="000000"/>
            </w:tcBorders>
            <w:vAlign w:val="center"/>
          </w:tcPr>
          <w:p w14:paraId="2280A42A"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 prisons visited in 2017</w:t>
            </w:r>
          </w:p>
        </w:tc>
        <w:tc>
          <w:tcPr>
            <w:tcW w:w="355" w:type="dxa"/>
            <w:vAlign w:val="center"/>
          </w:tcPr>
          <w:p w14:paraId="3C26A09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0</w:t>
            </w:r>
          </w:p>
        </w:tc>
        <w:tc>
          <w:tcPr>
            <w:tcW w:w="399" w:type="dxa"/>
            <w:vAlign w:val="center"/>
          </w:tcPr>
          <w:p w14:paraId="30EBD00B"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w:t>
            </w:r>
          </w:p>
        </w:tc>
        <w:tc>
          <w:tcPr>
            <w:tcW w:w="399" w:type="dxa"/>
            <w:vAlign w:val="center"/>
          </w:tcPr>
          <w:p w14:paraId="61991441"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w:t>
            </w:r>
          </w:p>
        </w:tc>
        <w:tc>
          <w:tcPr>
            <w:tcW w:w="379" w:type="dxa"/>
            <w:vAlign w:val="center"/>
          </w:tcPr>
          <w:p w14:paraId="48AAEEC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w:t>
            </w:r>
          </w:p>
        </w:tc>
        <w:tc>
          <w:tcPr>
            <w:tcW w:w="513" w:type="dxa"/>
            <w:vAlign w:val="center"/>
          </w:tcPr>
          <w:p w14:paraId="60976172"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7</w:t>
            </w:r>
          </w:p>
        </w:tc>
        <w:tc>
          <w:tcPr>
            <w:tcW w:w="398" w:type="dxa"/>
            <w:vAlign w:val="center"/>
          </w:tcPr>
          <w:p w14:paraId="2A8236B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8</w:t>
            </w:r>
          </w:p>
        </w:tc>
        <w:tc>
          <w:tcPr>
            <w:tcW w:w="513" w:type="dxa"/>
            <w:vAlign w:val="center"/>
          </w:tcPr>
          <w:p w14:paraId="607AF92E"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9</w:t>
            </w:r>
          </w:p>
        </w:tc>
        <w:tc>
          <w:tcPr>
            <w:tcW w:w="447" w:type="dxa"/>
            <w:vAlign w:val="center"/>
          </w:tcPr>
          <w:p w14:paraId="68B6319A"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12</w:t>
            </w:r>
          </w:p>
        </w:tc>
        <w:tc>
          <w:tcPr>
            <w:tcW w:w="513" w:type="dxa"/>
            <w:vAlign w:val="center"/>
          </w:tcPr>
          <w:p w14:paraId="3099BD42"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17</w:t>
            </w:r>
          </w:p>
        </w:tc>
        <w:tc>
          <w:tcPr>
            <w:tcW w:w="398" w:type="dxa"/>
            <w:vAlign w:val="center"/>
          </w:tcPr>
          <w:p w14:paraId="14FE5E6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22</w:t>
            </w:r>
          </w:p>
        </w:tc>
        <w:tc>
          <w:tcPr>
            <w:tcW w:w="513" w:type="dxa"/>
            <w:vAlign w:val="center"/>
          </w:tcPr>
          <w:p w14:paraId="7D79401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30</w:t>
            </w:r>
          </w:p>
        </w:tc>
        <w:tc>
          <w:tcPr>
            <w:tcW w:w="398" w:type="dxa"/>
            <w:vAlign w:val="center"/>
          </w:tcPr>
          <w:p w14:paraId="2F9C403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33</w:t>
            </w:r>
          </w:p>
        </w:tc>
        <w:tc>
          <w:tcPr>
            <w:tcW w:w="398" w:type="dxa"/>
            <w:vAlign w:val="center"/>
          </w:tcPr>
          <w:p w14:paraId="18586F0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33</w:t>
            </w:r>
          </w:p>
        </w:tc>
        <w:tc>
          <w:tcPr>
            <w:tcW w:w="513" w:type="dxa"/>
            <w:vAlign w:val="center"/>
          </w:tcPr>
          <w:p w14:paraId="13A8FCD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37</w:t>
            </w:r>
          </w:p>
        </w:tc>
        <w:tc>
          <w:tcPr>
            <w:tcW w:w="447" w:type="dxa"/>
            <w:vAlign w:val="center"/>
          </w:tcPr>
          <w:p w14:paraId="54F9C4DC"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38</w:t>
            </w:r>
          </w:p>
        </w:tc>
        <w:tc>
          <w:tcPr>
            <w:tcW w:w="513" w:type="dxa"/>
            <w:vAlign w:val="center"/>
          </w:tcPr>
          <w:p w14:paraId="0D022190"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50</w:t>
            </w:r>
          </w:p>
        </w:tc>
        <w:tc>
          <w:tcPr>
            <w:tcW w:w="460" w:type="dxa"/>
            <w:vAlign w:val="center"/>
          </w:tcPr>
          <w:p w14:paraId="25CE4B8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100</w:t>
            </w:r>
          </w:p>
        </w:tc>
        <w:tc>
          <w:tcPr>
            <w:tcW w:w="460" w:type="dxa"/>
            <w:tcBorders>
              <w:right w:val="thinThickMediumGap" w:sz="24" w:space="0" w:color="000000"/>
            </w:tcBorders>
            <w:vAlign w:val="center"/>
          </w:tcPr>
          <w:p w14:paraId="76347F6A"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162</w:t>
            </w:r>
          </w:p>
        </w:tc>
      </w:tr>
      <w:tr w:rsidR="003C6CDE" w:rsidRPr="009514EA" w14:paraId="0A487145" w14:textId="77777777" w:rsidTr="00F72C93">
        <w:tc>
          <w:tcPr>
            <w:tcW w:w="994" w:type="dxa"/>
            <w:tcBorders>
              <w:left w:val="thinThickMediumGap" w:sz="24" w:space="0" w:color="000000"/>
            </w:tcBorders>
            <w:vAlign w:val="center"/>
          </w:tcPr>
          <w:p w14:paraId="0C4495D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Rank</w:t>
            </w:r>
          </w:p>
        </w:tc>
        <w:tc>
          <w:tcPr>
            <w:tcW w:w="355" w:type="dxa"/>
            <w:vAlign w:val="center"/>
          </w:tcPr>
          <w:p w14:paraId="3E3654B1"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w:t>
            </w:r>
          </w:p>
        </w:tc>
        <w:tc>
          <w:tcPr>
            <w:tcW w:w="399" w:type="dxa"/>
            <w:vAlign w:val="center"/>
          </w:tcPr>
          <w:p w14:paraId="455BEB7C"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w:t>
            </w:r>
          </w:p>
        </w:tc>
        <w:tc>
          <w:tcPr>
            <w:tcW w:w="399" w:type="dxa"/>
            <w:vAlign w:val="center"/>
          </w:tcPr>
          <w:p w14:paraId="7265BE13"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w:t>
            </w:r>
          </w:p>
        </w:tc>
        <w:tc>
          <w:tcPr>
            <w:tcW w:w="379" w:type="dxa"/>
            <w:vAlign w:val="center"/>
          </w:tcPr>
          <w:p w14:paraId="4439CA6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4</w:t>
            </w:r>
          </w:p>
        </w:tc>
        <w:tc>
          <w:tcPr>
            <w:tcW w:w="513" w:type="dxa"/>
            <w:vAlign w:val="center"/>
          </w:tcPr>
          <w:p w14:paraId="7817843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5</w:t>
            </w:r>
          </w:p>
        </w:tc>
        <w:tc>
          <w:tcPr>
            <w:tcW w:w="398" w:type="dxa"/>
            <w:vAlign w:val="center"/>
          </w:tcPr>
          <w:p w14:paraId="39395E1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6</w:t>
            </w:r>
          </w:p>
        </w:tc>
        <w:tc>
          <w:tcPr>
            <w:tcW w:w="513" w:type="dxa"/>
            <w:vAlign w:val="center"/>
          </w:tcPr>
          <w:p w14:paraId="68DCA13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7</w:t>
            </w:r>
          </w:p>
        </w:tc>
        <w:tc>
          <w:tcPr>
            <w:tcW w:w="447" w:type="dxa"/>
            <w:vAlign w:val="center"/>
          </w:tcPr>
          <w:p w14:paraId="73212ED7"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8</w:t>
            </w:r>
          </w:p>
        </w:tc>
        <w:tc>
          <w:tcPr>
            <w:tcW w:w="513" w:type="dxa"/>
            <w:vAlign w:val="center"/>
          </w:tcPr>
          <w:p w14:paraId="5B0EDDF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9</w:t>
            </w:r>
          </w:p>
        </w:tc>
        <w:tc>
          <w:tcPr>
            <w:tcW w:w="398" w:type="dxa"/>
            <w:vAlign w:val="center"/>
          </w:tcPr>
          <w:p w14:paraId="64667AA3"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10</w:t>
            </w:r>
          </w:p>
        </w:tc>
        <w:tc>
          <w:tcPr>
            <w:tcW w:w="513" w:type="dxa"/>
            <w:vAlign w:val="center"/>
          </w:tcPr>
          <w:p w14:paraId="4A7BAF9B"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11</w:t>
            </w:r>
          </w:p>
        </w:tc>
        <w:tc>
          <w:tcPr>
            <w:tcW w:w="398" w:type="dxa"/>
            <w:vAlign w:val="center"/>
          </w:tcPr>
          <w:p w14:paraId="060CB8D6"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12</w:t>
            </w:r>
          </w:p>
        </w:tc>
        <w:tc>
          <w:tcPr>
            <w:tcW w:w="398" w:type="dxa"/>
            <w:vAlign w:val="center"/>
          </w:tcPr>
          <w:p w14:paraId="311B8FF5"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12</w:t>
            </w:r>
          </w:p>
        </w:tc>
        <w:tc>
          <w:tcPr>
            <w:tcW w:w="513" w:type="dxa"/>
            <w:vAlign w:val="center"/>
          </w:tcPr>
          <w:p w14:paraId="096E75E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14</w:t>
            </w:r>
          </w:p>
        </w:tc>
        <w:tc>
          <w:tcPr>
            <w:tcW w:w="447" w:type="dxa"/>
            <w:vAlign w:val="center"/>
          </w:tcPr>
          <w:p w14:paraId="6DAE1F31"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15</w:t>
            </w:r>
          </w:p>
        </w:tc>
        <w:tc>
          <w:tcPr>
            <w:tcW w:w="513" w:type="dxa"/>
            <w:vAlign w:val="center"/>
          </w:tcPr>
          <w:p w14:paraId="4BEF99CE"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16</w:t>
            </w:r>
          </w:p>
        </w:tc>
        <w:tc>
          <w:tcPr>
            <w:tcW w:w="460" w:type="dxa"/>
            <w:vAlign w:val="center"/>
          </w:tcPr>
          <w:p w14:paraId="41EC492E"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17</w:t>
            </w:r>
          </w:p>
        </w:tc>
        <w:tc>
          <w:tcPr>
            <w:tcW w:w="460" w:type="dxa"/>
            <w:tcBorders>
              <w:right w:val="thinThickMediumGap" w:sz="24" w:space="0" w:color="000000"/>
            </w:tcBorders>
            <w:vAlign w:val="center"/>
          </w:tcPr>
          <w:p w14:paraId="20C03F4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18</w:t>
            </w:r>
          </w:p>
        </w:tc>
      </w:tr>
      <w:tr w:rsidR="003C6CDE" w:rsidRPr="009514EA" w14:paraId="6DDBACFD" w14:textId="77777777" w:rsidTr="00F72C93">
        <w:tc>
          <w:tcPr>
            <w:tcW w:w="994" w:type="dxa"/>
            <w:tcBorders>
              <w:left w:val="thinThickMediumGap" w:sz="24" w:space="0" w:color="000000"/>
            </w:tcBorders>
            <w:shd w:val="clear" w:color="auto" w:fill="BFBFBF" w:themeFill="background1" w:themeFillShade="BF"/>
            <w:vAlign w:val="center"/>
          </w:tcPr>
          <w:p w14:paraId="182E1BD1"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Av. interval between visits (months)</w:t>
            </w:r>
          </w:p>
        </w:tc>
        <w:tc>
          <w:tcPr>
            <w:tcW w:w="355" w:type="dxa"/>
            <w:shd w:val="clear" w:color="auto" w:fill="BFBFBF" w:themeFill="background1" w:themeFillShade="BF"/>
            <w:vAlign w:val="center"/>
          </w:tcPr>
          <w:p w14:paraId="3BEDD9CC"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w:t>
            </w:r>
          </w:p>
        </w:tc>
        <w:tc>
          <w:tcPr>
            <w:tcW w:w="399" w:type="dxa"/>
            <w:shd w:val="clear" w:color="auto" w:fill="BFBFBF" w:themeFill="background1" w:themeFillShade="BF"/>
            <w:vAlign w:val="center"/>
          </w:tcPr>
          <w:p w14:paraId="2EC93BC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w:t>
            </w:r>
          </w:p>
        </w:tc>
        <w:tc>
          <w:tcPr>
            <w:tcW w:w="399" w:type="dxa"/>
            <w:shd w:val="clear" w:color="auto" w:fill="BFBFBF" w:themeFill="background1" w:themeFillShade="BF"/>
            <w:vAlign w:val="center"/>
          </w:tcPr>
          <w:p w14:paraId="790724D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71</w:t>
            </w:r>
          </w:p>
        </w:tc>
        <w:tc>
          <w:tcPr>
            <w:tcW w:w="379" w:type="dxa"/>
            <w:shd w:val="clear" w:color="auto" w:fill="BFBFBF" w:themeFill="background1" w:themeFillShade="BF"/>
            <w:vAlign w:val="center"/>
          </w:tcPr>
          <w:p w14:paraId="221E6837"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w:t>
            </w:r>
          </w:p>
        </w:tc>
        <w:tc>
          <w:tcPr>
            <w:tcW w:w="513" w:type="dxa"/>
            <w:shd w:val="clear" w:color="auto" w:fill="BFBFBF" w:themeFill="background1" w:themeFillShade="BF"/>
            <w:vAlign w:val="center"/>
          </w:tcPr>
          <w:p w14:paraId="0390BA5C"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w:t>
            </w:r>
          </w:p>
        </w:tc>
        <w:tc>
          <w:tcPr>
            <w:tcW w:w="398" w:type="dxa"/>
            <w:shd w:val="clear" w:color="auto" w:fill="BFBFBF" w:themeFill="background1" w:themeFillShade="BF"/>
            <w:vAlign w:val="center"/>
          </w:tcPr>
          <w:p w14:paraId="624A0D9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57</w:t>
            </w:r>
          </w:p>
        </w:tc>
        <w:tc>
          <w:tcPr>
            <w:tcW w:w="513" w:type="dxa"/>
            <w:shd w:val="clear" w:color="auto" w:fill="BFBFBF" w:themeFill="background1" w:themeFillShade="BF"/>
            <w:vAlign w:val="center"/>
          </w:tcPr>
          <w:p w14:paraId="4DF9816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43</w:t>
            </w:r>
          </w:p>
        </w:tc>
        <w:tc>
          <w:tcPr>
            <w:tcW w:w="447" w:type="dxa"/>
            <w:shd w:val="clear" w:color="auto" w:fill="BFBFBF" w:themeFill="background1" w:themeFillShade="BF"/>
            <w:vAlign w:val="center"/>
          </w:tcPr>
          <w:p w14:paraId="77E70551"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28</w:t>
            </w:r>
          </w:p>
        </w:tc>
        <w:tc>
          <w:tcPr>
            <w:tcW w:w="513" w:type="dxa"/>
            <w:shd w:val="clear" w:color="auto" w:fill="BFBFBF" w:themeFill="background1" w:themeFillShade="BF"/>
            <w:vAlign w:val="center"/>
          </w:tcPr>
          <w:p w14:paraId="74C3E2A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14</w:t>
            </w:r>
          </w:p>
        </w:tc>
        <w:tc>
          <w:tcPr>
            <w:tcW w:w="398" w:type="dxa"/>
            <w:shd w:val="clear" w:color="auto" w:fill="BFBFBF" w:themeFill="background1" w:themeFillShade="BF"/>
            <w:vAlign w:val="center"/>
          </w:tcPr>
          <w:p w14:paraId="19DAB547"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w:t>
            </w:r>
          </w:p>
        </w:tc>
        <w:tc>
          <w:tcPr>
            <w:tcW w:w="513" w:type="dxa"/>
            <w:shd w:val="clear" w:color="auto" w:fill="BFBFBF" w:themeFill="background1" w:themeFillShade="BF"/>
            <w:vAlign w:val="center"/>
          </w:tcPr>
          <w:p w14:paraId="7669167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26</w:t>
            </w:r>
          </w:p>
        </w:tc>
        <w:tc>
          <w:tcPr>
            <w:tcW w:w="398" w:type="dxa"/>
            <w:shd w:val="clear" w:color="auto" w:fill="BFBFBF" w:themeFill="background1" w:themeFillShade="BF"/>
            <w:vAlign w:val="center"/>
          </w:tcPr>
          <w:p w14:paraId="388FE3D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24</w:t>
            </w:r>
          </w:p>
        </w:tc>
        <w:tc>
          <w:tcPr>
            <w:tcW w:w="398" w:type="dxa"/>
            <w:shd w:val="clear" w:color="auto" w:fill="BFBFBF" w:themeFill="background1" w:themeFillShade="BF"/>
            <w:vAlign w:val="center"/>
          </w:tcPr>
          <w:p w14:paraId="03249ED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30</w:t>
            </w:r>
          </w:p>
        </w:tc>
        <w:tc>
          <w:tcPr>
            <w:tcW w:w="513" w:type="dxa"/>
            <w:shd w:val="clear" w:color="auto" w:fill="BFBFBF" w:themeFill="background1" w:themeFillShade="BF"/>
            <w:vAlign w:val="center"/>
          </w:tcPr>
          <w:p w14:paraId="2EEDD7D3"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30</w:t>
            </w:r>
          </w:p>
        </w:tc>
        <w:tc>
          <w:tcPr>
            <w:tcW w:w="447" w:type="dxa"/>
            <w:shd w:val="clear" w:color="auto" w:fill="BFBFBF" w:themeFill="background1" w:themeFillShade="BF"/>
            <w:vAlign w:val="center"/>
          </w:tcPr>
          <w:p w14:paraId="757D84F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14</w:t>
            </w:r>
          </w:p>
        </w:tc>
        <w:tc>
          <w:tcPr>
            <w:tcW w:w="513" w:type="dxa"/>
            <w:shd w:val="clear" w:color="auto" w:fill="BFBFBF" w:themeFill="background1" w:themeFillShade="BF"/>
            <w:vAlign w:val="center"/>
          </w:tcPr>
          <w:p w14:paraId="6B628A8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w:t>
            </w:r>
          </w:p>
        </w:tc>
        <w:tc>
          <w:tcPr>
            <w:tcW w:w="460" w:type="dxa"/>
            <w:shd w:val="clear" w:color="auto" w:fill="BFBFBF" w:themeFill="background1" w:themeFillShade="BF"/>
            <w:vAlign w:val="center"/>
          </w:tcPr>
          <w:p w14:paraId="3E699A63"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12</w:t>
            </w:r>
          </w:p>
        </w:tc>
        <w:tc>
          <w:tcPr>
            <w:tcW w:w="460" w:type="dxa"/>
            <w:tcBorders>
              <w:right w:val="thinThickMediumGap" w:sz="24" w:space="0" w:color="000000"/>
            </w:tcBorders>
            <w:shd w:val="clear" w:color="auto" w:fill="BFBFBF" w:themeFill="background1" w:themeFillShade="BF"/>
            <w:vAlign w:val="center"/>
          </w:tcPr>
          <w:p w14:paraId="7454A21A"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20</w:t>
            </w:r>
          </w:p>
        </w:tc>
      </w:tr>
      <w:tr w:rsidR="003C6CDE" w:rsidRPr="009514EA" w14:paraId="5D447137" w14:textId="77777777" w:rsidTr="00F72C93">
        <w:tc>
          <w:tcPr>
            <w:tcW w:w="994" w:type="dxa"/>
            <w:tcBorders>
              <w:left w:val="thinThickMediumGap" w:sz="24" w:space="0" w:color="000000"/>
            </w:tcBorders>
            <w:shd w:val="clear" w:color="auto" w:fill="BFBFBF" w:themeFill="background1" w:themeFillShade="BF"/>
            <w:vAlign w:val="center"/>
          </w:tcPr>
          <w:p w14:paraId="1F885555"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Rank</w:t>
            </w:r>
          </w:p>
        </w:tc>
        <w:tc>
          <w:tcPr>
            <w:tcW w:w="355" w:type="dxa"/>
            <w:shd w:val="clear" w:color="auto" w:fill="BFBFBF" w:themeFill="background1" w:themeFillShade="BF"/>
            <w:vAlign w:val="center"/>
          </w:tcPr>
          <w:p w14:paraId="4C3E5540" w14:textId="77777777" w:rsidR="003C6CDE" w:rsidRPr="009514EA" w:rsidRDefault="003C6CDE" w:rsidP="009650CA">
            <w:pPr>
              <w:jc w:val="center"/>
              <w:rPr>
                <w:rFonts w:ascii="Times New Roman" w:hAnsi="Times New Roman" w:cs="Times New Roman"/>
                <w:sz w:val="16"/>
                <w:szCs w:val="16"/>
              </w:rPr>
            </w:pPr>
          </w:p>
        </w:tc>
        <w:tc>
          <w:tcPr>
            <w:tcW w:w="399" w:type="dxa"/>
            <w:shd w:val="clear" w:color="auto" w:fill="BFBFBF" w:themeFill="background1" w:themeFillShade="BF"/>
            <w:vAlign w:val="center"/>
          </w:tcPr>
          <w:p w14:paraId="0E595B02" w14:textId="77777777" w:rsidR="003C6CDE" w:rsidRPr="009514EA" w:rsidRDefault="003C6CDE" w:rsidP="009650CA">
            <w:pPr>
              <w:jc w:val="center"/>
              <w:rPr>
                <w:rFonts w:ascii="Times New Roman" w:hAnsi="Times New Roman" w:cs="Times New Roman"/>
                <w:sz w:val="16"/>
                <w:szCs w:val="16"/>
              </w:rPr>
            </w:pPr>
          </w:p>
        </w:tc>
        <w:tc>
          <w:tcPr>
            <w:tcW w:w="399" w:type="dxa"/>
            <w:shd w:val="clear" w:color="auto" w:fill="BFBFBF" w:themeFill="background1" w:themeFillShade="BF"/>
            <w:vAlign w:val="center"/>
          </w:tcPr>
          <w:p w14:paraId="15051EA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w:t>
            </w:r>
          </w:p>
        </w:tc>
        <w:tc>
          <w:tcPr>
            <w:tcW w:w="379" w:type="dxa"/>
            <w:shd w:val="clear" w:color="auto" w:fill="BFBFBF" w:themeFill="background1" w:themeFillShade="BF"/>
            <w:vAlign w:val="center"/>
          </w:tcPr>
          <w:p w14:paraId="007534ED" w14:textId="77777777" w:rsidR="003C6CDE" w:rsidRPr="009514EA" w:rsidRDefault="003C6CDE" w:rsidP="009650CA">
            <w:pPr>
              <w:jc w:val="center"/>
              <w:rPr>
                <w:rFonts w:ascii="Times New Roman" w:hAnsi="Times New Roman" w:cs="Times New Roman"/>
                <w:sz w:val="16"/>
                <w:szCs w:val="16"/>
              </w:rPr>
            </w:pPr>
          </w:p>
        </w:tc>
        <w:tc>
          <w:tcPr>
            <w:tcW w:w="513" w:type="dxa"/>
            <w:shd w:val="clear" w:color="auto" w:fill="BFBFBF" w:themeFill="background1" w:themeFillShade="BF"/>
            <w:vAlign w:val="center"/>
          </w:tcPr>
          <w:p w14:paraId="2B7C162E" w14:textId="77777777" w:rsidR="003C6CDE" w:rsidRPr="009514EA" w:rsidRDefault="003C6CDE" w:rsidP="009650CA">
            <w:pPr>
              <w:jc w:val="center"/>
              <w:rPr>
                <w:rFonts w:ascii="Times New Roman" w:hAnsi="Times New Roman" w:cs="Times New Roman"/>
                <w:sz w:val="16"/>
                <w:szCs w:val="16"/>
              </w:rPr>
            </w:pPr>
          </w:p>
        </w:tc>
        <w:tc>
          <w:tcPr>
            <w:tcW w:w="398" w:type="dxa"/>
            <w:shd w:val="clear" w:color="auto" w:fill="BFBFBF" w:themeFill="background1" w:themeFillShade="BF"/>
            <w:vAlign w:val="center"/>
          </w:tcPr>
          <w:p w14:paraId="526BB163"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w:t>
            </w:r>
          </w:p>
        </w:tc>
        <w:tc>
          <w:tcPr>
            <w:tcW w:w="513" w:type="dxa"/>
            <w:shd w:val="clear" w:color="auto" w:fill="BFBFBF" w:themeFill="background1" w:themeFillShade="BF"/>
            <w:vAlign w:val="center"/>
          </w:tcPr>
          <w:p w14:paraId="0880FDAB"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w:t>
            </w:r>
          </w:p>
        </w:tc>
        <w:tc>
          <w:tcPr>
            <w:tcW w:w="447" w:type="dxa"/>
            <w:shd w:val="clear" w:color="auto" w:fill="BFBFBF" w:themeFill="background1" w:themeFillShade="BF"/>
            <w:vAlign w:val="center"/>
          </w:tcPr>
          <w:p w14:paraId="57904B0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6</w:t>
            </w:r>
          </w:p>
        </w:tc>
        <w:tc>
          <w:tcPr>
            <w:tcW w:w="513" w:type="dxa"/>
            <w:shd w:val="clear" w:color="auto" w:fill="BFBFBF" w:themeFill="background1" w:themeFillShade="BF"/>
            <w:vAlign w:val="center"/>
          </w:tcPr>
          <w:p w14:paraId="559C524B"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10</w:t>
            </w:r>
          </w:p>
        </w:tc>
        <w:tc>
          <w:tcPr>
            <w:tcW w:w="398" w:type="dxa"/>
            <w:shd w:val="clear" w:color="auto" w:fill="BFBFBF" w:themeFill="background1" w:themeFillShade="BF"/>
            <w:vAlign w:val="center"/>
          </w:tcPr>
          <w:p w14:paraId="690DEAE6" w14:textId="77777777" w:rsidR="003C6CDE" w:rsidRPr="009514EA" w:rsidRDefault="003C6CDE" w:rsidP="009650CA">
            <w:pPr>
              <w:jc w:val="center"/>
              <w:rPr>
                <w:rFonts w:ascii="Times New Roman" w:hAnsi="Times New Roman" w:cs="Times New Roman"/>
                <w:sz w:val="16"/>
                <w:szCs w:val="16"/>
              </w:rPr>
            </w:pPr>
          </w:p>
        </w:tc>
        <w:tc>
          <w:tcPr>
            <w:tcW w:w="513" w:type="dxa"/>
            <w:shd w:val="clear" w:color="auto" w:fill="BFBFBF" w:themeFill="background1" w:themeFillShade="BF"/>
            <w:vAlign w:val="center"/>
          </w:tcPr>
          <w:p w14:paraId="55F969B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7</w:t>
            </w:r>
          </w:p>
        </w:tc>
        <w:tc>
          <w:tcPr>
            <w:tcW w:w="398" w:type="dxa"/>
            <w:shd w:val="clear" w:color="auto" w:fill="BFBFBF" w:themeFill="background1" w:themeFillShade="BF"/>
            <w:vAlign w:val="center"/>
          </w:tcPr>
          <w:p w14:paraId="5C59B4D3"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8</w:t>
            </w:r>
          </w:p>
        </w:tc>
        <w:tc>
          <w:tcPr>
            <w:tcW w:w="398" w:type="dxa"/>
            <w:shd w:val="clear" w:color="auto" w:fill="BFBFBF" w:themeFill="background1" w:themeFillShade="BF"/>
            <w:vAlign w:val="center"/>
          </w:tcPr>
          <w:p w14:paraId="787ADB97"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4</w:t>
            </w:r>
          </w:p>
        </w:tc>
        <w:tc>
          <w:tcPr>
            <w:tcW w:w="513" w:type="dxa"/>
            <w:shd w:val="clear" w:color="auto" w:fill="BFBFBF" w:themeFill="background1" w:themeFillShade="BF"/>
            <w:vAlign w:val="center"/>
          </w:tcPr>
          <w:p w14:paraId="1C472100"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4</w:t>
            </w:r>
          </w:p>
        </w:tc>
        <w:tc>
          <w:tcPr>
            <w:tcW w:w="447" w:type="dxa"/>
            <w:shd w:val="clear" w:color="auto" w:fill="BFBFBF" w:themeFill="background1" w:themeFillShade="BF"/>
            <w:vAlign w:val="center"/>
          </w:tcPr>
          <w:p w14:paraId="6FC9BB43"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w:t>
            </w:r>
          </w:p>
        </w:tc>
        <w:tc>
          <w:tcPr>
            <w:tcW w:w="513" w:type="dxa"/>
            <w:shd w:val="clear" w:color="auto" w:fill="BFBFBF" w:themeFill="background1" w:themeFillShade="BF"/>
            <w:vAlign w:val="center"/>
          </w:tcPr>
          <w:p w14:paraId="2921F75F" w14:textId="77777777" w:rsidR="003C6CDE" w:rsidRPr="009514EA" w:rsidRDefault="003C6CDE" w:rsidP="009650CA">
            <w:pPr>
              <w:jc w:val="center"/>
              <w:rPr>
                <w:rFonts w:ascii="Times New Roman" w:hAnsi="Times New Roman" w:cs="Times New Roman"/>
                <w:sz w:val="16"/>
                <w:szCs w:val="16"/>
              </w:rPr>
            </w:pPr>
          </w:p>
        </w:tc>
        <w:tc>
          <w:tcPr>
            <w:tcW w:w="460" w:type="dxa"/>
            <w:shd w:val="clear" w:color="auto" w:fill="BFBFBF" w:themeFill="background1" w:themeFillShade="BF"/>
            <w:vAlign w:val="center"/>
          </w:tcPr>
          <w:p w14:paraId="171BBF12"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11</w:t>
            </w:r>
          </w:p>
        </w:tc>
        <w:tc>
          <w:tcPr>
            <w:tcW w:w="460" w:type="dxa"/>
            <w:tcBorders>
              <w:right w:val="thinThickMediumGap" w:sz="24" w:space="0" w:color="000000"/>
            </w:tcBorders>
            <w:shd w:val="clear" w:color="auto" w:fill="BFBFBF" w:themeFill="background1" w:themeFillShade="BF"/>
            <w:vAlign w:val="center"/>
          </w:tcPr>
          <w:p w14:paraId="1E7DDAE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9</w:t>
            </w:r>
          </w:p>
        </w:tc>
      </w:tr>
      <w:tr w:rsidR="003C6CDE" w:rsidRPr="009514EA" w14:paraId="2029DA59" w14:textId="77777777" w:rsidTr="00F72C93">
        <w:tc>
          <w:tcPr>
            <w:tcW w:w="994" w:type="dxa"/>
            <w:tcBorders>
              <w:left w:val="thinThickMediumGap" w:sz="24" w:space="0" w:color="000000"/>
            </w:tcBorders>
            <w:shd w:val="clear" w:color="auto" w:fill="auto"/>
            <w:vAlign w:val="center"/>
          </w:tcPr>
          <w:p w14:paraId="25B830E3"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Av. Personnel day/visit</w:t>
            </w:r>
          </w:p>
        </w:tc>
        <w:tc>
          <w:tcPr>
            <w:tcW w:w="355" w:type="dxa"/>
            <w:shd w:val="clear" w:color="auto" w:fill="auto"/>
            <w:vAlign w:val="center"/>
          </w:tcPr>
          <w:p w14:paraId="26382924"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w:t>
            </w:r>
          </w:p>
        </w:tc>
        <w:tc>
          <w:tcPr>
            <w:tcW w:w="399" w:type="dxa"/>
            <w:shd w:val="clear" w:color="auto" w:fill="auto"/>
            <w:vAlign w:val="center"/>
          </w:tcPr>
          <w:p w14:paraId="538F1827"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3.8</w:t>
            </w:r>
          </w:p>
        </w:tc>
        <w:tc>
          <w:tcPr>
            <w:tcW w:w="399" w:type="dxa"/>
            <w:shd w:val="clear" w:color="auto" w:fill="auto"/>
            <w:vAlign w:val="center"/>
          </w:tcPr>
          <w:p w14:paraId="339E7459"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7.2</w:t>
            </w:r>
          </w:p>
        </w:tc>
        <w:tc>
          <w:tcPr>
            <w:tcW w:w="379" w:type="dxa"/>
            <w:shd w:val="clear" w:color="auto" w:fill="auto"/>
            <w:vAlign w:val="center"/>
          </w:tcPr>
          <w:p w14:paraId="60E24E8D"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10</w:t>
            </w:r>
          </w:p>
        </w:tc>
        <w:tc>
          <w:tcPr>
            <w:tcW w:w="513" w:type="dxa"/>
            <w:shd w:val="clear" w:color="auto" w:fill="auto"/>
            <w:vAlign w:val="center"/>
          </w:tcPr>
          <w:p w14:paraId="64EC575B"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26.64</w:t>
            </w:r>
          </w:p>
        </w:tc>
        <w:tc>
          <w:tcPr>
            <w:tcW w:w="398" w:type="dxa"/>
            <w:shd w:val="clear" w:color="auto" w:fill="auto"/>
            <w:vAlign w:val="center"/>
          </w:tcPr>
          <w:p w14:paraId="59E0199F" w14:textId="77777777" w:rsidR="003C6CDE" w:rsidRPr="009514EA" w:rsidRDefault="003C6CDE" w:rsidP="009650CA">
            <w:pPr>
              <w:jc w:val="center"/>
              <w:rPr>
                <w:rFonts w:ascii="Times New Roman" w:hAnsi="Times New Roman" w:cs="Times New Roman"/>
                <w:sz w:val="13"/>
                <w:szCs w:val="13"/>
              </w:rPr>
            </w:pPr>
          </w:p>
        </w:tc>
        <w:tc>
          <w:tcPr>
            <w:tcW w:w="513" w:type="dxa"/>
            <w:shd w:val="clear" w:color="auto" w:fill="auto"/>
            <w:vAlign w:val="center"/>
          </w:tcPr>
          <w:p w14:paraId="0543C142"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16.71</w:t>
            </w:r>
          </w:p>
        </w:tc>
        <w:tc>
          <w:tcPr>
            <w:tcW w:w="447" w:type="dxa"/>
            <w:shd w:val="clear" w:color="auto" w:fill="auto"/>
            <w:vAlign w:val="center"/>
          </w:tcPr>
          <w:p w14:paraId="1359A1F3"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2.34</w:t>
            </w:r>
          </w:p>
        </w:tc>
        <w:tc>
          <w:tcPr>
            <w:tcW w:w="513" w:type="dxa"/>
            <w:shd w:val="clear" w:color="auto" w:fill="auto"/>
            <w:vAlign w:val="center"/>
          </w:tcPr>
          <w:p w14:paraId="70A697C1"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19.01</w:t>
            </w:r>
          </w:p>
        </w:tc>
        <w:tc>
          <w:tcPr>
            <w:tcW w:w="398" w:type="dxa"/>
            <w:shd w:val="clear" w:color="auto" w:fill="auto"/>
            <w:vAlign w:val="center"/>
          </w:tcPr>
          <w:p w14:paraId="4218B4F5"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4</w:t>
            </w:r>
          </w:p>
        </w:tc>
        <w:tc>
          <w:tcPr>
            <w:tcW w:w="513" w:type="dxa"/>
            <w:shd w:val="clear" w:color="auto" w:fill="auto"/>
            <w:vAlign w:val="center"/>
          </w:tcPr>
          <w:p w14:paraId="48E2FFEF"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22.18</w:t>
            </w:r>
          </w:p>
        </w:tc>
        <w:tc>
          <w:tcPr>
            <w:tcW w:w="398" w:type="dxa"/>
            <w:shd w:val="clear" w:color="auto" w:fill="auto"/>
            <w:vAlign w:val="center"/>
          </w:tcPr>
          <w:p w14:paraId="47814100"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15</w:t>
            </w:r>
          </w:p>
        </w:tc>
        <w:tc>
          <w:tcPr>
            <w:tcW w:w="398" w:type="dxa"/>
            <w:shd w:val="clear" w:color="auto" w:fill="auto"/>
            <w:vAlign w:val="center"/>
          </w:tcPr>
          <w:p w14:paraId="44A77A49"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18</w:t>
            </w:r>
          </w:p>
        </w:tc>
        <w:tc>
          <w:tcPr>
            <w:tcW w:w="513" w:type="dxa"/>
            <w:shd w:val="clear" w:color="auto" w:fill="auto"/>
            <w:vAlign w:val="center"/>
          </w:tcPr>
          <w:p w14:paraId="680B21D4"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68.42</w:t>
            </w:r>
          </w:p>
        </w:tc>
        <w:tc>
          <w:tcPr>
            <w:tcW w:w="447" w:type="dxa"/>
            <w:shd w:val="clear" w:color="auto" w:fill="auto"/>
            <w:vAlign w:val="center"/>
          </w:tcPr>
          <w:p w14:paraId="0E1D9DA8"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5.64</w:t>
            </w:r>
          </w:p>
        </w:tc>
        <w:tc>
          <w:tcPr>
            <w:tcW w:w="513" w:type="dxa"/>
            <w:shd w:val="clear" w:color="auto" w:fill="auto"/>
            <w:vAlign w:val="center"/>
          </w:tcPr>
          <w:p w14:paraId="2135EF21"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27.36</w:t>
            </w:r>
          </w:p>
        </w:tc>
        <w:tc>
          <w:tcPr>
            <w:tcW w:w="460" w:type="dxa"/>
            <w:shd w:val="clear" w:color="auto" w:fill="auto"/>
            <w:vAlign w:val="center"/>
          </w:tcPr>
          <w:p w14:paraId="2D238833"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236</w:t>
            </w:r>
          </w:p>
        </w:tc>
        <w:tc>
          <w:tcPr>
            <w:tcW w:w="460" w:type="dxa"/>
            <w:tcBorders>
              <w:right w:val="thinThickMediumGap" w:sz="24" w:space="0" w:color="000000"/>
            </w:tcBorders>
            <w:shd w:val="clear" w:color="auto" w:fill="auto"/>
            <w:vAlign w:val="center"/>
          </w:tcPr>
          <w:p w14:paraId="472CE3BE" w14:textId="77777777" w:rsidR="003C6CDE" w:rsidRPr="009514EA" w:rsidRDefault="003C6CDE" w:rsidP="009650CA">
            <w:pPr>
              <w:jc w:val="center"/>
              <w:rPr>
                <w:rFonts w:ascii="Times New Roman" w:hAnsi="Times New Roman" w:cs="Times New Roman"/>
                <w:sz w:val="13"/>
                <w:szCs w:val="13"/>
              </w:rPr>
            </w:pPr>
            <w:r w:rsidRPr="009514EA">
              <w:rPr>
                <w:rFonts w:ascii="Times New Roman" w:hAnsi="Times New Roman" w:cs="Times New Roman"/>
                <w:sz w:val="13"/>
                <w:szCs w:val="13"/>
              </w:rPr>
              <w:t>9.56</w:t>
            </w:r>
          </w:p>
        </w:tc>
      </w:tr>
      <w:tr w:rsidR="003C6CDE" w:rsidRPr="009514EA" w14:paraId="43445D0E" w14:textId="77777777" w:rsidTr="00F72C93">
        <w:tc>
          <w:tcPr>
            <w:tcW w:w="994" w:type="dxa"/>
            <w:tcBorders>
              <w:left w:val="thinThickMediumGap" w:sz="24" w:space="0" w:color="000000"/>
              <w:bottom w:val="thinThickMediumGap" w:sz="24" w:space="0" w:color="000000"/>
            </w:tcBorders>
            <w:shd w:val="clear" w:color="auto" w:fill="auto"/>
            <w:vAlign w:val="center"/>
          </w:tcPr>
          <w:p w14:paraId="00AA5882" w14:textId="77777777" w:rsidR="003C6CDE" w:rsidRPr="009514EA" w:rsidRDefault="003C6CDE" w:rsidP="009650CA">
            <w:pPr>
              <w:jc w:val="center"/>
              <w:rPr>
                <w:rFonts w:ascii="Times New Roman" w:hAnsi="Times New Roman" w:cs="Times New Roman"/>
                <w:sz w:val="16"/>
                <w:szCs w:val="16"/>
              </w:rPr>
            </w:pPr>
          </w:p>
        </w:tc>
        <w:tc>
          <w:tcPr>
            <w:tcW w:w="355" w:type="dxa"/>
            <w:tcBorders>
              <w:bottom w:val="thinThickMediumGap" w:sz="24" w:space="0" w:color="000000"/>
            </w:tcBorders>
            <w:shd w:val="clear" w:color="auto" w:fill="auto"/>
            <w:vAlign w:val="center"/>
          </w:tcPr>
          <w:p w14:paraId="22123457" w14:textId="77777777" w:rsidR="003C6CDE" w:rsidRPr="009514EA" w:rsidRDefault="003C6CDE" w:rsidP="009650CA">
            <w:pPr>
              <w:jc w:val="center"/>
              <w:rPr>
                <w:rFonts w:ascii="Times New Roman" w:hAnsi="Times New Roman" w:cs="Times New Roman"/>
                <w:sz w:val="16"/>
                <w:szCs w:val="16"/>
              </w:rPr>
            </w:pPr>
          </w:p>
        </w:tc>
        <w:tc>
          <w:tcPr>
            <w:tcW w:w="399" w:type="dxa"/>
            <w:tcBorders>
              <w:bottom w:val="thinThickMediumGap" w:sz="24" w:space="0" w:color="000000"/>
            </w:tcBorders>
            <w:shd w:val="clear" w:color="auto" w:fill="auto"/>
            <w:vAlign w:val="center"/>
          </w:tcPr>
          <w:p w14:paraId="2F6EC187"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w:t>
            </w:r>
          </w:p>
        </w:tc>
        <w:tc>
          <w:tcPr>
            <w:tcW w:w="399" w:type="dxa"/>
            <w:tcBorders>
              <w:bottom w:val="thinThickMediumGap" w:sz="24" w:space="0" w:color="000000"/>
            </w:tcBorders>
            <w:shd w:val="clear" w:color="auto" w:fill="auto"/>
            <w:vAlign w:val="center"/>
          </w:tcPr>
          <w:p w14:paraId="470327CE"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5</w:t>
            </w:r>
          </w:p>
        </w:tc>
        <w:tc>
          <w:tcPr>
            <w:tcW w:w="379" w:type="dxa"/>
            <w:tcBorders>
              <w:bottom w:val="thinThickMediumGap" w:sz="24" w:space="0" w:color="000000"/>
            </w:tcBorders>
            <w:shd w:val="clear" w:color="auto" w:fill="auto"/>
            <w:vAlign w:val="center"/>
          </w:tcPr>
          <w:p w14:paraId="5F1ADE2B"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7</w:t>
            </w:r>
          </w:p>
        </w:tc>
        <w:tc>
          <w:tcPr>
            <w:tcW w:w="513" w:type="dxa"/>
            <w:tcBorders>
              <w:bottom w:val="thinThickMediumGap" w:sz="24" w:space="0" w:color="000000"/>
            </w:tcBorders>
            <w:shd w:val="clear" w:color="auto" w:fill="auto"/>
            <w:vAlign w:val="center"/>
          </w:tcPr>
          <w:p w14:paraId="24C9EEFD"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13</w:t>
            </w:r>
          </w:p>
        </w:tc>
        <w:tc>
          <w:tcPr>
            <w:tcW w:w="398" w:type="dxa"/>
            <w:tcBorders>
              <w:bottom w:val="thinThickMediumGap" w:sz="24" w:space="0" w:color="000000"/>
            </w:tcBorders>
            <w:shd w:val="clear" w:color="auto" w:fill="auto"/>
            <w:vAlign w:val="center"/>
          </w:tcPr>
          <w:p w14:paraId="71E231CE" w14:textId="77777777" w:rsidR="003C6CDE" w:rsidRPr="009514EA" w:rsidRDefault="003C6CDE" w:rsidP="009650CA">
            <w:pPr>
              <w:jc w:val="center"/>
              <w:rPr>
                <w:rFonts w:ascii="Times New Roman" w:hAnsi="Times New Roman" w:cs="Times New Roman"/>
                <w:sz w:val="16"/>
                <w:szCs w:val="16"/>
              </w:rPr>
            </w:pPr>
          </w:p>
        </w:tc>
        <w:tc>
          <w:tcPr>
            <w:tcW w:w="513" w:type="dxa"/>
            <w:tcBorders>
              <w:bottom w:val="thinThickMediumGap" w:sz="24" w:space="0" w:color="000000"/>
            </w:tcBorders>
            <w:shd w:val="clear" w:color="auto" w:fill="auto"/>
            <w:vAlign w:val="center"/>
          </w:tcPr>
          <w:p w14:paraId="0D9D9A22"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9</w:t>
            </w:r>
          </w:p>
        </w:tc>
        <w:tc>
          <w:tcPr>
            <w:tcW w:w="447" w:type="dxa"/>
            <w:tcBorders>
              <w:bottom w:val="thinThickMediumGap" w:sz="24" w:space="0" w:color="000000"/>
            </w:tcBorders>
            <w:shd w:val="clear" w:color="auto" w:fill="auto"/>
            <w:vAlign w:val="center"/>
          </w:tcPr>
          <w:p w14:paraId="722ECC36"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2</w:t>
            </w:r>
          </w:p>
        </w:tc>
        <w:tc>
          <w:tcPr>
            <w:tcW w:w="513" w:type="dxa"/>
            <w:tcBorders>
              <w:bottom w:val="thinThickMediumGap" w:sz="24" w:space="0" w:color="000000"/>
            </w:tcBorders>
            <w:shd w:val="clear" w:color="auto" w:fill="auto"/>
            <w:vAlign w:val="center"/>
          </w:tcPr>
          <w:p w14:paraId="085D26DC"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11</w:t>
            </w:r>
          </w:p>
        </w:tc>
        <w:tc>
          <w:tcPr>
            <w:tcW w:w="398" w:type="dxa"/>
            <w:tcBorders>
              <w:bottom w:val="thinThickMediumGap" w:sz="24" w:space="0" w:color="000000"/>
            </w:tcBorders>
            <w:shd w:val="clear" w:color="auto" w:fill="auto"/>
            <w:vAlign w:val="center"/>
          </w:tcPr>
          <w:p w14:paraId="78A8877B"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3</w:t>
            </w:r>
          </w:p>
        </w:tc>
        <w:tc>
          <w:tcPr>
            <w:tcW w:w="513" w:type="dxa"/>
            <w:tcBorders>
              <w:bottom w:val="thinThickMediumGap" w:sz="24" w:space="0" w:color="000000"/>
            </w:tcBorders>
            <w:shd w:val="clear" w:color="auto" w:fill="auto"/>
            <w:vAlign w:val="center"/>
          </w:tcPr>
          <w:p w14:paraId="74627769"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12</w:t>
            </w:r>
          </w:p>
        </w:tc>
        <w:tc>
          <w:tcPr>
            <w:tcW w:w="398" w:type="dxa"/>
            <w:tcBorders>
              <w:bottom w:val="thinThickMediumGap" w:sz="24" w:space="0" w:color="000000"/>
            </w:tcBorders>
            <w:shd w:val="clear" w:color="auto" w:fill="auto"/>
            <w:vAlign w:val="center"/>
          </w:tcPr>
          <w:p w14:paraId="008BEF8F"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8</w:t>
            </w:r>
          </w:p>
        </w:tc>
        <w:tc>
          <w:tcPr>
            <w:tcW w:w="398" w:type="dxa"/>
            <w:tcBorders>
              <w:bottom w:val="thinThickMediumGap" w:sz="24" w:space="0" w:color="000000"/>
            </w:tcBorders>
            <w:shd w:val="clear" w:color="auto" w:fill="auto"/>
            <w:vAlign w:val="center"/>
          </w:tcPr>
          <w:p w14:paraId="1371F08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10</w:t>
            </w:r>
          </w:p>
        </w:tc>
        <w:tc>
          <w:tcPr>
            <w:tcW w:w="513" w:type="dxa"/>
            <w:tcBorders>
              <w:bottom w:val="thinThickMediumGap" w:sz="24" w:space="0" w:color="000000"/>
            </w:tcBorders>
            <w:shd w:val="clear" w:color="auto" w:fill="auto"/>
            <w:vAlign w:val="center"/>
          </w:tcPr>
          <w:p w14:paraId="15255200"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15</w:t>
            </w:r>
          </w:p>
        </w:tc>
        <w:tc>
          <w:tcPr>
            <w:tcW w:w="447" w:type="dxa"/>
            <w:tcBorders>
              <w:bottom w:val="thinThickMediumGap" w:sz="24" w:space="0" w:color="000000"/>
            </w:tcBorders>
            <w:shd w:val="clear" w:color="auto" w:fill="auto"/>
            <w:vAlign w:val="center"/>
          </w:tcPr>
          <w:p w14:paraId="53C778A4"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4</w:t>
            </w:r>
          </w:p>
        </w:tc>
        <w:tc>
          <w:tcPr>
            <w:tcW w:w="513" w:type="dxa"/>
            <w:tcBorders>
              <w:bottom w:val="thinThickMediumGap" w:sz="24" w:space="0" w:color="000000"/>
            </w:tcBorders>
            <w:shd w:val="clear" w:color="auto" w:fill="auto"/>
            <w:vAlign w:val="center"/>
          </w:tcPr>
          <w:p w14:paraId="266C1B56"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14</w:t>
            </w:r>
          </w:p>
        </w:tc>
        <w:tc>
          <w:tcPr>
            <w:tcW w:w="460" w:type="dxa"/>
            <w:tcBorders>
              <w:bottom w:val="thinThickMediumGap" w:sz="24" w:space="0" w:color="000000"/>
            </w:tcBorders>
            <w:shd w:val="clear" w:color="auto" w:fill="auto"/>
            <w:vAlign w:val="center"/>
          </w:tcPr>
          <w:p w14:paraId="1C6175AE"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16</w:t>
            </w:r>
          </w:p>
        </w:tc>
        <w:tc>
          <w:tcPr>
            <w:tcW w:w="460" w:type="dxa"/>
            <w:tcBorders>
              <w:bottom w:val="thinThickMediumGap" w:sz="24" w:space="0" w:color="000000"/>
              <w:right w:val="thinThickMediumGap" w:sz="24" w:space="0" w:color="000000"/>
            </w:tcBorders>
            <w:shd w:val="clear" w:color="auto" w:fill="auto"/>
            <w:vAlign w:val="center"/>
          </w:tcPr>
          <w:p w14:paraId="61EC59F8" w14:textId="77777777" w:rsidR="003C6CDE" w:rsidRPr="009514EA" w:rsidRDefault="003C6CDE" w:rsidP="009650CA">
            <w:pPr>
              <w:jc w:val="center"/>
              <w:rPr>
                <w:rFonts w:ascii="Times New Roman" w:hAnsi="Times New Roman" w:cs="Times New Roman"/>
                <w:sz w:val="16"/>
                <w:szCs w:val="16"/>
              </w:rPr>
            </w:pPr>
            <w:r w:rsidRPr="009514EA">
              <w:rPr>
                <w:rFonts w:ascii="Times New Roman" w:hAnsi="Times New Roman" w:cs="Times New Roman"/>
                <w:sz w:val="16"/>
                <w:szCs w:val="16"/>
              </w:rPr>
              <w:t>6</w:t>
            </w:r>
          </w:p>
        </w:tc>
      </w:tr>
    </w:tbl>
    <w:p w14:paraId="30B2B362" w14:textId="77777777" w:rsidR="003C6CDE" w:rsidRDefault="003C6CDE" w:rsidP="008F0D9B">
      <w:pPr>
        <w:spacing w:before="60" w:after="60" w:line="480" w:lineRule="auto"/>
      </w:pPr>
    </w:p>
    <w:p w14:paraId="425FEB6C" w14:textId="149DE6D0" w:rsidR="003C6CDE" w:rsidRDefault="003C6CDE" w:rsidP="008F0D9B">
      <w:pPr>
        <w:spacing w:before="60" w:after="60" w:line="480" w:lineRule="auto"/>
      </w:pPr>
      <w:r>
        <w:rPr>
          <w:noProof/>
          <w:lang w:eastAsia="en-GB"/>
        </w:rPr>
        <w:drawing>
          <wp:inline distT="0" distB="0" distL="0" distR="0" wp14:anchorId="05815DA4" wp14:editId="1158A0E5">
            <wp:extent cx="5486400" cy="32004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D7581C" w14:textId="5744E4DF" w:rsidR="003C6CDE" w:rsidRDefault="00330E1C" w:rsidP="008F0D9B">
      <w:pPr>
        <w:spacing w:before="60" w:after="60" w:line="480" w:lineRule="auto"/>
      </w:pPr>
      <w:r>
        <w:rPr>
          <w:noProof/>
          <w:lang w:eastAsia="en-GB"/>
        </w:rPr>
        <w:lastRenderedPageBreak/>
        <w:drawing>
          <wp:inline distT="0" distB="0" distL="0" distR="0" wp14:anchorId="090D3421" wp14:editId="631024B2">
            <wp:extent cx="5486400" cy="32004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F559C2" w14:textId="58BD8AF9" w:rsidR="003C6CDE" w:rsidRPr="001C7864" w:rsidRDefault="001C7864" w:rsidP="008F0D9B">
      <w:pPr>
        <w:spacing w:before="60" w:after="60" w:line="480" w:lineRule="auto"/>
        <w:rPr>
          <w:rFonts w:ascii="Times New Roman" w:hAnsi="Times New Roman" w:cs="Times New Roman"/>
          <w:sz w:val="24"/>
          <w:szCs w:val="24"/>
        </w:rPr>
      </w:pPr>
      <w:r>
        <w:rPr>
          <w:rFonts w:ascii="Times New Roman" w:hAnsi="Times New Roman" w:cs="Times New Roman"/>
          <w:sz w:val="24"/>
          <w:szCs w:val="24"/>
        </w:rPr>
        <w:t>Figure 7 illustrates two distinct approaches: NPM F undertaking less regular visi</w:t>
      </w:r>
      <w:r w:rsidR="004E5AB3">
        <w:rPr>
          <w:rFonts w:ascii="Times New Roman" w:hAnsi="Times New Roman" w:cs="Times New Roman"/>
          <w:sz w:val="24"/>
          <w:szCs w:val="24"/>
        </w:rPr>
        <w:t>t</w:t>
      </w:r>
      <w:r>
        <w:rPr>
          <w:rFonts w:ascii="Times New Roman" w:hAnsi="Times New Roman" w:cs="Times New Roman"/>
          <w:sz w:val="24"/>
          <w:szCs w:val="24"/>
        </w:rPr>
        <w:t xml:space="preserve">s than most NPMs in our survey (assessed by the proportion of prisons visited) but using </w:t>
      </w:r>
      <w:r w:rsidR="008518D8">
        <w:rPr>
          <w:rFonts w:ascii="Times New Roman" w:hAnsi="Times New Roman" w:cs="Times New Roman"/>
          <w:sz w:val="24"/>
          <w:szCs w:val="24"/>
        </w:rPr>
        <w:t>more personnel days</w:t>
      </w:r>
      <w:r>
        <w:rPr>
          <w:rFonts w:ascii="Times New Roman" w:hAnsi="Times New Roman" w:cs="Times New Roman"/>
          <w:sz w:val="24"/>
          <w:szCs w:val="24"/>
        </w:rPr>
        <w:t xml:space="preserve"> than others in each visit. NPM L on the other hand has a high degree or regularity (visiting a higher proportion of prison than most</w:t>
      </w:r>
      <w:r w:rsidR="00BB2723">
        <w:rPr>
          <w:rFonts w:ascii="Times New Roman" w:hAnsi="Times New Roman" w:cs="Times New Roman"/>
          <w:sz w:val="24"/>
          <w:szCs w:val="24"/>
        </w:rPr>
        <w:t xml:space="preserve"> and making more frequent visits</w:t>
      </w:r>
      <w:r>
        <w:rPr>
          <w:rFonts w:ascii="Times New Roman" w:hAnsi="Times New Roman" w:cs="Times New Roman"/>
          <w:sz w:val="24"/>
          <w:szCs w:val="24"/>
        </w:rPr>
        <w:t xml:space="preserve">) but using less </w:t>
      </w:r>
      <w:r w:rsidR="008518D8">
        <w:rPr>
          <w:rFonts w:ascii="Times New Roman" w:hAnsi="Times New Roman" w:cs="Times New Roman"/>
          <w:sz w:val="24"/>
          <w:szCs w:val="24"/>
        </w:rPr>
        <w:t>personnel days</w:t>
      </w:r>
      <w:r>
        <w:rPr>
          <w:rFonts w:ascii="Times New Roman" w:hAnsi="Times New Roman" w:cs="Times New Roman"/>
          <w:sz w:val="24"/>
          <w:szCs w:val="24"/>
        </w:rPr>
        <w:t xml:space="preserve"> for each vis</w:t>
      </w:r>
      <w:r w:rsidR="004E5AB3">
        <w:rPr>
          <w:rFonts w:ascii="Times New Roman" w:hAnsi="Times New Roman" w:cs="Times New Roman"/>
          <w:sz w:val="24"/>
          <w:szCs w:val="24"/>
        </w:rPr>
        <w:t>i</w:t>
      </w:r>
      <w:r>
        <w:rPr>
          <w:rFonts w:ascii="Times New Roman" w:hAnsi="Times New Roman" w:cs="Times New Roman"/>
          <w:sz w:val="24"/>
          <w:szCs w:val="24"/>
        </w:rPr>
        <w:t xml:space="preserve">t than almost any other NPM in our survey.  </w:t>
      </w:r>
      <w:r w:rsidR="003C6CDE" w:rsidRPr="001C7864">
        <w:rPr>
          <w:rFonts w:ascii="Times New Roman" w:hAnsi="Times New Roman" w:cs="Times New Roman"/>
          <w:sz w:val="24"/>
          <w:szCs w:val="24"/>
        </w:rPr>
        <w:t>Both Figure</w:t>
      </w:r>
      <w:r w:rsidR="004E5AB3">
        <w:rPr>
          <w:rFonts w:ascii="Times New Roman" w:hAnsi="Times New Roman" w:cs="Times New Roman"/>
          <w:sz w:val="24"/>
          <w:szCs w:val="24"/>
        </w:rPr>
        <w:t>s</w:t>
      </w:r>
      <w:r w:rsidR="003C6CDE" w:rsidRPr="001C7864">
        <w:rPr>
          <w:rFonts w:ascii="Times New Roman" w:hAnsi="Times New Roman" w:cs="Times New Roman"/>
          <w:sz w:val="24"/>
          <w:szCs w:val="24"/>
        </w:rPr>
        <w:t xml:space="preserve"> 7 and 8 raise the ques</w:t>
      </w:r>
      <w:r>
        <w:rPr>
          <w:rFonts w:ascii="Times New Roman" w:hAnsi="Times New Roman" w:cs="Times New Roman"/>
          <w:sz w:val="24"/>
          <w:szCs w:val="24"/>
        </w:rPr>
        <w:t xml:space="preserve">tion of whether, for instance, </w:t>
      </w:r>
      <w:r w:rsidR="003C6CDE" w:rsidRPr="001C7864">
        <w:rPr>
          <w:rFonts w:ascii="Times New Roman" w:hAnsi="Times New Roman" w:cs="Times New Roman"/>
          <w:sz w:val="24"/>
          <w:szCs w:val="24"/>
        </w:rPr>
        <w:t>NPM 'R</w:t>
      </w:r>
      <w:r w:rsidR="00517410">
        <w:rPr>
          <w:rFonts w:ascii="Times New Roman" w:hAnsi="Times New Roman" w:cs="Times New Roman"/>
          <w:sz w:val="24"/>
          <w:szCs w:val="24"/>
        </w:rPr>
        <w:t>'</w:t>
      </w:r>
      <w:r w:rsidR="003C6CDE" w:rsidRPr="001C7864">
        <w:rPr>
          <w:rFonts w:ascii="Times New Roman" w:hAnsi="Times New Roman" w:cs="Times New Roman"/>
          <w:sz w:val="24"/>
          <w:szCs w:val="24"/>
        </w:rPr>
        <w:t xml:space="preserve"> could or should do more regular visits with smaller teams or of shorter duration.  NPMs 'L' and 'M' might consider doing less regular visits of greater length and/or with larger visit teams.</w:t>
      </w:r>
      <w:r>
        <w:rPr>
          <w:rFonts w:ascii="Times New Roman" w:hAnsi="Times New Roman" w:cs="Times New Roman"/>
          <w:sz w:val="24"/>
          <w:szCs w:val="24"/>
        </w:rPr>
        <w:t xml:space="preserve">  </w:t>
      </w:r>
    </w:p>
    <w:p w14:paraId="4F7C89E9" w14:textId="77C39F22" w:rsidR="006A0F01" w:rsidRPr="009650CA" w:rsidRDefault="006A0F01">
      <w:pPr>
        <w:spacing w:before="60" w:after="60" w:line="480" w:lineRule="auto"/>
        <w:jc w:val="both"/>
        <w:rPr>
          <w:rFonts w:ascii="Times New Roman" w:eastAsia="Hiragino Sans W4" w:hAnsi="Times New Roman" w:cs="Times New Roman"/>
          <w:b/>
          <w:i/>
          <w:sz w:val="24"/>
          <w:szCs w:val="24"/>
        </w:rPr>
      </w:pPr>
      <w:r w:rsidRPr="009650CA">
        <w:rPr>
          <w:rFonts w:ascii="Times New Roman" w:eastAsia="Hiragino Sans W4" w:hAnsi="Times New Roman" w:cs="Times New Roman"/>
          <w:b/>
          <w:i/>
          <w:sz w:val="24"/>
          <w:szCs w:val="24"/>
        </w:rPr>
        <w:t>H.</w:t>
      </w:r>
      <w:r w:rsidRPr="009650CA">
        <w:rPr>
          <w:rFonts w:ascii="Times New Roman" w:eastAsia="Hiragino Sans W4" w:hAnsi="Times New Roman" w:cs="Times New Roman"/>
          <w:b/>
          <w:i/>
          <w:sz w:val="24"/>
          <w:szCs w:val="24"/>
        </w:rPr>
        <w:tab/>
        <w:t>Impact</w:t>
      </w:r>
    </w:p>
    <w:p w14:paraId="035DC9CE" w14:textId="00D9629C" w:rsidR="006C778E" w:rsidRDefault="006C778E" w:rsidP="006C778E">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 xml:space="preserve">It is of course true that ‘impact’ will depend as much or more so on the </w:t>
      </w:r>
      <w:r w:rsidRPr="006C778E">
        <w:rPr>
          <w:rFonts w:ascii="Times New Roman" w:eastAsia="Hiragino Sans W4" w:hAnsi="Times New Roman" w:cs="Times New Roman"/>
          <w:i/>
          <w:sz w:val="24"/>
          <w:szCs w:val="24"/>
        </w:rPr>
        <w:t>quality</w:t>
      </w:r>
      <w:r>
        <w:rPr>
          <w:rFonts w:ascii="Times New Roman" w:eastAsia="Hiragino Sans W4" w:hAnsi="Times New Roman" w:cs="Times New Roman"/>
          <w:sz w:val="24"/>
          <w:szCs w:val="24"/>
        </w:rPr>
        <w:t xml:space="preserve"> of an NPM’s visits and reports as their </w:t>
      </w:r>
      <w:r w:rsidRPr="006C778E">
        <w:rPr>
          <w:rFonts w:ascii="Times New Roman" w:eastAsia="Hiragino Sans W4" w:hAnsi="Times New Roman" w:cs="Times New Roman"/>
          <w:i/>
          <w:sz w:val="24"/>
          <w:szCs w:val="24"/>
        </w:rPr>
        <w:t>quantity</w:t>
      </w:r>
      <w:r>
        <w:rPr>
          <w:rFonts w:ascii="Times New Roman" w:eastAsia="Hiragino Sans W4" w:hAnsi="Times New Roman" w:cs="Times New Roman"/>
          <w:sz w:val="24"/>
          <w:szCs w:val="24"/>
        </w:rPr>
        <w:t xml:space="preserve"> or </w:t>
      </w:r>
      <w:r w:rsidRPr="006C778E">
        <w:rPr>
          <w:rFonts w:ascii="Times New Roman" w:eastAsia="Hiragino Sans W4" w:hAnsi="Times New Roman" w:cs="Times New Roman"/>
          <w:i/>
          <w:sz w:val="24"/>
          <w:szCs w:val="24"/>
        </w:rPr>
        <w:t>regularity</w:t>
      </w:r>
      <w:r>
        <w:rPr>
          <w:rFonts w:ascii="Times New Roman" w:eastAsia="Hiragino Sans W4" w:hAnsi="Times New Roman" w:cs="Times New Roman"/>
          <w:sz w:val="24"/>
          <w:szCs w:val="24"/>
        </w:rPr>
        <w:t>; nevertheless, we believe NPMs will want to consider carefully how the regularity of their visits contributes to their impact.</w:t>
      </w:r>
    </w:p>
    <w:p w14:paraId="50A46A1C" w14:textId="287DF647" w:rsidR="00681A87" w:rsidRDefault="006A0F01">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 xml:space="preserve">One of our hopes when we began this work was that we would be able to identify some relationship between the regularity of visits and </w:t>
      </w:r>
      <w:r w:rsidR="002E7F8D">
        <w:rPr>
          <w:rFonts w:ascii="Times New Roman" w:eastAsia="Hiragino Sans W4" w:hAnsi="Times New Roman" w:cs="Times New Roman"/>
          <w:sz w:val="24"/>
          <w:szCs w:val="24"/>
        </w:rPr>
        <w:t xml:space="preserve">their impact. It quickly became apparent that this would not be possible.  </w:t>
      </w:r>
      <w:r w:rsidR="00C27C4D">
        <w:rPr>
          <w:rFonts w:ascii="Times New Roman" w:eastAsia="Hiragino Sans W4" w:hAnsi="Times New Roman" w:cs="Times New Roman"/>
          <w:sz w:val="24"/>
          <w:szCs w:val="24"/>
        </w:rPr>
        <w:t>It was clear from NPM</w:t>
      </w:r>
      <w:r w:rsidR="00681A87">
        <w:rPr>
          <w:rFonts w:ascii="Times New Roman" w:eastAsia="Hiragino Sans W4" w:hAnsi="Times New Roman" w:cs="Times New Roman"/>
          <w:sz w:val="24"/>
          <w:szCs w:val="24"/>
        </w:rPr>
        <w:t>s</w:t>
      </w:r>
      <w:r w:rsidR="00C27C4D">
        <w:rPr>
          <w:rFonts w:ascii="Times New Roman" w:eastAsia="Hiragino Sans W4" w:hAnsi="Times New Roman" w:cs="Times New Roman"/>
          <w:sz w:val="24"/>
          <w:szCs w:val="24"/>
        </w:rPr>
        <w:t>'</w:t>
      </w:r>
      <w:r w:rsidR="00681A87">
        <w:rPr>
          <w:rFonts w:ascii="Times New Roman" w:eastAsia="Hiragino Sans W4" w:hAnsi="Times New Roman" w:cs="Times New Roman"/>
          <w:sz w:val="24"/>
          <w:szCs w:val="24"/>
        </w:rPr>
        <w:t xml:space="preserve"> own reports and the other literature we examined that t</w:t>
      </w:r>
      <w:r w:rsidR="002E7F8D">
        <w:rPr>
          <w:rFonts w:ascii="Times New Roman" w:eastAsia="Hiragino Sans W4" w:hAnsi="Times New Roman" w:cs="Times New Roman"/>
          <w:sz w:val="24"/>
          <w:szCs w:val="24"/>
        </w:rPr>
        <w:t>here so many variable</w:t>
      </w:r>
      <w:r w:rsidR="00681A87">
        <w:rPr>
          <w:rFonts w:ascii="Times New Roman" w:eastAsia="Hiragino Sans W4" w:hAnsi="Times New Roman" w:cs="Times New Roman"/>
          <w:sz w:val="24"/>
          <w:szCs w:val="24"/>
        </w:rPr>
        <w:t>s</w:t>
      </w:r>
      <w:r w:rsidR="002E7F8D">
        <w:rPr>
          <w:rFonts w:ascii="Times New Roman" w:eastAsia="Hiragino Sans W4" w:hAnsi="Times New Roman" w:cs="Times New Roman"/>
          <w:sz w:val="24"/>
          <w:szCs w:val="24"/>
        </w:rPr>
        <w:t xml:space="preserve"> in how NPMs defined regularity and in the context in </w:t>
      </w:r>
      <w:r w:rsidR="002E7F8D">
        <w:rPr>
          <w:rFonts w:ascii="Times New Roman" w:eastAsia="Hiragino Sans W4" w:hAnsi="Times New Roman" w:cs="Times New Roman"/>
          <w:sz w:val="24"/>
          <w:szCs w:val="24"/>
        </w:rPr>
        <w:lastRenderedPageBreak/>
        <w:t xml:space="preserve">which </w:t>
      </w:r>
      <w:r w:rsidR="00681A87">
        <w:rPr>
          <w:rFonts w:ascii="Times New Roman" w:eastAsia="Hiragino Sans W4" w:hAnsi="Times New Roman" w:cs="Times New Roman"/>
          <w:sz w:val="24"/>
          <w:szCs w:val="24"/>
        </w:rPr>
        <w:t xml:space="preserve">they </w:t>
      </w:r>
      <w:r w:rsidR="002E7F8D">
        <w:rPr>
          <w:rFonts w:ascii="Times New Roman" w:eastAsia="Hiragino Sans W4" w:hAnsi="Times New Roman" w:cs="Times New Roman"/>
          <w:sz w:val="24"/>
          <w:szCs w:val="24"/>
        </w:rPr>
        <w:t xml:space="preserve">operating that it was not possible to draw any conclusion about impact.  Indeed, it was clear that there was no </w:t>
      </w:r>
      <w:r w:rsidR="004A58B3">
        <w:rPr>
          <w:rFonts w:ascii="Times New Roman" w:eastAsia="Hiragino Sans W4" w:hAnsi="Times New Roman" w:cs="Times New Roman"/>
          <w:sz w:val="24"/>
          <w:szCs w:val="24"/>
        </w:rPr>
        <w:t xml:space="preserve">consistent and </w:t>
      </w:r>
      <w:r w:rsidR="002E7F8D">
        <w:rPr>
          <w:rFonts w:ascii="Times New Roman" w:eastAsia="Hiragino Sans W4" w:hAnsi="Times New Roman" w:cs="Times New Roman"/>
          <w:sz w:val="24"/>
          <w:szCs w:val="24"/>
        </w:rPr>
        <w:t>objective measure of impact in any case</w:t>
      </w:r>
      <w:r w:rsidR="00681A87">
        <w:rPr>
          <w:rFonts w:ascii="Times New Roman" w:eastAsia="Hiragino Sans W4" w:hAnsi="Times New Roman" w:cs="Times New Roman"/>
          <w:sz w:val="24"/>
          <w:szCs w:val="24"/>
        </w:rPr>
        <w:t>.</w:t>
      </w:r>
      <w:r w:rsidR="002E7F8D">
        <w:rPr>
          <w:rFonts w:ascii="Times New Roman" w:eastAsia="Hiragino Sans W4" w:hAnsi="Times New Roman" w:cs="Times New Roman"/>
          <w:sz w:val="24"/>
          <w:szCs w:val="24"/>
        </w:rPr>
        <w:t xml:space="preserve"> </w:t>
      </w:r>
    </w:p>
    <w:p w14:paraId="59723234" w14:textId="15329955" w:rsidR="004A58B3" w:rsidRDefault="008E0215">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noProof/>
          <w:sz w:val="24"/>
          <w:szCs w:val="24"/>
          <w:lang w:eastAsia="en-GB"/>
        </w:rPr>
        <w:drawing>
          <wp:anchor distT="0" distB="0" distL="114300" distR="114300" simplePos="0" relativeHeight="251670528" behindDoc="0" locked="0" layoutInCell="1" allowOverlap="1" wp14:anchorId="7290244B" wp14:editId="6F990527">
            <wp:simplePos x="0" y="0"/>
            <wp:positionH relativeFrom="column">
              <wp:posOffset>3213100</wp:posOffset>
            </wp:positionH>
            <wp:positionV relativeFrom="paragraph">
              <wp:posOffset>643931</wp:posOffset>
            </wp:positionV>
            <wp:extent cx="2696210" cy="2397760"/>
            <wp:effectExtent l="0" t="0" r="8890" b="1524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681A87">
        <w:rPr>
          <w:rFonts w:ascii="Times New Roman" w:eastAsia="Hiragino Sans W4" w:hAnsi="Times New Roman" w:cs="Times New Roman"/>
          <w:sz w:val="24"/>
          <w:szCs w:val="24"/>
        </w:rPr>
        <w:t>Our survey resul</w:t>
      </w:r>
      <w:r w:rsidR="001D024D">
        <w:rPr>
          <w:rFonts w:ascii="Times New Roman" w:eastAsia="Hiragino Sans W4" w:hAnsi="Times New Roman" w:cs="Times New Roman"/>
          <w:sz w:val="24"/>
          <w:szCs w:val="24"/>
        </w:rPr>
        <w:t xml:space="preserve">ts provided no further assistance. </w:t>
      </w:r>
      <w:r w:rsidR="00AE7FA7">
        <w:rPr>
          <w:rFonts w:ascii="Times New Roman" w:eastAsia="Hiragino Sans W4" w:hAnsi="Times New Roman" w:cs="Times New Roman"/>
          <w:sz w:val="24"/>
          <w:szCs w:val="24"/>
        </w:rPr>
        <w:t xml:space="preserve">In our survey </w:t>
      </w:r>
      <w:r w:rsidR="007B3BC7">
        <w:rPr>
          <w:rFonts w:ascii="Times New Roman" w:eastAsia="Hiragino Sans W4" w:hAnsi="Times New Roman" w:cs="Times New Roman"/>
          <w:sz w:val="24"/>
          <w:szCs w:val="24"/>
        </w:rPr>
        <w:t xml:space="preserve">we asked NPMs to give us their assessment about whether the prison had improved in each visit they made in 2017.  </w:t>
      </w:r>
      <w:r w:rsidR="001D024D">
        <w:rPr>
          <w:rFonts w:ascii="Times New Roman" w:eastAsia="Hiragino Sans W4" w:hAnsi="Times New Roman" w:cs="Times New Roman"/>
          <w:sz w:val="24"/>
          <w:szCs w:val="24"/>
        </w:rPr>
        <w:t>We</w:t>
      </w:r>
      <w:r w:rsidR="004D4BFA">
        <w:rPr>
          <w:rFonts w:ascii="Times New Roman" w:eastAsia="Hiragino Sans W4" w:hAnsi="Times New Roman" w:cs="Times New Roman"/>
          <w:sz w:val="24"/>
          <w:szCs w:val="24"/>
        </w:rPr>
        <w:t xml:space="preserve"> asked the</w:t>
      </w:r>
      <w:r w:rsidR="001D024D">
        <w:rPr>
          <w:rFonts w:ascii="Times New Roman" w:eastAsia="Hiragino Sans W4" w:hAnsi="Times New Roman" w:cs="Times New Roman"/>
          <w:sz w:val="24"/>
          <w:szCs w:val="24"/>
        </w:rPr>
        <w:t>m</w:t>
      </w:r>
      <w:r w:rsidR="004D4BFA">
        <w:rPr>
          <w:rFonts w:ascii="Times New Roman" w:eastAsia="Hiragino Sans W4" w:hAnsi="Times New Roman" w:cs="Times New Roman"/>
          <w:sz w:val="24"/>
          <w:szCs w:val="24"/>
        </w:rPr>
        <w:t xml:space="preserve"> to categ</w:t>
      </w:r>
      <w:r w:rsidR="001D024D">
        <w:rPr>
          <w:rFonts w:ascii="Times New Roman" w:eastAsia="Hiragino Sans W4" w:hAnsi="Times New Roman" w:cs="Times New Roman"/>
          <w:sz w:val="24"/>
          <w:szCs w:val="24"/>
        </w:rPr>
        <w:t>o</w:t>
      </w:r>
      <w:r w:rsidR="004D4BFA">
        <w:rPr>
          <w:rFonts w:ascii="Times New Roman" w:eastAsia="Hiragino Sans W4" w:hAnsi="Times New Roman" w:cs="Times New Roman"/>
          <w:sz w:val="24"/>
          <w:szCs w:val="24"/>
        </w:rPr>
        <w:t xml:space="preserve">rise progress as 'improved' 'stayed the same' or 'declined'.  </w:t>
      </w:r>
      <w:r w:rsidR="007B3BC7">
        <w:rPr>
          <w:rFonts w:ascii="Times New Roman" w:eastAsia="Hiragino Sans W4" w:hAnsi="Times New Roman" w:cs="Times New Roman"/>
          <w:sz w:val="24"/>
          <w:szCs w:val="24"/>
        </w:rPr>
        <w:t xml:space="preserve">The questionnaire noted: </w:t>
      </w:r>
    </w:p>
    <w:p w14:paraId="30CBAF29" w14:textId="55A1E242" w:rsidR="007B3BC7" w:rsidRPr="004A58B3" w:rsidRDefault="008E0215" w:rsidP="009650CA">
      <w:pPr>
        <w:spacing w:before="60" w:after="60" w:line="480" w:lineRule="auto"/>
        <w:ind w:left="720"/>
        <w:jc w:val="both"/>
        <w:rPr>
          <w:rFonts w:ascii="Times New Roman" w:eastAsia="Hiragino Sans W4" w:hAnsi="Times New Roman" w:cs="Times New Roman"/>
          <w:sz w:val="20"/>
          <w:szCs w:val="20"/>
        </w:rPr>
      </w:pPr>
      <w:r>
        <w:rPr>
          <w:rFonts w:ascii="Times New Roman" w:eastAsia="Hiragino Sans W4" w:hAnsi="Times New Roman" w:cs="Times New Roman"/>
          <w:noProof/>
          <w:sz w:val="24"/>
          <w:szCs w:val="24"/>
          <w:lang w:eastAsia="en-GB"/>
        </w:rPr>
        <w:drawing>
          <wp:anchor distT="0" distB="0" distL="114300" distR="114300" simplePos="0" relativeHeight="251671552" behindDoc="0" locked="0" layoutInCell="1" allowOverlap="1" wp14:anchorId="2193B1A7" wp14:editId="1995BB90">
            <wp:simplePos x="0" y="0"/>
            <wp:positionH relativeFrom="column">
              <wp:posOffset>3212289</wp:posOffset>
            </wp:positionH>
            <wp:positionV relativeFrom="paragraph">
              <wp:posOffset>1783053</wp:posOffset>
            </wp:positionV>
            <wp:extent cx="2705735" cy="2556510"/>
            <wp:effectExtent l="0" t="0" r="12065" b="889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B3BC7" w:rsidRPr="004A58B3">
        <w:rPr>
          <w:rFonts w:ascii="Times New Roman" w:hAnsi="Times New Roman" w:cs="Times New Roman"/>
          <w:sz w:val="20"/>
          <w:szCs w:val="20"/>
        </w:rPr>
        <w:t>NPMs have different ways of measuring the impact of their visits. This may include an overall assessment, analysis of recommendations implemented or some other way.  We recognise that many NPMs will not make an overall judgement of this kind.  Nevertheless, it would be helpful if we had some view from the NPM of whether the prison has made progress since the its last visit.</w:t>
      </w:r>
      <w:r w:rsidR="00BB7867" w:rsidRPr="004A58B3">
        <w:rPr>
          <w:rFonts w:ascii="Times New Roman" w:hAnsi="Times New Roman" w:cs="Times New Roman"/>
          <w:sz w:val="20"/>
          <w:szCs w:val="20"/>
        </w:rPr>
        <w:t xml:space="preserve"> </w:t>
      </w:r>
    </w:p>
    <w:p w14:paraId="5CF74008" w14:textId="7A8955BC" w:rsidR="00687954" w:rsidRDefault="0054525E"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 xml:space="preserve">Twelve </w:t>
      </w:r>
      <w:r w:rsidR="004D4BFA">
        <w:rPr>
          <w:rFonts w:ascii="Times New Roman" w:eastAsia="Hiragino Sans W4" w:hAnsi="Times New Roman" w:cs="Times New Roman"/>
          <w:sz w:val="24"/>
          <w:szCs w:val="24"/>
        </w:rPr>
        <w:t>NPM</w:t>
      </w:r>
      <w:r w:rsidR="003D1C50">
        <w:rPr>
          <w:rFonts w:ascii="Times New Roman" w:eastAsia="Hiragino Sans W4" w:hAnsi="Times New Roman" w:cs="Times New Roman"/>
          <w:sz w:val="24"/>
          <w:szCs w:val="24"/>
        </w:rPr>
        <w:t xml:space="preserve">s gave us their assessment </w:t>
      </w:r>
      <w:r w:rsidR="004A58B3">
        <w:rPr>
          <w:rFonts w:ascii="Times New Roman" w:eastAsia="Hiragino Sans W4" w:hAnsi="Times New Roman" w:cs="Times New Roman"/>
          <w:sz w:val="24"/>
          <w:szCs w:val="24"/>
        </w:rPr>
        <w:t xml:space="preserve">for 81 visits undertaken in 2017 </w:t>
      </w:r>
      <w:r w:rsidR="003D1C50">
        <w:rPr>
          <w:rFonts w:ascii="Times New Roman" w:eastAsia="Hiragino Sans W4" w:hAnsi="Times New Roman" w:cs="Times New Roman"/>
          <w:sz w:val="24"/>
          <w:szCs w:val="24"/>
        </w:rPr>
        <w:t xml:space="preserve">of whether the prisons concerned had made progress </w:t>
      </w:r>
      <w:r w:rsidR="004D4BFA">
        <w:rPr>
          <w:rFonts w:ascii="Times New Roman" w:eastAsia="Hiragino Sans W4" w:hAnsi="Times New Roman" w:cs="Times New Roman"/>
          <w:sz w:val="24"/>
          <w:szCs w:val="24"/>
        </w:rPr>
        <w:t>since the previous visi</w:t>
      </w:r>
      <w:r w:rsidR="004A58B3">
        <w:rPr>
          <w:rFonts w:ascii="Times New Roman" w:eastAsia="Hiragino Sans W4" w:hAnsi="Times New Roman" w:cs="Times New Roman"/>
          <w:sz w:val="24"/>
          <w:szCs w:val="24"/>
        </w:rPr>
        <w:t>t</w:t>
      </w:r>
      <w:r w:rsidR="004D4BFA">
        <w:rPr>
          <w:rFonts w:ascii="Times New Roman" w:eastAsia="Hiragino Sans W4" w:hAnsi="Times New Roman" w:cs="Times New Roman"/>
          <w:sz w:val="24"/>
          <w:szCs w:val="24"/>
        </w:rPr>
        <w:t>.  In other cases</w:t>
      </w:r>
      <w:r>
        <w:rPr>
          <w:rFonts w:ascii="Times New Roman" w:eastAsia="Hiragino Sans W4" w:hAnsi="Times New Roman" w:cs="Times New Roman"/>
          <w:sz w:val="24"/>
          <w:szCs w:val="24"/>
        </w:rPr>
        <w:t xml:space="preserve">, </w:t>
      </w:r>
      <w:r w:rsidR="004D4BFA">
        <w:rPr>
          <w:rFonts w:ascii="Times New Roman" w:eastAsia="Hiragino Sans W4" w:hAnsi="Times New Roman" w:cs="Times New Roman"/>
          <w:sz w:val="24"/>
          <w:szCs w:val="24"/>
        </w:rPr>
        <w:t>2017 was the f</w:t>
      </w:r>
      <w:r>
        <w:rPr>
          <w:rFonts w:ascii="Times New Roman" w:eastAsia="Hiragino Sans W4" w:hAnsi="Times New Roman" w:cs="Times New Roman"/>
          <w:sz w:val="24"/>
          <w:szCs w:val="24"/>
        </w:rPr>
        <w:t>i</w:t>
      </w:r>
      <w:r w:rsidR="004D4BFA">
        <w:rPr>
          <w:rFonts w:ascii="Times New Roman" w:eastAsia="Hiragino Sans W4" w:hAnsi="Times New Roman" w:cs="Times New Roman"/>
          <w:sz w:val="24"/>
          <w:szCs w:val="24"/>
        </w:rPr>
        <w:t>rst vis</w:t>
      </w:r>
      <w:r>
        <w:rPr>
          <w:rFonts w:ascii="Times New Roman" w:eastAsia="Hiragino Sans W4" w:hAnsi="Times New Roman" w:cs="Times New Roman"/>
          <w:sz w:val="24"/>
          <w:szCs w:val="24"/>
        </w:rPr>
        <w:t>i</w:t>
      </w:r>
      <w:r w:rsidR="004D4BFA">
        <w:rPr>
          <w:rFonts w:ascii="Times New Roman" w:eastAsia="Hiragino Sans W4" w:hAnsi="Times New Roman" w:cs="Times New Roman"/>
          <w:sz w:val="24"/>
          <w:szCs w:val="24"/>
        </w:rPr>
        <w:t>t to the prison concerned or the NPM was unable to provide the assessm</w:t>
      </w:r>
      <w:r>
        <w:rPr>
          <w:rFonts w:ascii="Times New Roman" w:eastAsia="Hiragino Sans W4" w:hAnsi="Times New Roman" w:cs="Times New Roman"/>
          <w:sz w:val="24"/>
          <w:szCs w:val="24"/>
        </w:rPr>
        <w:t>ent we requested for other reaso</w:t>
      </w:r>
      <w:r w:rsidR="004D4BFA">
        <w:rPr>
          <w:rFonts w:ascii="Times New Roman" w:eastAsia="Hiragino Sans W4" w:hAnsi="Times New Roman" w:cs="Times New Roman"/>
          <w:sz w:val="24"/>
          <w:szCs w:val="24"/>
        </w:rPr>
        <w:t>ns.</w:t>
      </w:r>
      <w:r w:rsidR="004A58B3">
        <w:rPr>
          <w:rFonts w:ascii="Times New Roman" w:eastAsia="Hiragino Sans W4" w:hAnsi="Times New Roman" w:cs="Times New Roman"/>
          <w:sz w:val="24"/>
          <w:szCs w:val="24"/>
        </w:rPr>
        <w:t xml:space="preserve">  We have examined this data in various ways and </w:t>
      </w:r>
      <w:r w:rsidR="0098428B">
        <w:rPr>
          <w:rFonts w:ascii="Times New Roman" w:eastAsia="Hiragino Sans W4" w:hAnsi="Times New Roman" w:cs="Times New Roman"/>
          <w:sz w:val="24"/>
          <w:szCs w:val="24"/>
        </w:rPr>
        <w:t xml:space="preserve">on the basis of the data available to us, </w:t>
      </w:r>
      <w:r w:rsidR="004A58B3">
        <w:rPr>
          <w:rFonts w:ascii="Times New Roman" w:eastAsia="Hiragino Sans W4" w:hAnsi="Times New Roman" w:cs="Times New Roman"/>
          <w:sz w:val="24"/>
          <w:szCs w:val="24"/>
        </w:rPr>
        <w:t xml:space="preserve">no clear pattern emerged. </w:t>
      </w:r>
      <w:r w:rsidR="00446A75">
        <w:rPr>
          <w:rFonts w:ascii="Times New Roman" w:eastAsia="Hiragino Sans W4" w:hAnsi="Times New Roman" w:cs="Times New Roman"/>
          <w:sz w:val="24"/>
          <w:szCs w:val="24"/>
        </w:rPr>
        <w:t xml:space="preserve">Figures 9 and 10 illustrate progress against the intensity of the visit (the number of </w:t>
      </w:r>
      <w:r w:rsidR="001E3357">
        <w:rPr>
          <w:rFonts w:ascii="Times New Roman" w:eastAsia="Hiragino Sans W4" w:hAnsi="Times New Roman" w:cs="Times New Roman"/>
          <w:sz w:val="24"/>
          <w:szCs w:val="24"/>
        </w:rPr>
        <w:t>personnel</w:t>
      </w:r>
      <w:r w:rsidR="00446A75">
        <w:rPr>
          <w:rFonts w:ascii="Times New Roman" w:eastAsia="Hiragino Sans W4" w:hAnsi="Times New Roman" w:cs="Times New Roman"/>
          <w:sz w:val="24"/>
          <w:szCs w:val="24"/>
        </w:rPr>
        <w:t xml:space="preserve"> days deployed) and the frequency of the visit (the average months between previous visits).  Furthermore, </w:t>
      </w:r>
      <w:r w:rsidR="009650CA">
        <w:rPr>
          <w:rFonts w:ascii="Times New Roman" w:eastAsia="Hiragino Sans W4" w:hAnsi="Times New Roman" w:cs="Times New Roman"/>
          <w:sz w:val="24"/>
          <w:szCs w:val="24"/>
        </w:rPr>
        <w:t>it would seem from the survey</w:t>
      </w:r>
      <w:r w:rsidR="00446A75">
        <w:rPr>
          <w:rFonts w:ascii="Times New Roman" w:eastAsia="Hiragino Sans W4" w:hAnsi="Times New Roman" w:cs="Times New Roman"/>
          <w:sz w:val="24"/>
          <w:szCs w:val="24"/>
        </w:rPr>
        <w:t xml:space="preserve"> that there was no consistency in the way that NPMs assessed progress</w:t>
      </w:r>
      <w:r w:rsidR="009650CA">
        <w:rPr>
          <w:rFonts w:ascii="Times New Roman" w:eastAsia="Hiragino Sans W4" w:hAnsi="Times New Roman" w:cs="Times New Roman"/>
          <w:sz w:val="24"/>
          <w:szCs w:val="24"/>
        </w:rPr>
        <w:t>, although we do recognise that more research needs to be done to determine the accuracy of this finding</w:t>
      </w:r>
      <w:r w:rsidR="00446A75">
        <w:rPr>
          <w:rFonts w:ascii="Times New Roman" w:eastAsia="Hiragino Sans W4" w:hAnsi="Times New Roman" w:cs="Times New Roman"/>
          <w:sz w:val="24"/>
          <w:szCs w:val="24"/>
        </w:rPr>
        <w:t>.</w:t>
      </w:r>
    </w:p>
    <w:p w14:paraId="4D291F65" w14:textId="3F9AE76D" w:rsidR="00284499" w:rsidRDefault="00284499" w:rsidP="008F0D9B">
      <w:pPr>
        <w:spacing w:before="60" w:after="60" w:line="480" w:lineRule="auto"/>
        <w:jc w:val="both"/>
        <w:rPr>
          <w:rFonts w:ascii="Times New Roman" w:eastAsia="Hiragino Sans W4" w:hAnsi="Times New Roman" w:cs="Times New Roman"/>
          <w:sz w:val="24"/>
          <w:szCs w:val="24"/>
        </w:rPr>
      </w:pPr>
    </w:p>
    <w:p w14:paraId="448CC56F" w14:textId="77777777" w:rsidR="00A173C6" w:rsidRDefault="00A173C6" w:rsidP="00EE7999">
      <w:pPr>
        <w:pStyle w:val="Heading2"/>
        <w:rPr>
          <w:rFonts w:ascii="Times New Roman" w:eastAsia="Hiragino Sans W4" w:hAnsi="Times New Roman" w:cs="Times New Roman"/>
          <w:sz w:val="24"/>
          <w:szCs w:val="24"/>
        </w:rPr>
      </w:pPr>
    </w:p>
    <w:p w14:paraId="75C0BB21" w14:textId="324E6921" w:rsidR="00F34954" w:rsidRDefault="008E0215" w:rsidP="007F6071">
      <w:pPr>
        <w:pStyle w:val="Heading2"/>
        <w:rPr>
          <w:rFonts w:eastAsia="Hiragino Sans W4"/>
        </w:rPr>
      </w:pPr>
      <w:r>
        <w:rPr>
          <w:rFonts w:ascii="Times New Roman" w:eastAsia="Hiragino Sans W4" w:hAnsi="Times New Roman" w:cs="Times New Roman"/>
          <w:sz w:val="24"/>
          <w:szCs w:val="24"/>
        </w:rPr>
        <w:t>I</w:t>
      </w:r>
      <w:r w:rsidR="00CD132C" w:rsidRPr="00CD132C">
        <w:rPr>
          <w:rFonts w:ascii="Times New Roman" w:eastAsia="Hiragino Sans W4" w:hAnsi="Times New Roman" w:cs="Times New Roman"/>
          <w:sz w:val="24"/>
          <w:szCs w:val="24"/>
        </w:rPr>
        <w:t>.</w:t>
      </w:r>
      <w:r w:rsidR="00CD132C" w:rsidRPr="00CD132C">
        <w:rPr>
          <w:rFonts w:ascii="Times New Roman" w:eastAsia="Hiragino Sans W4" w:hAnsi="Times New Roman" w:cs="Times New Roman"/>
          <w:sz w:val="24"/>
          <w:szCs w:val="24"/>
        </w:rPr>
        <w:tab/>
      </w:r>
      <w:r w:rsidR="00AD7BD0" w:rsidRPr="00CD132C">
        <w:rPr>
          <w:rFonts w:ascii="Times New Roman" w:eastAsia="Hiragino Sans W4" w:hAnsi="Times New Roman" w:cs="Times New Roman"/>
          <w:sz w:val="24"/>
          <w:szCs w:val="24"/>
        </w:rPr>
        <w:t>Conclusions</w:t>
      </w:r>
    </w:p>
    <w:p w14:paraId="168CB902" w14:textId="68775F48" w:rsidR="004E73C5" w:rsidRDefault="006B135D"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Across the world NPMs have been established at great speed.  In Europe alone, i</w:t>
      </w:r>
      <w:r w:rsidR="004E73C5">
        <w:rPr>
          <w:rFonts w:ascii="Times New Roman" w:eastAsia="Hiragino Sans W4" w:hAnsi="Times New Roman" w:cs="Times New Roman"/>
          <w:sz w:val="24"/>
          <w:szCs w:val="24"/>
        </w:rPr>
        <w:t>n little more than a decade,</w:t>
      </w:r>
      <w:r>
        <w:rPr>
          <w:rFonts w:ascii="Times New Roman" w:eastAsia="Hiragino Sans W4" w:hAnsi="Times New Roman" w:cs="Times New Roman"/>
          <w:sz w:val="24"/>
          <w:szCs w:val="24"/>
        </w:rPr>
        <w:t xml:space="preserve"> </w:t>
      </w:r>
      <w:r w:rsidR="00141739">
        <w:rPr>
          <w:rFonts w:ascii="Times New Roman" w:eastAsia="Hiragino Sans W4" w:hAnsi="Times New Roman" w:cs="Times New Roman"/>
          <w:sz w:val="24"/>
          <w:szCs w:val="24"/>
        </w:rPr>
        <w:t>38 NPMs have been designated.  Every year</w:t>
      </w:r>
      <w:r>
        <w:rPr>
          <w:rFonts w:ascii="Times New Roman" w:eastAsia="Hiragino Sans W4" w:hAnsi="Times New Roman" w:cs="Times New Roman"/>
          <w:sz w:val="24"/>
          <w:szCs w:val="24"/>
        </w:rPr>
        <w:t xml:space="preserve"> </w:t>
      </w:r>
      <w:r w:rsidR="00141739">
        <w:rPr>
          <w:rFonts w:ascii="Times New Roman" w:eastAsia="Hiragino Sans W4" w:hAnsi="Times New Roman" w:cs="Times New Roman"/>
          <w:sz w:val="24"/>
          <w:szCs w:val="24"/>
        </w:rPr>
        <w:t xml:space="preserve">they </w:t>
      </w:r>
      <w:r>
        <w:rPr>
          <w:rFonts w:ascii="Times New Roman" w:eastAsia="Hiragino Sans W4" w:hAnsi="Times New Roman" w:cs="Times New Roman"/>
          <w:sz w:val="24"/>
          <w:szCs w:val="24"/>
        </w:rPr>
        <w:t xml:space="preserve">are carrying out </w:t>
      </w:r>
      <w:r w:rsidR="00141739">
        <w:rPr>
          <w:rFonts w:ascii="Times New Roman" w:eastAsia="Hiragino Sans W4" w:hAnsi="Times New Roman" w:cs="Times New Roman"/>
          <w:sz w:val="24"/>
          <w:szCs w:val="24"/>
        </w:rPr>
        <w:t xml:space="preserve">hundreds </w:t>
      </w:r>
      <w:r>
        <w:rPr>
          <w:rFonts w:ascii="Times New Roman" w:eastAsia="Hiragino Sans W4" w:hAnsi="Times New Roman" w:cs="Times New Roman"/>
          <w:sz w:val="24"/>
          <w:szCs w:val="24"/>
        </w:rPr>
        <w:t>independent preventive visits to places of deprivation of liberty which in many cases were hidden from scrutiny before.</w:t>
      </w:r>
      <w:r w:rsidR="00141739">
        <w:rPr>
          <w:rFonts w:ascii="Times New Roman" w:eastAsia="Hiragino Sans W4" w:hAnsi="Times New Roman" w:cs="Times New Roman"/>
          <w:sz w:val="24"/>
          <w:szCs w:val="24"/>
        </w:rPr>
        <w:t xml:space="preserve">  The very speed of their</w:t>
      </w:r>
      <w:r w:rsidR="007E778F">
        <w:rPr>
          <w:rFonts w:ascii="Times New Roman" w:eastAsia="Hiragino Sans W4" w:hAnsi="Times New Roman" w:cs="Times New Roman"/>
          <w:sz w:val="24"/>
          <w:szCs w:val="24"/>
        </w:rPr>
        <w:t xml:space="preserve"> development has meant there is relatively</w:t>
      </w:r>
      <w:r w:rsidR="00141739">
        <w:rPr>
          <w:rFonts w:ascii="Times New Roman" w:eastAsia="Hiragino Sans W4" w:hAnsi="Times New Roman" w:cs="Times New Roman"/>
          <w:sz w:val="24"/>
          <w:szCs w:val="24"/>
        </w:rPr>
        <w:t xml:space="preserve"> little detailed evidence of how NPMs have gone about their task and 'what works'. This limits the opportunity for new NPMs</w:t>
      </w:r>
      <w:r w:rsidR="00EE4BB3">
        <w:rPr>
          <w:rFonts w:ascii="Times New Roman" w:eastAsia="Hiragino Sans W4" w:hAnsi="Times New Roman" w:cs="Times New Roman"/>
          <w:sz w:val="24"/>
          <w:szCs w:val="24"/>
        </w:rPr>
        <w:t>, including that in Australia,</w:t>
      </w:r>
      <w:r w:rsidR="00141739">
        <w:rPr>
          <w:rFonts w:ascii="Times New Roman" w:eastAsia="Hiragino Sans W4" w:hAnsi="Times New Roman" w:cs="Times New Roman"/>
          <w:sz w:val="24"/>
          <w:szCs w:val="24"/>
        </w:rPr>
        <w:t xml:space="preserve"> to draw on the experience of those that have gone before.   Th</w:t>
      </w:r>
      <w:r w:rsidR="009650CA">
        <w:rPr>
          <w:rFonts w:ascii="Times New Roman" w:eastAsia="Hiragino Sans W4" w:hAnsi="Times New Roman" w:cs="Times New Roman"/>
          <w:sz w:val="24"/>
          <w:szCs w:val="24"/>
        </w:rPr>
        <w:t>e</w:t>
      </w:r>
      <w:r w:rsidR="00141739">
        <w:rPr>
          <w:rFonts w:ascii="Times New Roman" w:eastAsia="Hiragino Sans W4" w:hAnsi="Times New Roman" w:cs="Times New Roman"/>
          <w:sz w:val="24"/>
          <w:szCs w:val="24"/>
        </w:rPr>
        <w:t xml:space="preserve"> paper explored on</w:t>
      </w:r>
      <w:r w:rsidR="009650CA">
        <w:rPr>
          <w:rFonts w:ascii="Times New Roman" w:eastAsia="Hiragino Sans W4" w:hAnsi="Times New Roman" w:cs="Times New Roman"/>
          <w:sz w:val="24"/>
          <w:szCs w:val="24"/>
        </w:rPr>
        <w:t>e</w:t>
      </w:r>
      <w:r w:rsidR="00141739">
        <w:rPr>
          <w:rFonts w:ascii="Times New Roman" w:eastAsia="Hiragino Sans W4" w:hAnsi="Times New Roman" w:cs="Times New Roman"/>
          <w:sz w:val="24"/>
          <w:szCs w:val="24"/>
        </w:rPr>
        <w:t xml:space="preserve"> of the most basic questions facing NPMs: how NPMs </w:t>
      </w:r>
      <w:r w:rsidR="007E778F">
        <w:rPr>
          <w:rFonts w:ascii="Times New Roman" w:eastAsia="Hiragino Sans W4" w:hAnsi="Times New Roman" w:cs="Times New Roman"/>
          <w:sz w:val="24"/>
          <w:szCs w:val="24"/>
        </w:rPr>
        <w:t xml:space="preserve">understand and apply the requirement to undertake 'regular' visits. </w:t>
      </w:r>
    </w:p>
    <w:p w14:paraId="3A0CC324" w14:textId="44E8F874" w:rsidR="00A33009" w:rsidRPr="00114918" w:rsidRDefault="00A33009"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Undertaking ‘regular’ visits appears, on the face of OPCAT, to be one of the more concrete elements of an effective NPM and relatively easy to comprehend in terms of what an NPM is required to do. In reality, as we hope this paper has shown, the situation is more nuanced for a variety of reasons.</w:t>
      </w:r>
    </w:p>
    <w:p w14:paraId="57C78AAA" w14:textId="37309437" w:rsidR="00D0030C" w:rsidRPr="00114918" w:rsidRDefault="00E76EBA" w:rsidP="008F0D9B">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 xml:space="preserve">One clear conclusion from our research is that while many of the NPMs we examined used the term ‘regular’ in their annual reports, </w:t>
      </w:r>
      <w:r w:rsidR="00E97FAD" w:rsidRPr="00114918">
        <w:rPr>
          <w:rFonts w:ascii="Times New Roman" w:eastAsia="Hiragino Sans W4" w:hAnsi="Times New Roman" w:cs="Times New Roman"/>
          <w:sz w:val="24"/>
          <w:szCs w:val="24"/>
        </w:rPr>
        <w:t xml:space="preserve">this meant different things to different </w:t>
      </w:r>
      <w:r w:rsidR="00BB72B5" w:rsidRPr="00114918">
        <w:rPr>
          <w:rFonts w:ascii="Times New Roman" w:eastAsia="Hiragino Sans W4" w:hAnsi="Times New Roman" w:cs="Times New Roman"/>
          <w:sz w:val="24"/>
          <w:szCs w:val="24"/>
        </w:rPr>
        <w:t>organisations and regularity was no</w:t>
      </w:r>
      <w:r w:rsidR="00D0030C" w:rsidRPr="00114918">
        <w:rPr>
          <w:rFonts w:ascii="Times New Roman" w:eastAsia="Hiragino Sans W4" w:hAnsi="Times New Roman" w:cs="Times New Roman"/>
          <w:sz w:val="24"/>
          <w:szCs w:val="24"/>
        </w:rPr>
        <w:t>t always equated with frequent</w:t>
      </w:r>
      <w:r w:rsidR="00BB72B5" w:rsidRPr="00114918">
        <w:rPr>
          <w:rFonts w:ascii="Times New Roman" w:eastAsia="Hiragino Sans W4" w:hAnsi="Times New Roman" w:cs="Times New Roman"/>
          <w:sz w:val="24"/>
          <w:szCs w:val="24"/>
        </w:rPr>
        <w:t>.</w:t>
      </w:r>
      <w:r w:rsidR="00BF42E7" w:rsidRPr="00114918">
        <w:rPr>
          <w:rFonts w:ascii="Times New Roman" w:eastAsia="Hiragino Sans W4" w:hAnsi="Times New Roman" w:cs="Times New Roman"/>
          <w:sz w:val="24"/>
          <w:szCs w:val="24"/>
        </w:rPr>
        <w:t xml:space="preserve"> </w:t>
      </w:r>
      <w:r w:rsidR="00EE4BB3">
        <w:rPr>
          <w:rFonts w:ascii="Times New Roman" w:eastAsia="Hiragino Sans W4" w:hAnsi="Times New Roman" w:cs="Times New Roman"/>
          <w:sz w:val="24"/>
          <w:szCs w:val="24"/>
        </w:rPr>
        <w:t>A newly established NPM, such as that in Australia, may wish to consider how it views regularity.</w:t>
      </w:r>
    </w:p>
    <w:p w14:paraId="02E632EC" w14:textId="5DB2E3C3" w:rsidR="00A33009" w:rsidRDefault="00A33009"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Further, NPMs, as our survey has shown, take into consider</w:t>
      </w:r>
      <w:r w:rsidR="00EE4BB3">
        <w:rPr>
          <w:rFonts w:ascii="Times New Roman" w:eastAsia="Hiragino Sans W4" w:hAnsi="Times New Roman" w:cs="Times New Roman"/>
          <w:sz w:val="24"/>
          <w:szCs w:val="24"/>
        </w:rPr>
        <w:t>ation</w:t>
      </w:r>
      <w:r>
        <w:rPr>
          <w:rFonts w:ascii="Times New Roman" w:eastAsia="Hiragino Sans W4" w:hAnsi="Times New Roman" w:cs="Times New Roman"/>
          <w:sz w:val="24"/>
          <w:szCs w:val="24"/>
        </w:rPr>
        <w:t xml:space="preserve"> a number of elements not only in determining the frequency which they visit a particular institution (the size of the team; the availability of resources; the range of places they may have to visit; the different types of visits they may undertake including whether they are announced or unannounced; and any concerns  that may have been raised previously or by complaints, for example), and not simply the length of time since the last visit.</w:t>
      </w:r>
    </w:p>
    <w:p w14:paraId="1247E48B" w14:textId="4598D996" w:rsidR="00096646" w:rsidRDefault="00AD7BD0" w:rsidP="00096646">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lastRenderedPageBreak/>
        <w:t xml:space="preserve">What </w:t>
      </w:r>
      <w:r w:rsidR="00C52EC5" w:rsidRPr="00114918">
        <w:rPr>
          <w:rFonts w:ascii="Times New Roman" w:eastAsia="Hiragino Sans W4" w:hAnsi="Times New Roman" w:cs="Times New Roman"/>
          <w:sz w:val="24"/>
          <w:szCs w:val="24"/>
        </w:rPr>
        <w:t>meaningful conclusions can we give for those seeking to establish/designate an NPM</w:t>
      </w:r>
      <w:r w:rsidRPr="00114918">
        <w:rPr>
          <w:rFonts w:ascii="Times New Roman" w:eastAsia="Hiragino Sans W4" w:hAnsi="Times New Roman" w:cs="Times New Roman"/>
          <w:sz w:val="24"/>
          <w:szCs w:val="24"/>
        </w:rPr>
        <w:t xml:space="preserve"> </w:t>
      </w:r>
      <w:r w:rsidR="00EE4BB3">
        <w:rPr>
          <w:rFonts w:ascii="Times New Roman" w:eastAsia="Hiragino Sans W4" w:hAnsi="Times New Roman" w:cs="Times New Roman"/>
          <w:sz w:val="24"/>
          <w:szCs w:val="24"/>
        </w:rPr>
        <w:t xml:space="preserve">in Australia </w:t>
      </w:r>
      <w:r w:rsidRPr="00114918">
        <w:rPr>
          <w:rFonts w:ascii="Times New Roman" w:eastAsia="Hiragino Sans W4" w:hAnsi="Times New Roman" w:cs="Times New Roman"/>
          <w:sz w:val="24"/>
          <w:szCs w:val="24"/>
        </w:rPr>
        <w:t>and for existing NPMs</w:t>
      </w:r>
      <w:r w:rsidR="00C52EC5" w:rsidRPr="00114918">
        <w:rPr>
          <w:rFonts w:ascii="Times New Roman" w:eastAsia="Hiragino Sans W4" w:hAnsi="Times New Roman" w:cs="Times New Roman"/>
          <w:sz w:val="24"/>
          <w:szCs w:val="24"/>
        </w:rPr>
        <w:t xml:space="preserve"> as to how they can fulfil the OPCAT requirements on regularity?</w:t>
      </w:r>
      <w:r w:rsidRPr="00114918">
        <w:rPr>
          <w:rFonts w:ascii="Times New Roman" w:eastAsia="Hiragino Sans W4" w:hAnsi="Times New Roman" w:cs="Times New Roman"/>
          <w:sz w:val="24"/>
          <w:szCs w:val="24"/>
        </w:rPr>
        <w:t xml:space="preserve"> Firstly, </w:t>
      </w:r>
      <w:r w:rsidR="00C614C0">
        <w:rPr>
          <w:rFonts w:ascii="Times New Roman" w:eastAsia="Hiragino Sans W4" w:hAnsi="Times New Roman" w:cs="Times New Roman"/>
          <w:sz w:val="24"/>
          <w:szCs w:val="24"/>
        </w:rPr>
        <w:t xml:space="preserve">we could draw no firm conclusions about </w:t>
      </w:r>
      <w:r w:rsidR="00C56EB8">
        <w:rPr>
          <w:rFonts w:ascii="Times New Roman" w:eastAsia="Hiragino Sans W4" w:hAnsi="Times New Roman" w:cs="Times New Roman"/>
          <w:sz w:val="24"/>
          <w:szCs w:val="24"/>
        </w:rPr>
        <w:t xml:space="preserve">how </w:t>
      </w:r>
      <w:r w:rsidR="00C614C0">
        <w:rPr>
          <w:rFonts w:ascii="Times New Roman" w:eastAsia="Hiragino Sans W4" w:hAnsi="Times New Roman" w:cs="Times New Roman"/>
          <w:sz w:val="24"/>
          <w:szCs w:val="24"/>
        </w:rPr>
        <w:t xml:space="preserve">the ways in which NPMs scheduled their visits, either in terms of their regularity, the personnel used for each </w:t>
      </w:r>
      <w:r w:rsidR="00955C16">
        <w:rPr>
          <w:rFonts w:ascii="Times New Roman" w:eastAsia="Hiragino Sans W4" w:hAnsi="Times New Roman" w:cs="Times New Roman"/>
          <w:sz w:val="24"/>
          <w:szCs w:val="24"/>
        </w:rPr>
        <w:t>visit and its length or a combination of these factors</w:t>
      </w:r>
      <w:r w:rsidR="00C56EB8">
        <w:rPr>
          <w:rFonts w:ascii="Times New Roman" w:eastAsia="Hiragino Sans W4" w:hAnsi="Times New Roman" w:cs="Times New Roman"/>
          <w:sz w:val="24"/>
          <w:szCs w:val="24"/>
        </w:rPr>
        <w:t>,</w:t>
      </w:r>
      <w:r w:rsidR="00955C16">
        <w:rPr>
          <w:rFonts w:ascii="Times New Roman" w:eastAsia="Hiragino Sans W4" w:hAnsi="Times New Roman" w:cs="Times New Roman"/>
          <w:sz w:val="24"/>
          <w:szCs w:val="24"/>
        </w:rPr>
        <w:t xml:space="preserve"> related to their impact.  This strongly suggests both the need for more research and for attention to be given to how NPMs assess their impact and effectiveness. </w:t>
      </w:r>
      <w:r w:rsidR="007E778F">
        <w:rPr>
          <w:rFonts w:ascii="Times New Roman" w:eastAsia="Hiragino Sans W4" w:hAnsi="Times New Roman" w:cs="Times New Roman"/>
          <w:sz w:val="24"/>
          <w:szCs w:val="24"/>
        </w:rPr>
        <w:t xml:space="preserve">Nevertheless, we hope our findings will help existing </w:t>
      </w:r>
      <w:r w:rsidR="00EE4BB3">
        <w:rPr>
          <w:rFonts w:ascii="Times New Roman" w:eastAsia="Hiragino Sans W4" w:hAnsi="Times New Roman" w:cs="Times New Roman"/>
          <w:sz w:val="24"/>
          <w:szCs w:val="24"/>
        </w:rPr>
        <w:t xml:space="preserve">NPMs </w:t>
      </w:r>
      <w:r w:rsidR="007E778F">
        <w:rPr>
          <w:rFonts w:ascii="Times New Roman" w:eastAsia="Hiragino Sans W4" w:hAnsi="Times New Roman" w:cs="Times New Roman"/>
          <w:sz w:val="24"/>
          <w:szCs w:val="24"/>
        </w:rPr>
        <w:t xml:space="preserve">and </w:t>
      </w:r>
      <w:r w:rsidR="00EE4BB3">
        <w:rPr>
          <w:rFonts w:ascii="Times New Roman" w:eastAsia="Hiragino Sans W4" w:hAnsi="Times New Roman" w:cs="Times New Roman"/>
          <w:sz w:val="24"/>
          <w:szCs w:val="24"/>
        </w:rPr>
        <w:t xml:space="preserve">the </w:t>
      </w:r>
      <w:r w:rsidR="007E778F">
        <w:rPr>
          <w:rFonts w:ascii="Times New Roman" w:eastAsia="Hiragino Sans W4" w:hAnsi="Times New Roman" w:cs="Times New Roman"/>
          <w:sz w:val="24"/>
          <w:szCs w:val="24"/>
        </w:rPr>
        <w:t xml:space="preserve">new </w:t>
      </w:r>
      <w:r w:rsidR="00EE4BB3">
        <w:rPr>
          <w:rFonts w:ascii="Times New Roman" w:eastAsia="Hiragino Sans W4" w:hAnsi="Times New Roman" w:cs="Times New Roman"/>
          <w:sz w:val="24"/>
          <w:szCs w:val="24"/>
        </w:rPr>
        <w:t xml:space="preserve">Australian </w:t>
      </w:r>
      <w:r w:rsidR="007E778F">
        <w:rPr>
          <w:rFonts w:ascii="Times New Roman" w:eastAsia="Hiragino Sans W4" w:hAnsi="Times New Roman" w:cs="Times New Roman"/>
          <w:sz w:val="24"/>
          <w:szCs w:val="24"/>
        </w:rPr>
        <w:t>NPM think through the factors that should determine the regularity of their visits.</w:t>
      </w:r>
      <w:r w:rsidR="00955C16">
        <w:rPr>
          <w:rFonts w:ascii="Times New Roman" w:eastAsia="Hiragino Sans W4" w:hAnsi="Times New Roman" w:cs="Times New Roman"/>
          <w:sz w:val="24"/>
          <w:szCs w:val="24"/>
        </w:rPr>
        <w:t xml:space="preserve"> </w:t>
      </w:r>
      <w:r w:rsidR="00C614C0">
        <w:rPr>
          <w:rFonts w:ascii="Times New Roman" w:eastAsia="Hiragino Sans W4" w:hAnsi="Times New Roman" w:cs="Times New Roman"/>
          <w:sz w:val="24"/>
          <w:szCs w:val="24"/>
        </w:rPr>
        <w:t xml:space="preserve"> </w:t>
      </w:r>
      <w:r w:rsidR="007E778F">
        <w:rPr>
          <w:rFonts w:ascii="Times New Roman" w:eastAsia="Hiragino Sans W4" w:hAnsi="Times New Roman" w:cs="Times New Roman"/>
          <w:sz w:val="24"/>
          <w:szCs w:val="24"/>
        </w:rPr>
        <w:t>In particul</w:t>
      </w:r>
      <w:r w:rsidR="00C56EB8">
        <w:rPr>
          <w:rFonts w:ascii="Times New Roman" w:eastAsia="Hiragino Sans W4" w:hAnsi="Times New Roman" w:cs="Times New Roman"/>
          <w:sz w:val="24"/>
          <w:szCs w:val="24"/>
        </w:rPr>
        <w:t xml:space="preserve">ar, it is apparent that some NPMs have made a clear choice between the frequency of their visits and their intensity (the length and the number of personnel participating).  We make no judgement about what is the right balance but suggest this is something all NPMs need to consciously consider in their own contexts. </w:t>
      </w:r>
      <w:r w:rsidR="005C42A3">
        <w:rPr>
          <w:rFonts w:ascii="Times New Roman" w:eastAsia="Hiragino Sans W4" w:hAnsi="Times New Roman" w:cs="Times New Roman"/>
          <w:sz w:val="24"/>
          <w:szCs w:val="24"/>
        </w:rPr>
        <w:t xml:space="preserve">Secondly, </w:t>
      </w:r>
      <w:r w:rsidR="00C56EB8">
        <w:rPr>
          <w:rFonts w:ascii="Times New Roman" w:eastAsia="Hiragino Sans W4" w:hAnsi="Times New Roman" w:cs="Times New Roman"/>
          <w:sz w:val="24"/>
          <w:szCs w:val="24"/>
        </w:rPr>
        <w:t>this leads us to conclude</w:t>
      </w:r>
      <w:r w:rsidR="005C42A3">
        <w:rPr>
          <w:rFonts w:ascii="Times New Roman" w:eastAsia="Hiragino Sans W4" w:hAnsi="Times New Roman" w:cs="Times New Roman"/>
          <w:sz w:val="24"/>
          <w:szCs w:val="24"/>
        </w:rPr>
        <w:t xml:space="preserve"> </w:t>
      </w:r>
      <w:r w:rsidRPr="00114918">
        <w:rPr>
          <w:rFonts w:ascii="Times New Roman" w:eastAsia="Hiragino Sans W4" w:hAnsi="Times New Roman" w:cs="Times New Roman"/>
          <w:sz w:val="24"/>
          <w:szCs w:val="24"/>
        </w:rPr>
        <w:t xml:space="preserve">that it may not be helpful to set out a minimum frequency in which NPMs should visit each establishment. The practice outlined </w:t>
      </w:r>
      <w:r w:rsidR="005C42A3">
        <w:rPr>
          <w:rFonts w:ascii="Times New Roman" w:eastAsia="Hiragino Sans W4" w:hAnsi="Times New Roman" w:cs="Times New Roman"/>
          <w:sz w:val="24"/>
          <w:szCs w:val="24"/>
        </w:rPr>
        <w:t xml:space="preserve">in this paper </w:t>
      </w:r>
      <w:r w:rsidRPr="00114918">
        <w:rPr>
          <w:rFonts w:ascii="Times New Roman" w:eastAsia="Hiragino Sans W4" w:hAnsi="Times New Roman" w:cs="Times New Roman"/>
          <w:sz w:val="24"/>
          <w:szCs w:val="24"/>
        </w:rPr>
        <w:t xml:space="preserve"> illustrates considerable diversity and a nuanced consideration of a range of factors to determine when it is appropriate to visit a particular place of detention</w:t>
      </w:r>
      <w:r w:rsidR="004E4DF0" w:rsidRPr="00114918">
        <w:rPr>
          <w:rFonts w:ascii="Times New Roman" w:eastAsia="Hiragino Sans W4" w:hAnsi="Times New Roman" w:cs="Times New Roman"/>
          <w:sz w:val="24"/>
          <w:szCs w:val="24"/>
        </w:rPr>
        <w:t xml:space="preserve">. </w:t>
      </w:r>
    </w:p>
    <w:p w14:paraId="5716DCB0" w14:textId="52A4D5E8" w:rsidR="008B7EF1" w:rsidRDefault="004E4DF0" w:rsidP="008F0D9B">
      <w:pPr>
        <w:spacing w:before="60" w:after="60" w:line="480" w:lineRule="auto"/>
        <w:jc w:val="both"/>
        <w:rPr>
          <w:rFonts w:ascii="Times New Roman" w:eastAsia="Hiragino Sans W4" w:hAnsi="Times New Roman" w:cs="Times New Roman"/>
          <w:sz w:val="24"/>
          <w:szCs w:val="24"/>
        </w:rPr>
      </w:pPr>
      <w:r w:rsidRPr="00114918">
        <w:rPr>
          <w:rFonts w:ascii="Times New Roman" w:eastAsia="Hiragino Sans W4" w:hAnsi="Times New Roman" w:cs="Times New Roman"/>
          <w:sz w:val="24"/>
          <w:szCs w:val="24"/>
        </w:rPr>
        <w:t>What would appear to</w:t>
      </w:r>
      <w:r w:rsidR="0085709E" w:rsidRPr="00114918">
        <w:rPr>
          <w:rFonts w:ascii="Times New Roman" w:eastAsia="Hiragino Sans W4" w:hAnsi="Times New Roman" w:cs="Times New Roman"/>
          <w:sz w:val="24"/>
          <w:szCs w:val="24"/>
        </w:rPr>
        <w:t xml:space="preserve"> b</w:t>
      </w:r>
      <w:r w:rsidRPr="00114918">
        <w:rPr>
          <w:rFonts w:ascii="Times New Roman" w:eastAsia="Hiragino Sans W4" w:hAnsi="Times New Roman" w:cs="Times New Roman"/>
          <w:sz w:val="24"/>
          <w:szCs w:val="24"/>
        </w:rPr>
        <w:t>e</w:t>
      </w:r>
      <w:r w:rsidR="0085709E" w:rsidRPr="00114918">
        <w:rPr>
          <w:rFonts w:ascii="Times New Roman" w:eastAsia="Hiragino Sans W4" w:hAnsi="Times New Roman" w:cs="Times New Roman"/>
          <w:sz w:val="24"/>
          <w:szCs w:val="24"/>
        </w:rPr>
        <w:t xml:space="preserve"> </w:t>
      </w:r>
      <w:r w:rsidRPr="00114918">
        <w:rPr>
          <w:rFonts w:ascii="Times New Roman" w:eastAsia="Hiragino Sans W4" w:hAnsi="Times New Roman" w:cs="Times New Roman"/>
          <w:sz w:val="24"/>
          <w:szCs w:val="24"/>
        </w:rPr>
        <w:t>helpful</w:t>
      </w:r>
      <w:r w:rsidR="00096646">
        <w:rPr>
          <w:rFonts w:ascii="Times New Roman" w:eastAsia="Hiragino Sans W4" w:hAnsi="Times New Roman" w:cs="Times New Roman"/>
          <w:sz w:val="24"/>
          <w:szCs w:val="24"/>
        </w:rPr>
        <w:t xml:space="preserve">, therefore, </w:t>
      </w:r>
      <w:r w:rsidR="0085709E" w:rsidRPr="00114918">
        <w:rPr>
          <w:rFonts w:ascii="Times New Roman" w:eastAsia="Hiragino Sans W4" w:hAnsi="Times New Roman" w:cs="Times New Roman"/>
          <w:sz w:val="24"/>
          <w:szCs w:val="24"/>
        </w:rPr>
        <w:t xml:space="preserve">would be </w:t>
      </w:r>
      <w:r w:rsidRPr="00114918">
        <w:rPr>
          <w:rFonts w:ascii="Times New Roman" w:eastAsia="Hiragino Sans W4" w:hAnsi="Times New Roman" w:cs="Times New Roman"/>
          <w:sz w:val="24"/>
          <w:szCs w:val="24"/>
        </w:rPr>
        <w:t xml:space="preserve">for the SPT, for example, to provide and expand upon </w:t>
      </w:r>
      <w:r w:rsidR="0085709E" w:rsidRPr="00114918">
        <w:rPr>
          <w:rFonts w:ascii="Times New Roman" w:eastAsia="Hiragino Sans W4" w:hAnsi="Times New Roman" w:cs="Times New Roman"/>
          <w:sz w:val="24"/>
          <w:szCs w:val="24"/>
        </w:rPr>
        <w:t>guidance as to the sort</w:t>
      </w:r>
      <w:r w:rsidRPr="00114918">
        <w:rPr>
          <w:rFonts w:ascii="Times New Roman" w:eastAsia="Hiragino Sans W4" w:hAnsi="Times New Roman" w:cs="Times New Roman"/>
          <w:sz w:val="24"/>
          <w:szCs w:val="24"/>
        </w:rPr>
        <w:t>s</w:t>
      </w:r>
      <w:r w:rsidR="0085709E" w:rsidRPr="00114918">
        <w:rPr>
          <w:rFonts w:ascii="Times New Roman" w:eastAsia="Hiragino Sans W4" w:hAnsi="Times New Roman" w:cs="Times New Roman"/>
          <w:sz w:val="24"/>
          <w:szCs w:val="24"/>
        </w:rPr>
        <w:t xml:space="preserve"> </w:t>
      </w:r>
      <w:r w:rsidRPr="00114918">
        <w:rPr>
          <w:rFonts w:ascii="Times New Roman" w:eastAsia="Hiragino Sans W4" w:hAnsi="Times New Roman" w:cs="Times New Roman"/>
          <w:sz w:val="24"/>
          <w:szCs w:val="24"/>
        </w:rPr>
        <w:t>of factors that NPMs may take into acco</w:t>
      </w:r>
      <w:r w:rsidR="0085709E" w:rsidRPr="00114918">
        <w:rPr>
          <w:rFonts w:ascii="Times New Roman" w:eastAsia="Hiragino Sans W4" w:hAnsi="Times New Roman" w:cs="Times New Roman"/>
          <w:sz w:val="24"/>
          <w:szCs w:val="24"/>
        </w:rPr>
        <w:t>u</w:t>
      </w:r>
      <w:r w:rsidRPr="00114918">
        <w:rPr>
          <w:rFonts w:ascii="Times New Roman" w:eastAsia="Hiragino Sans W4" w:hAnsi="Times New Roman" w:cs="Times New Roman"/>
          <w:sz w:val="24"/>
          <w:szCs w:val="24"/>
        </w:rPr>
        <w:t xml:space="preserve">nt when determining </w:t>
      </w:r>
      <w:r w:rsidR="0085709E" w:rsidRPr="00114918">
        <w:rPr>
          <w:rFonts w:ascii="Times New Roman" w:eastAsia="Hiragino Sans W4" w:hAnsi="Times New Roman" w:cs="Times New Roman"/>
          <w:sz w:val="24"/>
          <w:szCs w:val="24"/>
        </w:rPr>
        <w:t>when</w:t>
      </w:r>
      <w:r w:rsidRPr="00114918">
        <w:rPr>
          <w:rFonts w:ascii="Times New Roman" w:eastAsia="Hiragino Sans W4" w:hAnsi="Times New Roman" w:cs="Times New Roman"/>
          <w:sz w:val="24"/>
          <w:szCs w:val="24"/>
        </w:rPr>
        <w:t xml:space="preserve"> to visit. </w:t>
      </w:r>
      <w:r w:rsidR="00EE4BB3">
        <w:rPr>
          <w:rFonts w:ascii="Times New Roman" w:eastAsia="Hiragino Sans W4" w:hAnsi="Times New Roman" w:cs="Times New Roman"/>
          <w:sz w:val="24"/>
          <w:szCs w:val="24"/>
        </w:rPr>
        <w:t>This is not necessarily to require that the SPT define ‘regularity’ (indeed there is a clear</w:t>
      </w:r>
      <w:r w:rsidR="00C9369E">
        <w:rPr>
          <w:rFonts w:ascii="Times New Roman" w:eastAsia="Hiragino Sans W4" w:hAnsi="Times New Roman" w:cs="Times New Roman"/>
          <w:sz w:val="24"/>
          <w:szCs w:val="24"/>
        </w:rPr>
        <w:t xml:space="preserve"> need for the SPT to maintain its</w:t>
      </w:r>
      <w:r w:rsidR="00EE4BB3">
        <w:rPr>
          <w:rFonts w:ascii="Times New Roman" w:eastAsia="Hiragino Sans W4" w:hAnsi="Times New Roman" w:cs="Times New Roman"/>
          <w:sz w:val="24"/>
          <w:szCs w:val="24"/>
        </w:rPr>
        <w:t xml:space="preserve"> open approach here). </w:t>
      </w:r>
      <w:r w:rsidR="00C9369E">
        <w:rPr>
          <w:rFonts w:ascii="Times New Roman" w:eastAsia="Hiragino Sans W4" w:hAnsi="Times New Roman" w:cs="Times New Roman"/>
          <w:sz w:val="24"/>
          <w:szCs w:val="24"/>
        </w:rPr>
        <w:t xml:space="preserve">Indeed, </w:t>
      </w:r>
      <w:r w:rsidR="00EE4BB3">
        <w:rPr>
          <w:rFonts w:ascii="Times New Roman" w:eastAsia="Hiragino Sans W4" w:hAnsi="Times New Roman" w:cs="Times New Roman"/>
          <w:sz w:val="24"/>
          <w:szCs w:val="24"/>
        </w:rPr>
        <w:t xml:space="preserve">NPMs themselves already appear to be considering relevant factors, </w:t>
      </w:r>
      <w:r w:rsidRPr="00114918">
        <w:rPr>
          <w:rFonts w:ascii="Times New Roman" w:eastAsia="Hiragino Sans W4" w:hAnsi="Times New Roman" w:cs="Times New Roman"/>
          <w:sz w:val="24"/>
          <w:szCs w:val="24"/>
        </w:rPr>
        <w:t xml:space="preserve">with the length of time since the last visit being only one </w:t>
      </w:r>
      <w:r w:rsidR="0085709E" w:rsidRPr="00114918">
        <w:rPr>
          <w:rFonts w:ascii="Times New Roman" w:eastAsia="Hiragino Sans W4" w:hAnsi="Times New Roman" w:cs="Times New Roman"/>
          <w:sz w:val="24"/>
          <w:szCs w:val="24"/>
        </w:rPr>
        <w:t xml:space="preserve">factor </w:t>
      </w:r>
      <w:r w:rsidRPr="00114918">
        <w:rPr>
          <w:rFonts w:ascii="Times New Roman" w:eastAsia="Hiragino Sans W4" w:hAnsi="Times New Roman" w:cs="Times New Roman"/>
          <w:sz w:val="24"/>
          <w:szCs w:val="24"/>
        </w:rPr>
        <w:t>among many.</w:t>
      </w:r>
    </w:p>
    <w:p w14:paraId="69F9973D" w14:textId="01AB00FE" w:rsidR="00C52EC5" w:rsidRDefault="005C42A3" w:rsidP="008F0D9B">
      <w:pPr>
        <w:spacing w:before="60" w:after="60" w:line="480" w:lineRule="auto"/>
        <w:jc w:val="both"/>
        <w:rPr>
          <w:rFonts w:ascii="Times New Roman" w:eastAsia="Hiragino Sans W4" w:hAnsi="Times New Roman" w:cs="Times New Roman"/>
          <w:sz w:val="24"/>
          <w:szCs w:val="24"/>
        </w:rPr>
      </w:pPr>
      <w:r>
        <w:rPr>
          <w:rFonts w:ascii="Times New Roman" w:eastAsia="Hiragino Sans W4" w:hAnsi="Times New Roman" w:cs="Times New Roman"/>
          <w:sz w:val="24"/>
          <w:szCs w:val="24"/>
        </w:rPr>
        <w:t>Thirdly</w:t>
      </w:r>
      <w:r w:rsidR="008B7EF1">
        <w:rPr>
          <w:rFonts w:ascii="Times New Roman" w:eastAsia="Hiragino Sans W4" w:hAnsi="Times New Roman" w:cs="Times New Roman"/>
          <w:sz w:val="24"/>
          <w:szCs w:val="24"/>
        </w:rPr>
        <w:t xml:space="preserve">, ensuring regularity of visits should not detract from other aspects of the NPM as a preventive body. Visits </w:t>
      </w:r>
      <w:r w:rsidR="009650CA">
        <w:rPr>
          <w:rFonts w:ascii="Times New Roman" w:eastAsia="Hiragino Sans W4" w:hAnsi="Times New Roman" w:cs="Times New Roman"/>
          <w:sz w:val="24"/>
          <w:szCs w:val="24"/>
        </w:rPr>
        <w:t>are the</w:t>
      </w:r>
      <w:r w:rsidR="004E73C5">
        <w:rPr>
          <w:rFonts w:ascii="Times New Roman" w:eastAsia="Hiragino Sans W4" w:hAnsi="Times New Roman" w:cs="Times New Roman"/>
          <w:sz w:val="24"/>
          <w:szCs w:val="24"/>
        </w:rPr>
        <w:t xml:space="preserve"> most</w:t>
      </w:r>
      <w:r w:rsidR="008B7EF1">
        <w:rPr>
          <w:rFonts w:ascii="Times New Roman" w:eastAsia="Hiragino Sans W4" w:hAnsi="Times New Roman" w:cs="Times New Roman"/>
          <w:sz w:val="24"/>
          <w:szCs w:val="24"/>
        </w:rPr>
        <w:t xml:space="preserve"> important </w:t>
      </w:r>
      <w:r w:rsidR="009650CA">
        <w:rPr>
          <w:rFonts w:ascii="Times New Roman" w:eastAsia="Hiragino Sans W4" w:hAnsi="Times New Roman" w:cs="Times New Roman"/>
          <w:sz w:val="24"/>
          <w:szCs w:val="24"/>
        </w:rPr>
        <w:t>aspect of an NPM’s role.</w:t>
      </w:r>
      <w:r w:rsidR="008B7EF1">
        <w:rPr>
          <w:rFonts w:ascii="Times New Roman" w:eastAsia="Hiragino Sans W4" w:hAnsi="Times New Roman" w:cs="Times New Roman"/>
          <w:sz w:val="24"/>
          <w:szCs w:val="24"/>
        </w:rPr>
        <w:t xml:space="preserve"> </w:t>
      </w:r>
      <w:r w:rsidR="009650CA">
        <w:rPr>
          <w:rFonts w:ascii="Times New Roman" w:eastAsia="Hiragino Sans W4" w:hAnsi="Times New Roman" w:cs="Times New Roman"/>
          <w:sz w:val="24"/>
          <w:szCs w:val="24"/>
        </w:rPr>
        <w:t>However, o</w:t>
      </w:r>
      <w:r w:rsidR="008B7EF1" w:rsidRPr="00114918">
        <w:rPr>
          <w:rFonts w:ascii="Times New Roman" w:eastAsia="Hiragino Sans W4" w:hAnsi="Times New Roman" w:cs="Times New Roman"/>
          <w:sz w:val="24"/>
          <w:szCs w:val="24"/>
        </w:rPr>
        <w:t xml:space="preserve">ther means of engagement with detention institutions, which many NPMs utilise, may themselves result in regular interaction with the institutions and their staff. Whilst not detracting from the </w:t>
      </w:r>
      <w:r w:rsidR="009650CA">
        <w:rPr>
          <w:rFonts w:ascii="Times New Roman" w:eastAsia="Hiragino Sans W4" w:hAnsi="Times New Roman" w:cs="Times New Roman"/>
          <w:sz w:val="24"/>
          <w:szCs w:val="24"/>
        </w:rPr>
        <w:lastRenderedPageBreak/>
        <w:t>significance</w:t>
      </w:r>
      <w:r w:rsidR="009650CA" w:rsidRPr="00114918">
        <w:rPr>
          <w:rFonts w:ascii="Times New Roman" w:eastAsia="Hiragino Sans W4" w:hAnsi="Times New Roman" w:cs="Times New Roman"/>
          <w:sz w:val="24"/>
          <w:szCs w:val="24"/>
        </w:rPr>
        <w:t xml:space="preserve"> </w:t>
      </w:r>
      <w:r w:rsidR="008B7EF1" w:rsidRPr="00114918">
        <w:rPr>
          <w:rFonts w:ascii="Times New Roman" w:eastAsia="Hiragino Sans W4" w:hAnsi="Times New Roman" w:cs="Times New Roman"/>
          <w:sz w:val="24"/>
          <w:szCs w:val="24"/>
        </w:rPr>
        <w:t xml:space="preserve">of visiting, focusing </w:t>
      </w:r>
      <w:r w:rsidR="004E73C5">
        <w:rPr>
          <w:rFonts w:ascii="Times New Roman" w:eastAsia="Hiragino Sans W4" w:hAnsi="Times New Roman" w:cs="Times New Roman"/>
          <w:sz w:val="24"/>
          <w:szCs w:val="24"/>
        </w:rPr>
        <w:t>exclusively</w:t>
      </w:r>
      <w:r w:rsidR="008B7EF1" w:rsidRPr="00114918">
        <w:rPr>
          <w:rFonts w:ascii="Times New Roman" w:eastAsia="Hiragino Sans W4" w:hAnsi="Times New Roman" w:cs="Times New Roman"/>
          <w:sz w:val="24"/>
          <w:szCs w:val="24"/>
        </w:rPr>
        <w:t xml:space="preserve"> on this particular function therefore may not capture the entire picture of the NPM’s work on prevention.</w:t>
      </w:r>
      <w:r w:rsidR="008B7EF1">
        <w:rPr>
          <w:rFonts w:ascii="Times New Roman" w:eastAsia="Hiragino Sans W4" w:hAnsi="Times New Roman" w:cs="Times New Roman"/>
          <w:sz w:val="24"/>
          <w:szCs w:val="24"/>
        </w:rPr>
        <w:t xml:space="preserve"> </w:t>
      </w:r>
    </w:p>
    <w:p w14:paraId="454D4093" w14:textId="77777777" w:rsidR="00F72C93" w:rsidRDefault="00F72C93" w:rsidP="008F0D9B">
      <w:pPr>
        <w:spacing w:before="60" w:after="60" w:line="480" w:lineRule="auto"/>
        <w:jc w:val="both"/>
        <w:rPr>
          <w:rFonts w:ascii="Times New Roman" w:eastAsia="Hiragino Sans W4" w:hAnsi="Times New Roman" w:cs="Times New Roman"/>
          <w:sz w:val="24"/>
          <w:szCs w:val="24"/>
        </w:rPr>
      </w:pPr>
    </w:p>
    <w:p w14:paraId="6D99C6C4" w14:textId="77777777" w:rsidR="00F72C93" w:rsidRDefault="00F72C93" w:rsidP="008F0D9B">
      <w:pPr>
        <w:spacing w:before="60" w:after="60" w:line="480" w:lineRule="auto"/>
        <w:jc w:val="both"/>
        <w:rPr>
          <w:rFonts w:ascii="Times New Roman" w:eastAsia="Hiragino Sans W4" w:hAnsi="Times New Roman" w:cs="Times New Roman"/>
          <w:sz w:val="24"/>
          <w:szCs w:val="24"/>
        </w:rPr>
        <w:sectPr w:rsidR="00F72C93" w:rsidSect="00D05B25">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20" w:footer="720" w:gutter="0"/>
          <w:cols w:space="708"/>
          <w:docGrid w:linePitch="360"/>
        </w:sectPr>
      </w:pPr>
    </w:p>
    <w:p w14:paraId="740325F6" w14:textId="226A76D6" w:rsidR="00F72C93" w:rsidRPr="00CD132C" w:rsidRDefault="00F72C93" w:rsidP="00F72C93">
      <w:pPr>
        <w:rPr>
          <w:rFonts w:ascii="Times New Roman" w:hAnsi="Times New Roman" w:cs="Times New Roman"/>
          <w:b/>
        </w:rPr>
      </w:pPr>
      <w:r>
        <w:rPr>
          <w:rFonts w:ascii="Times New Roman" w:hAnsi="Times New Roman" w:cs="Times New Roman"/>
          <w:b/>
        </w:rPr>
        <w:lastRenderedPageBreak/>
        <w:t>APPENDIX A – Key features of NPMS summary</w:t>
      </w:r>
    </w:p>
    <w:tbl>
      <w:tblPr>
        <w:tblStyle w:val="TableGrid"/>
        <w:tblpPr w:leftFromText="180" w:rightFromText="180" w:horzAnchor="margin" w:tblpXSpec="center" w:tblpY="348"/>
        <w:tblW w:w="15674" w:type="dxa"/>
        <w:tblLayout w:type="fixed"/>
        <w:tblLook w:val="04A0" w:firstRow="1" w:lastRow="0" w:firstColumn="1" w:lastColumn="0" w:noHBand="0" w:noVBand="1"/>
      </w:tblPr>
      <w:tblGrid>
        <w:gridCol w:w="1123"/>
        <w:gridCol w:w="1280"/>
        <w:gridCol w:w="55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tblGrid>
      <w:tr w:rsidR="00F72C93" w:rsidRPr="0034763B" w14:paraId="701C61E9" w14:textId="77777777" w:rsidTr="00F72C93">
        <w:trPr>
          <w:trHeight w:val="57"/>
        </w:trPr>
        <w:tc>
          <w:tcPr>
            <w:tcW w:w="2403" w:type="dxa"/>
            <w:gridSpan w:val="2"/>
            <w:vMerge w:val="restart"/>
            <w:tcBorders>
              <w:top w:val="thinThickSmallGap" w:sz="24" w:space="0" w:color="000000"/>
              <w:left w:val="thinThickSmallGap" w:sz="24" w:space="0" w:color="000000"/>
              <w:right w:val="single" w:sz="24" w:space="0" w:color="auto"/>
            </w:tcBorders>
            <w:vAlign w:val="center"/>
          </w:tcPr>
          <w:p w14:paraId="37D45085" w14:textId="77777777" w:rsidR="00F72C93" w:rsidRPr="0034763B" w:rsidRDefault="00F72C93" w:rsidP="00F72C93">
            <w:pPr>
              <w:jc w:val="center"/>
              <w:rPr>
                <w:rFonts w:ascii="Times New Roman" w:hAnsi="Times New Roman" w:cs="Times New Roman"/>
                <w:b/>
                <w:sz w:val="18"/>
                <w:szCs w:val="18"/>
              </w:rPr>
            </w:pPr>
          </w:p>
        </w:tc>
        <w:tc>
          <w:tcPr>
            <w:tcW w:w="1105" w:type="dxa"/>
            <w:gridSpan w:val="2"/>
            <w:tcBorders>
              <w:top w:val="thinThickSmallGap" w:sz="24" w:space="0" w:color="000000"/>
              <w:left w:val="single" w:sz="24" w:space="0" w:color="auto"/>
              <w:right w:val="single" w:sz="24" w:space="0" w:color="000000"/>
            </w:tcBorders>
            <w:vAlign w:val="center"/>
          </w:tcPr>
          <w:p w14:paraId="6721C56C" w14:textId="77777777" w:rsidR="00F72C93" w:rsidRPr="0034763B" w:rsidRDefault="00F72C93" w:rsidP="00F72C93">
            <w:pPr>
              <w:jc w:val="center"/>
              <w:rPr>
                <w:rFonts w:ascii="Times New Roman" w:hAnsi="Times New Roman" w:cs="Times New Roman"/>
                <w:b/>
                <w:sz w:val="18"/>
                <w:szCs w:val="18"/>
              </w:rPr>
            </w:pPr>
            <w:r w:rsidRPr="0034763B">
              <w:rPr>
                <w:rFonts w:ascii="Times New Roman" w:hAnsi="Times New Roman" w:cs="Times New Roman"/>
                <w:b/>
                <w:sz w:val="18"/>
                <w:szCs w:val="18"/>
              </w:rPr>
              <w:t>NPM designation</w:t>
            </w:r>
          </w:p>
        </w:tc>
        <w:tc>
          <w:tcPr>
            <w:tcW w:w="2212" w:type="dxa"/>
            <w:gridSpan w:val="4"/>
            <w:tcBorders>
              <w:top w:val="thinThickSmallGap" w:sz="24" w:space="0" w:color="000000"/>
              <w:left w:val="single" w:sz="24" w:space="0" w:color="000000"/>
              <w:right w:val="single" w:sz="24" w:space="0" w:color="000000"/>
            </w:tcBorders>
            <w:vAlign w:val="center"/>
          </w:tcPr>
          <w:p w14:paraId="159FA88A" w14:textId="77777777" w:rsidR="00F72C93" w:rsidRPr="0034763B" w:rsidRDefault="00F72C93" w:rsidP="00F72C93">
            <w:pPr>
              <w:jc w:val="center"/>
              <w:rPr>
                <w:rFonts w:ascii="Times New Roman" w:hAnsi="Times New Roman" w:cs="Times New Roman"/>
                <w:b/>
                <w:sz w:val="18"/>
                <w:szCs w:val="18"/>
              </w:rPr>
            </w:pPr>
            <w:r w:rsidRPr="0034763B">
              <w:rPr>
                <w:rFonts w:ascii="Times New Roman" w:hAnsi="Times New Roman" w:cs="Times New Roman"/>
                <w:b/>
                <w:sz w:val="18"/>
                <w:szCs w:val="18"/>
              </w:rPr>
              <w:t>NPM type</w:t>
            </w:r>
          </w:p>
        </w:tc>
        <w:tc>
          <w:tcPr>
            <w:tcW w:w="2212" w:type="dxa"/>
            <w:gridSpan w:val="4"/>
            <w:tcBorders>
              <w:top w:val="thinThickSmallGap" w:sz="24" w:space="0" w:color="000000"/>
              <w:left w:val="single" w:sz="24" w:space="0" w:color="000000"/>
              <w:right w:val="single" w:sz="24" w:space="0" w:color="000000"/>
            </w:tcBorders>
            <w:vAlign w:val="center"/>
          </w:tcPr>
          <w:p w14:paraId="2911639E" w14:textId="77777777" w:rsidR="00F72C93" w:rsidRPr="0034763B" w:rsidRDefault="00F72C93" w:rsidP="00F72C93">
            <w:pPr>
              <w:jc w:val="center"/>
              <w:rPr>
                <w:rFonts w:ascii="Times New Roman" w:hAnsi="Times New Roman" w:cs="Times New Roman"/>
                <w:b/>
                <w:sz w:val="18"/>
                <w:szCs w:val="18"/>
              </w:rPr>
            </w:pPr>
            <w:r w:rsidRPr="0034763B">
              <w:rPr>
                <w:rFonts w:ascii="Times New Roman" w:hAnsi="Times New Roman" w:cs="Times New Roman"/>
                <w:b/>
                <w:sz w:val="18"/>
                <w:szCs w:val="18"/>
              </w:rPr>
              <w:t>f.t.e personnel</w:t>
            </w:r>
          </w:p>
        </w:tc>
        <w:tc>
          <w:tcPr>
            <w:tcW w:w="3318" w:type="dxa"/>
            <w:gridSpan w:val="6"/>
            <w:tcBorders>
              <w:top w:val="thinThickSmallGap" w:sz="24" w:space="0" w:color="000000"/>
              <w:left w:val="single" w:sz="24" w:space="0" w:color="000000"/>
              <w:right w:val="single" w:sz="24" w:space="0" w:color="000000"/>
            </w:tcBorders>
            <w:vAlign w:val="center"/>
          </w:tcPr>
          <w:p w14:paraId="1B2761B1" w14:textId="77777777" w:rsidR="00F72C93" w:rsidRPr="0034763B" w:rsidRDefault="00F72C93" w:rsidP="00F72C93">
            <w:pPr>
              <w:jc w:val="center"/>
              <w:rPr>
                <w:rFonts w:ascii="Times New Roman" w:hAnsi="Times New Roman" w:cs="Times New Roman"/>
                <w:b/>
                <w:sz w:val="18"/>
                <w:szCs w:val="18"/>
              </w:rPr>
            </w:pPr>
            <w:r w:rsidRPr="0034763B">
              <w:rPr>
                <w:rFonts w:ascii="Times New Roman" w:hAnsi="Times New Roman" w:cs="Times New Roman"/>
                <w:b/>
                <w:sz w:val="18"/>
                <w:szCs w:val="18"/>
              </w:rPr>
              <w:t>Av. Total adult prison population 2017</w:t>
            </w:r>
          </w:p>
        </w:tc>
        <w:tc>
          <w:tcPr>
            <w:tcW w:w="1659" w:type="dxa"/>
            <w:gridSpan w:val="3"/>
            <w:tcBorders>
              <w:top w:val="thinThickSmallGap" w:sz="24" w:space="0" w:color="000000"/>
              <w:left w:val="single" w:sz="24" w:space="0" w:color="000000"/>
              <w:right w:val="single" w:sz="24" w:space="0" w:color="000000"/>
            </w:tcBorders>
            <w:vAlign w:val="center"/>
          </w:tcPr>
          <w:p w14:paraId="50DB8D1B" w14:textId="77777777" w:rsidR="00F72C93" w:rsidRPr="0034763B" w:rsidRDefault="00F72C93" w:rsidP="00F72C93">
            <w:pPr>
              <w:jc w:val="center"/>
              <w:rPr>
                <w:rFonts w:ascii="Times New Roman" w:hAnsi="Times New Roman" w:cs="Times New Roman"/>
                <w:b/>
                <w:sz w:val="18"/>
                <w:szCs w:val="18"/>
              </w:rPr>
            </w:pPr>
            <w:r w:rsidRPr="0034763B">
              <w:rPr>
                <w:rFonts w:ascii="Times New Roman" w:hAnsi="Times New Roman" w:cs="Times New Roman"/>
                <w:b/>
                <w:sz w:val="18"/>
                <w:szCs w:val="18"/>
              </w:rPr>
              <w:t>Av. Total adult Prisons</w:t>
            </w:r>
          </w:p>
        </w:tc>
        <w:tc>
          <w:tcPr>
            <w:tcW w:w="1659" w:type="dxa"/>
            <w:gridSpan w:val="3"/>
            <w:tcBorders>
              <w:top w:val="thinThickSmallGap" w:sz="24" w:space="0" w:color="000000"/>
              <w:left w:val="single" w:sz="24" w:space="0" w:color="000000"/>
              <w:right w:val="single" w:sz="24" w:space="0" w:color="000000"/>
            </w:tcBorders>
            <w:vAlign w:val="center"/>
          </w:tcPr>
          <w:p w14:paraId="11C11B6E" w14:textId="77777777" w:rsidR="00F72C93" w:rsidRPr="0034763B" w:rsidRDefault="00F72C93" w:rsidP="00F72C93">
            <w:pPr>
              <w:jc w:val="center"/>
              <w:rPr>
                <w:rFonts w:ascii="Times New Roman" w:hAnsi="Times New Roman" w:cs="Times New Roman"/>
                <w:b/>
                <w:sz w:val="18"/>
                <w:szCs w:val="18"/>
              </w:rPr>
            </w:pPr>
            <w:r w:rsidRPr="0034763B">
              <w:rPr>
                <w:rFonts w:ascii="Times New Roman" w:hAnsi="Times New Roman" w:cs="Times New Roman"/>
                <w:b/>
                <w:sz w:val="18"/>
                <w:szCs w:val="18"/>
              </w:rPr>
              <w:t>% prisons visited in 2017</w:t>
            </w:r>
          </w:p>
        </w:tc>
        <w:tc>
          <w:tcPr>
            <w:tcW w:w="1106" w:type="dxa"/>
            <w:gridSpan w:val="2"/>
            <w:tcBorders>
              <w:top w:val="thinThickSmallGap" w:sz="24" w:space="0" w:color="000000"/>
              <w:left w:val="single" w:sz="24" w:space="0" w:color="000000"/>
              <w:right w:val="thickThinSmallGap" w:sz="24" w:space="0" w:color="000000"/>
            </w:tcBorders>
            <w:vAlign w:val="center"/>
          </w:tcPr>
          <w:p w14:paraId="3845FD8A" w14:textId="77777777" w:rsidR="00F72C93" w:rsidRPr="0034763B" w:rsidRDefault="00F72C93" w:rsidP="00F72C93">
            <w:pPr>
              <w:jc w:val="center"/>
              <w:rPr>
                <w:rFonts w:ascii="Times New Roman" w:hAnsi="Times New Roman" w:cs="Times New Roman"/>
                <w:b/>
                <w:sz w:val="18"/>
                <w:szCs w:val="18"/>
              </w:rPr>
            </w:pPr>
            <w:r w:rsidRPr="0034763B">
              <w:rPr>
                <w:rFonts w:ascii="Times New Roman" w:hAnsi="Times New Roman" w:cs="Times New Roman"/>
                <w:b/>
                <w:sz w:val="18"/>
                <w:szCs w:val="18"/>
              </w:rPr>
              <w:t>Wish to do more</w:t>
            </w:r>
          </w:p>
        </w:tc>
      </w:tr>
      <w:tr w:rsidR="00F72C93" w:rsidRPr="0034763B" w14:paraId="311ADFFF" w14:textId="77777777" w:rsidTr="00F72C93">
        <w:trPr>
          <w:cantSplit/>
          <w:trHeight w:val="1544"/>
        </w:trPr>
        <w:tc>
          <w:tcPr>
            <w:tcW w:w="2403" w:type="dxa"/>
            <w:gridSpan w:val="2"/>
            <w:vMerge/>
            <w:tcBorders>
              <w:left w:val="thinThickSmallGap" w:sz="24" w:space="0" w:color="000000"/>
              <w:bottom w:val="single" w:sz="24" w:space="0" w:color="000000"/>
              <w:right w:val="single" w:sz="24" w:space="0" w:color="auto"/>
            </w:tcBorders>
            <w:textDirection w:val="btLr"/>
            <w:vAlign w:val="center"/>
          </w:tcPr>
          <w:p w14:paraId="0BE50C20" w14:textId="77777777" w:rsidR="00F72C93" w:rsidRPr="0034763B" w:rsidRDefault="00F72C93" w:rsidP="00F72C93">
            <w:pPr>
              <w:ind w:left="113" w:right="113"/>
              <w:rPr>
                <w:rFonts w:ascii="Times New Roman" w:hAnsi="Times New Roman" w:cs="Times New Roman"/>
                <w:b/>
                <w:sz w:val="18"/>
                <w:szCs w:val="18"/>
              </w:rPr>
            </w:pPr>
          </w:p>
        </w:tc>
        <w:tc>
          <w:tcPr>
            <w:tcW w:w="552" w:type="dxa"/>
            <w:tcBorders>
              <w:left w:val="single" w:sz="24" w:space="0" w:color="auto"/>
              <w:bottom w:val="single" w:sz="24" w:space="0" w:color="000000"/>
            </w:tcBorders>
            <w:textDirection w:val="btLr"/>
            <w:vAlign w:val="center"/>
          </w:tcPr>
          <w:p w14:paraId="6D0EF16D"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Pre 2010</w:t>
            </w:r>
          </w:p>
        </w:tc>
        <w:tc>
          <w:tcPr>
            <w:tcW w:w="553" w:type="dxa"/>
            <w:tcBorders>
              <w:bottom w:val="single" w:sz="24" w:space="0" w:color="000000"/>
              <w:right w:val="single" w:sz="24" w:space="0" w:color="000000"/>
            </w:tcBorders>
            <w:textDirection w:val="btLr"/>
            <w:vAlign w:val="center"/>
          </w:tcPr>
          <w:p w14:paraId="7150DF93"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Post 2009</w:t>
            </w:r>
          </w:p>
        </w:tc>
        <w:tc>
          <w:tcPr>
            <w:tcW w:w="553" w:type="dxa"/>
            <w:tcBorders>
              <w:left w:val="single" w:sz="24" w:space="0" w:color="000000"/>
              <w:bottom w:val="single" w:sz="24" w:space="0" w:color="000000"/>
            </w:tcBorders>
            <w:textDirection w:val="btLr"/>
            <w:vAlign w:val="center"/>
          </w:tcPr>
          <w:p w14:paraId="469E09B5"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New body</w:t>
            </w:r>
          </w:p>
        </w:tc>
        <w:tc>
          <w:tcPr>
            <w:tcW w:w="553" w:type="dxa"/>
            <w:tcBorders>
              <w:bottom w:val="single" w:sz="24" w:space="0" w:color="000000"/>
            </w:tcBorders>
            <w:textDirection w:val="btLr"/>
            <w:vAlign w:val="center"/>
          </w:tcPr>
          <w:p w14:paraId="37E72F9C"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NHRI/Omb.</w:t>
            </w:r>
          </w:p>
        </w:tc>
        <w:tc>
          <w:tcPr>
            <w:tcW w:w="553" w:type="dxa"/>
            <w:tcBorders>
              <w:bottom w:val="single" w:sz="24" w:space="0" w:color="000000"/>
            </w:tcBorders>
            <w:textDirection w:val="btLr"/>
            <w:vAlign w:val="center"/>
          </w:tcPr>
          <w:p w14:paraId="3B1A38C2"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Ombuds+</w:t>
            </w:r>
          </w:p>
        </w:tc>
        <w:tc>
          <w:tcPr>
            <w:tcW w:w="553" w:type="dxa"/>
            <w:tcBorders>
              <w:bottom w:val="single" w:sz="24" w:space="0" w:color="000000"/>
              <w:right w:val="single" w:sz="24" w:space="0" w:color="000000"/>
            </w:tcBorders>
            <w:textDirection w:val="btLr"/>
            <w:vAlign w:val="center"/>
          </w:tcPr>
          <w:p w14:paraId="78003015"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Multi-body</w:t>
            </w:r>
          </w:p>
        </w:tc>
        <w:tc>
          <w:tcPr>
            <w:tcW w:w="553" w:type="dxa"/>
            <w:tcBorders>
              <w:left w:val="single" w:sz="24" w:space="0" w:color="000000"/>
              <w:bottom w:val="single" w:sz="24" w:space="0" w:color="000000"/>
            </w:tcBorders>
            <w:textDirection w:val="btLr"/>
            <w:vAlign w:val="center"/>
          </w:tcPr>
          <w:p w14:paraId="3A418C04"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&lt;=5</w:t>
            </w:r>
          </w:p>
        </w:tc>
        <w:tc>
          <w:tcPr>
            <w:tcW w:w="553" w:type="dxa"/>
            <w:tcBorders>
              <w:bottom w:val="single" w:sz="24" w:space="0" w:color="000000"/>
            </w:tcBorders>
            <w:textDirection w:val="btLr"/>
            <w:vAlign w:val="center"/>
          </w:tcPr>
          <w:p w14:paraId="7FA54EFD"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 xml:space="preserve"> 6 - 20</w:t>
            </w:r>
          </w:p>
        </w:tc>
        <w:tc>
          <w:tcPr>
            <w:tcW w:w="553" w:type="dxa"/>
            <w:tcBorders>
              <w:bottom w:val="single" w:sz="24" w:space="0" w:color="000000"/>
            </w:tcBorders>
            <w:textDirection w:val="btLr"/>
            <w:vAlign w:val="center"/>
          </w:tcPr>
          <w:p w14:paraId="03D44270"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21 - 50</w:t>
            </w:r>
          </w:p>
        </w:tc>
        <w:tc>
          <w:tcPr>
            <w:tcW w:w="553" w:type="dxa"/>
            <w:tcBorders>
              <w:bottom w:val="single" w:sz="24" w:space="0" w:color="000000"/>
              <w:right w:val="single" w:sz="24" w:space="0" w:color="000000"/>
            </w:tcBorders>
            <w:textDirection w:val="btLr"/>
            <w:vAlign w:val="center"/>
          </w:tcPr>
          <w:p w14:paraId="0105865A"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&gt;50</w:t>
            </w:r>
          </w:p>
        </w:tc>
        <w:tc>
          <w:tcPr>
            <w:tcW w:w="553" w:type="dxa"/>
            <w:tcBorders>
              <w:left w:val="single" w:sz="24" w:space="0" w:color="000000"/>
              <w:bottom w:val="single" w:sz="24" w:space="0" w:color="000000"/>
            </w:tcBorders>
            <w:textDirection w:val="btLr"/>
            <w:vAlign w:val="center"/>
          </w:tcPr>
          <w:p w14:paraId="4BFFDEFF" w14:textId="7A0450D4" w:rsidR="00F72C93" w:rsidRPr="0034763B" w:rsidRDefault="00E0777F" w:rsidP="00F72C93">
            <w:pPr>
              <w:ind w:left="113" w:right="113"/>
              <w:rPr>
                <w:rFonts w:ascii="Times New Roman" w:hAnsi="Times New Roman" w:cs="Times New Roman"/>
                <w:b/>
                <w:sz w:val="18"/>
                <w:szCs w:val="18"/>
              </w:rPr>
            </w:pPr>
            <w:r>
              <w:rPr>
                <w:rFonts w:ascii="Times New Roman" w:hAnsi="Times New Roman" w:cs="Times New Roman"/>
                <w:b/>
                <w:sz w:val="18"/>
                <w:szCs w:val="18"/>
              </w:rPr>
              <w:t>1 – 1</w:t>
            </w:r>
            <w:r w:rsidR="00F72C93" w:rsidRPr="0034763B">
              <w:rPr>
                <w:rFonts w:ascii="Times New Roman" w:hAnsi="Times New Roman" w:cs="Times New Roman"/>
                <w:b/>
                <w:sz w:val="18"/>
                <w:szCs w:val="18"/>
              </w:rPr>
              <w:t>000</w:t>
            </w:r>
          </w:p>
        </w:tc>
        <w:tc>
          <w:tcPr>
            <w:tcW w:w="553" w:type="dxa"/>
            <w:tcBorders>
              <w:bottom w:val="single" w:sz="24" w:space="0" w:color="000000"/>
            </w:tcBorders>
            <w:textDirection w:val="btLr"/>
            <w:vAlign w:val="center"/>
          </w:tcPr>
          <w:p w14:paraId="321AAE3C" w14:textId="624EE09D" w:rsidR="00F72C93" w:rsidRPr="0034763B" w:rsidRDefault="00E0777F" w:rsidP="00F72C93">
            <w:pPr>
              <w:ind w:left="113" w:right="113"/>
              <w:rPr>
                <w:rFonts w:ascii="Times New Roman" w:hAnsi="Times New Roman" w:cs="Times New Roman"/>
                <w:b/>
                <w:sz w:val="18"/>
                <w:szCs w:val="18"/>
              </w:rPr>
            </w:pPr>
            <w:r>
              <w:rPr>
                <w:rFonts w:ascii="Times New Roman" w:hAnsi="Times New Roman" w:cs="Times New Roman"/>
                <w:b/>
                <w:sz w:val="18"/>
                <w:szCs w:val="18"/>
              </w:rPr>
              <w:t>1</w:t>
            </w:r>
            <w:r w:rsidR="00F72C93" w:rsidRPr="0034763B">
              <w:rPr>
                <w:rFonts w:ascii="Times New Roman" w:hAnsi="Times New Roman" w:cs="Times New Roman"/>
                <w:b/>
                <w:sz w:val="18"/>
                <w:szCs w:val="18"/>
              </w:rPr>
              <w:t xml:space="preserve">001 – </w:t>
            </w:r>
            <w:r>
              <w:rPr>
                <w:rFonts w:ascii="Times New Roman" w:hAnsi="Times New Roman" w:cs="Times New Roman"/>
                <w:b/>
                <w:sz w:val="18"/>
                <w:szCs w:val="18"/>
              </w:rPr>
              <w:t>5</w:t>
            </w:r>
            <w:r w:rsidR="00F72C93" w:rsidRPr="0034763B">
              <w:rPr>
                <w:rFonts w:ascii="Times New Roman" w:hAnsi="Times New Roman" w:cs="Times New Roman"/>
                <w:b/>
                <w:sz w:val="18"/>
                <w:szCs w:val="18"/>
              </w:rPr>
              <w:t>000</w:t>
            </w:r>
          </w:p>
        </w:tc>
        <w:tc>
          <w:tcPr>
            <w:tcW w:w="553" w:type="dxa"/>
            <w:tcBorders>
              <w:bottom w:val="single" w:sz="24" w:space="0" w:color="000000"/>
            </w:tcBorders>
            <w:textDirection w:val="btLr"/>
            <w:vAlign w:val="center"/>
          </w:tcPr>
          <w:p w14:paraId="449B11AF" w14:textId="45E870D8" w:rsidR="00F72C93" w:rsidRPr="0034763B" w:rsidRDefault="00E0777F" w:rsidP="00F72C93">
            <w:pPr>
              <w:ind w:left="113" w:right="113"/>
              <w:rPr>
                <w:rFonts w:ascii="Times New Roman" w:hAnsi="Times New Roman" w:cs="Times New Roman"/>
                <w:b/>
                <w:sz w:val="18"/>
                <w:szCs w:val="18"/>
              </w:rPr>
            </w:pPr>
            <w:r>
              <w:rPr>
                <w:rFonts w:ascii="Times New Roman" w:hAnsi="Times New Roman" w:cs="Times New Roman"/>
                <w:b/>
                <w:sz w:val="18"/>
                <w:szCs w:val="18"/>
              </w:rPr>
              <w:t>5001 – 10</w:t>
            </w:r>
            <w:r w:rsidR="00F72C93" w:rsidRPr="0034763B">
              <w:rPr>
                <w:rFonts w:ascii="Times New Roman" w:hAnsi="Times New Roman" w:cs="Times New Roman"/>
                <w:b/>
                <w:sz w:val="18"/>
                <w:szCs w:val="18"/>
              </w:rPr>
              <w:t>000</w:t>
            </w:r>
          </w:p>
        </w:tc>
        <w:tc>
          <w:tcPr>
            <w:tcW w:w="553" w:type="dxa"/>
            <w:tcBorders>
              <w:bottom w:val="single" w:sz="24" w:space="0" w:color="000000"/>
            </w:tcBorders>
            <w:textDirection w:val="btLr"/>
            <w:vAlign w:val="center"/>
          </w:tcPr>
          <w:p w14:paraId="0C0230E8" w14:textId="47E30E4E" w:rsidR="00F72C93" w:rsidRPr="0034763B" w:rsidRDefault="00E0777F" w:rsidP="00F72C93">
            <w:pPr>
              <w:ind w:left="113" w:right="113"/>
              <w:rPr>
                <w:rFonts w:ascii="Times New Roman" w:hAnsi="Times New Roman" w:cs="Times New Roman"/>
                <w:b/>
                <w:sz w:val="18"/>
                <w:szCs w:val="18"/>
              </w:rPr>
            </w:pPr>
            <w:r>
              <w:rPr>
                <w:rFonts w:ascii="Times New Roman" w:hAnsi="Times New Roman" w:cs="Times New Roman"/>
                <w:b/>
                <w:sz w:val="18"/>
                <w:szCs w:val="18"/>
              </w:rPr>
              <w:t>10001 – 20</w:t>
            </w:r>
            <w:r w:rsidR="00F72C93" w:rsidRPr="0034763B">
              <w:rPr>
                <w:rFonts w:ascii="Times New Roman" w:hAnsi="Times New Roman" w:cs="Times New Roman"/>
                <w:b/>
                <w:sz w:val="18"/>
                <w:szCs w:val="18"/>
              </w:rPr>
              <w:t>000</w:t>
            </w:r>
          </w:p>
        </w:tc>
        <w:tc>
          <w:tcPr>
            <w:tcW w:w="553" w:type="dxa"/>
            <w:tcBorders>
              <w:bottom w:val="single" w:sz="24" w:space="0" w:color="000000"/>
            </w:tcBorders>
            <w:textDirection w:val="btLr"/>
            <w:vAlign w:val="center"/>
          </w:tcPr>
          <w:p w14:paraId="4B1AEEF3" w14:textId="32E85ADB" w:rsidR="00F72C93" w:rsidRPr="0034763B" w:rsidRDefault="00E0777F" w:rsidP="00F72C93">
            <w:pPr>
              <w:ind w:left="113" w:right="113"/>
              <w:rPr>
                <w:rFonts w:ascii="Times New Roman" w:hAnsi="Times New Roman" w:cs="Times New Roman"/>
                <w:b/>
                <w:sz w:val="18"/>
                <w:szCs w:val="18"/>
              </w:rPr>
            </w:pPr>
            <w:r>
              <w:rPr>
                <w:rFonts w:ascii="Times New Roman" w:hAnsi="Times New Roman" w:cs="Times New Roman"/>
                <w:b/>
                <w:sz w:val="18"/>
                <w:szCs w:val="18"/>
              </w:rPr>
              <w:t>20001 – 50</w:t>
            </w:r>
            <w:r w:rsidR="00F72C93" w:rsidRPr="0034763B">
              <w:rPr>
                <w:rFonts w:ascii="Times New Roman" w:hAnsi="Times New Roman" w:cs="Times New Roman"/>
                <w:b/>
                <w:sz w:val="18"/>
                <w:szCs w:val="18"/>
              </w:rPr>
              <w:t>000</w:t>
            </w:r>
          </w:p>
        </w:tc>
        <w:tc>
          <w:tcPr>
            <w:tcW w:w="553" w:type="dxa"/>
            <w:tcBorders>
              <w:bottom w:val="single" w:sz="24" w:space="0" w:color="000000"/>
              <w:right w:val="single" w:sz="24" w:space="0" w:color="000000"/>
            </w:tcBorders>
            <w:textDirection w:val="btLr"/>
            <w:vAlign w:val="center"/>
          </w:tcPr>
          <w:p w14:paraId="634DC2BB"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50,000+</w:t>
            </w:r>
          </w:p>
        </w:tc>
        <w:tc>
          <w:tcPr>
            <w:tcW w:w="553" w:type="dxa"/>
            <w:tcBorders>
              <w:left w:val="single" w:sz="24" w:space="0" w:color="000000"/>
              <w:bottom w:val="single" w:sz="24" w:space="0" w:color="000000"/>
            </w:tcBorders>
            <w:textDirection w:val="btLr"/>
            <w:vAlign w:val="center"/>
          </w:tcPr>
          <w:p w14:paraId="393473B3"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 xml:space="preserve"> 1- 20</w:t>
            </w:r>
          </w:p>
        </w:tc>
        <w:tc>
          <w:tcPr>
            <w:tcW w:w="553" w:type="dxa"/>
            <w:tcBorders>
              <w:bottom w:val="single" w:sz="24" w:space="0" w:color="000000"/>
            </w:tcBorders>
            <w:textDirection w:val="btLr"/>
          </w:tcPr>
          <w:p w14:paraId="2C4765DB"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21 - 100</w:t>
            </w:r>
          </w:p>
        </w:tc>
        <w:tc>
          <w:tcPr>
            <w:tcW w:w="553" w:type="dxa"/>
            <w:tcBorders>
              <w:bottom w:val="single" w:sz="24" w:space="0" w:color="000000"/>
              <w:right w:val="single" w:sz="24" w:space="0" w:color="000000"/>
            </w:tcBorders>
            <w:textDirection w:val="btLr"/>
          </w:tcPr>
          <w:p w14:paraId="4A1B5581"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100+</w:t>
            </w:r>
          </w:p>
        </w:tc>
        <w:tc>
          <w:tcPr>
            <w:tcW w:w="553" w:type="dxa"/>
            <w:tcBorders>
              <w:left w:val="single" w:sz="24" w:space="0" w:color="000000"/>
              <w:bottom w:val="single" w:sz="24" w:space="0" w:color="000000"/>
            </w:tcBorders>
            <w:textDirection w:val="btLr"/>
            <w:vAlign w:val="center"/>
          </w:tcPr>
          <w:p w14:paraId="15AC12A1"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0 -10</w:t>
            </w:r>
          </w:p>
        </w:tc>
        <w:tc>
          <w:tcPr>
            <w:tcW w:w="553" w:type="dxa"/>
            <w:tcBorders>
              <w:bottom w:val="single" w:sz="24" w:space="0" w:color="000000"/>
            </w:tcBorders>
            <w:textDirection w:val="btLr"/>
            <w:vAlign w:val="center"/>
          </w:tcPr>
          <w:p w14:paraId="05535906"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11 - 30</w:t>
            </w:r>
          </w:p>
        </w:tc>
        <w:tc>
          <w:tcPr>
            <w:tcW w:w="553" w:type="dxa"/>
            <w:tcBorders>
              <w:bottom w:val="single" w:sz="24" w:space="0" w:color="000000"/>
              <w:right w:val="single" w:sz="24" w:space="0" w:color="000000"/>
            </w:tcBorders>
            <w:textDirection w:val="btLr"/>
            <w:vAlign w:val="center"/>
          </w:tcPr>
          <w:p w14:paraId="698AE6F0"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30+</w:t>
            </w:r>
          </w:p>
        </w:tc>
        <w:tc>
          <w:tcPr>
            <w:tcW w:w="553" w:type="dxa"/>
            <w:tcBorders>
              <w:left w:val="single" w:sz="24" w:space="0" w:color="000000"/>
              <w:bottom w:val="single" w:sz="24" w:space="0" w:color="000000"/>
            </w:tcBorders>
            <w:textDirection w:val="btLr"/>
            <w:vAlign w:val="center"/>
          </w:tcPr>
          <w:p w14:paraId="10CA6207"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Yes</w:t>
            </w:r>
          </w:p>
        </w:tc>
        <w:tc>
          <w:tcPr>
            <w:tcW w:w="553" w:type="dxa"/>
            <w:tcBorders>
              <w:bottom w:val="single" w:sz="24" w:space="0" w:color="000000"/>
              <w:right w:val="thickThinSmallGap" w:sz="24" w:space="0" w:color="000000"/>
            </w:tcBorders>
            <w:textDirection w:val="btLr"/>
            <w:vAlign w:val="center"/>
          </w:tcPr>
          <w:p w14:paraId="3F1F5C0B" w14:textId="77777777" w:rsidR="00F72C93" w:rsidRPr="0034763B" w:rsidRDefault="00F72C93" w:rsidP="00F72C93">
            <w:pPr>
              <w:ind w:left="113" w:right="113"/>
              <w:rPr>
                <w:rFonts w:ascii="Times New Roman" w:hAnsi="Times New Roman" w:cs="Times New Roman"/>
                <w:b/>
                <w:sz w:val="18"/>
                <w:szCs w:val="18"/>
              </w:rPr>
            </w:pPr>
            <w:r w:rsidRPr="0034763B">
              <w:rPr>
                <w:rFonts w:ascii="Times New Roman" w:hAnsi="Times New Roman" w:cs="Times New Roman"/>
                <w:b/>
                <w:sz w:val="18"/>
                <w:szCs w:val="18"/>
              </w:rPr>
              <w:t>No</w:t>
            </w:r>
          </w:p>
        </w:tc>
      </w:tr>
      <w:tr w:rsidR="00F72C93" w:rsidRPr="0034763B" w14:paraId="32E1CECC" w14:textId="77777777" w:rsidTr="00F72C93">
        <w:tc>
          <w:tcPr>
            <w:tcW w:w="2403" w:type="dxa"/>
            <w:gridSpan w:val="2"/>
            <w:tcBorders>
              <w:top w:val="single" w:sz="24" w:space="0" w:color="000000"/>
              <w:left w:val="thinThickSmallGap" w:sz="24" w:space="0" w:color="000000"/>
              <w:bottom w:val="single" w:sz="24" w:space="0" w:color="000000"/>
              <w:right w:val="single" w:sz="24" w:space="0" w:color="auto"/>
            </w:tcBorders>
            <w:vAlign w:val="center"/>
          </w:tcPr>
          <w:p w14:paraId="6F1016D8"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TOTAL</w:t>
            </w:r>
          </w:p>
        </w:tc>
        <w:tc>
          <w:tcPr>
            <w:tcW w:w="552" w:type="dxa"/>
            <w:tcBorders>
              <w:top w:val="single" w:sz="24" w:space="0" w:color="000000"/>
              <w:left w:val="single" w:sz="24" w:space="0" w:color="auto"/>
              <w:bottom w:val="single" w:sz="24" w:space="0" w:color="000000"/>
            </w:tcBorders>
          </w:tcPr>
          <w:p w14:paraId="57495B2C"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10</w:t>
            </w:r>
          </w:p>
        </w:tc>
        <w:tc>
          <w:tcPr>
            <w:tcW w:w="553" w:type="dxa"/>
            <w:tcBorders>
              <w:top w:val="single" w:sz="24" w:space="0" w:color="000000"/>
              <w:bottom w:val="single" w:sz="24" w:space="0" w:color="000000"/>
              <w:right w:val="single" w:sz="24" w:space="0" w:color="000000"/>
            </w:tcBorders>
          </w:tcPr>
          <w:p w14:paraId="343B86D2"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8</w:t>
            </w:r>
          </w:p>
        </w:tc>
        <w:tc>
          <w:tcPr>
            <w:tcW w:w="553" w:type="dxa"/>
            <w:tcBorders>
              <w:top w:val="single" w:sz="24" w:space="0" w:color="000000"/>
              <w:left w:val="single" w:sz="24" w:space="0" w:color="000000"/>
              <w:bottom w:val="single" w:sz="24" w:space="0" w:color="000000"/>
            </w:tcBorders>
          </w:tcPr>
          <w:p w14:paraId="6AAFE5FA"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3</w:t>
            </w:r>
          </w:p>
        </w:tc>
        <w:tc>
          <w:tcPr>
            <w:tcW w:w="553" w:type="dxa"/>
            <w:tcBorders>
              <w:top w:val="single" w:sz="24" w:space="0" w:color="000000"/>
              <w:bottom w:val="single" w:sz="24" w:space="0" w:color="000000"/>
            </w:tcBorders>
          </w:tcPr>
          <w:p w14:paraId="791690CB"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11</w:t>
            </w:r>
          </w:p>
        </w:tc>
        <w:tc>
          <w:tcPr>
            <w:tcW w:w="553" w:type="dxa"/>
            <w:tcBorders>
              <w:top w:val="single" w:sz="24" w:space="0" w:color="000000"/>
              <w:bottom w:val="single" w:sz="24" w:space="0" w:color="000000"/>
            </w:tcBorders>
          </w:tcPr>
          <w:p w14:paraId="71BDA7F1"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3</w:t>
            </w:r>
          </w:p>
        </w:tc>
        <w:tc>
          <w:tcPr>
            <w:tcW w:w="553" w:type="dxa"/>
            <w:tcBorders>
              <w:top w:val="single" w:sz="24" w:space="0" w:color="000000"/>
              <w:bottom w:val="single" w:sz="24" w:space="0" w:color="000000"/>
              <w:right w:val="single" w:sz="24" w:space="0" w:color="000000"/>
            </w:tcBorders>
          </w:tcPr>
          <w:p w14:paraId="13E0AD7B"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1</w:t>
            </w:r>
          </w:p>
        </w:tc>
        <w:tc>
          <w:tcPr>
            <w:tcW w:w="553" w:type="dxa"/>
            <w:tcBorders>
              <w:top w:val="single" w:sz="24" w:space="0" w:color="000000"/>
              <w:left w:val="single" w:sz="24" w:space="0" w:color="000000"/>
              <w:bottom w:val="single" w:sz="24" w:space="0" w:color="000000"/>
            </w:tcBorders>
          </w:tcPr>
          <w:p w14:paraId="2D6C14F0"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6</w:t>
            </w:r>
          </w:p>
        </w:tc>
        <w:tc>
          <w:tcPr>
            <w:tcW w:w="553" w:type="dxa"/>
            <w:tcBorders>
              <w:top w:val="single" w:sz="24" w:space="0" w:color="000000"/>
              <w:bottom w:val="single" w:sz="24" w:space="0" w:color="000000"/>
            </w:tcBorders>
          </w:tcPr>
          <w:p w14:paraId="266BF915"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9</w:t>
            </w:r>
          </w:p>
        </w:tc>
        <w:tc>
          <w:tcPr>
            <w:tcW w:w="553" w:type="dxa"/>
            <w:tcBorders>
              <w:top w:val="single" w:sz="24" w:space="0" w:color="000000"/>
              <w:bottom w:val="single" w:sz="24" w:space="0" w:color="000000"/>
            </w:tcBorders>
          </w:tcPr>
          <w:p w14:paraId="173F4F75"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2</w:t>
            </w:r>
          </w:p>
        </w:tc>
        <w:tc>
          <w:tcPr>
            <w:tcW w:w="553" w:type="dxa"/>
            <w:tcBorders>
              <w:top w:val="single" w:sz="24" w:space="0" w:color="000000"/>
              <w:bottom w:val="single" w:sz="24" w:space="0" w:color="000000"/>
              <w:right w:val="single" w:sz="24" w:space="0" w:color="000000"/>
            </w:tcBorders>
          </w:tcPr>
          <w:p w14:paraId="72D7F126"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1</w:t>
            </w:r>
          </w:p>
        </w:tc>
        <w:tc>
          <w:tcPr>
            <w:tcW w:w="553" w:type="dxa"/>
            <w:tcBorders>
              <w:top w:val="single" w:sz="24" w:space="0" w:color="000000"/>
              <w:left w:val="single" w:sz="24" w:space="0" w:color="000000"/>
              <w:bottom w:val="single" w:sz="24" w:space="0" w:color="000000"/>
            </w:tcBorders>
          </w:tcPr>
          <w:p w14:paraId="614B411A"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2</w:t>
            </w:r>
          </w:p>
        </w:tc>
        <w:tc>
          <w:tcPr>
            <w:tcW w:w="553" w:type="dxa"/>
            <w:tcBorders>
              <w:top w:val="single" w:sz="24" w:space="0" w:color="000000"/>
              <w:bottom w:val="single" w:sz="24" w:space="0" w:color="000000"/>
            </w:tcBorders>
          </w:tcPr>
          <w:p w14:paraId="1F0D7DDB"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4</w:t>
            </w:r>
          </w:p>
        </w:tc>
        <w:tc>
          <w:tcPr>
            <w:tcW w:w="553" w:type="dxa"/>
            <w:tcBorders>
              <w:top w:val="single" w:sz="24" w:space="0" w:color="000000"/>
              <w:bottom w:val="single" w:sz="24" w:space="0" w:color="000000"/>
            </w:tcBorders>
          </w:tcPr>
          <w:p w14:paraId="63A1F440"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5</w:t>
            </w:r>
          </w:p>
        </w:tc>
        <w:tc>
          <w:tcPr>
            <w:tcW w:w="553" w:type="dxa"/>
            <w:tcBorders>
              <w:top w:val="single" w:sz="24" w:space="0" w:color="000000"/>
              <w:bottom w:val="single" w:sz="24" w:space="0" w:color="000000"/>
            </w:tcBorders>
          </w:tcPr>
          <w:p w14:paraId="57243635"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2</w:t>
            </w:r>
          </w:p>
        </w:tc>
        <w:tc>
          <w:tcPr>
            <w:tcW w:w="553" w:type="dxa"/>
            <w:tcBorders>
              <w:top w:val="single" w:sz="24" w:space="0" w:color="000000"/>
              <w:bottom w:val="single" w:sz="24" w:space="0" w:color="000000"/>
            </w:tcBorders>
          </w:tcPr>
          <w:p w14:paraId="23406BDE"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1</w:t>
            </w:r>
          </w:p>
        </w:tc>
        <w:tc>
          <w:tcPr>
            <w:tcW w:w="553" w:type="dxa"/>
            <w:tcBorders>
              <w:top w:val="single" w:sz="24" w:space="0" w:color="000000"/>
              <w:bottom w:val="single" w:sz="24" w:space="0" w:color="000000"/>
              <w:right w:val="single" w:sz="24" w:space="0" w:color="000000"/>
            </w:tcBorders>
          </w:tcPr>
          <w:p w14:paraId="7976EA9A"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4</w:t>
            </w:r>
          </w:p>
        </w:tc>
        <w:tc>
          <w:tcPr>
            <w:tcW w:w="553" w:type="dxa"/>
            <w:tcBorders>
              <w:top w:val="single" w:sz="24" w:space="0" w:color="000000"/>
              <w:left w:val="single" w:sz="24" w:space="0" w:color="000000"/>
              <w:bottom w:val="single" w:sz="24" w:space="0" w:color="000000"/>
            </w:tcBorders>
          </w:tcPr>
          <w:p w14:paraId="621316AC"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7</w:t>
            </w:r>
          </w:p>
        </w:tc>
        <w:tc>
          <w:tcPr>
            <w:tcW w:w="553" w:type="dxa"/>
            <w:tcBorders>
              <w:top w:val="single" w:sz="24" w:space="0" w:color="000000"/>
              <w:bottom w:val="single" w:sz="24" w:space="0" w:color="000000"/>
            </w:tcBorders>
          </w:tcPr>
          <w:p w14:paraId="1159A0B9"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6</w:t>
            </w:r>
          </w:p>
        </w:tc>
        <w:tc>
          <w:tcPr>
            <w:tcW w:w="553" w:type="dxa"/>
            <w:tcBorders>
              <w:top w:val="single" w:sz="24" w:space="0" w:color="000000"/>
              <w:bottom w:val="single" w:sz="24" w:space="0" w:color="000000"/>
              <w:right w:val="single" w:sz="24" w:space="0" w:color="000000"/>
            </w:tcBorders>
          </w:tcPr>
          <w:p w14:paraId="3677A3B0"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5</w:t>
            </w:r>
          </w:p>
        </w:tc>
        <w:tc>
          <w:tcPr>
            <w:tcW w:w="553" w:type="dxa"/>
            <w:tcBorders>
              <w:top w:val="single" w:sz="24" w:space="0" w:color="000000"/>
              <w:left w:val="single" w:sz="24" w:space="0" w:color="000000"/>
              <w:bottom w:val="single" w:sz="24" w:space="0" w:color="000000"/>
            </w:tcBorders>
          </w:tcPr>
          <w:p w14:paraId="26CF5F8B"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7</w:t>
            </w:r>
          </w:p>
        </w:tc>
        <w:tc>
          <w:tcPr>
            <w:tcW w:w="553" w:type="dxa"/>
            <w:tcBorders>
              <w:top w:val="single" w:sz="24" w:space="0" w:color="000000"/>
              <w:bottom w:val="single" w:sz="24" w:space="0" w:color="000000"/>
            </w:tcBorders>
          </w:tcPr>
          <w:p w14:paraId="7C9131B5"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4</w:t>
            </w:r>
          </w:p>
        </w:tc>
        <w:tc>
          <w:tcPr>
            <w:tcW w:w="553" w:type="dxa"/>
            <w:tcBorders>
              <w:top w:val="single" w:sz="24" w:space="0" w:color="000000"/>
              <w:bottom w:val="single" w:sz="24" w:space="0" w:color="000000"/>
              <w:right w:val="single" w:sz="24" w:space="0" w:color="000000"/>
            </w:tcBorders>
          </w:tcPr>
          <w:p w14:paraId="692CE144"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7</w:t>
            </w:r>
          </w:p>
        </w:tc>
        <w:tc>
          <w:tcPr>
            <w:tcW w:w="553" w:type="dxa"/>
            <w:tcBorders>
              <w:top w:val="single" w:sz="24" w:space="0" w:color="000000"/>
              <w:left w:val="single" w:sz="24" w:space="0" w:color="000000"/>
              <w:bottom w:val="single" w:sz="24" w:space="0" w:color="000000"/>
            </w:tcBorders>
          </w:tcPr>
          <w:p w14:paraId="79CAD8EC"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14</w:t>
            </w:r>
          </w:p>
        </w:tc>
        <w:tc>
          <w:tcPr>
            <w:tcW w:w="553" w:type="dxa"/>
            <w:tcBorders>
              <w:top w:val="single" w:sz="24" w:space="0" w:color="000000"/>
              <w:bottom w:val="single" w:sz="24" w:space="0" w:color="000000"/>
              <w:right w:val="thickThinSmallGap" w:sz="24" w:space="0" w:color="000000"/>
            </w:tcBorders>
          </w:tcPr>
          <w:p w14:paraId="75F0D329" w14:textId="77777777" w:rsidR="00F72C93" w:rsidRPr="0034763B" w:rsidRDefault="00F72C93" w:rsidP="00F72C93">
            <w:pPr>
              <w:rPr>
                <w:rFonts w:ascii="Times New Roman" w:hAnsi="Times New Roman" w:cs="Times New Roman"/>
                <w:b/>
                <w:i/>
                <w:sz w:val="18"/>
                <w:szCs w:val="18"/>
              </w:rPr>
            </w:pPr>
            <w:r w:rsidRPr="0034763B">
              <w:rPr>
                <w:rFonts w:ascii="Times New Roman" w:hAnsi="Times New Roman" w:cs="Times New Roman"/>
                <w:b/>
                <w:i/>
                <w:sz w:val="18"/>
                <w:szCs w:val="18"/>
              </w:rPr>
              <w:t>4</w:t>
            </w:r>
          </w:p>
        </w:tc>
      </w:tr>
      <w:tr w:rsidR="00F72C93" w:rsidRPr="0034763B" w14:paraId="7D526F91" w14:textId="77777777" w:rsidTr="00F72C93">
        <w:tc>
          <w:tcPr>
            <w:tcW w:w="1123" w:type="dxa"/>
            <w:vMerge w:val="restart"/>
            <w:tcBorders>
              <w:top w:val="single" w:sz="24" w:space="0" w:color="000000"/>
              <w:left w:val="thinThickSmallGap" w:sz="24" w:space="0" w:color="000000"/>
            </w:tcBorders>
            <w:shd w:val="clear" w:color="auto" w:fill="D9D9D9" w:themeFill="background1" w:themeFillShade="D9"/>
            <w:vAlign w:val="center"/>
          </w:tcPr>
          <w:p w14:paraId="1BC7282D"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NPM</w:t>
            </w:r>
          </w:p>
          <w:p w14:paraId="425D0570"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designation</w:t>
            </w:r>
          </w:p>
        </w:tc>
        <w:tc>
          <w:tcPr>
            <w:tcW w:w="1280" w:type="dxa"/>
            <w:tcBorders>
              <w:top w:val="single" w:sz="24" w:space="0" w:color="000000"/>
              <w:right w:val="single" w:sz="24" w:space="0" w:color="auto"/>
            </w:tcBorders>
            <w:shd w:val="clear" w:color="auto" w:fill="D9D9D9" w:themeFill="background1" w:themeFillShade="D9"/>
          </w:tcPr>
          <w:p w14:paraId="05A67148"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Pre 2010</w:t>
            </w:r>
          </w:p>
        </w:tc>
        <w:tc>
          <w:tcPr>
            <w:tcW w:w="552" w:type="dxa"/>
            <w:tcBorders>
              <w:top w:val="single" w:sz="24" w:space="0" w:color="000000"/>
              <w:left w:val="single" w:sz="24" w:space="0" w:color="auto"/>
            </w:tcBorders>
            <w:shd w:val="clear" w:color="auto" w:fill="A6A6A6" w:themeFill="background1" w:themeFillShade="A6"/>
          </w:tcPr>
          <w:p w14:paraId="5D549798"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right w:val="single" w:sz="24" w:space="0" w:color="000000"/>
            </w:tcBorders>
            <w:shd w:val="clear" w:color="auto" w:fill="A6A6A6" w:themeFill="background1" w:themeFillShade="A6"/>
          </w:tcPr>
          <w:p w14:paraId="11488427"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left w:val="single" w:sz="24" w:space="0" w:color="000000"/>
            </w:tcBorders>
            <w:shd w:val="clear" w:color="auto" w:fill="D9D9D9" w:themeFill="background1" w:themeFillShade="D9"/>
          </w:tcPr>
          <w:p w14:paraId="26028F2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4B3AB3D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top w:val="single" w:sz="24" w:space="0" w:color="000000"/>
            </w:tcBorders>
            <w:shd w:val="clear" w:color="auto" w:fill="D9D9D9" w:themeFill="background1" w:themeFillShade="D9"/>
          </w:tcPr>
          <w:p w14:paraId="261235C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23A67BC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shd w:val="clear" w:color="auto" w:fill="D9D9D9" w:themeFill="background1" w:themeFillShade="D9"/>
          </w:tcPr>
          <w:p w14:paraId="44E80CC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tcBorders>
            <w:shd w:val="clear" w:color="auto" w:fill="D9D9D9" w:themeFill="background1" w:themeFillShade="D9"/>
          </w:tcPr>
          <w:p w14:paraId="153F666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tcBorders>
            <w:shd w:val="clear" w:color="auto" w:fill="D9D9D9" w:themeFill="background1" w:themeFillShade="D9"/>
          </w:tcPr>
          <w:p w14:paraId="3C47EF5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2EB5640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shd w:val="clear" w:color="auto" w:fill="D9D9D9" w:themeFill="background1" w:themeFillShade="D9"/>
          </w:tcPr>
          <w:p w14:paraId="7FCB135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shd w:val="clear" w:color="auto" w:fill="D9D9D9" w:themeFill="background1" w:themeFillShade="D9"/>
          </w:tcPr>
          <w:p w14:paraId="2CB1F6A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42503CD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tcBorders>
            <w:shd w:val="clear" w:color="auto" w:fill="D9D9D9" w:themeFill="background1" w:themeFillShade="D9"/>
          </w:tcPr>
          <w:p w14:paraId="1B3B95B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shd w:val="clear" w:color="auto" w:fill="D9D9D9" w:themeFill="background1" w:themeFillShade="D9"/>
          </w:tcPr>
          <w:p w14:paraId="57EC815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272B1FA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left w:val="single" w:sz="24" w:space="0" w:color="000000"/>
            </w:tcBorders>
            <w:shd w:val="clear" w:color="auto" w:fill="D9D9D9" w:themeFill="background1" w:themeFillShade="D9"/>
          </w:tcPr>
          <w:p w14:paraId="3C6B22B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top w:val="single" w:sz="24" w:space="0" w:color="000000"/>
            </w:tcBorders>
            <w:shd w:val="clear" w:color="auto" w:fill="D9D9D9" w:themeFill="background1" w:themeFillShade="D9"/>
          </w:tcPr>
          <w:p w14:paraId="751F8B6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right w:val="single" w:sz="24" w:space="0" w:color="000000"/>
            </w:tcBorders>
            <w:shd w:val="clear" w:color="auto" w:fill="D9D9D9" w:themeFill="background1" w:themeFillShade="D9"/>
          </w:tcPr>
          <w:p w14:paraId="56343F8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top w:val="single" w:sz="24" w:space="0" w:color="000000"/>
              <w:left w:val="single" w:sz="24" w:space="0" w:color="000000"/>
            </w:tcBorders>
            <w:shd w:val="clear" w:color="auto" w:fill="D9D9D9" w:themeFill="background1" w:themeFillShade="D9"/>
          </w:tcPr>
          <w:p w14:paraId="2D768FD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top w:val="single" w:sz="24" w:space="0" w:color="000000"/>
            </w:tcBorders>
            <w:shd w:val="clear" w:color="auto" w:fill="D9D9D9" w:themeFill="background1" w:themeFillShade="D9"/>
          </w:tcPr>
          <w:p w14:paraId="3878E48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shd w:val="clear" w:color="auto" w:fill="D9D9D9" w:themeFill="background1" w:themeFillShade="D9"/>
          </w:tcPr>
          <w:p w14:paraId="10E2E19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top w:val="single" w:sz="24" w:space="0" w:color="000000"/>
              <w:left w:val="single" w:sz="24" w:space="0" w:color="000000"/>
            </w:tcBorders>
            <w:shd w:val="clear" w:color="auto" w:fill="D9D9D9" w:themeFill="background1" w:themeFillShade="D9"/>
          </w:tcPr>
          <w:p w14:paraId="6AF4FE3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9</w:t>
            </w:r>
          </w:p>
        </w:tc>
        <w:tc>
          <w:tcPr>
            <w:tcW w:w="553" w:type="dxa"/>
            <w:tcBorders>
              <w:top w:val="single" w:sz="24" w:space="0" w:color="000000"/>
              <w:right w:val="thickThinSmallGap" w:sz="24" w:space="0" w:color="000000"/>
            </w:tcBorders>
            <w:shd w:val="clear" w:color="auto" w:fill="D9D9D9" w:themeFill="background1" w:themeFillShade="D9"/>
          </w:tcPr>
          <w:p w14:paraId="53C9BC8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0C2C0EE8" w14:textId="77777777" w:rsidTr="00F72C93">
        <w:tc>
          <w:tcPr>
            <w:tcW w:w="1123" w:type="dxa"/>
            <w:vMerge/>
            <w:tcBorders>
              <w:left w:val="thinThickSmallGap" w:sz="24" w:space="0" w:color="000000"/>
              <w:bottom w:val="single" w:sz="24" w:space="0" w:color="000000"/>
            </w:tcBorders>
            <w:shd w:val="clear" w:color="auto" w:fill="D9D9D9" w:themeFill="background1" w:themeFillShade="D9"/>
            <w:vAlign w:val="center"/>
          </w:tcPr>
          <w:p w14:paraId="5E8EF66D" w14:textId="77777777" w:rsidR="00F72C93" w:rsidRPr="0034763B" w:rsidRDefault="00F72C93" w:rsidP="00F72C93">
            <w:pPr>
              <w:rPr>
                <w:rFonts w:ascii="Times New Roman" w:hAnsi="Times New Roman" w:cs="Times New Roman"/>
                <w:b/>
                <w:sz w:val="18"/>
                <w:szCs w:val="18"/>
              </w:rPr>
            </w:pPr>
          </w:p>
        </w:tc>
        <w:tc>
          <w:tcPr>
            <w:tcW w:w="1280" w:type="dxa"/>
            <w:tcBorders>
              <w:bottom w:val="single" w:sz="24" w:space="0" w:color="000000"/>
              <w:right w:val="single" w:sz="24" w:space="0" w:color="auto"/>
            </w:tcBorders>
            <w:shd w:val="clear" w:color="auto" w:fill="D9D9D9" w:themeFill="background1" w:themeFillShade="D9"/>
          </w:tcPr>
          <w:p w14:paraId="2D908B0A"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Post 2009</w:t>
            </w:r>
          </w:p>
        </w:tc>
        <w:tc>
          <w:tcPr>
            <w:tcW w:w="552" w:type="dxa"/>
            <w:tcBorders>
              <w:left w:val="single" w:sz="24" w:space="0" w:color="auto"/>
              <w:bottom w:val="single" w:sz="24" w:space="0" w:color="000000"/>
            </w:tcBorders>
            <w:shd w:val="clear" w:color="auto" w:fill="A6A6A6" w:themeFill="background1" w:themeFillShade="A6"/>
          </w:tcPr>
          <w:p w14:paraId="1D32D780"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right w:val="single" w:sz="24" w:space="0" w:color="000000"/>
            </w:tcBorders>
            <w:shd w:val="clear" w:color="auto" w:fill="A6A6A6" w:themeFill="background1" w:themeFillShade="A6"/>
          </w:tcPr>
          <w:p w14:paraId="42820D4F"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bottom w:val="single" w:sz="24" w:space="0" w:color="000000"/>
            </w:tcBorders>
            <w:shd w:val="clear" w:color="auto" w:fill="D9D9D9" w:themeFill="background1" w:themeFillShade="D9"/>
          </w:tcPr>
          <w:p w14:paraId="1245784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tcBorders>
            <w:shd w:val="clear" w:color="auto" w:fill="D9D9D9" w:themeFill="background1" w:themeFillShade="D9"/>
          </w:tcPr>
          <w:p w14:paraId="0E24EB5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bottom w:val="single" w:sz="24" w:space="0" w:color="000000"/>
            </w:tcBorders>
            <w:shd w:val="clear" w:color="auto" w:fill="D9D9D9" w:themeFill="background1" w:themeFillShade="D9"/>
          </w:tcPr>
          <w:p w14:paraId="3964C8B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right w:val="single" w:sz="24" w:space="0" w:color="000000"/>
            </w:tcBorders>
            <w:shd w:val="clear" w:color="auto" w:fill="D9D9D9" w:themeFill="background1" w:themeFillShade="D9"/>
          </w:tcPr>
          <w:p w14:paraId="6A73D33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bottom w:val="single" w:sz="24" w:space="0" w:color="000000"/>
            </w:tcBorders>
            <w:shd w:val="clear" w:color="auto" w:fill="D9D9D9" w:themeFill="background1" w:themeFillShade="D9"/>
          </w:tcPr>
          <w:p w14:paraId="787BBA0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bottom w:val="single" w:sz="24" w:space="0" w:color="000000"/>
            </w:tcBorders>
            <w:shd w:val="clear" w:color="auto" w:fill="D9D9D9" w:themeFill="background1" w:themeFillShade="D9"/>
          </w:tcPr>
          <w:p w14:paraId="3D9D7E5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bottom w:val="single" w:sz="24" w:space="0" w:color="000000"/>
            </w:tcBorders>
            <w:shd w:val="clear" w:color="auto" w:fill="D9D9D9" w:themeFill="background1" w:themeFillShade="D9"/>
          </w:tcPr>
          <w:p w14:paraId="5E04553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shd w:val="clear" w:color="auto" w:fill="D9D9D9" w:themeFill="background1" w:themeFillShade="D9"/>
          </w:tcPr>
          <w:p w14:paraId="67465D7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bottom w:val="single" w:sz="24" w:space="0" w:color="000000"/>
            </w:tcBorders>
            <w:shd w:val="clear" w:color="auto" w:fill="D9D9D9" w:themeFill="background1" w:themeFillShade="D9"/>
          </w:tcPr>
          <w:p w14:paraId="117BD44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tcBorders>
            <w:shd w:val="clear" w:color="auto" w:fill="D9D9D9" w:themeFill="background1" w:themeFillShade="D9"/>
          </w:tcPr>
          <w:p w14:paraId="568B76E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shd w:val="clear" w:color="auto" w:fill="D9D9D9" w:themeFill="background1" w:themeFillShade="D9"/>
          </w:tcPr>
          <w:p w14:paraId="3F5DE80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shd w:val="clear" w:color="auto" w:fill="D9D9D9" w:themeFill="background1" w:themeFillShade="D9"/>
          </w:tcPr>
          <w:p w14:paraId="109AC8B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shd w:val="clear" w:color="auto" w:fill="D9D9D9" w:themeFill="background1" w:themeFillShade="D9"/>
          </w:tcPr>
          <w:p w14:paraId="1D1286C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shd w:val="clear" w:color="auto" w:fill="D9D9D9" w:themeFill="background1" w:themeFillShade="D9"/>
          </w:tcPr>
          <w:p w14:paraId="6AC9043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3CB2905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bottom w:val="single" w:sz="24" w:space="0" w:color="000000"/>
            </w:tcBorders>
            <w:shd w:val="clear" w:color="auto" w:fill="D9D9D9" w:themeFill="background1" w:themeFillShade="D9"/>
          </w:tcPr>
          <w:p w14:paraId="2958FB0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bottom w:val="single" w:sz="24" w:space="0" w:color="000000"/>
              <w:right w:val="single" w:sz="24" w:space="0" w:color="000000"/>
            </w:tcBorders>
            <w:shd w:val="clear" w:color="auto" w:fill="D9D9D9" w:themeFill="background1" w:themeFillShade="D9"/>
          </w:tcPr>
          <w:p w14:paraId="55A4159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12DC081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tcBorders>
            <w:shd w:val="clear" w:color="auto" w:fill="D9D9D9" w:themeFill="background1" w:themeFillShade="D9"/>
          </w:tcPr>
          <w:p w14:paraId="1E2FE90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bottom w:val="single" w:sz="24" w:space="0" w:color="000000"/>
              <w:right w:val="single" w:sz="24" w:space="0" w:color="000000"/>
            </w:tcBorders>
            <w:shd w:val="clear" w:color="auto" w:fill="D9D9D9" w:themeFill="background1" w:themeFillShade="D9"/>
          </w:tcPr>
          <w:p w14:paraId="2F0A5BC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left w:val="single" w:sz="24" w:space="0" w:color="000000"/>
              <w:bottom w:val="single" w:sz="24" w:space="0" w:color="000000"/>
            </w:tcBorders>
            <w:shd w:val="clear" w:color="auto" w:fill="D9D9D9" w:themeFill="background1" w:themeFillShade="D9"/>
          </w:tcPr>
          <w:p w14:paraId="3B6F8C4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bottom w:val="single" w:sz="24" w:space="0" w:color="000000"/>
              <w:right w:val="thickThinSmallGap" w:sz="24" w:space="0" w:color="000000"/>
            </w:tcBorders>
            <w:shd w:val="clear" w:color="auto" w:fill="D9D9D9" w:themeFill="background1" w:themeFillShade="D9"/>
          </w:tcPr>
          <w:p w14:paraId="416649D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r>
      <w:tr w:rsidR="00F72C93" w:rsidRPr="0034763B" w14:paraId="76C8B423" w14:textId="77777777" w:rsidTr="00F72C93">
        <w:tc>
          <w:tcPr>
            <w:tcW w:w="1123" w:type="dxa"/>
            <w:vMerge w:val="restart"/>
            <w:tcBorders>
              <w:top w:val="single" w:sz="24" w:space="0" w:color="000000"/>
              <w:left w:val="thinThickSmallGap" w:sz="24" w:space="0" w:color="000000"/>
            </w:tcBorders>
            <w:vAlign w:val="center"/>
          </w:tcPr>
          <w:p w14:paraId="1144A48A"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NPM type</w:t>
            </w:r>
          </w:p>
        </w:tc>
        <w:tc>
          <w:tcPr>
            <w:tcW w:w="1280" w:type="dxa"/>
            <w:tcBorders>
              <w:top w:val="single" w:sz="24" w:space="0" w:color="000000"/>
              <w:right w:val="single" w:sz="24" w:space="0" w:color="auto"/>
            </w:tcBorders>
          </w:tcPr>
          <w:p w14:paraId="1168F5D6"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New body</w:t>
            </w:r>
          </w:p>
        </w:tc>
        <w:tc>
          <w:tcPr>
            <w:tcW w:w="552" w:type="dxa"/>
            <w:tcBorders>
              <w:top w:val="single" w:sz="24" w:space="0" w:color="000000"/>
              <w:left w:val="single" w:sz="24" w:space="0" w:color="auto"/>
            </w:tcBorders>
          </w:tcPr>
          <w:p w14:paraId="02ABD2F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right w:val="single" w:sz="24" w:space="0" w:color="000000"/>
            </w:tcBorders>
          </w:tcPr>
          <w:p w14:paraId="14C8CE0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shd w:val="clear" w:color="auto" w:fill="A6A6A6" w:themeFill="background1" w:themeFillShade="A6"/>
          </w:tcPr>
          <w:p w14:paraId="7694D841"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4739342B"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78932784"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right w:val="single" w:sz="24" w:space="0" w:color="000000"/>
            </w:tcBorders>
            <w:shd w:val="clear" w:color="auto" w:fill="A6A6A6" w:themeFill="background1" w:themeFillShade="A6"/>
          </w:tcPr>
          <w:p w14:paraId="405FE13F"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left w:val="single" w:sz="24" w:space="0" w:color="000000"/>
            </w:tcBorders>
          </w:tcPr>
          <w:p w14:paraId="3951161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tcPr>
          <w:p w14:paraId="76CA236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tcPr>
          <w:p w14:paraId="43BD5AE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tcPr>
          <w:p w14:paraId="5255D93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tcPr>
          <w:p w14:paraId="427BDA4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tcPr>
          <w:p w14:paraId="24714C2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tcPr>
          <w:p w14:paraId="2982574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tcPr>
          <w:p w14:paraId="085ABE4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tcPr>
          <w:p w14:paraId="1C422C7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tcPr>
          <w:p w14:paraId="31B1A5E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left w:val="single" w:sz="24" w:space="0" w:color="000000"/>
            </w:tcBorders>
          </w:tcPr>
          <w:p w14:paraId="0737723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tcPr>
          <w:p w14:paraId="752601F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shd w:val="clear" w:color="auto" w:fill="auto"/>
          </w:tcPr>
          <w:p w14:paraId="4E2589D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left w:val="single" w:sz="24" w:space="0" w:color="000000"/>
            </w:tcBorders>
          </w:tcPr>
          <w:p w14:paraId="1124D5C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tcPr>
          <w:p w14:paraId="4D2A8F6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tcPr>
          <w:p w14:paraId="74CD621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tcPr>
          <w:p w14:paraId="063A467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right w:val="thickThinSmallGap" w:sz="24" w:space="0" w:color="000000"/>
            </w:tcBorders>
          </w:tcPr>
          <w:p w14:paraId="04ACDDE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3881608D" w14:textId="77777777" w:rsidTr="00F72C93">
        <w:tc>
          <w:tcPr>
            <w:tcW w:w="1123" w:type="dxa"/>
            <w:vMerge/>
            <w:tcBorders>
              <w:left w:val="thinThickSmallGap" w:sz="24" w:space="0" w:color="000000"/>
            </w:tcBorders>
            <w:vAlign w:val="center"/>
          </w:tcPr>
          <w:p w14:paraId="0CB393C9"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tcPr>
          <w:p w14:paraId="60393D3D"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NHRI/Omb</w:t>
            </w:r>
          </w:p>
        </w:tc>
        <w:tc>
          <w:tcPr>
            <w:tcW w:w="552" w:type="dxa"/>
            <w:tcBorders>
              <w:left w:val="single" w:sz="24" w:space="0" w:color="auto"/>
            </w:tcBorders>
          </w:tcPr>
          <w:p w14:paraId="0EEF485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right w:val="single" w:sz="24" w:space="0" w:color="000000"/>
            </w:tcBorders>
          </w:tcPr>
          <w:p w14:paraId="0CB7232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left w:val="single" w:sz="24" w:space="0" w:color="000000"/>
            </w:tcBorders>
            <w:shd w:val="clear" w:color="auto" w:fill="A6A6A6" w:themeFill="background1" w:themeFillShade="A6"/>
          </w:tcPr>
          <w:p w14:paraId="68CB3D37"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57F868D4"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6FDA84E6"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2D295D5F"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tcPr>
          <w:p w14:paraId="26EFDC0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Pr>
          <w:p w14:paraId="5AD9D70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Pr>
          <w:p w14:paraId="721C295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3D6B1F7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51A1D8F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490C537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78E9F13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Pr>
          <w:p w14:paraId="41D88D2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2BACACE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1A72AEB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tcPr>
          <w:p w14:paraId="3CA5087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Pr>
          <w:p w14:paraId="22432F6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right w:val="single" w:sz="24" w:space="0" w:color="000000"/>
            </w:tcBorders>
          </w:tcPr>
          <w:p w14:paraId="067E384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tcPr>
          <w:p w14:paraId="33425FB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Pr>
          <w:p w14:paraId="145F2B2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tcPr>
          <w:p w14:paraId="2208379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left w:val="single" w:sz="24" w:space="0" w:color="000000"/>
            </w:tcBorders>
          </w:tcPr>
          <w:p w14:paraId="30485D7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8</w:t>
            </w:r>
          </w:p>
        </w:tc>
        <w:tc>
          <w:tcPr>
            <w:tcW w:w="553" w:type="dxa"/>
            <w:tcBorders>
              <w:right w:val="thickThinSmallGap" w:sz="24" w:space="0" w:color="000000"/>
            </w:tcBorders>
          </w:tcPr>
          <w:p w14:paraId="6336630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r>
      <w:tr w:rsidR="00F72C93" w:rsidRPr="0034763B" w14:paraId="7852106E" w14:textId="77777777" w:rsidTr="00F72C93">
        <w:tc>
          <w:tcPr>
            <w:tcW w:w="1123" w:type="dxa"/>
            <w:vMerge/>
            <w:tcBorders>
              <w:left w:val="thinThickSmallGap" w:sz="24" w:space="0" w:color="000000"/>
            </w:tcBorders>
            <w:vAlign w:val="center"/>
          </w:tcPr>
          <w:p w14:paraId="5661E1BB"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tcPr>
          <w:p w14:paraId="041D9AFA"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Ombuds+</w:t>
            </w:r>
          </w:p>
        </w:tc>
        <w:tc>
          <w:tcPr>
            <w:tcW w:w="552" w:type="dxa"/>
            <w:tcBorders>
              <w:left w:val="single" w:sz="24" w:space="0" w:color="auto"/>
            </w:tcBorders>
          </w:tcPr>
          <w:p w14:paraId="7ECF2CB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6CF2E4F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shd w:val="clear" w:color="auto" w:fill="A6A6A6" w:themeFill="background1" w:themeFillShade="A6"/>
          </w:tcPr>
          <w:p w14:paraId="3D4676AD"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5343A56F"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652E8450"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4496EDF8"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tcPr>
          <w:p w14:paraId="6D34151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0218FC1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138B491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617F7ED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733241F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6A19999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73260F3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1623B21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7274CE4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061AB8D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4A32B0F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15BB631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50D5837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2A21F7E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742F1F5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4ED1698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tcPr>
          <w:p w14:paraId="52CB1B4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right w:val="thickThinSmallGap" w:sz="24" w:space="0" w:color="000000"/>
            </w:tcBorders>
          </w:tcPr>
          <w:p w14:paraId="54E1DFC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r>
      <w:tr w:rsidR="00F72C93" w:rsidRPr="0034763B" w14:paraId="6E89AAD5" w14:textId="77777777" w:rsidTr="00F72C93">
        <w:tc>
          <w:tcPr>
            <w:tcW w:w="1123" w:type="dxa"/>
            <w:vMerge/>
            <w:tcBorders>
              <w:left w:val="thinThickSmallGap" w:sz="24" w:space="0" w:color="000000"/>
              <w:bottom w:val="single" w:sz="24" w:space="0" w:color="000000"/>
            </w:tcBorders>
            <w:vAlign w:val="center"/>
          </w:tcPr>
          <w:p w14:paraId="7F4D4EEF" w14:textId="77777777" w:rsidR="00F72C93" w:rsidRPr="0034763B" w:rsidRDefault="00F72C93" w:rsidP="00F72C93">
            <w:pPr>
              <w:rPr>
                <w:rFonts w:ascii="Times New Roman" w:hAnsi="Times New Roman" w:cs="Times New Roman"/>
                <w:b/>
                <w:sz w:val="18"/>
                <w:szCs w:val="18"/>
              </w:rPr>
            </w:pPr>
          </w:p>
        </w:tc>
        <w:tc>
          <w:tcPr>
            <w:tcW w:w="1280" w:type="dxa"/>
            <w:tcBorders>
              <w:bottom w:val="single" w:sz="24" w:space="0" w:color="000000"/>
              <w:right w:val="single" w:sz="24" w:space="0" w:color="auto"/>
            </w:tcBorders>
          </w:tcPr>
          <w:p w14:paraId="53DA1425"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Multi-body</w:t>
            </w:r>
          </w:p>
        </w:tc>
        <w:tc>
          <w:tcPr>
            <w:tcW w:w="552" w:type="dxa"/>
            <w:tcBorders>
              <w:left w:val="single" w:sz="24" w:space="0" w:color="auto"/>
              <w:bottom w:val="single" w:sz="24" w:space="0" w:color="000000"/>
            </w:tcBorders>
          </w:tcPr>
          <w:p w14:paraId="7043A9E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tcPr>
          <w:p w14:paraId="6ED8FFC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bottom w:val="single" w:sz="24" w:space="0" w:color="000000"/>
            </w:tcBorders>
            <w:shd w:val="clear" w:color="auto" w:fill="A6A6A6" w:themeFill="background1" w:themeFillShade="A6"/>
          </w:tcPr>
          <w:p w14:paraId="15D9EDAF"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64800B71"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1F43E916"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right w:val="single" w:sz="24" w:space="0" w:color="000000"/>
            </w:tcBorders>
            <w:shd w:val="clear" w:color="auto" w:fill="A6A6A6" w:themeFill="background1" w:themeFillShade="A6"/>
          </w:tcPr>
          <w:p w14:paraId="0B51AE36"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bottom w:val="single" w:sz="24" w:space="0" w:color="000000"/>
            </w:tcBorders>
          </w:tcPr>
          <w:p w14:paraId="5795107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0CA50CE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32EBEC4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tcPr>
          <w:p w14:paraId="1FD53AA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523751E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2F4F2C0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0B59834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040D259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0768B91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tcPr>
          <w:p w14:paraId="5790DAD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6B28CBF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1724A1D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tcPr>
          <w:p w14:paraId="73624F8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1D911F3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63677DE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tcPr>
          <w:p w14:paraId="14553F7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256F7A9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thickThinSmallGap" w:sz="24" w:space="0" w:color="000000"/>
            </w:tcBorders>
          </w:tcPr>
          <w:p w14:paraId="40BEB09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r>
      <w:tr w:rsidR="00F72C93" w:rsidRPr="0034763B" w14:paraId="05476F9E" w14:textId="77777777" w:rsidTr="00F72C93">
        <w:tc>
          <w:tcPr>
            <w:tcW w:w="1123" w:type="dxa"/>
            <w:vMerge w:val="restart"/>
            <w:tcBorders>
              <w:top w:val="single" w:sz="24" w:space="0" w:color="000000"/>
              <w:left w:val="thinThickSmallGap" w:sz="24" w:space="0" w:color="000000"/>
            </w:tcBorders>
            <w:shd w:val="clear" w:color="auto" w:fill="D9D9D9" w:themeFill="background1" w:themeFillShade="D9"/>
            <w:vAlign w:val="center"/>
          </w:tcPr>
          <w:p w14:paraId="326B91A2"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f.t.e personnel</w:t>
            </w:r>
          </w:p>
        </w:tc>
        <w:tc>
          <w:tcPr>
            <w:tcW w:w="1280" w:type="dxa"/>
            <w:tcBorders>
              <w:top w:val="single" w:sz="24" w:space="0" w:color="000000"/>
              <w:right w:val="single" w:sz="24" w:space="0" w:color="auto"/>
            </w:tcBorders>
            <w:shd w:val="clear" w:color="auto" w:fill="D9D9D9" w:themeFill="background1" w:themeFillShade="D9"/>
          </w:tcPr>
          <w:p w14:paraId="63BECF30"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&lt;=5</w:t>
            </w:r>
          </w:p>
        </w:tc>
        <w:tc>
          <w:tcPr>
            <w:tcW w:w="552" w:type="dxa"/>
            <w:tcBorders>
              <w:top w:val="single" w:sz="24" w:space="0" w:color="000000"/>
              <w:left w:val="single" w:sz="24" w:space="0" w:color="auto"/>
            </w:tcBorders>
            <w:shd w:val="clear" w:color="auto" w:fill="D9D9D9" w:themeFill="background1" w:themeFillShade="D9"/>
          </w:tcPr>
          <w:p w14:paraId="2A1F4E6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right w:val="single" w:sz="24" w:space="0" w:color="000000"/>
            </w:tcBorders>
            <w:shd w:val="clear" w:color="auto" w:fill="D9D9D9" w:themeFill="background1" w:themeFillShade="D9"/>
          </w:tcPr>
          <w:p w14:paraId="0E0EFFA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left w:val="single" w:sz="24" w:space="0" w:color="000000"/>
            </w:tcBorders>
            <w:shd w:val="clear" w:color="auto" w:fill="D9D9D9" w:themeFill="background1" w:themeFillShade="D9"/>
          </w:tcPr>
          <w:p w14:paraId="7072CC1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shd w:val="clear" w:color="auto" w:fill="D9D9D9" w:themeFill="background1" w:themeFillShade="D9"/>
          </w:tcPr>
          <w:p w14:paraId="7F0D469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top w:val="single" w:sz="24" w:space="0" w:color="000000"/>
            </w:tcBorders>
            <w:shd w:val="clear" w:color="auto" w:fill="D9D9D9" w:themeFill="background1" w:themeFillShade="D9"/>
          </w:tcPr>
          <w:p w14:paraId="3B59981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772BD19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shd w:val="clear" w:color="auto" w:fill="A6A6A6" w:themeFill="background1" w:themeFillShade="A6"/>
          </w:tcPr>
          <w:p w14:paraId="67137826"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70F526F0"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07E3BCED"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right w:val="single" w:sz="24" w:space="0" w:color="000000"/>
            </w:tcBorders>
            <w:shd w:val="clear" w:color="auto" w:fill="A6A6A6" w:themeFill="background1" w:themeFillShade="A6"/>
          </w:tcPr>
          <w:p w14:paraId="46D38DC3"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left w:val="single" w:sz="24" w:space="0" w:color="000000"/>
            </w:tcBorders>
            <w:shd w:val="clear" w:color="auto" w:fill="D9D9D9" w:themeFill="background1" w:themeFillShade="D9"/>
          </w:tcPr>
          <w:p w14:paraId="3CF25E7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391FA36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shd w:val="clear" w:color="auto" w:fill="D9D9D9" w:themeFill="background1" w:themeFillShade="D9"/>
          </w:tcPr>
          <w:p w14:paraId="0DCD410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164548E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7B0A435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shd w:val="clear" w:color="auto" w:fill="D9D9D9" w:themeFill="background1" w:themeFillShade="D9"/>
          </w:tcPr>
          <w:p w14:paraId="53C7669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shd w:val="clear" w:color="auto" w:fill="D9D9D9" w:themeFill="background1" w:themeFillShade="D9"/>
          </w:tcPr>
          <w:p w14:paraId="23B8331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6C8C803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right w:val="single" w:sz="24" w:space="0" w:color="000000"/>
            </w:tcBorders>
            <w:shd w:val="clear" w:color="auto" w:fill="D9D9D9" w:themeFill="background1" w:themeFillShade="D9"/>
          </w:tcPr>
          <w:p w14:paraId="6520E5F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shd w:val="clear" w:color="auto" w:fill="D9D9D9" w:themeFill="background1" w:themeFillShade="D9"/>
          </w:tcPr>
          <w:p w14:paraId="3A24643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tcBorders>
            <w:shd w:val="clear" w:color="auto" w:fill="D9D9D9" w:themeFill="background1" w:themeFillShade="D9"/>
          </w:tcPr>
          <w:p w14:paraId="21267AF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5C48F4E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left w:val="single" w:sz="24" w:space="0" w:color="000000"/>
            </w:tcBorders>
            <w:shd w:val="clear" w:color="auto" w:fill="D9D9D9" w:themeFill="background1" w:themeFillShade="D9"/>
          </w:tcPr>
          <w:p w14:paraId="75E9311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right w:val="thickThinSmallGap" w:sz="24" w:space="0" w:color="000000"/>
            </w:tcBorders>
            <w:shd w:val="clear" w:color="auto" w:fill="D9D9D9" w:themeFill="background1" w:themeFillShade="D9"/>
          </w:tcPr>
          <w:p w14:paraId="0E0C348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40A2D1C9" w14:textId="77777777" w:rsidTr="00F72C93">
        <w:tc>
          <w:tcPr>
            <w:tcW w:w="1123" w:type="dxa"/>
            <w:vMerge/>
            <w:tcBorders>
              <w:left w:val="thinThickSmallGap" w:sz="24" w:space="0" w:color="000000"/>
            </w:tcBorders>
            <w:shd w:val="clear" w:color="auto" w:fill="D9D9D9" w:themeFill="background1" w:themeFillShade="D9"/>
            <w:vAlign w:val="center"/>
          </w:tcPr>
          <w:p w14:paraId="2091B4B3"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shd w:val="clear" w:color="auto" w:fill="D9D9D9" w:themeFill="background1" w:themeFillShade="D9"/>
          </w:tcPr>
          <w:p w14:paraId="10CE08A1"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6 – 20</w:t>
            </w:r>
          </w:p>
        </w:tc>
        <w:tc>
          <w:tcPr>
            <w:tcW w:w="552" w:type="dxa"/>
            <w:tcBorders>
              <w:left w:val="single" w:sz="24" w:space="0" w:color="auto"/>
            </w:tcBorders>
            <w:shd w:val="clear" w:color="auto" w:fill="D9D9D9" w:themeFill="background1" w:themeFillShade="D9"/>
          </w:tcPr>
          <w:p w14:paraId="4B2DB48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right w:val="single" w:sz="24" w:space="0" w:color="000000"/>
            </w:tcBorders>
            <w:shd w:val="clear" w:color="auto" w:fill="D9D9D9" w:themeFill="background1" w:themeFillShade="D9"/>
          </w:tcPr>
          <w:p w14:paraId="3374313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left w:val="single" w:sz="24" w:space="0" w:color="000000"/>
            </w:tcBorders>
            <w:shd w:val="clear" w:color="auto" w:fill="D9D9D9" w:themeFill="background1" w:themeFillShade="D9"/>
          </w:tcPr>
          <w:p w14:paraId="0B9089A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shd w:val="clear" w:color="auto" w:fill="D9D9D9" w:themeFill="background1" w:themeFillShade="D9"/>
          </w:tcPr>
          <w:p w14:paraId="42FCDB5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shd w:val="clear" w:color="auto" w:fill="D9D9D9" w:themeFill="background1" w:themeFillShade="D9"/>
          </w:tcPr>
          <w:p w14:paraId="7977DAD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shd w:val="clear" w:color="auto" w:fill="D9D9D9" w:themeFill="background1" w:themeFillShade="D9"/>
          </w:tcPr>
          <w:p w14:paraId="06127CF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A6A6A6" w:themeFill="background1" w:themeFillShade="A6"/>
          </w:tcPr>
          <w:p w14:paraId="0E4FC427"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2524D227"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109EEEAC"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3C37016B"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shd w:val="clear" w:color="auto" w:fill="D9D9D9" w:themeFill="background1" w:themeFillShade="D9"/>
          </w:tcPr>
          <w:p w14:paraId="253E43E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shd w:val="clear" w:color="auto" w:fill="D9D9D9" w:themeFill="background1" w:themeFillShade="D9"/>
          </w:tcPr>
          <w:p w14:paraId="60BFF38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shd w:val="clear" w:color="auto" w:fill="D9D9D9" w:themeFill="background1" w:themeFillShade="D9"/>
          </w:tcPr>
          <w:p w14:paraId="3EEF1AA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shd w:val="clear" w:color="auto" w:fill="D9D9D9" w:themeFill="background1" w:themeFillShade="D9"/>
          </w:tcPr>
          <w:p w14:paraId="75DE358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shd w:val="clear" w:color="auto" w:fill="D9D9D9" w:themeFill="background1" w:themeFillShade="D9"/>
          </w:tcPr>
          <w:p w14:paraId="68B7A8F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shd w:val="clear" w:color="auto" w:fill="D9D9D9" w:themeFill="background1" w:themeFillShade="D9"/>
          </w:tcPr>
          <w:p w14:paraId="68D93B5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shd w:val="clear" w:color="auto" w:fill="D9D9D9" w:themeFill="background1" w:themeFillShade="D9"/>
          </w:tcPr>
          <w:p w14:paraId="70C6098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shd w:val="clear" w:color="auto" w:fill="D9D9D9" w:themeFill="background1" w:themeFillShade="D9"/>
          </w:tcPr>
          <w:p w14:paraId="7868CEE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right w:val="single" w:sz="24" w:space="0" w:color="000000"/>
            </w:tcBorders>
            <w:shd w:val="clear" w:color="auto" w:fill="D9D9D9" w:themeFill="background1" w:themeFillShade="D9"/>
          </w:tcPr>
          <w:p w14:paraId="67D6FAD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shd w:val="clear" w:color="auto" w:fill="D9D9D9" w:themeFill="background1" w:themeFillShade="D9"/>
          </w:tcPr>
          <w:p w14:paraId="3D61F27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shd w:val="clear" w:color="auto" w:fill="D9D9D9" w:themeFill="background1" w:themeFillShade="D9"/>
          </w:tcPr>
          <w:p w14:paraId="71A0337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shd w:val="clear" w:color="auto" w:fill="D9D9D9" w:themeFill="background1" w:themeFillShade="D9"/>
          </w:tcPr>
          <w:p w14:paraId="29E46EA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left w:val="single" w:sz="24" w:space="0" w:color="000000"/>
            </w:tcBorders>
            <w:shd w:val="clear" w:color="auto" w:fill="D9D9D9" w:themeFill="background1" w:themeFillShade="D9"/>
          </w:tcPr>
          <w:p w14:paraId="3B7686B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7</w:t>
            </w:r>
          </w:p>
        </w:tc>
        <w:tc>
          <w:tcPr>
            <w:tcW w:w="553" w:type="dxa"/>
            <w:tcBorders>
              <w:right w:val="thickThinSmallGap" w:sz="24" w:space="0" w:color="000000"/>
            </w:tcBorders>
            <w:shd w:val="clear" w:color="auto" w:fill="D9D9D9" w:themeFill="background1" w:themeFillShade="D9"/>
          </w:tcPr>
          <w:p w14:paraId="4D1BDAB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r>
      <w:tr w:rsidR="00F72C93" w:rsidRPr="0034763B" w14:paraId="1A771E13" w14:textId="77777777" w:rsidTr="00F72C93">
        <w:tc>
          <w:tcPr>
            <w:tcW w:w="1123" w:type="dxa"/>
            <w:vMerge/>
            <w:tcBorders>
              <w:left w:val="thinThickSmallGap" w:sz="24" w:space="0" w:color="000000"/>
            </w:tcBorders>
            <w:shd w:val="clear" w:color="auto" w:fill="D9D9D9" w:themeFill="background1" w:themeFillShade="D9"/>
            <w:vAlign w:val="center"/>
          </w:tcPr>
          <w:p w14:paraId="4156D90C"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shd w:val="clear" w:color="auto" w:fill="D9D9D9" w:themeFill="background1" w:themeFillShade="D9"/>
          </w:tcPr>
          <w:p w14:paraId="3BD170B6"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21 – 50</w:t>
            </w:r>
          </w:p>
        </w:tc>
        <w:tc>
          <w:tcPr>
            <w:tcW w:w="552" w:type="dxa"/>
            <w:tcBorders>
              <w:left w:val="single" w:sz="24" w:space="0" w:color="auto"/>
            </w:tcBorders>
            <w:shd w:val="clear" w:color="auto" w:fill="D9D9D9" w:themeFill="background1" w:themeFillShade="D9"/>
          </w:tcPr>
          <w:p w14:paraId="6CDDB74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shd w:val="clear" w:color="auto" w:fill="D9D9D9" w:themeFill="background1" w:themeFillShade="D9"/>
          </w:tcPr>
          <w:p w14:paraId="10CE063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shd w:val="clear" w:color="auto" w:fill="D9D9D9" w:themeFill="background1" w:themeFillShade="D9"/>
          </w:tcPr>
          <w:p w14:paraId="4AD19F4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shd w:val="clear" w:color="auto" w:fill="D9D9D9" w:themeFill="background1" w:themeFillShade="D9"/>
          </w:tcPr>
          <w:p w14:paraId="66D8808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shd w:val="clear" w:color="auto" w:fill="D9D9D9" w:themeFill="background1" w:themeFillShade="D9"/>
          </w:tcPr>
          <w:p w14:paraId="1AC84A3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shd w:val="clear" w:color="auto" w:fill="D9D9D9" w:themeFill="background1" w:themeFillShade="D9"/>
          </w:tcPr>
          <w:p w14:paraId="10D3BAC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A6A6A6" w:themeFill="background1" w:themeFillShade="A6"/>
          </w:tcPr>
          <w:p w14:paraId="25B24BBA"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440FDEB6"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2FDFB22D"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33C33BD2"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shd w:val="clear" w:color="auto" w:fill="D9D9D9" w:themeFill="background1" w:themeFillShade="D9"/>
          </w:tcPr>
          <w:p w14:paraId="63DAA81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shd w:val="clear" w:color="auto" w:fill="D9D9D9" w:themeFill="background1" w:themeFillShade="D9"/>
          </w:tcPr>
          <w:p w14:paraId="566FCBD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shd w:val="clear" w:color="auto" w:fill="D9D9D9" w:themeFill="background1" w:themeFillShade="D9"/>
          </w:tcPr>
          <w:p w14:paraId="19EC654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shd w:val="clear" w:color="auto" w:fill="D9D9D9" w:themeFill="background1" w:themeFillShade="D9"/>
          </w:tcPr>
          <w:p w14:paraId="1CF7258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shd w:val="clear" w:color="auto" w:fill="D9D9D9" w:themeFill="background1" w:themeFillShade="D9"/>
          </w:tcPr>
          <w:p w14:paraId="5067446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shd w:val="clear" w:color="auto" w:fill="D9D9D9" w:themeFill="background1" w:themeFillShade="D9"/>
          </w:tcPr>
          <w:p w14:paraId="24B7B1C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shd w:val="clear" w:color="auto" w:fill="D9D9D9" w:themeFill="background1" w:themeFillShade="D9"/>
          </w:tcPr>
          <w:p w14:paraId="362D00E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shd w:val="clear" w:color="auto" w:fill="D9D9D9" w:themeFill="background1" w:themeFillShade="D9"/>
          </w:tcPr>
          <w:p w14:paraId="778797C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shd w:val="clear" w:color="auto" w:fill="D9D9D9" w:themeFill="background1" w:themeFillShade="D9"/>
          </w:tcPr>
          <w:p w14:paraId="27D741B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shd w:val="clear" w:color="auto" w:fill="D9D9D9" w:themeFill="background1" w:themeFillShade="D9"/>
          </w:tcPr>
          <w:p w14:paraId="0800731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shd w:val="clear" w:color="auto" w:fill="D9D9D9" w:themeFill="background1" w:themeFillShade="D9"/>
          </w:tcPr>
          <w:p w14:paraId="144B943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shd w:val="clear" w:color="auto" w:fill="D9D9D9" w:themeFill="background1" w:themeFillShade="D9"/>
          </w:tcPr>
          <w:p w14:paraId="3280F20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shd w:val="clear" w:color="auto" w:fill="D9D9D9" w:themeFill="background1" w:themeFillShade="D9"/>
          </w:tcPr>
          <w:p w14:paraId="17D26C7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thickThinSmallGap" w:sz="24" w:space="0" w:color="000000"/>
            </w:tcBorders>
            <w:shd w:val="clear" w:color="auto" w:fill="D9D9D9" w:themeFill="background1" w:themeFillShade="D9"/>
          </w:tcPr>
          <w:p w14:paraId="7E97A3E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0D11ACAE" w14:textId="77777777" w:rsidTr="00F72C93">
        <w:tc>
          <w:tcPr>
            <w:tcW w:w="1123" w:type="dxa"/>
            <w:vMerge/>
            <w:tcBorders>
              <w:left w:val="thinThickSmallGap" w:sz="24" w:space="0" w:color="000000"/>
              <w:bottom w:val="single" w:sz="24" w:space="0" w:color="000000"/>
            </w:tcBorders>
            <w:shd w:val="clear" w:color="auto" w:fill="F2F2F2" w:themeFill="background1" w:themeFillShade="F2"/>
            <w:vAlign w:val="center"/>
          </w:tcPr>
          <w:p w14:paraId="66C973E0" w14:textId="77777777" w:rsidR="00F72C93" w:rsidRPr="0034763B" w:rsidRDefault="00F72C93" w:rsidP="00F72C93">
            <w:pPr>
              <w:rPr>
                <w:rFonts w:ascii="Times New Roman" w:hAnsi="Times New Roman" w:cs="Times New Roman"/>
                <w:b/>
                <w:sz w:val="18"/>
                <w:szCs w:val="18"/>
              </w:rPr>
            </w:pPr>
          </w:p>
        </w:tc>
        <w:tc>
          <w:tcPr>
            <w:tcW w:w="1280" w:type="dxa"/>
            <w:tcBorders>
              <w:bottom w:val="single" w:sz="24" w:space="0" w:color="000000"/>
              <w:right w:val="single" w:sz="24" w:space="0" w:color="auto"/>
            </w:tcBorders>
            <w:shd w:val="clear" w:color="auto" w:fill="D9D9D9" w:themeFill="background1" w:themeFillShade="D9"/>
          </w:tcPr>
          <w:p w14:paraId="596F4253"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&gt;50</w:t>
            </w:r>
          </w:p>
        </w:tc>
        <w:tc>
          <w:tcPr>
            <w:tcW w:w="552" w:type="dxa"/>
            <w:tcBorders>
              <w:left w:val="single" w:sz="24" w:space="0" w:color="auto"/>
              <w:bottom w:val="single" w:sz="24" w:space="0" w:color="000000"/>
            </w:tcBorders>
            <w:shd w:val="clear" w:color="auto" w:fill="D9D9D9" w:themeFill="background1" w:themeFillShade="D9"/>
          </w:tcPr>
          <w:p w14:paraId="1C503DD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shd w:val="clear" w:color="auto" w:fill="D9D9D9" w:themeFill="background1" w:themeFillShade="D9"/>
          </w:tcPr>
          <w:p w14:paraId="4D61838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bottom w:val="single" w:sz="24" w:space="0" w:color="000000"/>
            </w:tcBorders>
            <w:shd w:val="clear" w:color="auto" w:fill="D9D9D9" w:themeFill="background1" w:themeFillShade="D9"/>
          </w:tcPr>
          <w:p w14:paraId="31008A4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7CC54EE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387206C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shd w:val="clear" w:color="auto" w:fill="D9D9D9" w:themeFill="background1" w:themeFillShade="D9"/>
          </w:tcPr>
          <w:p w14:paraId="097C00E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A6A6A6" w:themeFill="background1" w:themeFillShade="A6"/>
          </w:tcPr>
          <w:p w14:paraId="753B5F41"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01C22971"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10BC8C07"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right w:val="single" w:sz="24" w:space="0" w:color="000000"/>
            </w:tcBorders>
            <w:shd w:val="clear" w:color="auto" w:fill="A6A6A6" w:themeFill="background1" w:themeFillShade="A6"/>
          </w:tcPr>
          <w:p w14:paraId="2C548FF6"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bottom w:val="single" w:sz="24" w:space="0" w:color="000000"/>
            </w:tcBorders>
            <w:shd w:val="clear" w:color="auto" w:fill="D9D9D9" w:themeFill="background1" w:themeFillShade="D9"/>
          </w:tcPr>
          <w:p w14:paraId="4323895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45579DB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4D49BB7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20AA6DA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453C43F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shd w:val="clear" w:color="auto" w:fill="D9D9D9" w:themeFill="background1" w:themeFillShade="D9"/>
          </w:tcPr>
          <w:p w14:paraId="3408B82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4D8D339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3D01F58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shd w:val="clear" w:color="auto" w:fill="D9D9D9" w:themeFill="background1" w:themeFillShade="D9"/>
          </w:tcPr>
          <w:p w14:paraId="0F34768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6AB343D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7A3EC7E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shd w:val="clear" w:color="auto" w:fill="D9D9D9" w:themeFill="background1" w:themeFillShade="D9"/>
          </w:tcPr>
          <w:p w14:paraId="5586D9B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315BB06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thickThinSmallGap" w:sz="24" w:space="0" w:color="000000"/>
            </w:tcBorders>
            <w:shd w:val="clear" w:color="auto" w:fill="D9D9D9" w:themeFill="background1" w:themeFillShade="D9"/>
          </w:tcPr>
          <w:p w14:paraId="258C291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r>
      <w:tr w:rsidR="00F72C93" w:rsidRPr="0034763B" w14:paraId="2B25F72C" w14:textId="77777777" w:rsidTr="00F72C93">
        <w:tc>
          <w:tcPr>
            <w:tcW w:w="1123" w:type="dxa"/>
            <w:vMerge w:val="restart"/>
            <w:tcBorders>
              <w:top w:val="single" w:sz="24" w:space="0" w:color="000000"/>
              <w:left w:val="thinThickSmallGap" w:sz="24" w:space="0" w:color="000000"/>
            </w:tcBorders>
            <w:vAlign w:val="center"/>
          </w:tcPr>
          <w:p w14:paraId="7A1A47B4"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Av. Total adult prison population 2017</w:t>
            </w:r>
          </w:p>
        </w:tc>
        <w:tc>
          <w:tcPr>
            <w:tcW w:w="1280" w:type="dxa"/>
            <w:tcBorders>
              <w:top w:val="single" w:sz="24" w:space="0" w:color="000000"/>
              <w:right w:val="single" w:sz="24" w:space="0" w:color="auto"/>
            </w:tcBorders>
          </w:tcPr>
          <w:p w14:paraId="5D3DC2F1"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1-1,000</w:t>
            </w:r>
          </w:p>
        </w:tc>
        <w:tc>
          <w:tcPr>
            <w:tcW w:w="552" w:type="dxa"/>
            <w:tcBorders>
              <w:top w:val="single" w:sz="24" w:space="0" w:color="000000"/>
              <w:left w:val="single" w:sz="24" w:space="0" w:color="auto"/>
            </w:tcBorders>
          </w:tcPr>
          <w:p w14:paraId="256C8FD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tcPr>
          <w:p w14:paraId="50D5E67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tcPr>
          <w:p w14:paraId="38F8580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tcPr>
          <w:p w14:paraId="2A54C4E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tcPr>
          <w:p w14:paraId="1111AD2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tcPr>
          <w:p w14:paraId="6E2C7A9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tcPr>
          <w:p w14:paraId="3B6819B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tcPr>
          <w:p w14:paraId="23AF957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tcPr>
          <w:p w14:paraId="2205C61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tcPr>
          <w:p w14:paraId="528DC56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shd w:val="clear" w:color="auto" w:fill="A6A6A6" w:themeFill="background1" w:themeFillShade="A6"/>
          </w:tcPr>
          <w:p w14:paraId="23DB318D"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2B08B0FC"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077A8752"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02A60B1E"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37052576"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right w:val="single" w:sz="24" w:space="0" w:color="000000"/>
            </w:tcBorders>
            <w:shd w:val="clear" w:color="auto" w:fill="A6A6A6" w:themeFill="background1" w:themeFillShade="A6"/>
          </w:tcPr>
          <w:p w14:paraId="5B7AF61C"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left w:val="single" w:sz="24" w:space="0" w:color="000000"/>
            </w:tcBorders>
          </w:tcPr>
          <w:p w14:paraId="174083A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tcPr>
          <w:p w14:paraId="2106DA8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tcPr>
          <w:p w14:paraId="1EFA76D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tcPr>
          <w:p w14:paraId="09ADCB0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tcPr>
          <w:p w14:paraId="6B51C85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tcPr>
          <w:p w14:paraId="3B7FAFC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tcPr>
          <w:p w14:paraId="2C87875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thickThinSmallGap" w:sz="24" w:space="0" w:color="000000"/>
            </w:tcBorders>
          </w:tcPr>
          <w:p w14:paraId="6660D05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06F747F4" w14:textId="77777777" w:rsidTr="00F72C93">
        <w:tc>
          <w:tcPr>
            <w:tcW w:w="1123" w:type="dxa"/>
            <w:vMerge/>
            <w:tcBorders>
              <w:left w:val="thinThickSmallGap" w:sz="24" w:space="0" w:color="000000"/>
            </w:tcBorders>
            <w:vAlign w:val="center"/>
          </w:tcPr>
          <w:p w14:paraId="6A880ABB"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tcPr>
          <w:p w14:paraId="0010872C" w14:textId="6BFAE3FF" w:rsidR="00F72C93" w:rsidRPr="0034763B" w:rsidRDefault="00E0777F" w:rsidP="00F72C93">
            <w:pPr>
              <w:rPr>
                <w:rFonts w:ascii="Times New Roman" w:hAnsi="Times New Roman" w:cs="Times New Roman"/>
                <w:b/>
                <w:sz w:val="18"/>
                <w:szCs w:val="18"/>
              </w:rPr>
            </w:pPr>
            <w:r>
              <w:rPr>
                <w:rFonts w:ascii="Times New Roman" w:hAnsi="Times New Roman" w:cs="Times New Roman"/>
                <w:b/>
                <w:sz w:val="18"/>
                <w:szCs w:val="18"/>
              </w:rPr>
              <w:t>1001-5</w:t>
            </w:r>
            <w:r w:rsidR="00F72C93" w:rsidRPr="0034763B">
              <w:rPr>
                <w:rFonts w:ascii="Times New Roman" w:hAnsi="Times New Roman" w:cs="Times New Roman"/>
                <w:b/>
                <w:sz w:val="18"/>
                <w:szCs w:val="18"/>
              </w:rPr>
              <w:t>000</w:t>
            </w:r>
          </w:p>
        </w:tc>
        <w:tc>
          <w:tcPr>
            <w:tcW w:w="552" w:type="dxa"/>
            <w:tcBorders>
              <w:left w:val="single" w:sz="24" w:space="0" w:color="auto"/>
            </w:tcBorders>
          </w:tcPr>
          <w:p w14:paraId="151E514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tcPr>
          <w:p w14:paraId="4721677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tcPr>
          <w:p w14:paraId="678B10B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5D0D5E5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64E87D2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tcPr>
          <w:p w14:paraId="46171E2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7FEDCE0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6106FF3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Pr>
          <w:p w14:paraId="647B000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5DBC2AA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A6A6A6" w:themeFill="background1" w:themeFillShade="A6"/>
          </w:tcPr>
          <w:p w14:paraId="16BE733D"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2357A1B6"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73E37F95"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79A2675E"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6664853F"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3958A4B8"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tcPr>
          <w:p w14:paraId="18B3F0B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Pr>
          <w:p w14:paraId="4A26C6C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4CA52E9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77F83BD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091C14F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155D701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tcPr>
          <w:p w14:paraId="3CA2282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right w:val="thickThinSmallGap" w:sz="24" w:space="0" w:color="000000"/>
            </w:tcBorders>
          </w:tcPr>
          <w:p w14:paraId="33EC2FE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202FFA8A" w14:textId="77777777" w:rsidTr="00F72C93">
        <w:tc>
          <w:tcPr>
            <w:tcW w:w="1123" w:type="dxa"/>
            <w:vMerge/>
            <w:tcBorders>
              <w:left w:val="thinThickSmallGap" w:sz="24" w:space="0" w:color="000000"/>
            </w:tcBorders>
            <w:vAlign w:val="center"/>
          </w:tcPr>
          <w:p w14:paraId="57901F99"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tcPr>
          <w:p w14:paraId="4F19271E" w14:textId="3B05C693" w:rsidR="00F72C93" w:rsidRPr="0034763B" w:rsidRDefault="00E0777F" w:rsidP="00F72C93">
            <w:pPr>
              <w:rPr>
                <w:rFonts w:ascii="Times New Roman" w:hAnsi="Times New Roman" w:cs="Times New Roman"/>
                <w:b/>
                <w:sz w:val="18"/>
                <w:szCs w:val="18"/>
              </w:rPr>
            </w:pPr>
            <w:r>
              <w:rPr>
                <w:rFonts w:ascii="Times New Roman" w:hAnsi="Times New Roman" w:cs="Times New Roman"/>
                <w:b/>
                <w:sz w:val="18"/>
                <w:szCs w:val="18"/>
              </w:rPr>
              <w:t>5001-10</w:t>
            </w:r>
            <w:r w:rsidR="00F72C93" w:rsidRPr="0034763B">
              <w:rPr>
                <w:rFonts w:ascii="Times New Roman" w:hAnsi="Times New Roman" w:cs="Times New Roman"/>
                <w:b/>
                <w:sz w:val="18"/>
                <w:szCs w:val="18"/>
              </w:rPr>
              <w:t>00</w:t>
            </w:r>
            <w:r>
              <w:rPr>
                <w:rFonts w:ascii="Times New Roman" w:hAnsi="Times New Roman" w:cs="Times New Roman"/>
                <w:b/>
                <w:sz w:val="18"/>
                <w:szCs w:val="18"/>
              </w:rPr>
              <w:t>0</w:t>
            </w:r>
          </w:p>
        </w:tc>
        <w:tc>
          <w:tcPr>
            <w:tcW w:w="552" w:type="dxa"/>
            <w:tcBorders>
              <w:left w:val="single" w:sz="24" w:space="0" w:color="auto"/>
            </w:tcBorders>
          </w:tcPr>
          <w:p w14:paraId="12FE916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right w:val="single" w:sz="24" w:space="0" w:color="000000"/>
            </w:tcBorders>
          </w:tcPr>
          <w:p w14:paraId="4B1BE3C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tcPr>
          <w:p w14:paraId="07FECD5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55197B3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Pr>
          <w:p w14:paraId="4D98042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5BE447F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5FA911D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741D3EE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2103757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1CBF3E9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A6A6A6" w:themeFill="background1" w:themeFillShade="A6"/>
          </w:tcPr>
          <w:p w14:paraId="6FCFE158"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1504CE4E"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746B3803"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5050B556"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434993F6"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78BE1789"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tcPr>
          <w:p w14:paraId="2F99D47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3B77954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tcPr>
          <w:p w14:paraId="75A7387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tcPr>
          <w:p w14:paraId="2B2DD50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1851E5A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18E4F4E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tcPr>
          <w:p w14:paraId="2294916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right w:val="thickThinSmallGap" w:sz="24" w:space="0" w:color="000000"/>
            </w:tcBorders>
          </w:tcPr>
          <w:p w14:paraId="389AA81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r>
      <w:tr w:rsidR="00F72C93" w:rsidRPr="0034763B" w14:paraId="56142777" w14:textId="77777777" w:rsidTr="00F72C93">
        <w:tc>
          <w:tcPr>
            <w:tcW w:w="1123" w:type="dxa"/>
            <w:vMerge/>
            <w:tcBorders>
              <w:left w:val="thinThickSmallGap" w:sz="24" w:space="0" w:color="000000"/>
            </w:tcBorders>
            <w:vAlign w:val="center"/>
          </w:tcPr>
          <w:p w14:paraId="6BAB34BB"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tcPr>
          <w:p w14:paraId="2212D768" w14:textId="77937095" w:rsidR="00F72C93" w:rsidRPr="0034763B" w:rsidRDefault="00E0777F" w:rsidP="00F72C93">
            <w:pPr>
              <w:rPr>
                <w:rFonts w:ascii="Times New Roman" w:hAnsi="Times New Roman" w:cs="Times New Roman"/>
                <w:b/>
                <w:sz w:val="18"/>
                <w:szCs w:val="18"/>
              </w:rPr>
            </w:pPr>
            <w:r>
              <w:rPr>
                <w:rFonts w:ascii="Times New Roman" w:hAnsi="Times New Roman" w:cs="Times New Roman"/>
                <w:b/>
                <w:sz w:val="18"/>
                <w:szCs w:val="18"/>
              </w:rPr>
              <w:t>10001-20</w:t>
            </w:r>
            <w:r w:rsidR="00F72C93" w:rsidRPr="0034763B">
              <w:rPr>
                <w:rFonts w:ascii="Times New Roman" w:hAnsi="Times New Roman" w:cs="Times New Roman"/>
                <w:b/>
                <w:sz w:val="18"/>
                <w:szCs w:val="18"/>
              </w:rPr>
              <w:t>000</w:t>
            </w:r>
          </w:p>
        </w:tc>
        <w:tc>
          <w:tcPr>
            <w:tcW w:w="552" w:type="dxa"/>
            <w:tcBorders>
              <w:left w:val="single" w:sz="24" w:space="0" w:color="auto"/>
            </w:tcBorders>
          </w:tcPr>
          <w:p w14:paraId="47DE72C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3BE6B08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tcBorders>
          </w:tcPr>
          <w:p w14:paraId="1C103D7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3613883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265DEC2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7C39F1F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560410A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74FFCFF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14DA869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1E69D72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A6A6A6" w:themeFill="background1" w:themeFillShade="A6"/>
          </w:tcPr>
          <w:p w14:paraId="5D70930A"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42C5E197"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3C6C3A78"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1F0BD48E"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23E5FF97"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498AF994"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tcPr>
          <w:p w14:paraId="739585A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4A35E85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tcPr>
          <w:p w14:paraId="111EDE6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68478B0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1BAD9BC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6E3E146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tcPr>
          <w:p w14:paraId="5EA0CD7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thickThinSmallGap" w:sz="24" w:space="0" w:color="000000"/>
            </w:tcBorders>
          </w:tcPr>
          <w:p w14:paraId="59F639C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r>
      <w:tr w:rsidR="00F72C93" w:rsidRPr="0034763B" w14:paraId="60CC192E" w14:textId="77777777" w:rsidTr="00F72C93">
        <w:tc>
          <w:tcPr>
            <w:tcW w:w="1123" w:type="dxa"/>
            <w:vMerge/>
            <w:tcBorders>
              <w:left w:val="thinThickSmallGap" w:sz="24" w:space="0" w:color="000000"/>
            </w:tcBorders>
            <w:vAlign w:val="center"/>
          </w:tcPr>
          <w:p w14:paraId="5E3AF0B2"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tcPr>
          <w:p w14:paraId="1630CF28" w14:textId="06CB68AB" w:rsidR="00F72C93" w:rsidRPr="0034763B" w:rsidRDefault="00E0777F" w:rsidP="00F72C93">
            <w:pPr>
              <w:rPr>
                <w:rFonts w:ascii="Times New Roman" w:hAnsi="Times New Roman" w:cs="Times New Roman"/>
                <w:b/>
                <w:sz w:val="18"/>
                <w:szCs w:val="18"/>
              </w:rPr>
            </w:pPr>
            <w:r>
              <w:rPr>
                <w:rFonts w:ascii="Times New Roman" w:hAnsi="Times New Roman" w:cs="Times New Roman"/>
                <w:b/>
                <w:sz w:val="18"/>
                <w:szCs w:val="18"/>
              </w:rPr>
              <w:t>20001-50</w:t>
            </w:r>
            <w:r w:rsidR="00F72C93" w:rsidRPr="0034763B">
              <w:rPr>
                <w:rFonts w:ascii="Times New Roman" w:hAnsi="Times New Roman" w:cs="Times New Roman"/>
                <w:b/>
                <w:sz w:val="18"/>
                <w:szCs w:val="18"/>
              </w:rPr>
              <w:t>000</w:t>
            </w:r>
          </w:p>
        </w:tc>
        <w:tc>
          <w:tcPr>
            <w:tcW w:w="552" w:type="dxa"/>
            <w:tcBorders>
              <w:left w:val="single" w:sz="24" w:space="0" w:color="auto"/>
            </w:tcBorders>
          </w:tcPr>
          <w:p w14:paraId="6987F9F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208E2B3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091BA6D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04DBFD6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0695A2A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358D9DA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14E630B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5DE6B70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7708D21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286FFBC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A6A6A6" w:themeFill="background1" w:themeFillShade="A6"/>
          </w:tcPr>
          <w:p w14:paraId="6B1A7886"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718EA337"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08185C9C"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29A5883E"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4E687582"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1870E4E7"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tcPr>
          <w:p w14:paraId="3E0A423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2A9C139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40A7BA1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7D9A7CA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2AAC5E3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31A75E7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7CE0BA9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thickThinSmallGap" w:sz="24" w:space="0" w:color="000000"/>
            </w:tcBorders>
          </w:tcPr>
          <w:p w14:paraId="5462791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r>
      <w:tr w:rsidR="00F72C93" w:rsidRPr="0034763B" w14:paraId="0090066D" w14:textId="77777777" w:rsidTr="00F72C93">
        <w:tc>
          <w:tcPr>
            <w:tcW w:w="1123" w:type="dxa"/>
            <w:vMerge/>
            <w:tcBorders>
              <w:left w:val="thinThickSmallGap" w:sz="24" w:space="0" w:color="000000"/>
              <w:bottom w:val="single" w:sz="24" w:space="0" w:color="000000"/>
            </w:tcBorders>
            <w:vAlign w:val="center"/>
          </w:tcPr>
          <w:p w14:paraId="10EEF1E6" w14:textId="77777777" w:rsidR="00F72C93" w:rsidRPr="0034763B" w:rsidRDefault="00F72C93" w:rsidP="00F72C93">
            <w:pPr>
              <w:rPr>
                <w:rFonts w:ascii="Times New Roman" w:hAnsi="Times New Roman" w:cs="Times New Roman"/>
                <w:b/>
                <w:sz w:val="18"/>
                <w:szCs w:val="18"/>
              </w:rPr>
            </w:pPr>
          </w:p>
        </w:tc>
        <w:tc>
          <w:tcPr>
            <w:tcW w:w="1280" w:type="dxa"/>
            <w:tcBorders>
              <w:bottom w:val="single" w:sz="24" w:space="0" w:color="000000"/>
              <w:right w:val="single" w:sz="24" w:space="0" w:color="auto"/>
            </w:tcBorders>
          </w:tcPr>
          <w:p w14:paraId="39C2C585" w14:textId="420C8C2F" w:rsidR="00F72C93" w:rsidRPr="0034763B" w:rsidRDefault="00E0777F" w:rsidP="00F72C93">
            <w:pPr>
              <w:rPr>
                <w:rFonts w:ascii="Times New Roman" w:hAnsi="Times New Roman" w:cs="Times New Roman"/>
                <w:b/>
                <w:sz w:val="18"/>
                <w:szCs w:val="18"/>
              </w:rPr>
            </w:pPr>
            <w:r>
              <w:rPr>
                <w:rFonts w:ascii="Times New Roman" w:hAnsi="Times New Roman" w:cs="Times New Roman"/>
                <w:b/>
                <w:sz w:val="18"/>
                <w:szCs w:val="18"/>
              </w:rPr>
              <w:t>50</w:t>
            </w:r>
            <w:r w:rsidR="00F72C93" w:rsidRPr="0034763B">
              <w:rPr>
                <w:rFonts w:ascii="Times New Roman" w:hAnsi="Times New Roman" w:cs="Times New Roman"/>
                <w:b/>
                <w:sz w:val="18"/>
                <w:szCs w:val="18"/>
              </w:rPr>
              <w:t>000+</w:t>
            </w:r>
          </w:p>
        </w:tc>
        <w:tc>
          <w:tcPr>
            <w:tcW w:w="552" w:type="dxa"/>
            <w:tcBorders>
              <w:left w:val="single" w:sz="24" w:space="0" w:color="auto"/>
              <w:bottom w:val="single" w:sz="24" w:space="0" w:color="000000"/>
            </w:tcBorders>
          </w:tcPr>
          <w:p w14:paraId="0020454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bottom w:val="single" w:sz="24" w:space="0" w:color="000000"/>
              <w:right w:val="single" w:sz="24" w:space="0" w:color="000000"/>
            </w:tcBorders>
          </w:tcPr>
          <w:p w14:paraId="710F677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7701784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tcPr>
          <w:p w14:paraId="0E6F420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5D4526D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tcPr>
          <w:p w14:paraId="40EEE7B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283BE50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1CCEAC1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tcPr>
          <w:p w14:paraId="3FADBB9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tcPr>
          <w:p w14:paraId="070153C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A6A6A6" w:themeFill="background1" w:themeFillShade="A6"/>
          </w:tcPr>
          <w:p w14:paraId="58F82301"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4263C72A"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08DC5C05"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08C2E36B"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379B2ACE"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right w:val="single" w:sz="24" w:space="0" w:color="000000"/>
            </w:tcBorders>
            <w:shd w:val="clear" w:color="auto" w:fill="A6A6A6" w:themeFill="background1" w:themeFillShade="A6"/>
          </w:tcPr>
          <w:p w14:paraId="56C5FDBF"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bottom w:val="single" w:sz="24" w:space="0" w:color="000000"/>
            </w:tcBorders>
          </w:tcPr>
          <w:p w14:paraId="04A46B3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32B20D3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tcPr>
          <w:p w14:paraId="73B2214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left w:val="single" w:sz="24" w:space="0" w:color="000000"/>
              <w:bottom w:val="single" w:sz="24" w:space="0" w:color="000000"/>
            </w:tcBorders>
          </w:tcPr>
          <w:p w14:paraId="13B40F1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tcPr>
          <w:p w14:paraId="7DB2CA5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tcPr>
          <w:p w14:paraId="4F08D97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218BD29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right w:val="thickThinSmallGap" w:sz="24" w:space="0" w:color="000000"/>
            </w:tcBorders>
          </w:tcPr>
          <w:p w14:paraId="0C1AF0A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r>
      <w:tr w:rsidR="00F72C93" w:rsidRPr="0034763B" w14:paraId="334ECA5C" w14:textId="77777777" w:rsidTr="00F72C93">
        <w:tc>
          <w:tcPr>
            <w:tcW w:w="1123" w:type="dxa"/>
            <w:vMerge w:val="restart"/>
            <w:tcBorders>
              <w:top w:val="single" w:sz="24" w:space="0" w:color="000000"/>
              <w:left w:val="thinThickSmallGap" w:sz="24" w:space="0" w:color="000000"/>
            </w:tcBorders>
            <w:shd w:val="clear" w:color="auto" w:fill="D9D9D9" w:themeFill="background1" w:themeFillShade="D9"/>
            <w:vAlign w:val="center"/>
          </w:tcPr>
          <w:p w14:paraId="30533474"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Av. Total adult prisons</w:t>
            </w:r>
          </w:p>
        </w:tc>
        <w:tc>
          <w:tcPr>
            <w:tcW w:w="1280" w:type="dxa"/>
            <w:tcBorders>
              <w:top w:val="single" w:sz="24" w:space="0" w:color="000000"/>
              <w:right w:val="single" w:sz="24" w:space="0" w:color="auto"/>
            </w:tcBorders>
            <w:shd w:val="clear" w:color="auto" w:fill="D9D9D9" w:themeFill="background1" w:themeFillShade="D9"/>
          </w:tcPr>
          <w:p w14:paraId="03100A1B"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1 – 20</w:t>
            </w:r>
          </w:p>
        </w:tc>
        <w:tc>
          <w:tcPr>
            <w:tcW w:w="552" w:type="dxa"/>
            <w:tcBorders>
              <w:top w:val="single" w:sz="24" w:space="0" w:color="000000"/>
              <w:left w:val="single" w:sz="24" w:space="0" w:color="auto"/>
            </w:tcBorders>
            <w:shd w:val="clear" w:color="auto" w:fill="D9D9D9" w:themeFill="background1" w:themeFillShade="D9"/>
          </w:tcPr>
          <w:p w14:paraId="1960631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top w:val="single" w:sz="24" w:space="0" w:color="000000"/>
              <w:right w:val="single" w:sz="24" w:space="0" w:color="000000"/>
            </w:tcBorders>
            <w:shd w:val="clear" w:color="auto" w:fill="D9D9D9" w:themeFill="background1" w:themeFillShade="D9"/>
          </w:tcPr>
          <w:p w14:paraId="21C76C0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left w:val="single" w:sz="24" w:space="0" w:color="000000"/>
            </w:tcBorders>
            <w:shd w:val="clear" w:color="auto" w:fill="D9D9D9" w:themeFill="background1" w:themeFillShade="D9"/>
          </w:tcPr>
          <w:p w14:paraId="7A880D8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shd w:val="clear" w:color="auto" w:fill="D9D9D9" w:themeFill="background1" w:themeFillShade="D9"/>
          </w:tcPr>
          <w:p w14:paraId="507B4F4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tcBorders>
            <w:shd w:val="clear" w:color="auto" w:fill="D9D9D9" w:themeFill="background1" w:themeFillShade="D9"/>
          </w:tcPr>
          <w:p w14:paraId="259DB34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right w:val="single" w:sz="24" w:space="0" w:color="000000"/>
            </w:tcBorders>
            <w:shd w:val="clear" w:color="auto" w:fill="D9D9D9" w:themeFill="background1" w:themeFillShade="D9"/>
          </w:tcPr>
          <w:p w14:paraId="2DF4A6F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shd w:val="clear" w:color="auto" w:fill="D9D9D9" w:themeFill="background1" w:themeFillShade="D9"/>
          </w:tcPr>
          <w:p w14:paraId="1DB6B76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05A6206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top w:val="single" w:sz="24" w:space="0" w:color="000000"/>
            </w:tcBorders>
            <w:shd w:val="clear" w:color="auto" w:fill="D9D9D9" w:themeFill="background1" w:themeFillShade="D9"/>
          </w:tcPr>
          <w:p w14:paraId="5135647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085CBFD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shd w:val="clear" w:color="auto" w:fill="D9D9D9" w:themeFill="background1" w:themeFillShade="D9"/>
          </w:tcPr>
          <w:p w14:paraId="6937757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0FA1329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tcBorders>
            <w:shd w:val="clear" w:color="auto" w:fill="D9D9D9" w:themeFill="background1" w:themeFillShade="D9"/>
          </w:tcPr>
          <w:p w14:paraId="361E89B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4C9640E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shd w:val="clear" w:color="auto" w:fill="D9D9D9" w:themeFill="background1" w:themeFillShade="D9"/>
          </w:tcPr>
          <w:p w14:paraId="3B445DF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shd w:val="clear" w:color="auto" w:fill="D9D9D9" w:themeFill="background1" w:themeFillShade="D9"/>
          </w:tcPr>
          <w:p w14:paraId="48D6BA1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shd w:val="clear" w:color="auto" w:fill="A6A6A6" w:themeFill="background1" w:themeFillShade="A6"/>
          </w:tcPr>
          <w:p w14:paraId="70AD852D"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4BDB0F7A"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right w:val="single" w:sz="24" w:space="0" w:color="000000"/>
            </w:tcBorders>
            <w:shd w:val="clear" w:color="auto" w:fill="A6A6A6" w:themeFill="background1" w:themeFillShade="A6"/>
          </w:tcPr>
          <w:p w14:paraId="2DED862D"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left w:val="single" w:sz="24" w:space="0" w:color="000000"/>
            </w:tcBorders>
            <w:shd w:val="clear" w:color="auto" w:fill="D9D9D9" w:themeFill="background1" w:themeFillShade="D9"/>
          </w:tcPr>
          <w:p w14:paraId="0C41316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shd w:val="clear" w:color="auto" w:fill="D9D9D9" w:themeFill="background1" w:themeFillShade="D9"/>
          </w:tcPr>
          <w:p w14:paraId="3C1234E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218584D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left w:val="single" w:sz="24" w:space="0" w:color="000000"/>
            </w:tcBorders>
            <w:shd w:val="clear" w:color="auto" w:fill="D9D9D9" w:themeFill="background1" w:themeFillShade="D9"/>
          </w:tcPr>
          <w:p w14:paraId="1A46526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top w:val="single" w:sz="24" w:space="0" w:color="000000"/>
              <w:right w:val="thickThinSmallGap" w:sz="24" w:space="0" w:color="000000"/>
            </w:tcBorders>
            <w:shd w:val="clear" w:color="auto" w:fill="D9D9D9" w:themeFill="background1" w:themeFillShade="D9"/>
          </w:tcPr>
          <w:p w14:paraId="16D2E2A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7BECFD81" w14:textId="77777777" w:rsidTr="00F72C93">
        <w:tc>
          <w:tcPr>
            <w:tcW w:w="1123" w:type="dxa"/>
            <w:vMerge/>
            <w:tcBorders>
              <w:left w:val="thinThickSmallGap" w:sz="24" w:space="0" w:color="000000"/>
            </w:tcBorders>
            <w:shd w:val="clear" w:color="auto" w:fill="D9D9D9" w:themeFill="background1" w:themeFillShade="D9"/>
            <w:vAlign w:val="center"/>
          </w:tcPr>
          <w:p w14:paraId="70B5F825"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shd w:val="clear" w:color="auto" w:fill="D9D9D9" w:themeFill="background1" w:themeFillShade="D9"/>
          </w:tcPr>
          <w:p w14:paraId="0FFDA3A6"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21 – 100</w:t>
            </w:r>
          </w:p>
        </w:tc>
        <w:tc>
          <w:tcPr>
            <w:tcW w:w="552" w:type="dxa"/>
            <w:tcBorders>
              <w:left w:val="single" w:sz="24" w:space="0" w:color="auto"/>
            </w:tcBorders>
            <w:shd w:val="clear" w:color="auto" w:fill="D9D9D9" w:themeFill="background1" w:themeFillShade="D9"/>
          </w:tcPr>
          <w:p w14:paraId="107BC2B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shd w:val="clear" w:color="auto" w:fill="D9D9D9" w:themeFill="background1" w:themeFillShade="D9"/>
          </w:tcPr>
          <w:p w14:paraId="76E8BA4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left w:val="single" w:sz="24" w:space="0" w:color="000000"/>
            </w:tcBorders>
            <w:shd w:val="clear" w:color="auto" w:fill="D9D9D9" w:themeFill="background1" w:themeFillShade="D9"/>
          </w:tcPr>
          <w:p w14:paraId="593FBFB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shd w:val="clear" w:color="auto" w:fill="D9D9D9" w:themeFill="background1" w:themeFillShade="D9"/>
          </w:tcPr>
          <w:p w14:paraId="7DAA9BA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shd w:val="clear" w:color="auto" w:fill="D9D9D9" w:themeFill="background1" w:themeFillShade="D9"/>
          </w:tcPr>
          <w:p w14:paraId="1523580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shd w:val="clear" w:color="auto" w:fill="D9D9D9" w:themeFill="background1" w:themeFillShade="D9"/>
          </w:tcPr>
          <w:p w14:paraId="07F3C02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D9D9D9" w:themeFill="background1" w:themeFillShade="D9"/>
          </w:tcPr>
          <w:p w14:paraId="2D1F954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shd w:val="clear" w:color="auto" w:fill="D9D9D9" w:themeFill="background1" w:themeFillShade="D9"/>
          </w:tcPr>
          <w:p w14:paraId="2FAF6B7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shd w:val="clear" w:color="auto" w:fill="D9D9D9" w:themeFill="background1" w:themeFillShade="D9"/>
          </w:tcPr>
          <w:p w14:paraId="77BB5CF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shd w:val="clear" w:color="auto" w:fill="D9D9D9" w:themeFill="background1" w:themeFillShade="D9"/>
          </w:tcPr>
          <w:p w14:paraId="69E9952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D9D9D9" w:themeFill="background1" w:themeFillShade="D9"/>
          </w:tcPr>
          <w:p w14:paraId="410B6F3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shd w:val="clear" w:color="auto" w:fill="D9D9D9" w:themeFill="background1" w:themeFillShade="D9"/>
          </w:tcPr>
          <w:p w14:paraId="6EB5F1A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shd w:val="clear" w:color="auto" w:fill="D9D9D9" w:themeFill="background1" w:themeFillShade="D9"/>
          </w:tcPr>
          <w:p w14:paraId="5504BD1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shd w:val="clear" w:color="auto" w:fill="D9D9D9" w:themeFill="background1" w:themeFillShade="D9"/>
          </w:tcPr>
          <w:p w14:paraId="31D69CA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shd w:val="clear" w:color="auto" w:fill="D9D9D9" w:themeFill="background1" w:themeFillShade="D9"/>
          </w:tcPr>
          <w:p w14:paraId="1143A9B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shd w:val="clear" w:color="auto" w:fill="D9D9D9" w:themeFill="background1" w:themeFillShade="D9"/>
          </w:tcPr>
          <w:p w14:paraId="6BD2105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A6A6A6" w:themeFill="background1" w:themeFillShade="A6"/>
          </w:tcPr>
          <w:p w14:paraId="74CAC5E7"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22173484"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6F4680B2"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shd w:val="clear" w:color="auto" w:fill="D9D9D9" w:themeFill="background1" w:themeFillShade="D9"/>
          </w:tcPr>
          <w:p w14:paraId="7EC4173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shd w:val="clear" w:color="auto" w:fill="D9D9D9" w:themeFill="background1" w:themeFillShade="D9"/>
          </w:tcPr>
          <w:p w14:paraId="43BB57D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shd w:val="clear" w:color="auto" w:fill="D9D9D9" w:themeFill="background1" w:themeFillShade="D9"/>
          </w:tcPr>
          <w:p w14:paraId="0525E29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shd w:val="clear" w:color="auto" w:fill="D9D9D9" w:themeFill="background1" w:themeFillShade="D9"/>
          </w:tcPr>
          <w:p w14:paraId="1972B4F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right w:val="thickThinSmallGap" w:sz="24" w:space="0" w:color="000000"/>
            </w:tcBorders>
            <w:shd w:val="clear" w:color="auto" w:fill="D9D9D9" w:themeFill="background1" w:themeFillShade="D9"/>
          </w:tcPr>
          <w:p w14:paraId="60962A9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27C1BA26" w14:textId="77777777" w:rsidTr="00F72C93">
        <w:tc>
          <w:tcPr>
            <w:tcW w:w="1123" w:type="dxa"/>
            <w:vMerge/>
            <w:tcBorders>
              <w:left w:val="thinThickSmallGap" w:sz="24" w:space="0" w:color="000000"/>
              <w:bottom w:val="single" w:sz="24" w:space="0" w:color="000000"/>
            </w:tcBorders>
            <w:shd w:val="clear" w:color="auto" w:fill="D9D9D9" w:themeFill="background1" w:themeFillShade="D9"/>
            <w:vAlign w:val="center"/>
          </w:tcPr>
          <w:p w14:paraId="4DC63A78" w14:textId="77777777" w:rsidR="00F72C93" w:rsidRPr="0034763B" w:rsidRDefault="00F72C93" w:rsidP="00F72C93">
            <w:pPr>
              <w:rPr>
                <w:rFonts w:ascii="Times New Roman" w:hAnsi="Times New Roman" w:cs="Times New Roman"/>
                <w:b/>
                <w:sz w:val="18"/>
                <w:szCs w:val="18"/>
              </w:rPr>
            </w:pPr>
          </w:p>
        </w:tc>
        <w:tc>
          <w:tcPr>
            <w:tcW w:w="1280" w:type="dxa"/>
            <w:tcBorders>
              <w:bottom w:val="single" w:sz="24" w:space="0" w:color="000000"/>
              <w:right w:val="single" w:sz="24" w:space="0" w:color="auto"/>
            </w:tcBorders>
            <w:shd w:val="clear" w:color="auto" w:fill="D9D9D9" w:themeFill="background1" w:themeFillShade="D9"/>
          </w:tcPr>
          <w:p w14:paraId="48BDEA21"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100+</w:t>
            </w:r>
          </w:p>
        </w:tc>
        <w:tc>
          <w:tcPr>
            <w:tcW w:w="552" w:type="dxa"/>
            <w:tcBorders>
              <w:left w:val="single" w:sz="24" w:space="0" w:color="auto"/>
              <w:bottom w:val="single" w:sz="24" w:space="0" w:color="000000"/>
            </w:tcBorders>
            <w:shd w:val="clear" w:color="auto" w:fill="D9D9D9" w:themeFill="background1" w:themeFillShade="D9"/>
          </w:tcPr>
          <w:p w14:paraId="38CBDA5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bottom w:val="single" w:sz="24" w:space="0" w:color="000000"/>
              <w:right w:val="single" w:sz="24" w:space="0" w:color="000000"/>
            </w:tcBorders>
            <w:shd w:val="clear" w:color="auto" w:fill="D9D9D9" w:themeFill="background1" w:themeFillShade="D9"/>
          </w:tcPr>
          <w:p w14:paraId="7F841A1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09E9C01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bottom w:val="single" w:sz="24" w:space="0" w:color="000000"/>
            </w:tcBorders>
            <w:shd w:val="clear" w:color="auto" w:fill="D9D9D9" w:themeFill="background1" w:themeFillShade="D9"/>
          </w:tcPr>
          <w:p w14:paraId="677A329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tcBorders>
            <w:shd w:val="clear" w:color="auto" w:fill="D9D9D9" w:themeFill="background1" w:themeFillShade="D9"/>
          </w:tcPr>
          <w:p w14:paraId="55F4236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shd w:val="clear" w:color="auto" w:fill="D9D9D9" w:themeFill="background1" w:themeFillShade="D9"/>
          </w:tcPr>
          <w:p w14:paraId="11FED7A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78A3BBB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tcBorders>
            <w:shd w:val="clear" w:color="auto" w:fill="D9D9D9" w:themeFill="background1" w:themeFillShade="D9"/>
          </w:tcPr>
          <w:p w14:paraId="3C6649F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shd w:val="clear" w:color="auto" w:fill="D9D9D9" w:themeFill="background1" w:themeFillShade="D9"/>
          </w:tcPr>
          <w:p w14:paraId="3B2FFF1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shd w:val="clear" w:color="auto" w:fill="D9D9D9" w:themeFill="background1" w:themeFillShade="D9"/>
          </w:tcPr>
          <w:p w14:paraId="3B58F87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5F406CB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45972B2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53604BD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tcBorders>
            <w:shd w:val="clear" w:color="auto" w:fill="D9D9D9" w:themeFill="background1" w:themeFillShade="D9"/>
          </w:tcPr>
          <w:p w14:paraId="304B5A6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shd w:val="clear" w:color="auto" w:fill="D9D9D9" w:themeFill="background1" w:themeFillShade="D9"/>
          </w:tcPr>
          <w:p w14:paraId="55D87B6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shd w:val="clear" w:color="auto" w:fill="D9D9D9" w:themeFill="background1" w:themeFillShade="D9"/>
          </w:tcPr>
          <w:p w14:paraId="6D02478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left w:val="single" w:sz="24" w:space="0" w:color="000000"/>
              <w:bottom w:val="single" w:sz="24" w:space="0" w:color="000000"/>
            </w:tcBorders>
            <w:shd w:val="clear" w:color="auto" w:fill="A6A6A6" w:themeFill="background1" w:themeFillShade="A6"/>
          </w:tcPr>
          <w:p w14:paraId="0B7DDEBB"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76D66EB1"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right w:val="single" w:sz="24" w:space="0" w:color="000000"/>
            </w:tcBorders>
            <w:shd w:val="clear" w:color="auto" w:fill="A6A6A6" w:themeFill="background1" w:themeFillShade="A6"/>
          </w:tcPr>
          <w:p w14:paraId="1B617670"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bottom w:val="single" w:sz="24" w:space="0" w:color="000000"/>
            </w:tcBorders>
            <w:shd w:val="clear" w:color="auto" w:fill="D9D9D9" w:themeFill="background1" w:themeFillShade="D9"/>
          </w:tcPr>
          <w:p w14:paraId="05095D2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bottom w:val="single" w:sz="24" w:space="0" w:color="000000"/>
            </w:tcBorders>
            <w:shd w:val="clear" w:color="auto" w:fill="D9D9D9" w:themeFill="background1" w:themeFillShade="D9"/>
          </w:tcPr>
          <w:p w14:paraId="5347C9C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shd w:val="clear" w:color="auto" w:fill="D9D9D9" w:themeFill="background1" w:themeFillShade="D9"/>
          </w:tcPr>
          <w:p w14:paraId="0413E57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D9D9D9" w:themeFill="background1" w:themeFillShade="D9"/>
          </w:tcPr>
          <w:p w14:paraId="0A57568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bottom w:val="single" w:sz="24" w:space="0" w:color="000000"/>
              <w:right w:val="thickThinSmallGap" w:sz="24" w:space="0" w:color="000000"/>
            </w:tcBorders>
            <w:shd w:val="clear" w:color="auto" w:fill="D9D9D9" w:themeFill="background1" w:themeFillShade="D9"/>
          </w:tcPr>
          <w:p w14:paraId="539F77B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r>
      <w:tr w:rsidR="00F72C93" w:rsidRPr="0034763B" w14:paraId="02DC88C3" w14:textId="77777777" w:rsidTr="00F72C93">
        <w:tc>
          <w:tcPr>
            <w:tcW w:w="1123" w:type="dxa"/>
            <w:vMerge w:val="restart"/>
            <w:tcBorders>
              <w:top w:val="single" w:sz="24" w:space="0" w:color="000000"/>
              <w:left w:val="thinThickSmallGap" w:sz="24" w:space="0" w:color="000000"/>
            </w:tcBorders>
            <w:vAlign w:val="center"/>
          </w:tcPr>
          <w:p w14:paraId="4E0EFC86"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 prisons visited in 2017</w:t>
            </w:r>
          </w:p>
        </w:tc>
        <w:tc>
          <w:tcPr>
            <w:tcW w:w="1280" w:type="dxa"/>
            <w:tcBorders>
              <w:top w:val="single" w:sz="24" w:space="0" w:color="000000"/>
              <w:right w:val="single" w:sz="24" w:space="0" w:color="auto"/>
            </w:tcBorders>
          </w:tcPr>
          <w:p w14:paraId="2FFA8DC7"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0 -10</w:t>
            </w:r>
          </w:p>
        </w:tc>
        <w:tc>
          <w:tcPr>
            <w:tcW w:w="552" w:type="dxa"/>
            <w:tcBorders>
              <w:top w:val="single" w:sz="24" w:space="0" w:color="000000"/>
              <w:left w:val="single" w:sz="24" w:space="0" w:color="auto"/>
            </w:tcBorders>
          </w:tcPr>
          <w:p w14:paraId="3A1DD0C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top w:val="single" w:sz="24" w:space="0" w:color="000000"/>
              <w:right w:val="single" w:sz="24" w:space="0" w:color="000000"/>
            </w:tcBorders>
          </w:tcPr>
          <w:p w14:paraId="24DE3E3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tcPr>
          <w:p w14:paraId="7D050C4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tcPr>
          <w:p w14:paraId="45B60E1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tcBorders>
          </w:tcPr>
          <w:p w14:paraId="7448391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tcPr>
          <w:p w14:paraId="11C2F6E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shd w:val="clear" w:color="auto" w:fill="auto"/>
          </w:tcPr>
          <w:p w14:paraId="7F87DEB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tcBorders>
            <w:shd w:val="clear" w:color="auto" w:fill="auto"/>
          </w:tcPr>
          <w:p w14:paraId="1A777BD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top w:val="single" w:sz="24" w:space="0" w:color="000000"/>
            </w:tcBorders>
            <w:shd w:val="clear" w:color="auto" w:fill="auto"/>
          </w:tcPr>
          <w:p w14:paraId="74D739B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right w:val="single" w:sz="24" w:space="0" w:color="000000"/>
            </w:tcBorders>
            <w:shd w:val="clear" w:color="auto" w:fill="auto"/>
          </w:tcPr>
          <w:p w14:paraId="7FCE851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left w:val="single" w:sz="24" w:space="0" w:color="000000"/>
            </w:tcBorders>
          </w:tcPr>
          <w:p w14:paraId="30D57CC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tcPr>
          <w:p w14:paraId="0920D70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tcPr>
          <w:p w14:paraId="4BE50CB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tcPr>
          <w:p w14:paraId="2D26A48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top w:val="single" w:sz="24" w:space="0" w:color="000000"/>
            </w:tcBorders>
          </w:tcPr>
          <w:p w14:paraId="3E8277C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tcPr>
          <w:p w14:paraId="2E3AEC7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left w:val="single" w:sz="24" w:space="0" w:color="000000"/>
            </w:tcBorders>
          </w:tcPr>
          <w:p w14:paraId="258F11F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tcPr>
          <w:p w14:paraId="7CAFE33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right w:val="single" w:sz="24" w:space="0" w:color="000000"/>
            </w:tcBorders>
          </w:tcPr>
          <w:p w14:paraId="02AC128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left w:val="single" w:sz="24" w:space="0" w:color="000000"/>
            </w:tcBorders>
            <w:shd w:val="clear" w:color="auto" w:fill="A6A6A6" w:themeFill="background1" w:themeFillShade="A6"/>
          </w:tcPr>
          <w:p w14:paraId="1E4F1684"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tcBorders>
            <w:shd w:val="clear" w:color="auto" w:fill="A6A6A6" w:themeFill="background1" w:themeFillShade="A6"/>
          </w:tcPr>
          <w:p w14:paraId="5B1F8126"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right w:val="single" w:sz="24" w:space="0" w:color="000000"/>
            </w:tcBorders>
            <w:shd w:val="clear" w:color="auto" w:fill="A6A6A6" w:themeFill="background1" w:themeFillShade="A6"/>
          </w:tcPr>
          <w:p w14:paraId="62AA6C50"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left w:val="single" w:sz="24" w:space="0" w:color="000000"/>
            </w:tcBorders>
          </w:tcPr>
          <w:p w14:paraId="3F0A2D4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right w:val="thickThinSmallGap" w:sz="24" w:space="0" w:color="000000"/>
            </w:tcBorders>
          </w:tcPr>
          <w:p w14:paraId="0477CC1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r>
      <w:tr w:rsidR="00F72C93" w:rsidRPr="0034763B" w14:paraId="339DDFAD" w14:textId="77777777" w:rsidTr="00F72C93">
        <w:tc>
          <w:tcPr>
            <w:tcW w:w="1123" w:type="dxa"/>
            <w:vMerge/>
            <w:tcBorders>
              <w:left w:val="thinThickSmallGap" w:sz="24" w:space="0" w:color="000000"/>
            </w:tcBorders>
            <w:vAlign w:val="center"/>
          </w:tcPr>
          <w:p w14:paraId="6177597C" w14:textId="77777777" w:rsidR="00F72C93" w:rsidRPr="0034763B" w:rsidRDefault="00F72C93" w:rsidP="00F72C93">
            <w:pPr>
              <w:rPr>
                <w:rFonts w:ascii="Times New Roman" w:hAnsi="Times New Roman" w:cs="Times New Roman"/>
                <w:b/>
                <w:sz w:val="18"/>
                <w:szCs w:val="18"/>
              </w:rPr>
            </w:pPr>
          </w:p>
        </w:tc>
        <w:tc>
          <w:tcPr>
            <w:tcW w:w="1280" w:type="dxa"/>
            <w:tcBorders>
              <w:right w:val="single" w:sz="24" w:space="0" w:color="auto"/>
            </w:tcBorders>
          </w:tcPr>
          <w:p w14:paraId="3AB0D02D"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11 – 30</w:t>
            </w:r>
          </w:p>
        </w:tc>
        <w:tc>
          <w:tcPr>
            <w:tcW w:w="552" w:type="dxa"/>
            <w:tcBorders>
              <w:left w:val="single" w:sz="24" w:space="0" w:color="auto"/>
            </w:tcBorders>
          </w:tcPr>
          <w:p w14:paraId="2C2F2EE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29283F7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left w:val="single" w:sz="24" w:space="0" w:color="000000"/>
            </w:tcBorders>
          </w:tcPr>
          <w:p w14:paraId="0817C4B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12E2B6C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Pr>
          <w:p w14:paraId="1E8B251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tcPr>
          <w:p w14:paraId="5B1AEF0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shd w:val="clear" w:color="auto" w:fill="auto"/>
          </w:tcPr>
          <w:p w14:paraId="335082D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shd w:val="clear" w:color="auto" w:fill="auto"/>
          </w:tcPr>
          <w:p w14:paraId="32B8146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shd w:val="clear" w:color="auto" w:fill="auto"/>
          </w:tcPr>
          <w:p w14:paraId="5AF4546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right w:val="single" w:sz="24" w:space="0" w:color="000000"/>
            </w:tcBorders>
            <w:shd w:val="clear" w:color="auto" w:fill="auto"/>
          </w:tcPr>
          <w:p w14:paraId="6A5756E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tcBorders>
          </w:tcPr>
          <w:p w14:paraId="33ADA11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Pr>
          <w:p w14:paraId="270948D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2A3C525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6730E06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591E8E3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right w:val="single" w:sz="24" w:space="0" w:color="000000"/>
            </w:tcBorders>
          </w:tcPr>
          <w:p w14:paraId="04438F6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tcPr>
          <w:p w14:paraId="2EE23D9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Pr>
          <w:p w14:paraId="3860858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right w:val="single" w:sz="24" w:space="0" w:color="000000"/>
            </w:tcBorders>
          </w:tcPr>
          <w:p w14:paraId="69F0033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tcBorders>
            <w:shd w:val="clear" w:color="auto" w:fill="A6A6A6" w:themeFill="background1" w:themeFillShade="A6"/>
          </w:tcPr>
          <w:p w14:paraId="37B8D131" w14:textId="77777777" w:rsidR="00F72C93" w:rsidRPr="0034763B" w:rsidRDefault="00F72C93" w:rsidP="00F72C93">
            <w:pPr>
              <w:rPr>
                <w:rFonts w:ascii="Times New Roman" w:hAnsi="Times New Roman" w:cs="Times New Roman"/>
                <w:sz w:val="18"/>
                <w:szCs w:val="18"/>
              </w:rPr>
            </w:pPr>
          </w:p>
        </w:tc>
        <w:tc>
          <w:tcPr>
            <w:tcW w:w="553" w:type="dxa"/>
            <w:shd w:val="clear" w:color="auto" w:fill="A6A6A6" w:themeFill="background1" w:themeFillShade="A6"/>
          </w:tcPr>
          <w:p w14:paraId="483E07B6" w14:textId="77777777" w:rsidR="00F72C93" w:rsidRPr="0034763B" w:rsidRDefault="00F72C93" w:rsidP="00F72C93">
            <w:pPr>
              <w:rPr>
                <w:rFonts w:ascii="Times New Roman" w:hAnsi="Times New Roman" w:cs="Times New Roman"/>
                <w:sz w:val="18"/>
                <w:szCs w:val="18"/>
              </w:rPr>
            </w:pPr>
          </w:p>
        </w:tc>
        <w:tc>
          <w:tcPr>
            <w:tcW w:w="553" w:type="dxa"/>
            <w:tcBorders>
              <w:right w:val="single" w:sz="24" w:space="0" w:color="000000"/>
            </w:tcBorders>
            <w:shd w:val="clear" w:color="auto" w:fill="A6A6A6" w:themeFill="background1" w:themeFillShade="A6"/>
          </w:tcPr>
          <w:p w14:paraId="0EBAB2D4"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tcBorders>
          </w:tcPr>
          <w:p w14:paraId="2B6B1D1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right w:val="thickThinSmallGap" w:sz="24" w:space="0" w:color="000000"/>
            </w:tcBorders>
          </w:tcPr>
          <w:p w14:paraId="474816C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104A6C8D" w14:textId="77777777" w:rsidTr="00F72C93">
        <w:tc>
          <w:tcPr>
            <w:tcW w:w="1123" w:type="dxa"/>
            <w:vMerge/>
            <w:tcBorders>
              <w:left w:val="thinThickSmallGap" w:sz="24" w:space="0" w:color="000000"/>
              <w:bottom w:val="single" w:sz="24" w:space="0" w:color="000000"/>
            </w:tcBorders>
            <w:vAlign w:val="center"/>
          </w:tcPr>
          <w:p w14:paraId="4A9AC976" w14:textId="77777777" w:rsidR="00F72C93" w:rsidRPr="0034763B" w:rsidRDefault="00F72C93" w:rsidP="00F72C93">
            <w:pPr>
              <w:rPr>
                <w:rFonts w:ascii="Times New Roman" w:hAnsi="Times New Roman" w:cs="Times New Roman"/>
                <w:b/>
                <w:sz w:val="18"/>
                <w:szCs w:val="18"/>
              </w:rPr>
            </w:pPr>
          </w:p>
        </w:tc>
        <w:tc>
          <w:tcPr>
            <w:tcW w:w="1280" w:type="dxa"/>
            <w:tcBorders>
              <w:bottom w:val="single" w:sz="24" w:space="0" w:color="000000"/>
              <w:right w:val="single" w:sz="24" w:space="0" w:color="auto"/>
            </w:tcBorders>
          </w:tcPr>
          <w:p w14:paraId="2F2F9700"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30+</w:t>
            </w:r>
          </w:p>
        </w:tc>
        <w:tc>
          <w:tcPr>
            <w:tcW w:w="552" w:type="dxa"/>
            <w:tcBorders>
              <w:left w:val="single" w:sz="24" w:space="0" w:color="auto"/>
              <w:bottom w:val="single" w:sz="24" w:space="0" w:color="000000"/>
            </w:tcBorders>
          </w:tcPr>
          <w:p w14:paraId="4FC09A6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bottom w:val="single" w:sz="24" w:space="0" w:color="000000"/>
              <w:right w:val="single" w:sz="24" w:space="0" w:color="000000"/>
            </w:tcBorders>
          </w:tcPr>
          <w:p w14:paraId="2AEFBB6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left w:val="single" w:sz="24" w:space="0" w:color="000000"/>
              <w:bottom w:val="single" w:sz="24" w:space="0" w:color="000000"/>
            </w:tcBorders>
          </w:tcPr>
          <w:p w14:paraId="49F6414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tcBorders>
          </w:tcPr>
          <w:p w14:paraId="0733243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4</w:t>
            </w:r>
          </w:p>
        </w:tc>
        <w:tc>
          <w:tcPr>
            <w:tcW w:w="553" w:type="dxa"/>
            <w:tcBorders>
              <w:bottom w:val="single" w:sz="24" w:space="0" w:color="000000"/>
            </w:tcBorders>
          </w:tcPr>
          <w:p w14:paraId="500179F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right w:val="single" w:sz="24" w:space="0" w:color="000000"/>
            </w:tcBorders>
          </w:tcPr>
          <w:p w14:paraId="63B1021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auto"/>
          </w:tcPr>
          <w:p w14:paraId="18A96AB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shd w:val="clear" w:color="auto" w:fill="auto"/>
          </w:tcPr>
          <w:p w14:paraId="366FEA3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bottom w:val="single" w:sz="24" w:space="0" w:color="000000"/>
            </w:tcBorders>
            <w:shd w:val="clear" w:color="auto" w:fill="auto"/>
          </w:tcPr>
          <w:p w14:paraId="7E78090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shd w:val="clear" w:color="auto" w:fill="auto"/>
          </w:tcPr>
          <w:p w14:paraId="5DFE55D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012FD0E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tcBorders>
          </w:tcPr>
          <w:p w14:paraId="226EFA4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tcPr>
          <w:p w14:paraId="16852C8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single" w:sz="24" w:space="0" w:color="000000"/>
            </w:tcBorders>
          </w:tcPr>
          <w:p w14:paraId="0E09D9C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tcBorders>
          </w:tcPr>
          <w:p w14:paraId="2AF44EE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single" w:sz="24" w:space="0" w:color="000000"/>
              <w:right w:val="single" w:sz="24" w:space="0" w:color="000000"/>
            </w:tcBorders>
          </w:tcPr>
          <w:p w14:paraId="79836DB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tcPr>
          <w:p w14:paraId="4215B2E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bottom w:val="single" w:sz="24" w:space="0" w:color="000000"/>
            </w:tcBorders>
          </w:tcPr>
          <w:p w14:paraId="557C416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single" w:sz="24" w:space="0" w:color="000000"/>
              <w:right w:val="single" w:sz="24" w:space="0" w:color="000000"/>
            </w:tcBorders>
          </w:tcPr>
          <w:p w14:paraId="1AE6A45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single" w:sz="24" w:space="0" w:color="000000"/>
            </w:tcBorders>
            <w:shd w:val="clear" w:color="auto" w:fill="A6A6A6" w:themeFill="background1" w:themeFillShade="A6"/>
          </w:tcPr>
          <w:p w14:paraId="1D3BDB8D"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tcBorders>
            <w:shd w:val="clear" w:color="auto" w:fill="A6A6A6" w:themeFill="background1" w:themeFillShade="A6"/>
          </w:tcPr>
          <w:p w14:paraId="1C62754F" w14:textId="77777777" w:rsidR="00F72C93" w:rsidRPr="0034763B" w:rsidRDefault="00F72C93" w:rsidP="00F72C93">
            <w:pPr>
              <w:rPr>
                <w:rFonts w:ascii="Times New Roman" w:hAnsi="Times New Roman" w:cs="Times New Roman"/>
                <w:sz w:val="18"/>
                <w:szCs w:val="18"/>
              </w:rPr>
            </w:pPr>
          </w:p>
        </w:tc>
        <w:tc>
          <w:tcPr>
            <w:tcW w:w="553" w:type="dxa"/>
            <w:tcBorders>
              <w:bottom w:val="single" w:sz="24" w:space="0" w:color="000000"/>
              <w:right w:val="single" w:sz="24" w:space="0" w:color="000000"/>
            </w:tcBorders>
            <w:shd w:val="clear" w:color="auto" w:fill="A6A6A6" w:themeFill="background1" w:themeFillShade="A6"/>
          </w:tcPr>
          <w:p w14:paraId="083B1D50" w14:textId="77777777" w:rsidR="00F72C93" w:rsidRPr="0034763B" w:rsidRDefault="00F72C93" w:rsidP="00F72C93">
            <w:pPr>
              <w:rPr>
                <w:rFonts w:ascii="Times New Roman" w:hAnsi="Times New Roman" w:cs="Times New Roman"/>
                <w:sz w:val="18"/>
                <w:szCs w:val="18"/>
              </w:rPr>
            </w:pPr>
          </w:p>
        </w:tc>
        <w:tc>
          <w:tcPr>
            <w:tcW w:w="553" w:type="dxa"/>
            <w:tcBorders>
              <w:left w:val="single" w:sz="24" w:space="0" w:color="000000"/>
              <w:bottom w:val="single" w:sz="24" w:space="0" w:color="000000"/>
            </w:tcBorders>
          </w:tcPr>
          <w:p w14:paraId="5EE02FB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bottom w:val="single" w:sz="24" w:space="0" w:color="000000"/>
              <w:right w:val="thickThinSmallGap" w:sz="24" w:space="0" w:color="000000"/>
            </w:tcBorders>
          </w:tcPr>
          <w:p w14:paraId="5993A5B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r>
      <w:tr w:rsidR="00F72C93" w:rsidRPr="0034763B" w14:paraId="581C8ADF" w14:textId="77777777" w:rsidTr="00F72C93">
        <w:tc>
          <w:tcPr>
            <w:tcW w:w="1123" w:type="dxa"/>
            <w:vMerge w:val="restart"/>
            <w:tcBorders>
              <w:top w:val="single" w:sz="24" w:space="0" w:color="000000"/>
              <w:left w:val="thinThickSmallGap" w:sz="24" w:space="0" w:color="000000"/>
            </w:tcBorders>
            <w:shd w:val="clear" w:color="auto" w:fill="D9D9D9" w:themeFill="background1" w:themeFillShade="D9"/>
            <w:vAlign w:val="center"/>
          </w:tcPr>
          <w:p w14:paraId="123320BC"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Wish to do more</w:t>
            </w:r>
          </w:p>
        </w:tc>
        <w:tc>
          <w:tcPr>
            <w:tcW w:w="1280" w:type="dxa"/>
            <w:tcBorders>
              <w:top w:val="single" w:sz="24" w:space="0" w:color="000000"/>
              <w:right w:val="single" w:sz="24" w:space="0" w:color="auto"/>
            </w:tcBorders>
            <w:shd w:val="clear" w:color="auto" w:fill="D9D9D9" w:themeFill="background1" w:themeFillShade="D9"/>
          </w:tcPr>
          <w:p w14:paraId="4E7B9906"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Yes</w:t>
            </w:r>
          </w:p>
        </w:tc>
        <w:tc>
          <w:tcPr>
            <w:tcW w:w="552" w:type="dxa"/>
            <w:tcBorders>
              <w:top w:val="single" w:sz="24" w:space="0" w:color="000000"/>
              <w:left w:val="single" w:sz="24" w:space="0" w:color="auto"/>
            </w:tcBorders>
            <w:shd w:val="clear" w:color="auto" w:fill="D9D9D9" w:themeFill="background1" w:themeFillShade="D9"/>
          </w:tcPr>
          <w:p w14:paraId="76AA550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9</w:t>
            </w:r>
          </w:p>
        </w:tc>
        <w:tc>
          <w:tcPr>
            <w:tcW w:w="553" w:type="dxa"/>
            <w:tcBorders>
              <w:top w:val="single" w:sz="24" w:space="0" w:color="000000"/>
              <w:right w:val="single" w:sz="24" w:space="0" w:color="000000"/>
            </w:tcBorders>
            <w:shd w:val="clear" w:color="auto" w:fill="D9D9D9" w:themeFill="background1" w:themeFillShade="D9"/>
          </w:tcPr>
          <w:p w14:paraId="7F8C727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left w:val="single" w:sz="24" w:space="0" w:color="000000"/>
            </w:tcBorders>
            <w:shd w:val="clear" w:color="auto" w:fill="D9D9D9" w:themeFill="background1" w:themeFillShade="D9"/>
          </w:tcPr>
          <w:p w14:paraId="4A10FEF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09118C8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8</w:t>
            </w:r>
          </w:p>
        </w:tc>
        <w:tc>
          <w:tcPr>
            <w:tcW w:w="553" w:type="dxa"/>
            <w:tcBorders>
              <w:top w:val="single" w:sz="24" w:space="0" w:color="000000"/>
            </w:tcBorders>
            <w:shd w:val="clear" w:color="auto" w:fill="D9D9D9" w:themeFill="background1" w:themeFillShade="D9"/>
          </w:tcPr>
          <w:p w14:paraId="01486E7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right w:val="single" w:sz="24" w:space="0" w:color="000000"/>
            </w:tcBorders>
            <w:shd w:val="clear" w:color="auto" w:fill="D9D9D9" w:themeFill="background1" w:themeFillShade="D9"/>
          </w:tcPr>
          <w:p w14:paraId="52C160E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shd w:val="clear" w:color="auto" w:fill="D9D9D9" w:themeFill="background1" w:themeFillShade="D9"/>
          </w:tcPr>
          <w:p w14:paraId="5FB064A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tcBorders>
            <w:shd w:val="clear" w:color="auto" w:fill="D9D9D9" w:themeFill="background1" w:themeFillShade="D9"/>
          </w:tcPr>
          <w:p w14:paraId="0D131A7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7</w:t>
            </w:r>
          </w:p>
        </w:tc>
        <w:tc>
          <w:tcPr>
            <w:tcW w:w="553" w:type="dxa"/>
            <w:tcBorders>
              <w:top w:val="single" w:sz="24" w:space="0" w:color="000000"/>
            </w:tcBorders>
            <w:shd w:val="clear" w:color="auto" w:fill="D9D9D9" w:themeFill="background1" w:themeFillShade="D9"/>
          </w:tcPr>
          <w:p w14:paraId="30EB040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43053364"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left w:val="single" w:sz="24" w:space="0" w:color="000000"/>
            </w:tcBorders>
            <w:shd w:val="clear" w:color="auto" w:fill="D9D9D9" w:themeFill="background1" w:themeFillShade="D9"/>
          </w:tcPr>
          <w:p w14:paraId="3991506E"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tcBorders>
            <w:shd w:val="clear" w:color="auto" w:fill="D9D9D9" w:themeFill="background1" w:themeFillShade="D9"/>
          </w:tcPr>
          <w:p w14:paraId="16C7624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tcBorders>
            <w:shd w:val="clear" w:color="auto" w:fill="D9D9D9" w:themeFill="background1" w:themeFillShade="D9"/>
          </w:tcPr>
          <w:p w14:paraId="7A12213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tcBorders>
            <w:shd w:val="clear" w:color="auto" w:fill="D9D9D9" w:themeFill="background1" w:themeFillShade="D9"/>
          </w:tcPr>
          <w:p w14:paraId="249162F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tcBorders>
            <w:shd w:val="clear" w:color="auto" w:fill="D9D9D9" w:themeFill="background1" w:themeFillShade="D9"/>
          </w:tcPr>
          <w:p w14:paraId="788EA73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top w:val="single" w:sz="24" w:space="0" w:color="000000"/>
              <w:right w:val="single" w:sz="24" w:space="0" w:color="000000"/>
            </w:tcBorders>
            <w:shd w:val="clear" w:color="auto" w:fill="D9D9D9" w:themeFill="background1" w:themeFillShade="D9"/>
          </w:tcPr>
          <w:p w14:paraId="13B21B76"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top w:val="single" w:sz="24" w:space="0" w:color="000000"/>
              <w:left w:val="single" w:sz="24" w:space="0" w:color="000000"/>
            </w:tcBorders>
            <w:shd w:val="clear" w:color="auto" w:fill="D9D9D9" w:themeFill="background1" w:themeFillShade="D9"/>
          </w:tcPr>
          <w:p w14:paraId="32D44B1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top w:val="single" w:sz="24" w:space="0" w:color="000000"/>
            </w:tcBorders>
            <w:shd w:val="clear" w:color="auto" w:fill="D9D9D9" w:themeFill="background1" w:themeFillShade="D9"/>
          </w:tcPr>
          <w:p w14:paraId="1552A228"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right w:val="single" w:sz="24" w:space="0" w:color="000000"/>
            </w:tcBorders>
            <w:shd w:val="clear" w:color="auto" w:fill="D9D9D9" w:themeFill="background1" w:themeFillShade="D9"/>
          </w:tcPr>
          <w:p w14:paraId="1E238D5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left w:val="single" w:sz="24" w:space="0" w:color="000000"/>
            </w:tcBorders>
            <w:shd w:val="clear" w:color="auto" w:fill="D9D9D9" w:themeFill="background1" w:themeFillShade="D9"/>
          </w:tcPr>
          <w:p w14:paraId="54F2B812"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5</w:t>
            </w:r>
          </w:p>
        </w:tc>
        <w:tc>
          <w:tcPr>
            <w:tcW w:w="553" w:type="dxa"/>
            <w:tcBorders>
              <w:top w:val="single" w:sz="24" w:space="0" w:color="000000"/>
            </w:tcBorders>
            <w:shd w:val="clear" w:color="auto" w:fill="D9D9D9" w:themeFill="background1" w:themeFillShade="D9"/>
          </w:tcPr>
          <w:p w14:paraId="7E8C667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top w:val="single" w:sz="24" w:space="0" w:color="000000"/>
              <w:right w:val="single" w:sz="24" w:space="0" w:color="000000"/>
            </w:tcBorders>
            <w:shd w:val="clear" w:color="auto" w:fill="D9D9D9" w:themeFill="background1" w:themeFillShade="D9"/>
          </w:tcPr>
          <w:p w14:paraId="6B442B49"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6</w:t>
            </w:r>
          </w:p>
        </w:tc>
        <w:tc>
          <w:tcPr>
            <w:tcW w:w="553" w:type="dxa"/>
            <w:tcBorders>
              <w:top w:val="single" w:sz="24" w:space="0" w:color="000000"/>
              <w:left w:val="single" w:sz="24" w:space="0" w:color="000000"/>
            </w:tcBorders>
            <w:shd w:val="clear" w:color="auto" w:fill="A6A6A6" w:themeFill="background1" w:themeFillShade="A6"/>
          </w:tcPr>
          <w:p w14:paraId="313D8F20" w14:textId="77777777" w:rsidR="00F72C93" w:rsidRPr="0034763B" w:rsidRDefault="00F72C93" w:rsidP="00F72C93">
            <w:pPr>
              <w:rPr>
                <w:rFonts w:ascii="Times New Roman" w:hAnsi="Times New Roman" w:cs="Times New Roman"/>
                <w:sz w:val="18"/>
                <w:szCs w:val="18"/>
              </w:rPr>
            </w:pPr>
          </w:p>
        </w:tc>
        <w:tc>
          <w:tcPr>
            <w:tcW w:w="553" w:type="dxa"/>
            <w:tcBorders>
              <w:top w:val="single" w:sz="24" w:space="0" w:color="000000"/>
              <w:right w:val="thickThinSmallGap" w:sz="24" w:space="0" w:color="000000"/>
            </w:tcBorders>
            <w:shd w:val="clear" w:color="auto" w:fill="A6A6A6" w:themeFill="background1" w:themeFillShade="A6"/>
          </w:tcPr>
          <w:p w14:paraId="21A87EFE" w14:textId="77777777" w:rsidR="00F72C93" w:rsidRPr="0034763B" w:rsidRDefault="00F72C93" w:rsidP="00F72C93">
            <w:pPr>
              <w:rPr>
                <w:rFonts w:ascii="Times New Roman" w:hAnsi="Times New Roman" w:cs="Times New Roman"/>
                <w:sz w:val="18"/>
                <w:szCs w:val="18"/>
              </w:rPr>
            </w:pPr>
          </w:p>
        </w:tc>
      </w:tr>
      <w:tr w:rsidR="00F72C93" w:rsidRPr="0034763B" w14:paraId="13E69196" w14:textId="77777777" w:rsidTr="00F72C93">
        <w:tc>
          <w:tcPr>
            <w:tcW w:w="1123" w:type="dxa"/>
            <w:vMerge/>
            <w:tcBorders>
              <w:left w:val="thinThickSmallGap" w:sz="24" w:space="0" w:color="000000"/>
              <w:bottom w:val="thickThinSmallGap" w:sz="24" w:space="0" w:color="000000"/>
            </w:tcBorders>
            <w:shd w:val="clear" w:color="auto" w:fill="D9D9D9" w:themeFill="background1" w:themeFillShade="D9"/>
            <w:vAlign w:val="center"/>
          </w:tcPr>
          <w:p w14:paraId="5A087A7B" w14:textId="77777777" w:rsidR="00F72C93" w:rsidRPr="0034763B" w:rsidRDefault="00F72C93" w:rsidP="00F72C93">
            <w:pPr>
              <w:rPr>
                <w:rFonts w:ascii="Times New Roman" w:hAnsi="Times New Roman" w:cs="Times New Roman"/>
                <w:b/>
                <w:sz w:val="18"/>
                <w:szCs w:val="18"/>
              </w:rPr>
            </w:pPr>
          </w:p>
        </w:tc>
        <w:tc>
          <w:tcPr>
            <w:tcW w:w="1280" w:type="dxa"/>
            <w:tcBorders>
              <w:bottom w:val="thickThinSmallGap" w:sz="24" w:space="0" w:color="000000"/>
              <w:right w:val="single" w:sz="24" w:space="0" w:color="auto"/>
            </w:tcBorders>
            <w:shd w:val="clear" w:color="auto" w:fill="D9D9D9" w:themeFill="background1" w:themeFillShade="D9"/>
          </w:tcPr>
          <w:p w14:paraId="124FA8FD" w14:textId="77777777" w:rsidR="00F72C93" w:rsidRPr="0034763B" w:rsidRDefault="00F72C93" w:rsidP="00F72C93">
            <w:pPr>
              <w:rPr>
                <w:rFonts w:ascii="Times New Roman" w:hAnsi="Times New Roman" w:cs="Times New Roman"/>
                <w:b/>
                <w:sz w:val="18"/>
                <w:szCs w:val="18"/>
              </w:rPr>
            </w:pPr>
            <w:r w:rsidRPr="0034763B">
              <w:rPr>
                <w:rFonts w:ascii="Times New Roman" w:hAnsi="Times New Roman" w:cs="Times New Roman"/>
                <w:b/>
                <w:sz w:val="18"/>
                <w:szCs w:val="18"/>
              </w:rPr>
              <w:t>No</w:t>
            </w:r>
          </w:p>
        </w:tc>
        <w:tc>
          <w:tcPr>
            <w:tcW w:w="552" w:type="dxa"/>
            <w:tcBorders>
              <w:left w:val="single" w:sz="24" w:space="0" w:color="auto"/>
              <w:bottom w:val="thickThinSmallGap" w:sz="24" w:space="0" w:color="000000"/>
            </w:tcBorders>
            <w:shd w:val="clear" w:color="auto" w:fill="D9D9D9" w:themeFill="background1" w:themeFillShade="D9"/>
          </w:tcPr>
          <w:p w14:paraId="15129F65"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right w:val="single" w:sz="24" w:space="0" w:color="000000"/>
            </w:tcBorders>
            <w:shd w:val="clear" w:color="auto" w:fill="D9D9D9" w:themeFill="background1" w:themeFillShade="D9"/>
          </w:tcPr>
          <w:p w14:paraId="0679A2F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left w:val="single" w:sz="24" w:space="0" w:color="000000"/>
              <w:bottom w:val="thickThinSmallGap" w:sz="24" w:space="0" w:color="000000"/>
            </w:tcBorders>
            <w:shd w:val="clear" w:color="auto" w:fill="D9D9D9" w:themeFill="background1" w:themeFillShade="D9"/>
          </w:tcPr>
          <w:p w14:paraId="036E675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tcBorders>
            <w:shd w:val="clear" w:color="auto" w:fill="D9D9D9" w:themeFill="background1" w:themeFillShade="D9"/>
          </w:tcPr>
          <w:p w14:paraId="3D7FBE5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3</w:t>
            </w:r>
          </w:p>
        </w:tc>
        <w:tc>
          <w:tcPr>
            <w:tcW w:w="553" w:type="dxa"/>
            <w:tcBorders>
              <w:bottom w:val="thickThinSmallGap" w:sz="24" w:space="0" w:color="000000"/>
            </w:tcBorders>
            <w:shd w:val="clear" w:color="auto" w:fill="D9D9D9" w:themeFill="background1" w:themeFillShade="D9"/>
          </w:tcPr>
          <w:p w14:paraId="68B4DC0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thickThinSmallGap" w:sz="24" w:space="0" w:color="000000"/>
              <w:right w:val="single" w:sz="24" w:space="0" w:color="000000"/>
            </w:tcBorders>
            <w:shd w:val="clear" w:color="auto" w:fill="D9D9D9" w:themeFill="background1" w:themeFillShade="D9"/>
          </w:tcPr>
          <w:p w14:paraId="7D68DD23"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bottom w:val="thickThinSmallGap" w:sz="24" w:space="0" w:color="000000"/>
            </w:tcBorders>
            <w:shd w:val="clear" w:color="auto" w:fill="D9D9D9" w:themeFill="background1" w:themeFillShade="D9"/>
          </w:tcPr>
          <w:p w14:paraId="3AF8928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tcBorders>
            <w:shd w:val="clear" w:color="auto" w:fill="D9D9D9" w:themeFill="background1" w:themeFillShade="D9"/>
          </w:tcPr>
          <w:p w14:paraId="6D1B41C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thickThinSmallGap" w:sz="24" w:space="0" w:color="000000"/>
            </w:tcBorders>
            <w:shd w:val="clear" w:color="auto" w:fill="D9D9D9" w:themeFill="background1" w:themeFillShade="D9"/>
          </w:tcPr>
          <w:p w14:paraId="49B65FB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right w:val="single" w:sz="24" w:space="0" w:color="000000"/>
            </w:tcBorders>
            <w:shd w:val="clear" w:color="auto" w:fill="D9D9D9" w:themeFill="background1" w:themeFillShade="D9"/>
          </w:tcPr>
          <w:p w14:paraId="748361D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left w:val="single" w:sz="24" w:space="0" w:color="000000"/>
              <w:bottom w:val="thickThinSmallGap" w:sz="24" w:space="0" w:color="000000"/>
            </w:tcBorders>
            <w:shd w:val="clear" w:color="auto" w:fill="D9D9D9" w:themeFill="background1" w:themeFillShade="D9"/>
          </w:tcPr>
          <w:p w14:paraId="6F4E9927"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tcBorders>
            <w:shd w:val="clear" w:color="auto" w:fill="D9D9D9" w:themeFill="background1" w:themeFillShade="D9"/>
          </w:tcPr>
          <w:p w14:paraId="355651CC"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tcBorders>
            <w:shd w:val="clear" w:color="auto" w:fill="D9D9D9" w:themeFill="background1" w:themeFillShade="D9"/>
          </w:tcPr>
          <w:p w14:paraId="4B8CD6D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thickThinSmallGap" w:sz="24" w:space="0" w:color="000000"/>
            </w:tcBorders>
            <w:shd w:val="clear" w:color="auto" w:fill="D9D9D9" w:themeFill="background1" w:themeFillShade="D9"/>
          </w:tcPr>
          <w:p w14:paraId="751B379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thickThinSmallGap" w:sz="24" w:space="0" w:color="000000"/>
            </w:tcBorders>
            <w:shd w:val="clear" w:color="auto" w:fill="D9D9D9" w:themeFill="background1" w:themeFillShade="D9"/>
          </w:tcPr>
          <w:p w14:paraId="302FB5B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0</w:t>
            </w:r>
          </w:p>
        </w:tc>
        <w:tc>
          <w:tcPr>
            <w:tcW w:w="553" w:type="dxa"/>
            <w:tcBorders>
              <w:bottom w:val="thickThinSmallGap" w:sz="24" w:space="0" w:color="000000"/>
              <w:right w:val="single" w:sz="24" w:space="0" w:color="000000"/>
            </w:tcBorders>
            <w:shd w:val="clear" w:color="auto" w:fill="D9D9D9" w:themeFill="background1" w:themeFillShade="D9"/>
          </w:tcPr>
          <w:p w14:paraId="315B8ABF"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bottom w:val="thickThinSmallGap" w:sz="24" w:space="0" w:color="000000"/>
            </w:tcBorders>
            <w:shd w:val="clear" w:color="auto" w:fill="D9D9D9" w:themeFill="background1" w:themeFillShade="D9"/>
          </w:tcPr>
          <w:p w14:paraId="1FE683A0"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tcBorders>
            <w:shd w:val="clear" w:color="auto" w:fill="D9D9D9" w:themeFill="background1" w:themeFillShade="D9"/>
          </w:tcPr>
          <w:p w14:paraId="69545A7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right w:val="single" w:sz="24" w:space="0" w:color="000000"/>
            </w:tcBorders>
            <w:shd w:val="clear" w:color="auto" w:fill="D9D9D9" w:themeFill="background1" w:themeFillShade="D9"/>
          </w:tcPr>
          <w:p w14:paraId="641FF3DA"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left w:val="single" w:sz="24" w:space="0" w:color="000000"/>
              <w:bottom w:val="thickThinSmallGap" w:sz="24" w:space="0" w:color="000000"/>
            </w:tcBorders>
            <w:shd w:val="clear" w:color="auto" w:fill="D9D9D9" w:themeFill="background1" w:themeFillShade="D9"/>
          </w:tcPr>
          <w:p w14:paraId="38DAE3DD"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2</w:t>
            </w:r>
          </w:p>
        </w:tc>
        <w:tc>
          <w:tcPr>
            <w:tcW w:w="553" w:type="dxa"/>
            <w:tcBorders>
              <w:bottom w:val="thickThinSmallGap" w:sz="24" w:space="0" w:color="000000"/>
            </w:tcBorders>
            <w:shd w:val="clear" w:color="auto" w:fill="D9D9D9" w:themeFill="background1" w:themeFillShade="D9"/>
          </w:tcPr>
          <w:p w14:paraId="40645DD1"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bottom w:val="thickThinSmallGap" w:sz="24" w:space="0" w:color="000000"/>
              <w:right w:val="single" w:sz="24" w:space="0" w:color="000000"/>
            </w:tcBorders>
            <w:shd w:val="clear" w:color="auto" w:fill="D9D9D9" w:themeFill="background1" w:themeFillShade="D9"/>
          </w:tcPr>
          <w:p w14:paraId="656FEE2B" w14:textId="77777777" w:rsidR="00F72C93" w:rsidRPr="0034763B" w:rsidRDefault="00F72C93" w:rsidP="00F72C93">
            <w:pPr>
              <w:rPr>
                <w:rFonts w:ascii="Times New Roman" w:hAnsi="Times New Roman" w:cs="Times New Roman"/>
                <w:sz w:val="18"/>
                <w:szCs w:val="18"/>
              </w:rPr>
            </w:pPr>
            <w:r w:rsidRPr="0034763B">
              <w:rPr>
                <w:rFonts w:ascii="Times New Roman" w:hAnsi="Times New Roman" w:cs="Times New Roman"/>
                <w:sz w:val="18"/>
                <w:szCs w:val="18"/>
              </w:rPr>
              <w:t>1</w:t>
            </w:r>
          </w:p>
        </w:tc>
        <w:tc>
          <w:tcPr>
            <w:tcW w:w="553" w:type="dxa"/>
            <w:tcBorders>
              <w:left w:val="single" w:sz="24" w:space="0" w:color="000000"/>
              <w:bottom w:val="thickThinSmallGap" w:sz="24" w:space="0" w:color="000000"/>
            </w:tcBorders>
            <w:shd w:val="clear" w:color="auto" w:fill="A6A6A6" w:themeFill="background1" w:themeFillShade="A6"/>
          </w:tcPr>
          <w:p w14:paraId="1210E042" w14:textId="77777777" w:rsidR="00F72C93" w:rsidRPr="0034763B" w:rsidRDefault="00F72C93" w:rsidP="00F72C93">
            <w:pPr>
              <w:rPr>
                <w:rFonts w:ascii="Times New Roman" w:hAnsi="Times New Roman" w:cs="Times New Roman"/>
                <w:sz w:val="18"/>
                <w:szCs w:val="18"/>
              </w:rPr>
            </w:pPr>
          </w:p>
        </w:tc>
        <w:tc>
          <w:tcPr>
            <w:tcW w:w="553" w:type="dxa"/>
            <w:tcBorders>
              <w:bottom w:val="thickThinSmallGap" w:sz="24" w:space="0" w:color="000000"/>
              <w:right w:val="thickThinSmallGap" w:sz="24" w:space="0" w:color="000000"/>
            </w:tcBorders>
            <w:shd w:val="clear" w:color="auto" w:fill="A6A6A6" w:themeFill="background1" w:themeFillShade="A6"/>
          </w:tcPr>
          <w:p w14:paraId="2C780863" w14:textId="77777777" w:rsidR="00F72C93" w:rsidRPr="0034763B" w:rsidRDefault="00F72C93" w:rsidP="00F72C93">
            <w:pPr>
              <w:rPr>
                <w:rFonts w:ascii="Times New Roman" w:hAnsi="Times New Roman" w:cs="Times New Roman"/>
                <w:sz w:val="18"/>
                <w:szCs w:val="18"/>
              </w:rPr>
            </w:pPr>
          </w:p>
        </w:tc>
      </w:tr>
    </w:tbl>
    <w:p w14:paraId="3FB33300" w14:textId="778ADE1D" w:rsidR="00083372" w:rsidRDefault="00083372" w:rsidP="008F0D9B">
      <w:pPr>
        <w:spacing w:before="60" w:after="60" w:line="480" w:lineRule="auto"/>
        <w:jc w:val="both"/>
        <w:rPr>
          <w:rFonts w:ascii="Times New Roman" w:eastAsia="Hiragino Sans W4" w:hAnsi="Times New Roman" w:cs="Times New Roman"/>
          <w:sz w:val="24"/>
          <w:szCs w:val="24"/>
        </w:rPr>
      </w:pPr>
    </w:p>
    <w:p w14:paraId="25780256" w14:textId="77777777" w:rsidR="00083372" w:rsidRDefault="00083372">
      <w:pPr>
        <w:rPr>
          <w:rFonts w:ascii="Times New Roman" w:eastAsia="Hiragino Sans W4" w:hAnsi="Times New Roman" w:cs="Times New Roman"/>
          <w:sz w:val="24"/>
          <w:szCs w:val="24"/>
        </w:rPr>
      </w:pPr>
      <w:r>
        <w:rPr>
          <w:rFonts w:ascii="Times New Roman" w:eastAsia="Hiragino Sans W4" w:hAnsi="Times New Roman" w:cs="Times New Roman"/>
          <w:sz w:val="24"/>
          <w:szCs w:val="24"/>
        </w:rPr>
        <w:br w:type="page"/>
      </w:r>
    </w:p>
    <w:p w14:paraId="07FE6434" w14:textId="77777777" w:rsidR="00083372" w:rsidRPr="002D787B" w:rsidRDefault="00083372" w:rsidP="00083372">
      <w:pPr>
        <w:jc w:val="both"/>
        <w:rPr>
          <w:rFonts w:ascii="Times New Roman" w:hAnsi="Times New Roman" w:cs="Times New Roman"/>
          <w:b/>
          <w:sz w:val="24"/>
          <w:szCs w:val="24"/>
        </w:rPr>
      </w:pPr>
      <w:r w:rsidRPr="002D787B">
        <w:rPr>
          <w:rFonts w:ascii="Times New Roman" w:hAnsi="Times New Roman" w:cs="Times New Roman"/>
          <w:b/>
          <w:sz w:val="24"/>
          <w:szCs w:val="24"/>
        </w:rPr>
        <w:lastRenderedPageBreak/>
        <w:t>List of references</w:t>
      </w:r>
    </w:p>
    <w:p w14:paraId="4556D2E4" w14:textId="77777777" w:rsidR="00083372" w:rsidRPr="002D787B" w:rsidRDefault="00083372" w:rsidP="00083372">
      <w:pPr>
        <w:jc w:val="both"/>
        <w:rPr>
          <w:rFonts w:ascii="Times New Roman" w:hAnsi="Times New Roman" w:cs="Times New Roman"/>
          <w:sz w:val="24"/>
          <w:szCs w:val="24"/>
          <w:lang w:val="en-US"/>
        </w:rPr>
      </w:pPr>
    </w:p>
    <w:p w14:paraId="2EE550EB" w14:textId="77777777" w:rsidR="00083372" w:rsidRPr="004E77B6" w:rsidRDefault="00083372" w:rsidP="00083372">
      <w:pPr>
        <w:jc w:val="both"/>
        <w:rPr>
          <w:rFonts w:ascii="Times New Roman" w:hAnsi="Times New Roman" w:cs="Times New Roman"/>
          <w:sz w:val="24"/>
          <w:szCs w:val="24"/>
          <w:lang w:val="en-US"/>
        </w:rPr>
      </w:pPr>
      <w:r w:rsidRPr="002D787B">
        <w:rPr>
          <w:rFonts w:ascii="Times New Roman" w:hAnsi="Times New Roman" w:cs="Times New Roman"/>
          <w:sz w:val="24"/>
          <w:szCs w:val="24"/>
        </w:rPr>
        <w:t xml:space="preserve">Albanian Ombudsman (2015) </w:t>
      </w:r>
      <w:r w:rsidRPr="002D787B">
        <w:rPr>
          <w:rFonts w:ascii="Times New Roman" w:hAnsi="Times New Roman" w:cs="Times New Roman"/>
          <w:i/>
          <w:sz w:val="24"/>
          <w:szCs w:val="24"/>
        </w:rPr>
        <w:t>Activity Of The Albanian Ombudsman Office In Its Capacity As The National Preventive Mechanism Against Torture Special Annual Report 2015</w:t>
      </w:r>
      <w:r>
        <w:rPr>
          <w:rFonts w:ascii="Times New Roman" w:hAnsi="Times New Roman" w:cs="Times New Roman"/>
          <w:sz w:val="24"/>
          <w:szCs w:val="24"/>
        </w:rPr>
        <w:t>, Tirana</w:t>
      </w:r>
    </w:p>
    <w:p w14:paraId="2E5E03EA" w14:textId="77777777" w:rsidR="00083372" w:rsidRPr="002D787B" w:rsidRDefault="00083372" w:rsidP="00083372">
      <w:pPr>
        <w:jc w:val="both"/>
        <w:rPr>
          <w:rFonts w:ascii="Times New Roman" w:hAnsi="Times New Roman" w:cs="Times New Roman"/>
          <w:sz w:val="24"/>
          <w:szCs w:val="24"/>
          <w:lang w:val="en-US"/>
        </w:rPr>
      </w:pPr>
      <w:r w:rsidRPr="002D787B">
        <w:rPr>
          <w:rFonts w:ascii="Times New Roman" w:hAnsi="Times New Roman" w:cs="Times New Roman"/>
          <w:sz w:val="24"/>
          <w:szCs w:val="24"/>
          <w:lang w:val="en-US"/>
        </w:rPr>
        <w:t xml:space="preserve">APT (2004) </w:t>
      </w:r>
      <w:r w:rsidRPr="002D787B">
        <w:rPr>
          <w:rFonts w:ascii="Times New Roman" w:hAnsi="Times New Roman" w:cs="Times New Roman"/>
          <w:i/>
          <w:sz w:val="24"/>
          <w:szCs w:val="24"/>
        </w:rPr>
        <w:t>Monitoring Places of Detention. A practical Guide</w:t>
      </w:r>
      <w:r w:rsidRPr="002D787B">
        <w:rPr>
          <w:rFonts w:ascii="Times New Roman" w:hAnsi="Times New Roman" w:cs="Times New Roman"/>
          <w:sz w:val="24"/>
          <w:szCs w:val="24"/>
        </w:rPr>
        <w:t>, Geneva</w:t>
      </w:r>
    </w:p>
    <w:p w14:paraId="67C8F8DA"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lang w:val="en-US"/>
        </w:rPr>
        <w:t xml:space="preserve">APT (2006) </w:t>
      </w:r>
      <w:r w:rsidRPr="002D787B">
        <w:rPr>
          <w:rFonts w:ascii="Times New Roman" w:hAnsi="Times New Roman" w:cs="Times New Roman"/>
          <w:i/>
          <w:sz w:val="24"/>
          <w:szCs w:val="24"/>
          <w:lang w:val="en-US"/>
        </w:rPr>
        <w:t>Guide. Establishment and Designation of National Preventive Mechanisms</w:t>
      </w:r>
      <w:r w:rsidRPr="002D787B">
        <w:rPr>
          <w:rFonts w:ascii="Times New Roman" w:hAnsi="Times New Roman" w:cs="Times New Roman"/>
          <w:sz w:val="24"/>
          <w:szCs w:val="24"/>
          <w:lang w:val="en-US"/>
        </w:rPr>
        <w:t>, Geneva</w:t>
      </w:r>
    </w:p>
    <w:p w14:paraId="23FFC306"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APT (2010), </w:t>
      </w:r>
      <w:r w:rsidRPr="002D787B">
        <w:rPr>
          <w:rFonts w:ascii="Times New Roman" w:hAnsi="Times New Roman" w:cs="Times New Roman"/>
          <w:i/>
          <w:sz w:val="24"/>
          <w:szCs w:val="24"/>
        </w:rPr>
        <w:t>The Optional Protocol Implementation Manual</w:t>
      </w:r>
      <w:r w:rsidRPr="002D787B">
        <w:rPr>
          <w:rFonts w:ascii="Times New Roman" w:hAnsi="Times New Roman" w:cs="Times New Roman"/>
          <w:sz w:val="24"/>
          <w:szCs w:val="24"/>
        </w:rPr>
        <w:t>, Geneva</w:t>
      </w:r>
    </w:p>
    <w:p w14:paraId="25E99260" w14:textId="77777777" w:rsidR="00083372" w:rsidRPr="002D787B" w:rsidRDefault="00083372" w:rsidP="00083372">
      <w:pPr>
        <w:jc w:val="both"/>
        <w:rPr>
          <w:rFonts w:ascii="Times New Roman" w:hAnsi="Times New Roman" w:cs="Times New Roman"/>
          <w:bCs/>
          <w:sz w:val="24"/>
          <w:szCs w:val="24"/>
        </w:rPr>
      </w:pPr>
      <w:r w:rsidRPr="002D787B">
        <w:rPr>
          <w:rFonts w:ascii="Times New Roman" w:hAnsi="Times New Roman" w:cs="Times New Roman"/>
          <w:sz w:val="24"/>
          <w:szCs w:val="24"/>
        </w:rPr>
        <w:t xml:space="preserve">Bulgarian NPM (2014), </w:t>
      </w:r>
      <w:r w:rsidRPr="002D787B">
        <w:rPr>
          <w:rFonts w:ascii="Times New Roman" w:hAnsi="Times New Roman" w:cs="Times New Roman"/>
          <w:bCs/>
          <w:i/>
          <w:sz w:val="24"/>
          <w:szCs w:val="24"/>
        </w:rPr>
        <w:t>2014 Annual Report Of The Ombudsman Acting As National Preventive Mechanism</w:t>
      </w:r>
      <w:r w:rsidRPr="002D787B">
        <w:rPr>
          <w:rFonts w:ascii="Times New Roman" w:hAnsi="Times New Roman" w:cs="Times New Roman"/>
          <w:bCs/>
          <w:sz w:val="24"/>
          <w:szCs w:val="24"/>
        </w:rPr>
        <w:t xml:space="preserve">, </w:t>
      </w:r>
      <w:r>
        <w:rPr>
          <w:rFonts w:ascii="Times New Roman" w:hAnsi="Times New Roman" w:cs="Times New Roman"/>
          <w:bCs/>
          <w:sz w:val="24"/>
          <w:szCs w:val="24"/>
        </w:rPr>
        <w:t>Sofia</w:t>
      </w:r>
    </w:p>
    <w:p w14:paraId="0CA13483" w14:textId="77777777" w:rsidR="00083372" w:rsidRPr="002D787B" w:rsidRDefault="00083372" w:rsidP="00083372">
      <w:pPr>
        <w:jc w:val="both"/>
        <w:rPr>
          <w:rFonts w:ascii="Times New Roman" w:hAnsi="Times New Roman" w:cs="Times New Roman"/>
          <w:bCs/>
          <w:sz w:val="24"/>
          <w:szCs w:val="24"/>
        </w:rPr>
      </w:pPr>
      <w:r w:rsidRPr="002D787B">
        <w:rPr>
          <w:rFonts w:ascii="Times New Roman" w:hAnsi="Times New Roman" w:cs="Times New Roman"/>
          <w:bCs/>
          <w:sz w:val="24"/>
          <w:szCs w:val="24"/>
        </w:rPr>
        <w:t xml:space="preserve">Bulgarian NPM (2017), 2017 </w:t>
      </w:r>
      <w:r w:rsidRPr="002D787B">
        <w:rPr>
          <w:rFonts w:ascii="Times New Roman" w:hAnsi="Times New Roman" w:cs="Times New Roman"/>
          <w:bCs/>
          <w:i/>
          <w:sz w:val="24"/>
          <w:szCs w:val="24"/>
        </w:rPr>
        <w:t>Annual Report Of The Ombudsman Acting As National Preventive Mechanism</w:t>
      </w:r>
      <w:r w:rsidRPr="002D787B">
        <w:rPr>
          <w:rFonts w:ascii="Times New Roman" w:hAnsi="Times New Roman" w:cs="Times New Roman"/>
          <w:bCs/>
          <w:sz w:val="24"/>
          <w:szCs w:val="24"/>
        </w:rPr>
        <w:t xml:space="preserve">, </w:t>
      </w:r>
      <w:r>
        <w:rPr>
          <w:rFonts w:ascii="Times New Roman" w:hAnsi="Times New Roman" w:cs="Times New Roman"/>
          <w:bCs/>
          <w:sz w:val="24"/>
          <w:szCs w:val="24"/>
        </w:rPr>
        <w:t>Sofia</w:t>
      </w:r>
    </w:p>
    <w:p w14:paraId="1F682B95"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Chancellor of Justice of Estonia (2015), </w:t>
      </w:r>
      <w:r w:rsidRPr="002D787B">
        <w:rPr>
          <w:rFonts w:ascii="Times New Roman" w:hAnsi="Times New Roman" w:cs="Times New Roman"/>
          <w:i/>
          <w:sz w:val="24"/>
          <w:szCs w:val="24"/>
        </w:rPr>
        <w:t>Overview Of The Chancellor Of Justice Activities, Chancellor of Justice as National Preventive Mechanism Chancellor of Justice as Ombudsman for Children, Statistics of Proceedings</w:t>
      </w:r>
      <w:r w:rsidRPr="002D787B">
        <w:rPr>
          <w:rFonts w:ascii="Times New Roman" w:hAnsi="Times New Roman" w:cs="Times New Roman"/>
          <w:sz w:val="24"/>
          <w:szCs w:val="24"/>
        </w:rPr>
        <w:t>, Tallinn</w:t>
      </w:r>
    </w:p>
    <w:p w14:paraId="7A5CAA1F"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CGLPL (2016), </w:t>
      </w:r>
      <w:r w:rsidRPr="002D787B">
        <w:rPr>
          <w:rFonts w:ascii="Times New Roman" w:hAnsi="Times New Roman" w:cs="Times New Roman"/>
          <w:i/>
          <w:sz w:val="24"/>
          <w:szCs w:val="24"/>
        </w:rPr>
        <w:t>Le Contrôleur general des lieux de privation de liberté, Rapport d’activité 2016</w:t>
      </w:r>
      <w:r w:rsidRPr="002D787B">
        <w:rPr>
          <w:rFonts w:ascii="Times New Roman" w:hAnsi="Times New Roman" w:cs="Times New Roman"/>
          <w:sz w:val="24"/>
          <w:szCs w:val="24"/>
        </w:rPr>
        <w:t>, Paris</w:t>
      </w:r>
    </w:p>
    <w:p w14:paraId="4FF773E7" w14:textId="77777777" w:rsidR="00083372" w:rsidRPr="004E77B6"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Czech Public Defender of Human Rights (2016), Czech Republic, </w:t>
      </w:r>
      <w:r w:rsidRPr="002D787B">
        <w:rPr>
          <w:rFonts w:ascii="Times New Roman" w:hAnsi="Times New Roman" w:cs="Times New Roman"/>
          <w:i/>
          <w:sz w:val="24"/>
          <w:szCs w:val="24"/>
        </w:rPr>
        <w:t>Protection Against Ill-Treatment 2016 Report Of The Public Defender Of Rights as the National Preventive Mechanism</w:t>
      </w:r>
      <w:r>
        <w:rPr>
          <w:rFonts w:ascii="Times New Roman" w:hAnsi="Times New Roman" w:cs="Times New Roman"/>
          <w:sz w:val="24"/>
          <w:szCs w:val="24"/>
        </w:rPr>
        <w:t>, Prague</w:t>
      </w:r>
    </w:p>
    <w:p w14:paraId="63263C82"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Danish Parliamentary Ombudsman (2014) </w:t>
      </w:r>
      <w:r w:rsidRPr="002D787B">
        <w:rPr>
          <w:rFonts w:ascii="Times New Roman" w:hAnsi="Times New Roman" w:cs="Times New Roman"/>
          <w:i/>
          <w:sz w:val="24"/>
          <w:szCs w:val="24"/>
        </w:rPr>
        <w:t>Report on the Monitoring Activities Carried out by the Danish Parliamentary Ombudsman</w:t>
      </w:r>
      <w:r w:rsidRPr="002D787B">
        <w:rPr>
          <w:rFonts w:ascii="Times New Roman" w:hAnsi="Times New Roman" w:cs="Times New Roman"/>
          <w:sz w:val="24"/>
          <w:szCs w:val="24"/>
        </w:rPr>
        <w:t>, Dok.No. 12/02887-114/</w:t>
      </w:r>
      <w:r>
        <w:rPr>
          <w:rFonts w:ascii="Times New Roman" w:hAnsi="Times New Roman" w:cs="Times New Roman"/>
          <w:sz w:val="24"/>
          <w:szCs w:val="24"/>
        </w:rPr>
        <w:t>, Copenhagen</w:t>
      </w:r>
    </w:p>
    <w:p w14:paraId="4CEC2E07"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Danish Parliamentary Ombudsman (2016) </w:t>
      </w:r>
      <w:r w:rsidRPr="002D787B">
        <w:rPr>
          <w:rFonts w:ascii="Times New Roman" w:hAnsi="Times New Roman" w:cs="Times New Roman"/>
          <w:i/>
          <w:sz w:val="24"/>
          <w:szCs w:val="24"/>
        </w:rPr>
        <w:t>Danish Parliamentary Ombudsman, Monitoring Activities 2016, Extracts from the Annual Report of the Danish Parliamentary Ombudsman</w:t>
      </w:r>
      <w:r w:rsidRPr="002D787B">
        <w:rPr>
          <w:rFonts w:ascii="Times New Roman" w:hAnsi="Times New Roman" w:cs="Times New Roman"/>
          <w:sz w:val="24"/>
          <w:szCs w:val="24"/>
        </w:rPr>
        <w:t>, Copenhagen</w:t>
      </w:r>
    </w:p>
    <w:p w14:paraId="1BAEA47A"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Ervik H (2017), </w:t>
      </w:r>
      <w:r w:rsidRPr="002D787B">
        <w:rPr>
          <w:rFonts w:ascii="Times New Roman" w:hAnsi="Times New Roman" w:cs="Times New Roman"/>
          <w:i/>
          <w:sz w:val="24"/>
          <w:szCs w:val="24"/>
        </w:rPr>
        <w:t>Presentation by Helga Ervik, Roundtable Discussion, Optional Protocol to the UN Convention Against Torture (OPCAT), Irish Human Rights and Equality Commission</w:t>
      </w:r>
      <w:r w:rsidRPr="002D787B">
        <w:rPr>
          <w:rFonts w:ascii="Times New Roman" w:hAnsi="Times New Roman" w:cs="Times New Roman"/>
          <w:sz w:val="24"/>
          <w:szCs w:val="24"/>
        </w:rPr>
        <w:t>, Dublin, 2 October 2017</w:t>
      </w:r>
      <w:r>
        <w:rPr>
          <w:rFonts w:ascii="Times New Roman" w:hAnsi="Times New Roman" w:cs="Times New Roman"/>
          <w:sz w:val="24"/>
          <w:szCs w:val="24"/>
        </w:rPr>
        <w:t>, Dublin</w:t>
      </w:r>
    </w:p>
    <w:p w14:paraId="15E89F4F"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Evans, M and Haenni-Dale, C (2004), ‘Preventing Torture? The Development of the Optional Protocol to the UN Convention against Torture’, 4 HRLL 19</w:t>
      </w:r>
    </w:p>
    <w:p w14:paraId="18345C03"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lastRenderedPageBreak/>
        <w:t xml:space="preserve">Evans, M and Morgan, R (1998), </w:t>
      </w:r>
      <w:r w:rsidRPr="002D787B">
        <w:rPr>
          <w:rFonts w:ascii="Times New Roman" w:hAnsi="Times New Roman" w:cs="Times New Roman"/>
          <w:i/>
          <w:sz w:val="24"/>
          <w:szCs w:val="24"/>
        </w:rPr>
        <w:t>Preventing Torture: A Study of the European Convention for the Prevention of Torture and Inhuman or Degrading Treatment of Punishment</w:t>
      </w:r>
      <w:r w:rsidRPr="002D787B">
        <w:rPr>
          <w:rFonts w:ascii="Times New Roman" w:hAnsi="Times New Roman" w:cs="Times New Roman"/>
          <w:sz w:val="24"/>
          <w:szCs w:val="24"/>
        </w:rPr>
        <w:t>, Oxford University Press</w:t>
      </w:r>
      <w:r>
        <w:rPr>
          <w:rFonts w:ascii="Times New Roman" w:hAnsi="Times New Roman" w:cs="Times New Roman"/>
          <w:sz w:val="24"/>
          <w:szCs w:val="24"/>
        </w:rPr>
        <w:t>, Oxford</w:t>
      </w:r>
    </w:p>
    <w:p w14:paraId="2BBAAF6A"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Finnish NPM (2017), </w:t>
      </w:r>
      <w:r w:rsidRPr="002D787B">
        <w:rPr>
          <w:rFonts w:ascii="Times New Roman" w:hAnsi="Times New Roman" w:cs="Times New Roman"/>
          <w:i/>
          <w:sz w:val="24"/>
          <w:szCs w:val="24"/>
        </w:rPr>
        <w:t>The Finnish National Preventive Mechanism against Torture and Ill-Treatment Annual Report</w:t>
      </w:r>
      <w:r w:rsidRPr="002D787B">
        <w:rPr>
          <w:rFonts w:ascii="Times New Roman" w:hAnsi="Times New Roman" w:cs="Times New Roman"/>
          <w:sz w:val="24"/>
          <w:szCs w:val="24"/>
        </w:rPr>
        <w:t>, Helsinki</w:t>
      </w:r>
    </w:p>
    <w:p w14:paraId="33E8448F" w14:textId="77777777" w:rsidR="00083372" w:rsidRPr="00A411E4"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Germany (2016): </w:t>
      </w:r>
      <w:r w:rsidRPr="004E77B6">
        <w:rPr>
          <w:rFonts w:ascii="Times New Roman" w:hAnsi="Times New Roman" w:cs="Times New Roman"/>
          <w:i/>
          <w:sz w:val="24"/>
          <w:szCs w:val="24"/>
        </w:rPr>
        <w:t>Annual Report 2016 of the Federal Agency and of the Joint Commission, 1 January 2016 – 31 December 2016</w:t>
      </w:r>
      <w:r>
        <w:rPr>
          <w:rFonts w:ascii="Times New Roman" w:hAnsi="Times New Roman" w:cs="Times New Roman"/>
          <w:sz w:val="24"/>
          <w:szCs w:val="24"/>
        </w:rPr>
        <w:t>, Weisbaden</w:t>
      </w:r>
    </w:p>
    <w:p w14:paraId="709AEDA0"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Haenni, C (1997), </w:t>
      </w:r>
      <w:r w:rsidRPr="002D787B">
        <w:rPr>
          <w:rFonts w:ascii="Times New Roman" w:hAnsi="Times New Roman" w:cs="Times New Roman"/>
          <w:i/>
          <w:sz w:val="24"/>
          <w:szCs w:val="24"/>
        </w:rPr>
        <w:t>20 Ans Consacrés à la realisation d’une idée</w:t>
      </w:r>
      <w:r w:rsidRPr="002D787B">
        <w:rPr>
          <w:rFonts w:ascii="Times New Roman" w:hAnsi="Times New Roman" w:cs="Times New Roman"/>
          <w:sz w:val="24"/>
          <w:szCs w:val="24"/>
        </w:rPr>
        <w:t>, Association for the Prevention of Torture, Geneva</w:t>
      </w:r>
    </w:p>
    <w:p w14:paraId="029AFE80" w14:textId="77777777" w:rsidR="00083372" w:rsidRDefault="00083372" w:rsidP="00083372">
      <w:pPr>
        <w:jc w:val="both"/>
        <w:rPr>
          <w:rFonts w:ascii="Times New Roman" w:hAnsi="Times New Roman" w:cs="Times New Roman"/>
          <w:sz w:val="24"/>
          <w:szCs w:val="24"/>
        </w:rPr>
      </w:pPr>
      <w:r>
        <w:rPr>
          <w:rFonts w:ascii="Times New Roman" w:hAnsi="Times New Roman" w:cs="Times New Roman"/>
          <w:sz w:val="24"/>
          <w:szCs w:val="24"/>
        </w:rPr>
        <w:t xml:space="preserve">Her Majesty’s Inspectorate of Prisons (2018), </w:t>
      </w:r>
      <w:r w:rsidRPr="006F5A89">
        <w:rPr>
          <w:rFonts w:ascii="Times New Roman" w:hAnsi="Times New Roman" w:cs="Times New Roman"/>
          <w:i/>
          <w:sz w:val="24"/>
          <w:szCs w:val="24"/>
        </w:rPr>
        <w:t>Report of an unannounced Inspection of HMP Wandsworth by HM Chief Inspector of Prisons, 26 February – 9 March 2018</w:t>
      </w:r>
      <w:r>
        <w:rPr>
          <w:rFonts w:ascii="Times New Roman" w:hAnsi="Times New Roman" w:cs="Times New Roman"/>
          <w:sz w:val="24"/>
          <w:szCs w:val="24"/>
        </w:rPr>
        <w:t>, London</w:t>
      </w:r>
    </w:p>
    <w:p w14:paraId="0F223338" w14:textId="77777777" w:rsidR="00083372" w:rsidRPr="00A411E4"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Lithuania’s Seimas Ombudsman Office (2016), </w:t>
      </w:r>
      <w:r w:rsidRPr="002D787B">
        <w:rPr>
          <w:rFonts w:ascii="Times New Roman" w:hAnsi="Times New Roman" w:cs="Times New Roman"/>
          <w:i/>
          <w:sz w:val="24"/>
          <w:szCs w:val="24"/>
        </w:rPr>
        <w:t>2014-2015 Report on National Prevention of Torture</w:t>
      </w:r>
      <w:r>
        <w:rPr>
          <w:rFonts w:ascii="Times New Roman" w:hAnsi="Times New Roman" w:cs="Times New Roman"/>
          <w:sz w:val="24"/>
          <w:szCs w:val="24"/>
        </w:rPr>
        <w:t>, Vilnius</w:t>
      </w:r>
    </w:p>
    <w:p w14:paraId="2E13A019" w14:textId="77777777" w:rsidR="00083372" w:rsidRDefault="00083372" w:rsidP="00083372">
      <w:pPr>
        <w:jc w:val="both"/>
        <w:rPr>
          <w:rFonts w:ascii="Times New Roman" w:hAnsi="Times New Roman" w:cs="Times New Roman"/>
          <w:sz w:val="24"/>
          <w:szCs w:val="24"/>
        </w:rPr>
      </w:pPr>
      <w:r>
        <w:rPr>
          <w:rFonts w:ascii="Times New Roman" w:hAnsi="Times New Roman" w:cs="Times New Roman"/>
          <w:sz w:val="24"/>
          <w:szCs w:val="24"/>
        </w:rPr>
        <w:t>Minister for</w:t>
      </w:r>
      <w:r w:rsidRPr="006C3D81">
        <w:rPr>
          <w:rFonts w:ascii="Times New Roman" w:hAnsi="Times New Roman" w:cs="Times New Roman"/>
          <w:sz w:val="24"/>
          <w:szCs w:val="24"/>
        </w:rPr>
        <w:t xml:space="preserve"> Foreign Affairs (2018) </w:t>
      </w:r>
      <w:r w:rsidRPr="006C3D81">
        <w:rPr>
          <w:rFonts w:ascii="Times New Roman" w:hAnsi="Times New Roman" w:cs="Times New Roman"/>
          <w:i/>
          <w:sz w:val="24"/>
          <w:szCs w:val="24"/>
        </w:rPr>
        <w:t xml:space="preserve">The Turnbull Government today announces another significant victory for human rights in Australia, ratifying the Optional Protocol to the Convention against Torture and Other Cruel, Inhuman or Degrading Treatment or Punishment (OPCAT) </w:t>
      </w:r>
      <w:r w:rsidRPr="006C3D81">
        <w:rPr>
          <w:rFonts w:ascii="Times New Roman" w:hAnsi="Times New Roman" w:cs="Times New Roman"/>
          <w:sz w:val="24"/>
          <w:szCs w:val="24"/>
        </w:rPr>
        <w:t xml:space="preserve">[Press release]. 15 December. Available at: </w:t>
      </w:r>
      <w:hyperlink r:id="rId27" w:history="1">
        <w:r w:rsidRPr="006C3D81">
          <w:rPr>
            <w:rStyle w:val="Hyperlink"/>
            <w:rFonts w:ascii="Times New Roman" w:hAnsi="Times New Roman" w:cs="Times New Roman"/>
            <w:sz w:val="24"/>
            <w:szCs w:val="24"/>
          </w:rPr>
          <w:t>https://foreignminister.gov.au/releases/Pages/2017/jb_mr_171215b.aspx</w:t>
        </w:r>
      </w:hyperlink>
      <w:r w:rsidRPr="006C3D81">
        <w:rPr>
          <w:rFonts w:ascii="Times New Roman" w:hAnsi="Times New Roman" w:cs="Times New Roman"/>
          <w:sz w:val="24"/>
          <w:szCs w:val="24"/>
        </w:rPr>
        <w:t xml:space="preserve"> (Accessed: 21 January 2019)</w:t>
      </w:r>
    </w:p>
    <w:p w14:paraId="41F1A4C4"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Murray, Steinerte, Evans, Hallo de Wolf (2011), </w:t>
      </w:r>
      <w:r w:rsidRPr="002D787B">
        <w:rPr>
          <w:rFonts w:ascii="Times New Roman" w:hAnsi="Times New Roman" w:cs="Times New Roman"/>
          <w:i/>
          <w:sz w:val="24"/>
          <w:szCs w:val="24"/>
        </w:rPr>
        <w:t>The Optional Protocol to the UN Convention Against Torture</w:t>
      </w:r>
      <w:r w:rsidRPr="002D787B">
        <w:rPr>
          <w:rFonts w:ascii="Times New Roman" w:hAnsi="Times New Roman" w:cs="Times New Roman"/>
          <w:sz w:val="24"/>
          <w:szCs w:val="24"/>
        </w:rPr>
        <w:t>, Oxford University Press</w:t>
      </w:r>
      <w:r>
        <w:rPr>
          <w:rFonts w:ascii="Times New Roman" w:hAnsi="Times New Roman" w:cs="Times New Roman"/>
          <w:sz w:val="24"/>
          <w:szCs w:val="24"/>
        </w:rPr>
        <w:t>, Oxford</w:t>
      </w:r>
    </w:p>
    <w:p w14:paraId="6E4ACA31"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Norwegian Parliamentary Ombudsman (2016), </w:t>
      </w:r>
      <w:r w:rsidRPr="002D787B">
        <w:rPr>
          <w:rFonts w:ascii="Times New Roman" w:hAnsi="Times New Roman" w:cs="Times New Roman"/>
          <w:i/>
          <w:sz w:val="24"/>
          <w:szCs w:val="24"/>
        </w:rPr>
        <w:t>Norwegian Parliamentary Ombudsman, Annual Report 2016, Document 4:1 (2016-2017), National Preventive Mechanism against Torture and other Cruel, Inhuman or Degrading Treatment or Punishment</w:t>
      </w:r>
      <w:r w:rsidRPr="002D787B">
        <w:rPr>
          <w:rFonts w:ascii="Times New Roman" w:hAnsi="Times New Roman" w:cs="Times New Roman"/>
          <w:sz w:val="24"/>
          <w:szCs w:val="24"/>
        </w:rPr>
        <w:t>, 30 March 2017</w:t>
      </w:r>
      <w:r>
        <w:rPr>
          <w:rFonts w:ascii="Times New Roman" w:hAnsi="Times New Roman" w:cs="Times New Roman"/>
          <w:sz w:val="24"/>
          <w:szCs w:val="24"/>
        </w:rPr>
        <w:t>, Oslo</w:t>
      </w:r>
    </w:p>
    <w:p w14:paraId="463BB595"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Nowak, M and McArthur, E (2008), </w:t>
      </w:r>
      <w:r w:rsidRPr="002D787B">
        <w:rPr>
          <w:rFonts w:ascii="Times New Roman" w:hAnsi="Times New Roman" w:cs="Times New Roman"/>
          <w:i/>
          <w:sz w:val="24"/>
          <w:szCs w:val="24"/>
        </w:rPr>
        <w:t>The United National Convention against Torture: A Commentary</w:t>
      </w:r>
      <w:r w:rsidRPr="002D787B">
        <w:rPr>
          <w:rFonts w:ascii="Times New Roman" w:hAnsi="Times New Roman" w:cs="Times New Roman"/>
          <w:sz w:val="24"/>
          <w:szCs w:val="24"/>
        </w:rPr>
        <w:t xml:space="preserve"> Oxford University Press</w:t>
      </w:r>
      <w:r>
        <w:rPr>
          <w:rFonts w:ascii="Times New Roman" w:hAnsi="Times New Roman" w:cs="Times New Roman"/>
          <w:sz w:val="24"/>
          <w:szCs w:val="24"/>
        </w:rPr>
        <w:t>, Oxford</w:t>
      </w:r>
    </w:p>
    <w:p w14:paraId="7BB1F1A9"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NPM of Serbia (2012), Protector of Citizens Ombudsman, </w:t>
      </w:r>
      <w:r w:rsidRPr="002D787B">
        <w:rPr>
          <w:rFonts w:ascii="Times New Roman" w:hAnsi="Times New Roman" w:cs="Times New Roman"/>
          <w:i/>
          <w:sz w:val="24"/>
          <w:szCs w:val="24"/>
        </w:rPr>
        <w:t>Setting up of National Preventive Mechanism in Serbia</w:t>
      </w:r>
      <w:r w:rsidRPr="002D787B">
        <w:rPr>
          <w:rFonts w:ascii="Times New Roman" w:hAnsi="Times New Roman" w:cs="Times New Roman"/>
          <w:sz w:val="24"/>
          <w:szCs w:val="24"/>
        </w:rPr>
        <w:t>, Belgarde</w:t>
      </w:r>
    </w:p>
    <w:p w14:paraId="7490ED1B" w14:textId="77777777" w:rsidR="00083372" w:rsidRDefault="00083372" w:rsidP="00083372">
      <w:pPr>
        <w:jc w:val="both"/>
        <w:rPr>
          <w:rFonts w:ascii="Times New Roman" w:eastAsia="Hiragino Sans W4" w:hAnsi="Times New Roman" w:cs="Times New Roman"/>
          <w:sz w:val="24"/>
          <w:szCs w:val="24"/>
        </w:rPr>
      </w:pPr>
      <w:r w:rsidRPr="000F0493">
        <w:rPr>
          <w:rFonts w:ascii="Times New Roman" w:eastAsia="Hiragino Sans W4" w:hAnsi="Times New Roman" w:cs="Times New Roman"/>
          <w:sz w:val="24"/>
          <w:szCs w:val="24"/>
        </w:rPr>
        <w:t xml:space="preserve">OHCHR, </w:t>
      </w:r>
      <w:r w:rsidRPr="0028361A">
        <w:rPr>
          <w:rFonts w:ascii="Times New Roman" w:eastAsia="Hiragino Sans W4" w:hAnsi="Times New Roman" w:cs="Times New Roman"/>
          <w:i/>
          <w:sz w:val="24"/>
          <w:szCs w:val="24"/>
        </w:rPr>
        <w:t>Preventing Torture. The Role of National Preventive Mechanisms, A Practical Guide</w:t>
      </w:r>
      <w:r w:rsidRPr="000F0493">
        <w:rPr>
          <w:rFonts w:ascii="Times New Roman" w:eastAsia="Hiragino Sans W4" w:hAnsi="Times New Roman" w:cs="Times New Roman"/>
          <w:sz w:val="24"/>
          <w:szCs w:val="24"/>
        </w:rPr>
        <w:t>, Professional Training Series No.21, OHCHR, New York and Geneva, 2018</w:t>
      </w:r>
    </w:p>
    <w:p w14:paraId="76E529CE" w14:textId="77777777" w:rsidR="00083372" w:rsidRDefault="00083372" w:rsidP="00083372">
      <w:pPr>
        <w:jc w:val="both"/>
        <w:rPr>
          <w:rFonts w:ascii="Times New Roman" w:hAnsi="Times New Roman" w:cs="Times New Roman"/>
          <w:sz w:val="24"/>
          <w:szCs w:val="24"/>
        </w:rPr>
      </w:pPr>
      <w:r>
        <w:rPr>
          <w:rFonts w:ascii="Times New Roman" w:eastAsia="Hiragino Sans W4" w:hAnsi="Times New Roman" w:cs="Times New Roman"/>
          <w:sz w:val="24"/>
          <w:szCs w:val="24"/>
        </w:rPr>
        <w:t xml:space="preserve">Office of the High Commissioner for Human Rights, </w:t>
      </w:r>
      <w:hyperlink r:id="rId28" w:history="1">
        <w:r w:rsidRPr="00A93333">
          <w:rPr>
            <w:rStyle w:val="Hyperlink"/>
            <w:lang w:val="en-US"/>
          </w:rPr>
          <w:t>tbinternet.ohchr.org/_layouts/treatybodyexternal/Download.aspx?symbolno=CAT%2fC%2f63%2f4&amp;Lang=en</w:t>
        </w:r>
      </w:hyperlink>
      <w:r>
        <w:rPr>
          <w:rFonts w:ascii="Times New Roman" w:eastAsia="Hiragino Sans W4" w:hAnsi="Times New Roman" w:cs="Times New Roman"/>
          <w:sz w:val="24"/>
          <w:szCs w:val="24"/>
        </w:rPr>
        <w:t xml:space="preserve"> [accessed 02.08.2018]</w:t>
      </w:r>
    </w:p>
    <w:p w14:paraId="5081AD8F" w14:textId="77777777" w:rsidR="00083372" w:rsidRDefault="00083372" w:rsidP="00083372">
      <w:pPr>
        <w:jc w:val="both"/>
        <w:rPr>
          <w:rFonts w:ascii="Times New Roman" w:hAnsi="Times New Roman" w:cs="Times New Roman"/>
          <w:sz w:val="24"/>
          <w:szCs w:val="24"/>
        </w:rPr>
      </w:pPr>
      <w:r>
        <w:rPr>
          <w:rFonts w:ascii="Times New Roman" w:hAnsi="Times New Roman" w:cs="Times New Roman"/>
          <w:sz w:val="24"/>
          <w:szCs w:val="24"/>
        </w:rPr>
        <w:t xml:space="preserve">Oxford English Dictionary [online], </w:t>
      </w:r>
      <w:hyperlink r:id="rId29" w:history="1">
        <w:r w:rsidRPr="00B62EBC">
          <w:rPr>
            <w:rStyle w:val="Hyperlink"/>
            <w:rFonts w:ascii="Times New Roman" w:hAnsi="Times New Roman" w:cs="Times New Roman"/>
            <w:sz w:val="24"/>
            <w:szCs w:val="24"/>
          </w:rPr>
          <w:t>www.oed.com</w:t>
        </w:r>
      </w:hyperlink>
      <w:r>
        <w:rPr>
          <w:rFonts w:ascii="Times New Roman" w:hAnsi="Times New Roman" w:cs="Times New Roman"/>
          <w:sz w:val="24"/>
          <w:szCs w:val="24"/>
        </w:rPr>
        <w:t xml:space="preserve"> [accessed 02.08.2018]</w:t>
      </w:r>
    </w:p>
    <w:p w14:paraId="19EC2C2E"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Polish Commissioner for Human Rights (2017), </w:t>
      </w:r>
      <w:r w:rsidRPr="002D787B">
        <w:rPr>
          <w:rFonts w:ascii="Times New Roman" w:hAnsi="Times New Roman" w:cs="Times New Roman"/>
          <w:i/>
          <w:sz w:val="24"/>
          <w:szCs w:val="24"/>
        </w:rPr>
        <w:t>Report of the Polish Commissioner for Human Rights on the Activities of the National Mechanism for the Prevention of Torture in 2016,</w:t>
      </w:r>
      <w:r w:rsidRPr="002D787B">
        <w:rPr>
          <w:rFonts w:ascii="Times New Roman" w:hAnsi="Times New Roman" w:cs="Times New Roman"/>
          <w:sz w:val="24"/>
          <w:szCs w:val="24"/>
        </w:rPr>
        <w:t xml:space="preserve"> Warsaw</w:t>
      </w:r>
    </w:p>
    <w:p w14:paraId="1467A366"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lastRenderedPageBreak/>
        <w:t xml:space="preserve">Protector of Human Rights and Freedoms of Montenegro (2017), </w:t>
      </w:r>
      <w:r w:rsidRPr="002D787B">
        <w:rPr>
          <w:rFonts w:ascii="Times New Roman" w:hAnsi="Times New Roman" w:cs="Times New Roman"/>
          <w:i/>
          <w:sz w:val="24"/>
          <w:szCs w:val="24"/>
        </w:rPr>
        <w:t>National Preventive Mechanism Report for 2016</w:t>
      </w:r>
      <w:r w:rsidRPr="002D787B">
        <w:rPr>
          <w:rFonts w:ascii="Times New Roman" w:hAnsi="Times New Roman" w:cs="Times New Roman"/>
          <w:sz w:val="24"/>
          <w:szCs w:val="24"/>
        </w:rPr>
        <w:t>, Podgorica</w:t>
      </w:r>
    </w:p>
    <w:p w14:paraId="66F44CDB"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Republic of Croatia Ombudsman (2016), </w:t>
      </w:r>
      <w:r w:rsidRPr="002D787B">
        <w:rPr>
          <w:rFonts w:ascii="Times New Roman" w:hAnsi="Times New Roman" w:cs="Times New Roman"/>
          <w:i/>
          <w:sz w:val="24"/>
          <w:szCs w:val="24"/>
        </w:rPr>
        <w:t>Republic of Croatia Ombudsman, Report On The Performance Of Activities Of The National Preventive Mechanism For 2016</w:t>
      </w:r>
      <w:r w:rsidRPr="002D787B">
        <w:rPr>
          <w:rFonts w:ascii="Times New Roman" w:hAnsi="Times New Roman" w:cs="Times New Roman"/>
          <w:sz w:val="24"/>
          <w:szCs w:val="24"/>
        </w:rPr>
        <w:t>, Zagreb</w:t>
      </w:r>
    </w:p>
    <w:p w14:paraId="45354E5E" w14:textId="77777777" w:rsidR="00083372" w:rsidRPr="00A411E4"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Slovenian NPM (2017), </w:t>
      </w:r>
      <w:r w:rsidRPr="002D787B">
        <w:rPr>
          <w:rFonts w:ascii="Times New Roman" w:hAnsi="Times New Roman" w:cs="Times New Roman"/>
          <w:i/>
          <w:sz w:val="24"/>
          <w:szCs w:val="24"/>
        </w:rPr>
        <w:t>Report of the Human Rights Ombudsman of the Republic of Slovenia on the Implementation of tasks of the National Preventive Mechanism under the Optional Protocol to the UN Convention Against Torture for 2016</w:t>
      </w:r>
      <w:r>
        <w:rPr>
          <w:rFonts w:ascii="Times New Roman" w:hAnsi="Times New Roman" w:cs="Times New Roman"/>
          <w:sz w:val="24"/>
          <w:szCs w:val="24"/>
        </w:rPr>
        <w:t xml:space="preserve">, </w:t>
      </w:r>
      <w:r w:rsidRPr="00A411E4">
        <w:rPr>
          <w:rFonts w:ascii="Times New Roman" w:hAnsi="Times New Roman" w:cs="Times New Roman"/>
          <w:sz w:val="24"/>
          <w:szCs w:val="24"/>
        </w:rPr>
        <w:t>Ljubljana</w:t>
      </w:r>
    </w:p>
    <w:p w14:paraId="290C39B3"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Swedish Parliamentary Ombudsman (2017), </w:t>
      </w:r>
      <w:r w:rsidRPr="002D787B">
        <w:rPr>
          <w:rFonts w:ascii="Times New Roman" w:hAnsi="Times New Roman" w:cs="Times New Roman"/>
          <w:i/>
          <w:sz w:val="24"/>
          <w:szCs w:val="24"/>
        </w:rPr>
        <w:t>Swedish Parliamentary Ombudsman, Annual report Summary In English, 2016/17</w:t>
      </w:r>
      <w:r w:rsidRPr="002D787B">
        <w:rPr>
          <w:rFonts w:ascii="Times New Roman" w:hAnsi="Times New Roman" w:cs="Times New Roman"/>
          <w:sz w:val="24"/>
          <w:szCs w:val="24"/>
        </w:rPr>
        <w:t>, Stockholm</w:t>
      </w:r>
    </w:p>
    <w:p w14:paraId="550E61CA" w14:textId="77777777" w:rsidR="00083372" w:rsidRDefault="00083372" w:rsidP="00083372">
      <w:pPr>
        <w:jc w:val="both"/>
        <w:rPr>
          <w:rFonts w:ascii="Times New Roman" w:hAnsi="Times New Roman" w:cs="Times New Roman"/>
          <w:sz w:val="24"/>
          <w:szCs w:val="24"/>
        </w:rPr>
      </w:pPr>
      <w:r>
        <w:rPr>
          <w:rFonts w:ascii="Times New Roman" w:hAnsi="Times New Roman" w:cs="Times New Roman"/>
          <w:sz w:val="24"/>
          <w:szCs w:val="24"/>
        </w:rPr>
        <w:t xml:space="preserve">SPT, </w:t>
      </w:r>
      <w:hyperlink r:id="rId30" w:history="1">
        <w:r w:rsidRPr="00D86554">
          <w:rPr>
            <w:rStyle w:val="Hyperlink"/>
            <w:rFonts w:ascii="Calisto MT" w:hAnsi="Calisto MT"/>
          </w:rPr>
          <w:t>https://www.ohchr.org/EN/HRBodies/OPCAT/Pages/OPCATIndex.aspx</w:t>
        </w:r>
      </w:hyperlink>
      <w:r>
        <w:rPr>
          <w:rStyle w:val="Hyperlink"/>
          <w:rFonts w:ascii="Calisto MT" w:hAnsi="Calisto MT"/>
        </w:rPr>
        <w:t xml:space="preserve"> </w:t>
      </w:r>
      <w:r>
        <w:rPr>
          <w:rFonts w:ascii="Times New Roman" w:hAnsi="Times New Roman" w:cs="Times New Roman"/>
          <w:sz w:val="24"/>
          <w:szCs w:val="24"/>
        </w:rPr>
        <w:t>[accessed 02.08.2018]</w:t>
      </w:r>
    </w:p>
    <w:p w14:paraId="23CA7374"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 xml:space="preserve">SPT (2008), </w:t>
      </w:r>
      <w:r w:rsidRPr="00F72A7E">
        <w:rPr>
          <w:rFonts w:ascii="Times New Roman" w:hAnsi="Times New Roman" w:cs="Times New Roman"/>
          <w:i/>
          <w:sz w:val="24"/>
          <w:szCs w:val="24"/>
        </w:rPr>
        <w:t>First Annual Report Of The Subcommittee On Prevention Of Torture And Other Cruel, Inhuman Or Degrading Treatment Or Punishment (February 2007 to March 2008)</w:t>
      </w:r>
      <w:r w:rsidRPr="00F72A7E">
        <w:rPr>
          <w:rFonts w:ascii="Times New Roman" w:hAnsi="Times New Roman" w:cs="Times New Roman"/>
          <w:sz w:val="24"/>
          <w:szCs w:val="24"/>
        </w:rPr>
        <w:t>, CAT/C/4/2, 14 May 2008, Geneva</w:t>
      </w:r>
    </w:p>
    <w:p w14:paraId="28BBE04A" w14:textId="77777777" w:rsidR="00083372"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SPT (2009), </w:t>
      </w:r>
      <w:r w:rsidRPr="002D787B">
        <w:rPr>
          <w:rFonts w:ascii="Times New Roman" w:hAnsi="Times New Roman" w:cs="Times New Roman"/>
          <w:i/>
          <w:sz w:val="24"/>
          <w:szCs w:val="24"/>
        </w:rPr>
        <w:t>Second Annual Report Of The Subcommittee On Prevention Of Torture And Other Cruel, Inhuman Or Degrading Treatment Or Punishment (February 2008 to March 2009)</w:t>
      </w:r>
      <w:r w:rsidRPr="002D787B">
        <w:rPr>
          <w:rFonts w:ascii="Times New Roman" w:hAnsi="Times New Roman" w:cs="Times New Roman"/>
          <w:sz w:val="24"/>
          <w:szCs w:val="24"/>
        </w:rPr>
        <w:t>, CAT/C/42/2, 7 April 2009</w:t>
      </w:r>
      <w:r>
        <w:rPr>
          <w:rFonts w:ascii="Times New Roman" w:hAnsi="Times New Roman" w:cs="Times New Roman"/>
          <w:sz w:val="24"/>
          <w:szCs w:val="24"/>
        </w:rPr>
        <w:t>, Geneva</w:t>
      </w:r>
    </w:p>
    <w:p w14:paraId="4A9844BC"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SPT (2010) </w:t>
      </w:r>
      <w:r w:rsidRPr="002D787B">
        <w:rPr>
          <w:rFonts w:ascii="Times New Roman" w:hAnsi="Times New Roman" w:cs="Times New Roman"/>
          <w:i/>
          <w:sz w:val="24"/>
          <w:szCs w:val="24"/>
        </w:rPr>
        <w:t>Guidelines on national preventive mechanisms</w:t>
      </w:r>
      <w:r w:rsidRPr="002D787B">
        <w:rPr>
          <w:rFonts w:ascii="Times New Roman" w:hAnsi="Times New Roman" w:cs="Times New Roman"/>
          <w:sz w:val="24"/>
          <w:szCs w:val="24"/>
        </w:rPr>
        <w:t>, CAT/OP/12/5, 9 December 2010</w:t>
      </w:r>
      <w:r>
        <w:rPr>
          <w:rFonts w:ascii="Times New Roman" w:hAnsi="Times New Roman" w:cs="Times New Roman"/>
          <w:sz w:val="24"/>
          <w:szCs w:val="24"/>
        </w:rPr>
        <w:t>, Geneva</w:t>
      </w:r>
    </w:p>
    <w:p w14:paraId="4E91AF92"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SPT (2010</w:t>
      </w:r>
      <w:r>
        <w:rPr>
          <w:rFonts w:ascii="Times New Roman" w:hAnsi="Times New Roman" w:cs="Times New Roman"/>
          <w:sz w:val="24"/>
          <w:szCs w:val="24"/>
        </w:rPr>
        <w:t>a</w:t>
      </w:r>
      <w:r w:rsidRPr="00F72A7E">
        <w:rPr>
          <w:rFonts w:ascii="Times New Roman" w:hAnsi="Times New Roman" w:cs="Times New Roman"/>
          <w:sz w:val="24"/>
          <w:szCs w:val="24"/>
        </w:rPr>
        <w:t xml:space="preserve">), </w:t>
      </w:r>
      <w:r w:rsidRPr="00F72A7E">
        <w:rPr>
          <w:rFonts w:ascii="Times New Roman" w:hAnsi="Times New Roman" w:cs="Times New Roman"/>
          <w:i/>
          <w:sz w:val="24"/>
          <w:szCs w:val="24"/>
        </w:rPr>
        <w:t>Third annual report of the Subcommittee on Prevention of Torture and Other Cruel, Inhuman or Degrading Treatment or Punishment (April 2009 to March 2010)</w:t>
      </w:r>
      <w:r w:rsidRPr="00F72A7E">
        <w:rPr>
          <w:rFonts w:ascii="Times New Roman" w:hAnsi="Times New Roman" w:cs="Times New Roman"/>
          <w:sz w:val="24"/>
          <w:szCs w:val="24"/>
        </w:rPr>
        <w:t>, CAT/C/44/2, 25 March 2010, Geneva</w:t>
      </w:r>
    </w:p>
    <w:p w14:paraId="4609549F"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 xml:space="preserve">SPT (2011), </w:t>
      </w:r>
      <w:r w:rsidRPr="00F72A7E">
        <w:rPr>
          <w:rFonts w:ascii="Times New Roman" w:hAnsi="Times New Roman" w:cs="Times New Roman"/>
          <w:i/>
          <w:sz w:val="24"/>
          <w:szCs w:val="24"/>
        </w:rPr>
        <w:t>Fourth annual report of the Subcommittee on Prevention of Torture and Other Cruel, Inhuman or Degrading Treatment or Punishment (April-December 2010)</w:t>
      </w:r>
      <w:r w:rsidRPr="00F72A7E">
        <w:rPr>
          <w:rFonts w:ascii="Times New Roman" w:hAnsi="Times New Roman" w:cs="Times New Roman"/>
          <w:sz w:val="24"/>
          <w:szCs w:val="24"/>
        </w:rPr>
        <w:t>, CAT/C/46/2, 3 February 2011, Geneva</w:t>
      </w:r>
    </w:p>
    <w:p w14:paraId="6F0036C5"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 xml:space="preserve">SPT (2012), </w:t>
      </w:r>
      <w:r w:rsidRPr="00F72A7E">
        <w:rPr>
          <w:rFonts w:ascii="Times New Roman" w:hAnsi="Times New Roman" w:cs="Times New Roman"/>
          <w:i/>
          <w:sz w:val="24"/>
          <w:szCs w:val="24"/>
        </w:rPr>
        <w:t>Fifth annual report of the Subcommittee on Prevention of Torture and Other Cruel, Inhuman or Degrading Treatment or Punishment (January-December 2011)</w:t>
      </w:r>
      <w:r w:rsidRPr="00F72A7E">
        <w:rPr>
          <w:rFonts w:ascii="Times New Roman" w:hAnsi="Times New Roman" w:cs="Times New Roman"/>
          <w:sz w:val="24"/>
          <w:szCs w:val="24"/>
        </w:rPr>
        <w:t>, CAT/C/48/3, 19 March 2012, Geneva</w:t>
      </w:r>
    </w:p>
    <w:p w14:paraId="764209B1"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 xml:space="preserve">SPT (2013), </w:t>
      </w:r>
      <w:r w:rsidRPr="00F72A7E">
        <w:rPr>
          <w:rFonts w:ascii="Times New Roman" w:hAnsi="Times New Roman" w:cs="Times New Roman"/>
          <w:i/>
          <w:sz w:val="24"/>
          <w:szCs w:val="24"/>
        </w:rPr>
        <w:t>Sixth annual report of the Subcommittee on Prevention of Torture and Other Cruel, Inhuman or Degrading Treatment or Punishment</w:t>
      </w:r>
      <w:r w:rsidRPr="00F72A7E">
        <w:rPr>
          <w:rFonts w:ascii="Times New Roman" w:hAnsi="Times New Roman" w:cs="Times New Roman"/>
          <w:sz w:val="24"/>
          <w:szCs w:val="24"/>
        </w:rPr>
        <w:t xml:space="preserve"> CAT/C/50/2, 23 April 2013, Geneva</w:t>
      </w:r>
    </w:p>
    <w:p w14:paraId="5E7ABB51"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 xml:space="preserve">SPT (2014), </w:t>
      </w:r>
      <w:r w:rsidRPr="00F72A7E">
        <w:rPr>
          <w:rFonts w:ascii="Times New Roman" w:hAnsi="Times New Roman" w:cs="Times New Roman"/>
          <w:i/>
          <w:sz w:val="24"/>
          <w:szCs w:val="24"/>
        </w:rPr>
        <w:t>Seventh annual report of the Subcommittee on Prevention of Torture and Other Cruel, Inhuman or Degrading Treatment or Punishment</w:t>
      </w:r>
      <w:r w:rsidRPr="00F72A7E">
        <w:rPr>
          <w:rFonts w:ascii="Times New Roman" w:hAnsi="Times New Roman" w:cs="Times New Roman"/>
          <w:sz w:val="24"/>
          <w:szCs w:val="24"/>
        </w:rPr>
        <w:t xml:space="preserve"> CAT/C/52/2, 20 March 2014, Geneva</w:t>
      </w:r>
    </w:p>
    <w:p w14:paraId="2571018C"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 xml:space="preserve">SPT (2015), </w:t>
      </w:r>
      <w:r w:rsidRPr="00F72A7E">
        <w:rPr>
          <w:rFonts w:ascii="Times New Roman" w:hAnsi="Times New Roman" w:cs="Times New Roman"/>
          <w:i/>
          <w:sz w:val="24"/>
          <w:szCs w:val="24"/>
        </w:rPr>
        <w:t>Eighth annual report of the Subcommittee on Prevention of Torture and Other Cruel, Inhuman or Degrading Treatment or Punishment</w:t>
      </w:r>
      <w:r w:rsidRPr="00F72A7E">
        <w:rPr>
          <w:rFonts w:ascii="Times New Roman" w:hAnsi="Times New Roman" w:cs="Times New Roman"/>
          <w:sz w:val="24"/>
          <w:szCs w:val="24"/>
        </w:rPr>
        <w:t xml:space="preserve"> CAT/C/54/2, 26 March 2015, Geneva</w:t>
      </w:r>
    </w:p>
    <w:p w14:paraId="7B5519A5"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lastRenderedPageBreak/>
        <w:t xml:space="preserve">SPT (2016) </w:t>
      </w:r>
      <w:r w:rsidRPr="002D787B">
        <w:rPr>
          <w:rFonts w:ascii="Times New Roman" w:hAnsi="Times New Roman" w:cs="Times New Roman"/>
          <w:i/>
          <w:sz w:val="24"/>
          <w:szCs w:val="24"/>
        </w:rPr>
        <w:t>Analytical assessment tool for national preventive mechanisms</w:t>
      </w:r>
      <w:r w:rsidRPr="002D787B">
        <w:rPr>
          <w:rFonts w:ascii="Times New Roman" w:hAnsi="Times New Roman" w:cs="Times New Roman"/>
          <w:sz w:val="24"/>
          <w:szCs w:val="24"/>
        </w:rPr>
        <w:t>, CAT/OP/1/Rev.1, 25 January 2016</w:t>
      </w:r>
      <w:r>
        <w:rPr>
          <w:rFonts w:ascii="Times New Roman" w:hAnsi="Times New Roman" w:cs="Times New Roman"/>
          <w:sz w:val="24"/>
          <w:szCs w:val="24"/>
        </w:rPr>
        <w:t>, Geneva</w:t>
      </w:r>
    </w:p>
    <w:p w14:paraId="0AC5BB37"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SPT (2016</w:t>
      </w:r>
      <w:r>
        <w:rPr>
          <w:rFonts w:ascii="Times New Roman" w:hAnsi="Times New Roman" w:cs="Times New Roman"/>
          <w:sz w:val="24"/>
          <w:szCs w:val="24"/>
        </w:rPr>
        <w:t>a</w:t>
      </w:r>
      <w:r w:rsidRPr="00F72A7E">
        <w:rPr>
          <w:rFonts w:ascii="Times New Roman" w:hAnsi="Times New Roman" w:cs="Times New Roman"/>
          <w:sz w:val="24"/>
          <w:szCs w:val="24"/>
        </w:rPr>
        <w:t xml:space="preserve">), </w:t>
      </w:r>
      <w:r w:rsidRPr="00F72A7E">
        <w:rPr>
          <w:rFonts w:ascii="Times New Roman" w:hAnsi="Times New Roman" w:cs="Times New Roman"/>
          <w:i/>
          <w:sz w:val="24"/>
          <w:szCs w:val="24"/>
        </w:rPr>
        <w:t>Ninth annual report of the Subcommittee on Prevention of Torture and Other Cruel, Inhuman or Degrading Treatment or Punishment</w:t>
      </w:r>
      <w:r w:rsidRPr="00F72A7E">
        <w:rPr>
          <w:rFonts w:ascii="Times New Roman" w:hAnsi="Times New Roman" w:cs="Times New Roman"/>
          <w:sz w:val="24"/>
          <w:szCs w:val="24"/>
        </w:rPr>
        <w:t xml:space="preserve"> CAT/C/57/4, 22 March 2016, Geneva</w:t>
      </w:r>
    </w:p>
    <w:p w14:paraId="5EABF296" w14:textId="77777777" w:rsidR="00083372" w:rsidRPr="00F72A7E"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SPT (2017),</w:t>
      </w:r>
      <w:r w:rsidRPr="00F72A7E">
        <w:rPr>
          <w:rFonts w:ascii="Times New Roman" w:hAnsi="Times New Roman" w:cs="Times New Roman"/>
          <w:i/>
          <w:sz w:val="24"/>
          <w:szCs w:val="24"/>
        </w:rPr>
        <w:t xml:space="preserve"> Tenth annual report of the Subcommittee on Prevention of Torture and Other Cruel, Inhuman or Degrading Treatment or Punishment</w:t>
      </w:r>
      <w:r w:rsidRPr="00F72A7E">
        <w:rPr>
          <w:rFonts w:ascii="Times New Roman" w:hAnsi="Times New Roman" w:cs="Times New Roman"/>
          <w:sz w:val="24"/>
          <w:szCs w:val="24"/>
        </w:rPr>
        <w:t xml:space="preserve"> CAT/C/60/3, 3 April 2017, Geneva</w:t>
      </w:r>
    </w:p>
    <w:p w14:paraId="05865AE2" w14:textId="77777777" w:rsidR="00083372" w:rsidRDefault="00083372" w:rsidP="00083372">
      <w:pPr>
        <w:jc w:val="both"/>
        <w:rPr>
          <w:rFonts w:ascii="Times New Roman" w:hAnsi="Times New Roman" w:cs="Times New Roman"/>
          <w:sz w:val="24"/>
          <w:szCs w:val="24"/>
        </w:rPr>
      </w:pPr>
      <w:r w:rsidRPr="00F72A7E">
        <w:rPr>
          <w:rFonts w:ascii="Times New Roman" w:hAnsi="Times New Roman" w:cs="Times New Roman"/>
          <w:sz w:val="24"/>
          <w:szCs w:val="24"/>
        </w:rPr>
        <w:t xml:space="preserve">SPT (2018), </w:t>
      </w:r>
      <w:r w:rsidRPr="00F72A7E">
        <w:rPr>
          <w:rFonts w:ascii="Times New Roman" w:hAnsi="Times New Roman" w:cs="Times New Roman"/>
          <w:i/>
          <w:sz w:val="24"/>
          <w:szCs w:val="24"/>
        </w:rPr>
        <w:t>Eleventh annual report of the Subcommittee on Prevention of Torture and Other Cruel, Inhuman or Degrading Treatment or Punishment</w:t>
      </w:r>
      <w:r w:rsidRPr="00F72A7E">
        <w:rPr>
          <w:rFonts w:ascii="Times New Roman" w:hAnsi="Times New Roman" w:cs="Times New Roman"/>
          <w:sz w:val="24"/>
          <w:szCs w:val="24"/>
        </w:rPr>
        <w:t xml:space="preserve"> CAT/C/63/4, 26 March 2018, Geneva</w:t>
      </w:r>
    </w:p>
    <w:p w14:paraId="0E594348" w14:textId="77777777" w:rsidR="00083372" w:rsidRPr="002D787B" w:rsidRDefault="00083372" w:rsidP="00083372">
      <w:pPr>
        <w:jc w:val="both"/>
        <w:rPr>
          <w:rFonts w:ascii="Times New Roman" w:hAnsi="Times New Roman" w:cs="Times New Roman"/>
          <w:sz w:val="24"/>
          <w:szCs w:val="24"/>
        </w:rPr>
      </w:pPr>
      <w:r w:rsidRPr="002D787B" w:rsidDel="003D14AF">
        <w:rPr>
          <w:rFonts w:ascii="Times New Roman" w:hAnsi="Times New Roman" w:cs="Times New Roman"/>
          <w:sz w:val="24"/>
          <w:szCs w:val="24"/>
        </w:rPr>
        <w:t xml:space="preserve"> </w:t>
      </w:r>
      <w:r w:rsidRPr="002D787B">
        <w:rPr>
          <w:rFonts w:ascii="Times New Roman" w:hAnsi="Times New Roman" w:cs="Times New Roman"/>
          <w:sz w:val="24"/>
          <w:szCs w:val="24"/>
        </w:rPr>
        <w:t>‘The future direction of the Sub-committee on Prevention of Torture’ (2017), Notes of a seminar held at Cumberland Lodge, Windsor, UK on 14-16 March 2017, agreed by participants, 5 June 2017, notes on file with authors</w:t>
      </w:r>
    </w:p>
    <w:p w14:paraId="1176D6F5"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UK NPM (2017) </w:t>
      </w:r>
      <w:r w:rsidRPr="002D787B">
        <w:rPr>
          <w:rFonts w:ascii="Times New Roman" w:hAnsi="Times New Roman" w:cs="Times New Roman"/>
          <w:i/>
          <w:sz w:val="24"/>
          <w:szCs w:val="24"/>
        </w:rPr>
        <w:t>Monitoring Places of Detention. Eighth Annual Report of the United Kingdom’s National Preventive Mechanism, 1 April 2016 – 31 March 2017</w:t>
      </w:r>
      <w:r w:rsidRPr="002D787B">
        <w:rPr>
          <w:rFonts w:ascii="Times New Roman" w:hAnsi="Times New Roman" w:cs="Times New Roman"/>
          <w:sz w:val="24"/>
          <w:szCs w:val="24"/>
        </w:rPr>
        <w:t>, Cm9563</w:t>
      </w:r>
      <w:r>
        <w:rPr>
          <w:rFonts w:ascii="Times New Roman" w:hAnsi="Times New Roman" w:cs="Times New Roman"/>
          <w:sz w:val="24"/>
          <w:szCs w:val="24"/>
        </w:rPr>
        <w:t>, London</w:t>
      </w:r>
    </w:p>
    <w:p w14:paraId="17213884" w14:textId="77777777" w:rsidR="00083372" w:rsidRPr="002D787B" w:rsidRDefault="00083372" w:rsidP="00083372">
      <w:pPr>
        <w:jc w:val="both"/>
        <w:rPr>
          <w:rFonts w:ascii="Times New Roman" w:hAnsi="Times New Roman" w:cs="Times New Roman"/>
          <w:sz w:val="24"/>
          <w:szCs w:val="24"/>
        </w:rPr>
      </w:pPr>
      <w:r w:rsidRPr="002D787B">
        <w:rPr>
          <w:rFonts w:ascii="Times New Roman" w:hAnsi="Times New Roman" w:cs="Times New Roman"/>
          <w:sz w:val="24"/>
          <w:szCs w:val="24"/>
        </w:rPr>
        <w:t xml:space="preserve">de Vargas, F (1979) ‘History of a Campaign’ in International Commission of Jurists and the Swiss Committee against Torture, </w:t>
      </w:r>
      <w:r w:rsidRPr="002D787B">
        <w:rPr>
          <w:rFonts w:ascii="Times New Roman" w:hAnsi="Times New Roman" w:cs="Times New Roman"/>
          <w:i/>
          <w:sz w:val="24"/>
          <w:szCs w:val="24"/>
        </w:rPr>
        <w:t>Torture: How to Make the International Convention Effective</w:t>
      </w:r>
      <w:r w:rsidRPr="002D787B">
        <w:rPr>
          <w:rFonts w:ascii="Times New Roman" w:hAnsi="Times New Roman" w:cs="Times New Roman"/>
          <w:sz w:val="24"/>
          <w:szCs w:val="24"/>
        </w:rPr>
        <w:t>, ICJ/SCAT</w:t>
      </w:r>
      <w:r>
        <w:rPr>
          <w:rFonts w:ascii="Times New Roman" w:hAnsi="Times New Roman" w:cs="Times New Roman"/>
          <w:sz w:val="24"/>
          <w:szCs w:val="24"/>
        </w:rPr>
        <w:t>,</w:t>
      </w:r>
      <w:r w:rsidRPr="002D787B">
        <w:rPr>
          <w:rFonts w:ascii="Times New Roman" w:hAnsi="Times New Roman" w:cs="Times New Roman"/>
          <w:sz w:val="24"/>
          <w:szCs w:val="24"/>
        </w:rPr>
        <w:t xml:space="preserve"> Geneva, </w:t>
      </w:r>
    </w:p>
    <w:p w14:paraId="7081ECAD" w14:textId="77777777" w:rsidR="00083372" w:rsidRPr="002D787B" w:rsidRDefault="00083372" w:rsidP="00083372">
      <w:pPr>
        <w:jc w:val="both"/>
        <w:rPr>
          <w:rFonts w:ascii="Times New Roman" w:hAnsi="Times New Roman" w:cs="Times New Roman"/>
          <w:sz w:val="24"/>
          <w:szCs w:val="24"/>
        </w:rPr>
      </w:pPr>
    </w:p>
    <w:p w14:paraId="266B2583" w14:textId="77777777" w:rsidR="00F72C93" w:rsidRPr="00114918" w:rsidRDefault="00F72C93" w:rsidP="008F0D9B">
      <w:pPr>
        <w:spacing w:before="60" w:after="60" w:line="480" w:lineRule="auto"/>
        <w:jc w:val="both"/>
        <w:rPr>
          <w:rFonts w:ascii="Times New Roman" w:eastAsia="Hiragino Sans W4" w:hAnsi="Times New Roman" w:cs="Times New Roman"/>
          <w:sz w:val="24"/>
          <w:szCs w:val="24"/>
        </w:rPr>
      </w:pPr>
      <w:bookmarkStart w:id="1" w:name="_GoBack"/>
      <w:bookmarkEnd w:id="1"/>
    </w:p>
    <w:sectPr w:rsidR="00F72C93" w:rsidRPr="00114918" w:rsidSect="00F72C93">
      <w:pgSz w:w="16817" w:h="11901" w:orient="landscape"/>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5EE8" w14:textId="77777777" w:rsidR="00DE1AB2" w:rsidRDefault="00DE1AB2" w:rsidP="00404812">
      <w:pPr>
        <w:spacing w:after="0" w:line="240" w:lineRule="auto"/>
      </w:pPr>
      <w:r>
        <w:separator/>
      </w:r>
    </w:p>
  </w:endnote>
  <w:endnote w:type="continuationSeparator" w:id="0">
    <w:p w14:paraId="5490ABCD" w14:textId="77777777" w:rsidR="00DE1AB2" w:rsidRDefault="00DE1AB2" w:rsidP="0040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iragino Sans W4">
    <w:panose1 w:val="020B04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1DD0" w14:textId="77777777" w:rsidR="00EC30ED" w:rsidRDefault="00EC3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973607"/>
      <w:docPartObj>
        <w:docPartGallery w:val="Page Numbers (Bottom of Page)"/>
        <w:docPartUnique/>
      </w:docPartObj>
    </w:sdtPr>
    <w:sdtEndPr>
      <w:rPr>
        <w:noProof/>
      </w:rPr>
    </w:sdtEndPr>
    <w:sdtContent>
      <w:p w14:paraId="357F83F3" w14:textId="11CFD518" w:rsidR="00EC30ED" w:rsidRDefault="00EC30ED">
        <w:pPr>
          <w:pStyle w:val="Footer"/>
          <w:jc w:val="right"/>
        </w:pPr>
        <w:r>
          <w:fldChar w:fldCharType="begin"/>
        </w:r>
        <w:r>
          <w:instrText xml:space="preserve"> PAGE   \* MERGEFORMAT </w:instrText>
        </w:r>
        <w:r>
          <w:fldChar w:fldCharType="separate"/>
        </w:r>
        <w:r w:rsidR="00DF3074">
          <w:rPr>
            <w:noProof/>
          </w:rPr>
          <w:t>27</w:t>
        </w:r>
        <w:r>
          <w:rPr>
            <w:noProof/>
          </w:rPr>
          <w:fldChar w:fldCharType="end"/>
        </w:r>
      </w:p>
    </w:sdtContent>
  </w:sdt>
  <w:p w14:paraId="41CCED5E" w14:textId="77777777" w:rsidR="00EC30ED" w:rsidRDefault="00EC3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82ED" w14:textId="77777777" w:rsidR="00EC30ED" w:rsidRDefault="00EC3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BA86" w14:textId="77777777" w:rsidR="00DE1AB2" w:rsidRDefault="00DE1AB2" w:rsidP="00404812">
      <w:pPr>
        <w:spacing w:after="0" w:line="240" w:lineRule="auto"/>
      </w:pPr>
      <w:r>
        <w:separator/>
      </w:r>
    </w:p>
  </w:footnote>
  <w:footnote w:type="continuationSeparator" w:id="0">
    <w:p w14:paraId="01BCC4A6" w14:textId="77777777" w:rsidR="00DE1AB2" w:rsidRDefault="00DE1AB2" w:rsidP="00404812">
      <w:pPr>
        <w:spacing w:after="0" w:line="240" w:lineRule="auto"/>
      </w:pPr>
      <w:r>
        <w:continuationSeparator/>
      </w:r>
    </w:p>
  </w:footnote>
  <w:footnote w:id="1">
    <w:p w14:paraId="73BD1B06" w14:textId="62B64FA6" w:rsidR="00EC30ED" w:rsidRPr="003C4957" w:rsidRDefault="00EC30ED">
      <w:pPr>
        <w:pStyle w:val="FootnoteText"/>
        <w:rPr>
          <w:lang w:val="en-US"/>
        </w:rPr>
      </w:pPr>
      <w:r>
        <w:rPr>
          <w:rStyle w:val="FootnoteReference"/>
        </w:rPr>
        <w:footnoteRef/>
      </w:r>
      <w:r>
        <w:t xml:space="preserve"> </w:t>
      </w:r>
      <w:r>
        <w:rPr>
          <w:lang w:val="en-US"/>
        </w:rPr>
        <w:t>Defined as member states of the Council of Europe</w:t>
      </w:r>
    </w:p>
  </w:footnote>
  <w:footnote w:id="2">
    <w:p w14:paraId="2C6BF573" w14:textId="11273510" w:rsidR="00EC30ED" w:rsidRPr="00D86554" w:rsidRDefault="00EC30ED" w:rsidP="00D86554">
      <w:pPr>
        <w:pStyle w:val="FootnoteText"/>
        <w:jc w:val="both"/>
        <w:rPr>
          <w:rFonts w:ascii="Calisto MT" w:hAnsi="Calisto MT"/>
        </w:rPr>
      </w:pPr>
      <w:r w:rsidRPr="00D86554">
        <w:rPr>
          <w:rStyle w:val="FootnoteReference"/>
          <w:rFonts w:ascii="Calisto MT" w:hAnsi="Calisto MT"/>
        </w:rPr>
        <w:footnoteRef/>
      </w:r>
      <w:r w:rsidRPr="00D86554">
        <w:rPr>
          <w:rFonts w:ascii="Calisto MT" w:hAnsi="Calisto MT"/>
        </w:rPr>
        <w:t xml:space="preserve"> See also ‘Statistics’ on p.67, which categorises inspections undertaken in 2016 2017 as ‘Regular inspections’ and ‘OPCAT inspections’.</w:t>
      </w:r>
    </w:p>
  </w:footnote>
  <w:footnote w:id="3">
    <w:p w14:paraId="39CB2AA7" w14:textId="68616FF9" w:rsidR="00EC30ED" w:rsidRPr="00935305" w:rsidRDefault="00EC30ED">
      <w:pPr>
        <w:pStyle w:val="FootnoteText"/>
        <w:rPr>
          <w:lang w:val="en-US"/>
        </w:rPr>
      </w:pPr>
      <w:r w:rsidRPr="00935305">
        <w:rPr>
          <w:rStyle w:val="FootnoteReference"/>
        </w:rPr>
        <w:footnoteRef/>
      </w:r>
      <w:r w:rsidRPr="00935305">
        <w:t xml:space="preserve"> </w:t>
      </w:r>
      <w:r w:rsidRPr="00935305">
        <w:rPr>
          <w:lang w:val="en-US"/>
        </w:rPr>
        <w:t>NPM 'I' is not included in Figure 7 because its survey response did not include information about the length of its visits.  NPMs A, B, and C are outliers that are not included in Figure 7 to avoid distorting the graph's scale.</w:t>
      </w:r>
    </w:p>
  </w:footnote>
  <w:footnote w:id="4">
    <w:p w14:paraId="67A875EB" w14:textId="5DF9E6B6" w:rsidR="00EC30ED" w:rsidRPr="00102542" w:rsidRDefault="00EC30ED">
      <w:pPr>
        <w:pStyle w:val="FootnoteText"/>
        <w:rPr>
          <w:lang w:val="en-US"/>
        </w:rPr>
      </w:pPr>
      <w:r w:rsidRPr="00935305">
        <w:rPr>
          <w:rStyle w:val="FootnoteReference"/>
        </w:rPr>
        <w:footnoteRef/>
      </w:r>
      <w:r w:rsidRPr="00935305">
        <w:t xml:space="preserve"> </w:t>
      </w:r>
      <w:r w:rsidRPr="00935305">
        <w:rPr>
          <w:lang w:val="en-US"/>
        </w:rPr>
        <w:t>Figure 8 only includes those NPMs that provided data on the length of time between visits in 2017 and previous visits. Where this data was not available it was because 2017 was the first visit to the prison concerned or the NPM did not provide it in its survey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C31F" w14:textId="77777777" w:rsidR="00EC30ED" w:rsidRDefault="00EC3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F423" w14:textId="77777777" w:rsidR="00EC30ED" w:rsidRDefault="00EC3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6837" w14:textId="77777777" w:rsidR="00EC30ED" w:rsidRDefault="00EC3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D56"/>
    <w:multiLevelType w:val="hybridMultilevel"/>
    <w:tmpl w:val="315A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57019"/>
    <w:multiLevelType w:val="hybridMultilevel"/>
    <w:tmpl w:val="992245AA"/>
    <w:lvl w:ilvl="0" w:tplc="8F2E67E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64380"/>
    <w:multiLevelType w:val="hybridMultilevel"/>
    <w:tmpl w:val="B4F83AF8"/>
    <w:lvl w:ilvl="0" w:tplc="D7D2508A">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554EE"/>
    <w:multiLevelType w:val="hybridMultilevel"/>
    <w:tmpl w:val="C8CA77D4"/>
    <w:lvl w:ilvl="0" w:tplc="C97AED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F7045"/>
    <w:multiLevelType w:val="hybridMultilevel"/>
    <w:tmpl w:val="C38EA61A"/>
    <w:lvl w:ilvl="0" w:tplc="39D881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04FB6"/>
    <w:multiLevelType w:val="hybridMultilevel"/>
    <w:tmpl w:val="6A8A880E"/>
    <w:lvl w:ilvl="0" w:tplc="C7D27F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247F5"/>
    <w:multiLevelType w:val="hybridMultilevel"/>
    <w:tmpl w:val="98C2D87A"/>
    <w:lvl w:ilvl="0" w:tplc="B7C20BF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06C6E"/>
    <w:multiLevelType w:val="hybridMultilevel"/>
    <w:tmpl w:val="E972619E"/>
    <w:lvl w:ilvl="0" w:tplc="C8D066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65237"/>
    <w:multiLevelType w:val="hybridMultilevel"/>
    <w:tmpl w:val="9522A08C"/>
    <w:lvl w:ilvl="0" w:tplc="F3940D08">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722F9"/>
    <w:multiLevelType w:val="hybridMultilevel"/>
    <w:tmpl w:val="CBCA923E"/>
    <w:lvl w:ilvl="0" w:tplc="3A66BF58">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513139"/>
    <w:multiLevelType w:val="hybridMultilevel"/>
    <w:tmpl w:val="36861798"/>
    <w:lvl w:ilvl="0" w:tplc="A5BA4A4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978D2"/>
    <w:multiLevelType w:val="hybridMultilevel"/>
    <w:tmpl w:val="C2DAD314"/>
    <w:lvl w:ilvl="0" w:tplc="835856D4">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856B9"/>
    <w:multiLevelType w:val="hybridMultilevel"/>
    <w:tmpl w:val="A3DEF894"/>
    <w:lvl w:ilvl="0" w:tplc="915261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40563"/>
    <w:multiLevelType w:val="hybridMultilevel"/>
    <w:tmpl w:val="18B417B8"/>
    <w:lvl w:ilvl="0" w:tplc="4052FF42">
      <w:start w:val="13"/>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86F68"/>
    <w:multiLevelType w:val="multilevel"/>
    <w:tmpl w:val="5CFEEEB2"/>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E6353F"/>
    <w:multiLevelType w:val="hybridMultilevel"/>
    <w:tmpl w:val="ECCC0EA0"/>
    <w:lvl w:ilvl="0" w:tplc="942C06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365C9"/>
    <w:multiLevelType w:val="hybridMultilevel"/>
    <w:tmpl w:val="5010F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52087F"/>
    <w:multiLevelType w:val="hybridMultilevel"/>
    <w:tmpl w:val="1C96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C2321"/>
    <w:multiLevelType w:val="hybridMultilevel"/>
    <w:tmpl w:val="FE161620"/>
    <w:lvl w:ilvl="0" w:tplc="CF14C2BA">
      <w:start w:val="5"/>
      <w:numFmt w:val="bullet"/>
      <w:lvlText w:val="-"/>
      <w:lvlJc w:val="left"/>
      <w:pPr>
        <w:ind w:left="720" w:hanging="360"/>
      </w:pPr>
      <w:rPr>
        <w:rFonts w:ascii="Calisto MT" w:eastAsia="Times New Roman" w:hAnsi="Calisto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87216"/>
    <w:multiLevelType w:val="hybridMultilevel"/>
    <w:tmpl w:val="178A7C2E"/>
    <w:lvl w:ilvl="0" w:tplc="AADAF96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141B8"/>
    <w:multiLevelType w:val="hybridMultilevel"/>
    <w:tmpl w:val="E6388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F14849"/>
    <w:multiLevelType w:val="multilevel"/>
    <w:tmpl w:val="A6EE7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753FD"/>
    <w:multiLevelType w:val="hybridMultilevel"/>
    <w:tmpl w:val="A39E60C8"/>
    <w:lvl w:ilvl="0" w:tplc="0A92C06C">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927BAE"/>
    <w:multiLevelType w:val="multilevel"/>
    <w:tmpl w:val="486CD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346694"/>
    <w:multiLevelType w:val="hybridMultilevel"/>
    <w:tmpl w:val="1E8E9978"/>
    <w:lvl w:ilvl="0" w:tplc="3BBE428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F5A57"/>
    <w:multiLevelType w:val="multilevel"/>
    <w:tmpl w:val="2A08E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5526313"/>
    <w:multiLevelType w:val="hybridMultilevel"/>
    <w:tmpl w:val="1510872E"/>
    <w:lvl w:ilvl="0" w:tplc="B5425C7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6265CA"/>
    <w:multiLevelType w:val="hybridMultilevel"/>
    <w:tmpl w:val="9FB0C7A0"/>
    <w:lvl w:ilvl="0" w:tplc="614ABB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1193"/>
    <w:multiLevelType w:val="hybridMultilevel"/>
    <w:tmpl w:val="8C646EE2"/>
    <w:lvl w:ilvl="0" w:tplc="4810F0A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971528"/>
    <w:multiLevelType w:val="hybridMultilevel"/>
    <w:tmpl w:val="BBF64212"/>
    <w:lvl w:ilvl="0" w:tplc="E0909B3C">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151F7"/>
    <w:multiLevelType w:val="hybridMultilevel"/>
    <w:tmpl w:val="9E1055A8"/>
    <w:lvl w:ilvl="0" w:tplc="D86C41EE">
      <w:numFmt w:val="bullet"/>
      <w:lvlText w:val="-"/>
      <w:lvlJc w:val="left"/>
      <w:pPr>
        <w:ind w:left="720" w:hanging="360"/>
      </w:pPr>
      <w:rPr>
        <w:rFonts w:ascii="Calisto MT" w:eastAsiaTheme="minorHAnsi" w:hAnsi="Calisto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D7410"/>
    <w:multiLevelType w:val="hybridMultilevel"/>
    <w:tmpl w:val="32CC2AC0"/>
    <w:lvl w:ilvl="0" w:tplc="F44EED4C">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81417"/>
    <w:multiLevelType w:val="hybridMultilevel"/>
    <w:tmpl w:val="1E343674"/>
    <w:lvl w:ilvl="0" w:tplc="CA8AC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C149E5"/>
    <w:multiLevelType w:val="hybridMultilevel"/>
    <w:tmpl w:val="3CC49E3A"/>
    <w:lvl w:ilvl="0" w:tplc="FBB2A0D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33"/>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9"/>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5"/>
  </w:num>
  <w:num w:numId="15">
    <w:abstractNumId w:val="1"/>
  </w:num>
  <w:num w:numId="16">
    <w:abstractNumId w:val="29"/>
  </w:num>
  <w:num w:numId="17">
    <w:abstractNumId w:val="15"/>
  </w:num>
  <w:num w:numId="18">
    <w:abstractNumId w:val="28"/>
  </w:num>
  <w:num w:numId="19">
    <w:abstractNumId w:val="27"/>
  </w:num>
  <w:num w:numId="20">
    <w:abstractNumId w:val="8"/>
  </w:num>
  <w:num w:numId="21">
    <w:abstractNumId w:val="4"/>
  </w:num>
  <w:num w:numId="22">
    <w:abstractNumId w:val="10"/>
  </w:num>
  <w:num w:numId="23">
    <w:abstractNumId w:val="9"/>
  </w:num>
  <w:num w:numId="24">
    <w:abstractNumId w:val="21"/>
  </w:num>
  <w:num w:numId="25">
    <w:abstractNumId w:val="22"/>
  </w:num>
  <w:num w:numId="26">
    <w:abstractNumId w:val="14"/>
  </w:num>
  <w:num w:numId="27">
    <w:abstractNumId w:val="12"/>
  </w:num>
  <w:num w:numId="28">
    <w:abstractNumId w:val="26"/>
  </w:num>
  <w:num w:numId="29">
    <w:abstractNumId w:val="24"/>
  </w:num>
  <w:num w:numId="30">
    <w:abstractNumId w:val="7"/>
  </w:num>
  <w:num w:numId="31">
    <w:abstractNumId w:val="11"/>
  </w:num>
  <w:num w:numId="32">
    <w:abstractNumId w:val="31"/>
  </w:num>
  <w:num w:numId="33">
    <w:abstractNumId w:val="30"/>
  </w:num>
  <w:num w:numId="34">
    <w:abstractNumId w:val="32"/>
  </w:num>
  <w:num w:numId="35">
    <w:abstractNumId w:val="13"/>
  </w:num>
  <w:num w:numId="36">
    <w:abstractNumId w:val="18"/>
  </w:num>
  <w:num w:numId="37">
    <w:abstractNumId w:val="17"/>
  </w:num>
  <w:num w:numId="38">
    <w:abstractNumId w:val="0"/>
  </w:num>
  <w:num w:numId="39">
    <w:abstractNumId w:val="1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88"/>
    <w:rsid w:val="00024DF0"/>
    <w:rsid w:val="00025697"/>
    <w:rsid w:val="00026726"/>
    <w:rsid w:val="000347D3"/>
    <w:rsid w:val="000416A9"/>
    <w:rsid w:val="000457EA"/>
    <w:rsid w:val="000516C8"/>
    <w:rsid w:val="00053752"/>
    <w:rsid w:val="00054ADF"/>
    <w:rsid w:val="00055BB0"/>
    <w:rsid w:val="00061E88"/>
    <w:rsid w:val="00064592"/>
    <w:rsid w:val="00071192"/>
    <w:rsid w:val="00083372"/>
    <w:rsid w:val="00084E60"/>
    <w:rsid w:val="00096646"/>
    <w:rsid w:val="000A2DCF"/>
    <w:rsid w:val="000B5035"/>
    <w:rsid w:val="000C3505"/>
    <w:rsid w:val="000C5AF8"/>
    <w:rsid w:val="000C7FE6"/>
    <w:rsid w:val="000D5AC6"/>
    <w:rsid w:val="000D70BB"/>
    <w:rsid w:val="000D7E3A"/>
    <w:rsid w:val="000E026B"/>
    <w:rsid w:val="00100FB6"/>
    <w:rsid w:val="00102542"/>
    <w:rsid w:val="001025BD"/>
    <w:rsid w:val="00106A7C"/>
    <w:rsid w:val="00107D4D"/>
    <w:rsid w:val="00113028"/>
    <w:rsid w:val="00114526"/>
    <w:rsid w:val="00114918"/>
    <w:rsid w:val="00117891"/>
    <w:rsid w:val="00120060"/>
    <w:rsid w:val="001207DB"/>
    <w:rsid w:val="001333F7"/>
    <w:rsid w:val="00141739"/>
    <w:rsid w:val="0014198D"/>
    <w:rsid w:val="0014248A"/>
    <w:rsid w:val="00154706"/>
    <w:rsid w:val="00161E5B"/>
    <w:rsid w:val="0017337D"/>
    <w:rsid w:val="0019418A"/>
    <w:rsid w:val="001A61D1"/>
    <w:rsid w:val="001A724C"/>
    <w:rsid w:val="001B1380"/>
    <w:rsid w:val="001B2C32"/>
    <w:rsid w:val="001B63F1"/>
    <w:rsid w:val="001B7C86"/>
    <w:rsid w:val="001C72F6"/>
    <w:rsid w:val="001C7864"/>
    <w:rsid w:val="001D024D"/>
    <w:rsid w:val="001D2D00"/>
    <w:rsid w:val="001D6C19"/>
    <w:rsid w:val="001E3357"/>
    <w:rsid w:val="001E673A"/>
    <w:rsid w:val="001F4E5C"/>
    <w:rsid w:val="00200936"/>
    <w:rsid w:val="00200D0B"/>
    <w:rsid w:val="00200DB7"/>
    <w:rsid w:val="002134F7"/>
    <w:rsid w:val="00215456"/>
    <w:rsid w:val="00230497"/>
    <w:rsid w:val="00230F69"/>
    <w:rsid w:val="00231CFB"/>
    <w:rsid w:val="002409BF"/>
    <w:rsid w:val="00243037"/>
    <w:rsid w:val="0024738A"/>
    <w:rsid w:val="00250673"/>
    <w:rsid w:val="0025126F"/>
    <w:rsid w:val="00253B2B"/>
    <w:rsid w:val="00257054"/>
    <w:rsid w:val="00263E40"/>
    <w:rsid w:val="0026468C"/>
    <w:rsid w:val="00267D8E"/>
    <w:rsid w:val="00272869"/>
    <w:rsid w:val="00284499"/>
    <w:rsid w:val="002859CC"/>
    <w:rsid w:val="002A7DC9"/>
    <w:rsid w:val="002B3788"/>
    <w:rsid w:val="002B5CCB"/>
    <w:rsid w:val="002C087E"/>
    <w:rsid w:val="002C49F3"/>
    <w:rsid w:val="002D0E0E"/>
    <w:rsid w:val="002D19EE"/>
    <w:rsid w:val="002D3123"/>
    <w:rsid w:val="002E13D6"/>
    <w:rsid w:val="002E34CB"/>
    <w:rsid w:val="002E7F8D"/>
    <w:rsid w:val="002F381C"/>
    <w:rsid w:val="00300A82"/>
    <w:rsid w:val="00301747"/>
    <w:rsid w:val="003064AE"/>
    <w:rsid w:val="00314077"/>
    <w:rsid w:val="003176E0"/>
    <w:rsid w:val="00320B9A"/>
    <w:rsid w:val="00323B53"/>
    <w:rsid w:val="00327AB3"/>
    <w:rsid w:val="00330E1C"/>
    <w:rsid w:val="00336854"/>
    <w:rsid w:val="003436E2"/>
    <w:rsid w:val="00345BD8"/>
    <w:rsid w:val="00357F48"/>
    <w:rsid w:val="0036685C"/>
    <w:rsid w:val="00366B00"/>
    <w:rsid w:val="00377C97"/>
    <w:rsid w:val="003826B5"/>
    <w:rsid w:val="00382DBD"/>
    <w:rsid w:val="003849F6"/>
    <w:rsid w:val="003A4A33"/>
    <w:rsid w:val="003A4E39"/>
    <w:rsid w:val="003A5353"/>
    <w:rsid w:val="003B143A"/>
    <w:rsid w:val="003B32BF"/>
    <w:rsid w:val="003B519B"/>
    <w:rsid w:val="003B5540"/>
    <w:rsid w:val="003B7488"/>
    <w:rsid w:val="003C234B"/>
    <w:rsid w:val="003C4957"/>
    <w:rsid w:val="003C6CDE"/>
    <w:rsid w:val="003D134A"/>
    <w:rsid w:val="003D1C50"/>
    <w:rsid w:val="003F4DBF"/>
    <w:rsid w:val="003F6893"/>
    <w:rsid w:val="003F6BBF"/>
    <w:rsid w:val="00404812"/>
    <w:rsid w:val="00417890"/>
    <w:rsid w:val="00433453"/>
    <w:rsid w:val="004339CA"/>
    <w:rsid w:val="00435B96"/>
    <w:rsid w:val="00436866"/>
    <w:rsid w:val="00446A75"/>
    <w:rsid w:val="004511F0"/>
    <w:rsid w:val="00460657"/>
    <w:rsid w:val="00461DC4"/>
    <w:rsid w:val="00466885"/>
    <w:rsid w:val="004673F2"/>
    <w:rsid w:val="0047052C"/>
    <w:rsid w:val="00473F4B"/>
    <w:rsid w:val="0048557C"/>
    <w:rsid w:val="004860C8"/>
    <w:rsid w:val="00490C93"/>
    <w:rsid w:val="004A0D13"/>
    <w:rsid w:val="004A58B3"/>
    <w:rsid w:val="004A5F9F"/>
    <w:rsid w:val="004B1BC5"/>
    <w:rsid w:val="004B1FC5"/>
    <w:rsid w:val="004C61A4"/>
    <w:rsid w:val="004C6D61"/>
    <w:rsid w:val="004D1DC1"/>
    <w:rsid w:val="004D4BFA"/>
    <w:rsid w:val="004D6FC8"/>
    <w:rsid w:val="004E1CED"/>
    <w:rsid w:val="004E4DF0"/>
    <w:rsid w:val="004E5AB3"/>
    <w:rsid w:val="004E6310"/>
    <w:rsid w:val="004E73C5"/>
    <w:rsid w:val="004F003D"/>
    <w:rsid w:val="004F18BB"/>
    <w:rsid w:val="004F5991"/>
    <w:rsid w:val="0050483B"/>
    <w:rsid w:val="0050682F"/>
    <w:rsid w:val="0050695D"/>
    <w:rsid w:val="00515090"/>
    <w:rsid w:val="005159DA"/>
    <w:rsid w:val="00517410"/>
    <w:rsid w:val="00523143"/>
    <w:rsid w:val="0052365F"/>
    <w:rsid w:val="00533299"/>
    <w:rsid w:val="005344AE"/>
    <w:rsid w:val="00537434"/>
    <w:rsid w:val="00541F2E"/>
    <w:rsid w:val="0054525E"/>
    <w:rsid w:val="00546F0B"/>
    <w:rsid w:val="00550175"/>
    <w:rsid w:val="00554195"/>
    <w:rsid w:val="005573AA"/>
    <w:rsid w:val="005651AE"/>
    <w:rsid w:val="00572ECD"/>
    <w:rsid w:val="00574C97"/>
    <w:rsid w:val="0057501D"/>
    <w:rsid w:val="00575BF6"/>
    <w:rsid w:val="00584F34"/>
    <w:rsid w:val="00586861"/>
    <w:rsid w:val="005942EC"/>
    <w:rsid w:val="00594FA6"/>
    <w:rsid w:val="00596B6B"/>
    <w:rsid w:val="005A6C70"/>
    <w:rsid w:val="005C0485"/>
    <w:rsid w:val="005C42A3"/>
    <w:rsid w:val="005C761E"/>
    <w:rsid w:val="005D0EBD"/>
    <w:rsid w:val="005D2480"/>
    <w:rsid w:val="005D7C60"/>
    <w:rsid w:val="005E7733"/>
    <w:rsid w:val="005F3A0D"/>
    <w:rsid w:val="005F6F2B"/>
    <w:rsid w:val="0060091A"/>
    <w:rsid w:val="00601431"/>
    <w:rsid w:val="00610F1B"/>
    <w:rsid w:val="00614A3D"/>
    <w:rsid w:val="006175E2"/>
    <w:rsid w:val="0062227E"/>
    <w:rsid w:val="0062740F"/>
    <w:rsid w:val="006274A0"/>
    <w:rsid w:val="00633177"/>
    <w:rsid w:val="00636F9F"/>
    <w:rsid w:val="00640494"/>
    <w:rsid w:val="006459BE"/>
    <w:rsid w:val="006462D7"/>
    <w:rsid w:val="00651634"/>
    <w:rsid w:val="00657EA2"/>
    <w:rsid w:val="00660669"/>
    <w:rsid w:val="00666DC8"/>
    <w:rsid w:val="006678E4"/>
    <w:rsid w:val="006740A1"/>
    <w:rsid w:val="00676916"/>
    <w:rsid w:val="00681A87"/>
    <w:rsid w:val="00681B1C"/>
    <w:rsid w:val="0068389E"/>
    <w:rsid w:val="006862EA"/>
    <w:rsid w:val="00687954"/>
    <w:rsid w:val="00687E82"/>
    <w:rsid w:val="0069527E"/>
    <w:rsid w:val="006A0F01"/>
    <w:rsid w:val="006A4E78"/>
    <w:rsid w:val="006A6678"/>
    <w:rsid w:val="006B135D"/>
    <w:rsid w:val="006B1B7E"/>
    <w:rsid w:val="006B3812"/>
    <w:rsid w:val="006C23DA"/>
    <w:rsid w:val="006C4703"/>
    <w:rsid w:val="006C778E"/>
    <w:rsid w:val="006D63F7"/>
    <w:rsid w:val="006E08D0"/>
    <w:rsid w:val="006E0FFA"/>
    <w:rsid w:val="006E1A89"/>
    <w:rsid w:val="006E6C17"/>
    <w:rsid w:val="006F1F94"/>
    <w:rsid w:val="00702C3E"/>
    <w:rsid w:val="00704396"/>
    <w:rsid w:val="007101C8"/>
    <w:rsid w:val="00714B93"/>
    <w:rsid w:val="00722F7C"/>
    <w:rsid w:val="007272F1"/>
    <w:rsid w:val="00730255"/>
    <w:rsid w:val="00730971"/>
    <w:rsid w:val="007464EE"/>
    <w:rsid w:val="00750B72"/>
    <w:rsid w:val="007648A7"/>
    <w:rsid w:val="00772F8E"/>
    <w:rsid w:val="007750F9"/>
    <w:rsid w:val="0077657B"/>
    <w:rsid w:val="0078484D"/>
    <w:rsid w:val="0079737B"/>
    <w:rsid w:val="00797751"/>
    <w:rsid w:val="007A5F06"/>
    <w:rsid w:val="007B031D"/>
    <w:rsid w:val="007B3BC7"/>
    <w:rsid w:val="007B7562"/>
    <w:rsid w:val="007C1830"/>
    <w:rsid w:val="007C1FF1"/>
    <w:rsid w:val="007D0A54"/>
    <w:rsid w:val="007D3F31"/>
    <w:rsid w:val="007D3FA2"/>
    <w:rsid w:val="007D7917"/>
    <w:rsid w:val="007E3AAF"/>
    <w:rsid w:val="007E72DF"/>
    <w:rsid w:val="007E778F"/>
    <w:rsid w:val="007F1ED0"/>
    <w:rsid w:val="007F2CE6"/>
    <w:rsid w:val="007F45AD"/>
    <w:rsid w:val="007F6071"/>
    <w:rsid w:val="007F638C"/>
    <w:rsid w:val="00803304"/>
    <w:rsid w:val="008046F4"/>
    <w:rsid w:val="00836CA6"/>
    <w:rsid w:val="008442BD"/>
    <w:rsid w:val="008518D8"/>
    <w:rsid w:val="00853974"/>
    <w:rsid w:val="008543C1"/>
    <w:rsid w:val="00854C7C"/>
    <w:rsid w:val="0085709E"/>
    <w:rsid w:val="00865F92"/>
    <w:rsid w:val="0087056A"/>
    <w:rsid w:val="00881771"/>
    <w:rsid w:val="008826B9"/>
    <w:rsid w:val="0089716F"/>
    <w:rsid w:val="008A4E19"/>
    <w:rsid w:val="008B37C4"/>
    <w:rsid w:val="008B7EF1"/>
    <w:rsid w:val="008C0A8A"/>
    <w:rsid w:val="008C4212"/>
    <w:rsid w:val="008D348D"/>
    <w:rsid w:val="008E0215"/>
    <w:rsid w:val="008E10AC"/>
    <w:rsid w:val="008E1739"/>
    <w:rsid w:val="008E45CA"/>
    <w:rsid w:val="008E514E"/>
    <w:rsid w:val="008E5917"/>
    <w:rsid w:val="008F0D9B"/>
    <w:rsid w:val="008F2AAA"/>
    <w:rsid w:val="008F476C"/>
    <w:rsid w:val="009046C9"/>
    <w:rsid w:val="00905C18"/>
    <w:rsid w:val="00911911"/>
    <w:rsid w:val="00912941"/>
    <w:rsid w:val="00913BDC"/>
    <w:rsid w:val="00914C4D"/>
    <w:rsid w:val="00923A9F"/>
    <w:rsid w:val="00924193"/>
    <w:rsid w:val="00924744"/>
    <w:rsid w:val="009255BD"/>
    <w:rsid w:val="00931F67"/>
    <w:rsid w:val="00932981"/>
    <w:rsid w:val="00933201"/>
    <w:rsid w:val="00934E84"/>
    <w:rsid w:val="00935305"/>
    <w:rsid w:val="009432DC"/>
    <w:rsid w:val="00944220"/>
    <w:rsid w:val="0094425D"/>
    <w:rsid w:val="00944741"/>
    <w:rsid w:val="00944F4D"/>
    <w:rsid w:val="009522FA"/>
    <w:rsid w:val="00953F46"/>
    <w:rsid w:val="00955C16"/>
    <w:rsid w:val="00964698"/>
    <w:rsid w:val="009650CA"/>
    <w:rsid w:val="00966D6C"/>
    <w:rsid w:val="00967F95"/>
    <w:rsid w:val="00970D07"/>
    <w:rsid w:val="00976077"/>
    <w:rsid w:val="00983F7E"/>
    <w:rsid w:val="0098428B"/>
    <w:rsid w:val="009873C3"/>
    <w:rsid w:val="00993530"/>
    <w:rsid w:val="009A09C7"/>
    <w:rsid w:val="009A27FA"/>
    <w:rsid w:val="009A5557"/>
    <w:rsid w:val="009A5C15"/>
    <w:rsid w:val="009B4178"/>
    <w:rsid w:val="009B597E"/>
    <w:rsid w:val="009C2E2D"/>
    <w:rsid w:val="009D0F00"/>
    <w:rsid w:val="009D1304"/>
    <w:rsid w:val="009D2E57"/>
    <w:rsid w:val="009D5EE9"/>
    <w:rsid w:val="009D6C1C"/>
    <w:rsid w:val="009E1E61"/>
    <w:rsid w:val="009E64CC"/>
    <w:rsid w:val="009F051E"/>
    <w:rsid w:val="00A104FD"/>
    <w:rsid w:val="00A173C6"/>
    <w:rsid w:val="00A246E8"/>
    <w:rsid w:val="00A33009"/>
    <w:rsid w:val="00A33E40"/>
    <w:rsid w:val="00A36654"/>
    <w:rsid w:val="00A4490B"/>
    <w:rsid w:val="00A45580"/>
    <w:rsid w:val="00A50133"/>
    <w:rsid w:val="00A50F33"/>
    <w:rsid w:val="00A60F30"/>
    <w:rsid w:val="00A648D8"/>
    <w:rsid w:val="00A67668"/>
    <w:rsid w:val="00A73E7C"/>
    <w:rsid w:val="00A74382"/>
    <w:rsid w:val="00A831E8"/>
    <w:rsid w:val="00A87582"/>
    <w:rsid w:val="00A87BF6"/>
    <w:rsid w:val="00A87CC4"/>
    <w:rsid w:val="00A90082"/>
    <w:rsid w:val="00A95A8E"/>
    <w:rsid w:val="00A979D5"/>
    <w:rsid w:val="00A97E52"/>
    <w:rsid w:val="00AA538B"/>
    <w:rsid w:val="00AB77B4"/>
    <w:rsid w:val="00AC0795"/>
    <w:rsid w:val="00AC316E"/>
    <w:rsid w:val="00AC473D"/>
    <w:rsid w:val="00AD12CF"/>
    <w:rsid w:val="00AD7BD0"/>
    <w:rsid w:val="00AE26E8"/>
    <w:rsid w:val="00AE3AA1"/>
    <w:rsid w:val="00AE7FA7"/>
    <w:rsid w:val="00AF71CC"/>
    <w:rsid w:val="00B02421"/>
    <w:rsid w:val="00B03EA4"/>
    <w:rsid w:val="00B104AA"/>
    <w:rsid w:val="00B11727"/>
    <w:rsid w:val="00B1496C"/>
    <w:rsid w:val="00B3143D"/>
    <w:rsid w:val="00B34FFD"/>
    <w:rsid w:val="00B36EF1"/>
    <w:rsid w:val="00B42AA8"/>
    <w:rsid w:val="00B60604"/>
    <w:rsid w:val="00B60B0E"/>
    <w:rsid w:val="00B905FE"/>
    <w:rsid w:val="00BA0A06"/>
    <w:rsid w:val="00BA464B"/>
    <w:rsid w:val="00BA5310"/>
    <w:rsid w:val="00BA7CAD"/>
    <w:rsid w:val="00BB2723"/>
    <w:rsid w:val="00BB72B5"/>
    <w:rsid w:val="00BB7867"/>
    <w:rsid w:val="00BC0B55"/>
    <w:rsid w:val="00BC244F"/>
    <w:rsid w:val="00BC32E3"/>
    <w:rsid w:val="00BC7645"/>
    <w:rsid w:val="00BD245A"/>
    <w:rsid w:val="00BE6EEE"/>
    <w:rsid w:val="00BF42E7"/>
    <w:rsid w:val="00C02821"/>
    <w:rsid w:val="00C1273E"/>
    <w:rsid w:val="00C2198C"/>
    <w:rsid w:val="00C22870"/>
    <w:rsid w:val="00C24998"/>
    <w:rsid w:val="00C27C4D"/>
    <w:rsid w:val="00C3096B"/>
    <w:rsid w:val="00C3384C"/>
    <w:rsid w:val="00C34CB0"/>
    <w:rsid w:val="00C37309"/>
    <w:rsid w:val="00C463B8"/>
    <w:rsid w:val="00C527EF"/>
    <w:rsid w:val="00C52EC5"/>
    <w:rsid w:val="00C548F9"/>
    <w:rsid w:val="00C554C3"/>
    <w:rsid w:val="00C56EB8"/>
    <w:rsid w:val="00C614C0"/>
    <w:rsid w:val="00C65C8B"/>
    <w:rsid w:val="00C70862"/>
    <w:rsid w:val="00C80DCF"/>
    <w:rsid w:val="00C83173"/>
    <w:rsid w:val="00C9369E"/>
    <w:rsid w:val="00CA0F87"/>
    <w:rsid w:val="00CA25F7"/>
    <w:rsid w:val="00CB362E"/>
    <w:rsid w:val="00CC063B"/>
    <w:rsid w:val="00CC189B"/>
    <w:rsid w:val="00CC4736"/>
    <w:rsid w:val="00CD132C"/>
    <w:rsid w:val="00CD5B2E"/>
    <w:rsid w:val="00CE40AB"/>
    <w:rsid w:val="00CF5474"/>
    <w:rsid w:val="00D0030C"/>
    <w:rsid w:val="00D03EA9"/>
    <w:rsid w:val="00D05B25"/>
    <w:rsid w:val="00D05CB1"/>
    <w:rsid w:val="00D114CB"/>
    <w:rsid w:val="00D269EA"/>
    <w:rsid w:val="00D275C3"/>
    <w:rsid w:val="00D32FA4"/>
    <w:rsid w:val="00D339F4"/>
    <w:rsid w:val="00D359E5"/>
    <w:rsid w:val="00D37D0D"/>
    <w:rsid w:val="00D41A9C"/>
    <w:rsid w:val="00D44DD3"/>
    <w:rsid w:val="00D469C2"/>
    <w:rsid w:val="00D600C5"/>
    <w:rsid w:val="00D62382"/>
    <w:rsid w:val="00D7228C"/>
    <w:rsid w:val="00D74C17"/>
    <w:rsid w:val="00D85DC1"/>
    <w:rsid w:val="00D86554"/>
    <w:rsid w:val="00D906D0"/>
    <w:rsid w:val="00D92560"/>
    <w:rsid w:val="00D97130"/>
    <w:rsid w:val="00DA5460"/>
    <w:rsid w:val="00DB4D60"/>
    <w:rsid w:val="00DC4670"/>
    <w:rsid w:val="00DE1AB2"/>
    <w:rsid w:val="00DF261B"/>
    <w:rsid w:val="00DF3074"/>
    <w:rsid w:val="00DF68CB"/>
    <w:rsid w:val="00DF75B8"/>
    <w:rsid w:val="00E046D5"/>
    <w:rsid w:val="00E0777F"/>
    <w:rsid w:val="00E10ED7"/>
    <w:rsid w:val="00E112C9"/>
    <w:rsid w:val="00E12DA2"/>
    <w:rsid w:val="00E221BA"/>
    <w:rsid w:val="00E236A2"/>
    <w:rsid w:val="00E23D3C"/>
    <w:rsid w:val="00E2685E"/>
    <w:rsid w:val="00E27084"/>
    <w:rsid w:val="00E32EF0"/>
    <w:rsid w:val="00E37BD1"/>
    <w:rsid w:val="00E42CB1"/>
    <w:rsid w:val="00E64F75"/>
    <w:rsid w:val="00E6543B"/>
    <w:rsid w:val="00E655F3"/>
    <w:rsid w:val="00E65EC8"/>
    <w:rsid w:val="00E73734"/>
    <w:rsid w:val="00E76EBA"/>
    <w:rsid w:val="00E8712A"/>
    <w:rsid w:val="00E91F5C"/>
    <w:rsid w:val="00E948F5"/>
    <w:rsid w:val="00E949B3"/>
    <w:rsid w:val="00E9589F"/>
    <w:rsid w:val="00E97FAD"/>
    <w:rsid w:val="00EA2121"/>
    <w:rsid w:val="00EA40CA"/>
    <w:rsid w:val="00EA6061"/>
    <w:rsid w:val="00EB06D0"/>
    <w:rsid w:val="00EC30ED"/>
    <w:rsid w:val="00EC3D30"/>
    <w:rsid w:val="00EE0090"/>
    <w:rsid w:val="00EE41B5"/>
    <w:rsid w:val="00EE4BB3"/>
    <w:rsid w:val="00EE4FE6"/>
    <w:rsid w:val="00EE7999"/>
    <w:rsid w:val="00EF4DA7"/>
    <w:rsid w:val="00EF7D12"/>
    <w:rsid w:val="00F027FD"/>
    <w:rsid w:val="00F1060F"/>
    <w:rsid w:val="00F17978"/>
    <w:rsid w:val="00F21887"/>
    <w:rsid w:val="00F26AD3"/>
    <w:rsid w:val="00F31D9D"/>
    <w:rsid w:val="00F34954"/>
    <w:rsid w:val="00F34BDD"/>
    <w:rsid w:val="00F37167"/>
    <w:rsid w:val="00F52091"/>
    <w:rsid w:val="00F55C53"/>
    <w:rsid w:val="00F560B2"/>
    <w:rsid w:val="00F638C6"/>
    <w:rsid w:val="00F638FD"/>
    <w:rsid w:val="00F6728B"/>
    <w:rsid w:val="00F72C93"/>
    <w:rsid w:val="00F756E9"/>
    <w:rsid w:val="00F77BA5"/>
    <w:rsid w:val="00F867F7"/>
    <w:rsid w:val="00F875FE"/>
    <w:rsid w:val="00FA008A"/>
    <w:rsid w:val="00FA0280"/>
    <w:rsid w:val="00FA7B9A"/>
    <w:rsid w:val="00FC3B52"/>
    <w:rsid w:val="00FD08CE"/>
    <w:rsid w:val="00FD609C"/>
    <w:rsid w:val="00FE0985"/>
    <w:rsid w:val="00FE39D3"/>
    <w:rsid w:val="00FF110B"/>
    <w:rsid w:val="00FF2BA7"/>
    <w:rsid w:val="00FF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958D"/>
  <w15:chartTrackingRefBased/>
  <w15:docId w15:val="{16A68459-5CFF-47F1-9DE7-31AA083A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12941"/>
    <w:pPr>
      <w:keepNext/>
      <w:keepLines/>
      <w:spacing w:before="240" w:after="0"/>
      <w:ind w:left="720" w:hanging="360"/>
      <w:outlineLvl w:val="0"/>
    </w:pPr>
    <w:rPr>
      <w:rFonts w:ascii="Calisto MT" w:eastAsiaTheme="majorEastAsia" w:hAnsi="Calisto MT" w:cstheme="majorBidi"/>
      <w:b/>
      <w:szCs w:val="32"/>
    </w:rPr>
  </w:style>
  <w:style w:type="paragraph" w:styleId="Heading2">
    <w:name w:val="heading 2"/>
    <w:basedOn w:val="Normal"/>
    <w:next w:val="Normal"/>
    <w:link w:val="Heading2Char"/>
    <w:autoRedefine/>
    <w:uiPriority w:val="9"/>
    <w:unhideWhenUsed/>
    <w:qFormat/>
    <w:rsid w:val="00EE7999"/>
    <w:pPr>
      <w:keepNext/>
      <w:keepLines/>
      <w:spacing w:before="60" w:after="60" w:line="480" w:lineRule="auto"/>
      <w:jc w:val="both"/>
      <w:outlineLvl w:val="1"/>
    </w:pPr>
    <w:rPr>
      <w:rFonts w:ascii="Calisto MT" w:eastAsiaTheme="majorEastAsia" w:hAnsi="Calisto MT" w:cstheme="majorBidi"/>
      <w:b/>
      <w:szCs w:val="26"/>
    </w:rPr>
  </w:style>
  <w:style w:type="paragraph" w:styleId="Heading3">
    <w:name w:val="heading 3"/>
    <w:basedOn w:val="Normal"/>
    <w:next w:val="Normal"/>
    <w:link w:val="Heading3Char"/>
    <w:autoRedefine/>
    <w:uiPriority w:val="9"/>
    <w:unhideWhenUsed/>
    <w:qFormat/>
    <w:rsid w:val="00F77BA5"/>
    <w:pPr>
      <w:keepNext/>
      <w:keepLines/>
      <w:spacing w:before="60" w:after="60" w:line="480" w:lineRule="auto"/>
      <w:jc w:val="both"/>
      <w:outlineLvl w:val="2"/>
    </w:pPr>
    <w:rPr>
      <w:rFonts w:ascii="Times New Roman" w:eastAsia="Hiragino Sans W4" w:hAnsi="Times New Roman" w:cs="Times New Roman"/>
      <w:b/>
      <w:i/>
      <w:sz w:val="24"/>
      <w:szCs w:val="24"/>
    </w:rPr>
  </w:style>
  <w:style w:type="paragraph" w:styleId="Heading4">
    <w:name w:val="heading 4"/>
    <w:basedOn w:val="Normal"/>
    <w:next w:val="Normal"/>
    <w:link w:val="Heading4Char"/>
    <w:autoRedefine/>
    <w:uiPriority w:val="9"/>
    <w:semiHidden/>
    <w:unhideWhenUsed/>
    <w:qFormat/>
    <w:rsid w:val="007D7917"/>
    <w:pPr>
      <w:keepNext/>
      <w:keepLines/>
      <w:numPr>
        <w:numId w:val="26"/>
      </w:numPr>
      <w:spacing w:before="40" w:after="0"/>
      <w:ind w:hanging="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941"/>
    <w:rPr>
      <w:rFonts w:ascii="Calisto MT" w:eastAsiaTheme="majorEastAsia" w:hAnsi="Calisto MT" w:cstheme="majorBidi"/>
      <w:b/>
      <w:szCs w:val="32"/>
    </w:rPr>
  </w:style>
  <w:style w:type="character" w:customStyle="1" w:styleId="Heading2Char">
    <w:name w:val="Heading 2 Char"/>
    <w:basedOn w:val="DefaultParagraphFont"/>
    <w:link w:val="Heading2"/>
    <w:uiPriority w:val="9"/>
    <w:rsid w:val="00EE7999"/>
    <w:rPr>
      <w:rFonts w:ascii="Calisto MT" w:eastAsiaTheme="majorEastAsia" w:hAnsi="Calisto MT" w:cstheme="majorBidi"/>
      <w:b/>
      <w:szCs w:val="26"/>
    </w:rPr>
  </w:style>
  <w:style w:type="character" w:customStyle="1" w:styleId="Heading3Char">
    <w:name w:val="Heading 3 Char"/>
    <w:basedOn w:val="DefaultParagraphFont"/>
    <w:link w:val="Heading3"/>
    <w:uiPriority w:val="9"/>
    <w:rsid w:val="00F77BA5"/>
    <w:rPr>
      <w:rFonts w:ascii="Times New Roman" w:eastAsia="Hiragino Sans W4" w:hAnsi="Times New Roman" w:cs="Times New Roman"/>
      <w:b/>
      <w:i/>
      <w:sz w:val="24"/>
      <w:szCs w:val="24"/>
    </w:rPr>
  </w:style>
  <w:style w:type="character" w:customStyle="1" w:styleId="Heading4Char">
    <w:name w:val="Heading 4 Char"/>
    <w:basedOn w:val="DefaultParagraphFont"/>
    <w:link w:val="Heading4"/>
    <w:uiPriority w:val="9"/>
    <w:semiHidden/>
    <w:rsid w:val="007D7917"/>
    <w:rPr>
      <w:rFonts w:asciiTheme="majorHAnsi" w:eastAsiaTheme="majorEastAsia" w:hAnsiTheme="majorHAnsi" w:cstheme="majorBidi"/>
      <w:i/>
      <w:iCs/>
    </w:rPr>
  </w:style>
  <w:style w:type="paragraph" w:styleId="ListParagraph">
    <w:name w:val="List Paragraph"/>
    <w:basedOn w:val="Normal"/>
    <w:uiPriority w:val="34"/>
    <w:qFormat/>
    <w:rsid w:val="00714B93"/>
    <w:pPr>
      <w:ind w:left="720"/>
      <w:contextualSpacing/>
    </w:pPr>
  </w:style>
  <w:style w:type="paragraph" w:styleId="NormalWeb">
    <w:name w:val="Normal (Web)"/>
    <w:basedOn w:val="Normal"/>
    <w:uiPriority w:val="99"/>
    <w:unhideWhenUsed/>
    <w:rsid w:val="00504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3096B"/>
    <w:rPr>
      <w:i/>
      <w:iCs/>
    </w:rPr>
  </w:style>
  <w:style w:type="character" w:styleId="CommentReference">
    <w:name w:val="annotation reference"/>
    <w:basedOn w:val="DefaultParagraphFont"/>
    <w:uiPriority w:val="99"/>
    <w:semiHidden/>
    <w:unhideWhenUsed/>
    <w:rsid w:val="00404812"/>
    <w:rPr>
      <w:sz w:val="16"/>
      <w:szCs w:val="16"/>
    </w:rPr>
  </w:style>
  <w:style w:type="paragraph" w:styleId="CommentText">
    <w:name w:val="annotation text"/>
    <w:basedOn w:val="Normal"/>
    <w:link w:val="CommentTextChar"/>
    <w:uiPriority w:val="99"/>
    <w:semiHidden/>
    <w:unhideWhenUsed/>
    <w:rsid w:val="00404812"/>
    <w:pPr>
      <w:spacing w:line="240" w:lineRule="auto"/>
    </w:pPr>
    <w:rPr>
      <w:sz w:val="20"/>
      <w:szCs w:val="20"/>
    </w:rPr>
  </w:style>
  <w:style w:type="character" w:customStyle="1" w:styleId="CommentTextChar">
    <w:name w:val="Comment Text Char"/>
    <w:basedOn w:val="DefaultParagraphFont"/>
    <w:link w:val="CommentText"/>
    <w:uiPriority w:val="99"/>
    <w:semiHidden/>
    <w:rsid w:val="00404812"/>
    <w:rPr>
      <w:sz w:val="20"/>
      <w:szCs w:val="20"/>
    </w:rPr>
  </w:style>
  <w:style w:type="paragraph" w:styleId="CommentSubject">
    <w:name w:val="annotation subject"/>
    <w:basedOn w:val="CommentText"/>
    <w:next w:val="CommentText"/>
    <w:link w:val="CommentSubjectChar"/>
    <w:uiPriority w:val="99"/>
    <w:semiHidden/>
    <w:unhideWhenUsed/>
    <w:rsid w:val="00404812"/>
    <w:rPr>
      <w:b/>
      <w:bCs/>
    </w:rPr>
  </w:style>
  <w:style w:type="character" w:customStyle="1" w:styleId="CommentSubjectChar">
    <w:name w:val="Comment Subject Char"/>
    <w:basedOn w:val="CommentTextChar"/>
    <w:link w:val="CommentSubject"/>
    <w:uiPriority w:val="99"/>
    <w:semiHidden/>
    <w:rsid w:val="00404812"/>
    <w:rPr>
      <w:b/>
      <w:bCs/>
      <w:sz w:val="20"/>
      <w:szCs w:val="20"/>
    </w:rPr>
  </w:style>
  <w:style w:type="paragraph" w:styleId="BalloonText">
    <w:name w:val="Balloon Text"/>
    <w:basedOn w:val="Normal"/>
    <w:link w:val="BalloonTextChar"/>
    <w:uiPriority w:val="99"/>
    <w:semiHidden/>
    <w:unhideWhenUsed/>
    <w:rsid w:val="00404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812"/>
    <w:rPr>
      <w:rFonts w:ascii="Segoe UI" w:hAnsi="Segoe UI" w:cs="Segoe UI"/>
      <w:sz w:val="18"/>
      <w:szCs w:val="18"/>
    </w:rPr>
  </w:style>
  <w:style w:type="paragraph" w:styleId="FootnoteText">
    <w:name w:val="footnote text"/>
    <w:basedOn w:val="Normal"/>
    <w:link w:val="FootnoteTextChar"/>
    <w:uiPriority w:val="99"/>
    <w:unhideWhenUsed/>
    <w:rsid w:val="00404812"/>
    <w:pPr>
      <w:spacing w:after="0" w:line="240" w:lineRule="auto"/>
    </w:pPr>
    <w:rPr>
      <w:sz w:val="20"/>
      <w:szCs w:val="20"/>
    </w:rPr>
  </w:style>
  <w:style w:type="character" w:customStyle="1" w:styleId="FootnoteTextChar">
    <w:name w:val="Footnote Text Char"/>
    <w:basedOn w:val="DefaultParagraphFont"/>
    <w:link w:val="FootnoteText"/>
    <w:uiPriority w:val="99"/>
    <w:rsid w:val="00404812"/>
    <w:rPr>
      <w:sz w:val="20"/>
      <w:szCs w:val="20"/>
    </w:rPr>
  </w:style>
  <w:style w:type="character" w:styleId="FootnoteReference">
    <w:name w:val="footnote reference"/>
    <w:basedOn w:val="DefaultParagraphFont"/>
    <w:uiPriority w:val="99"/>
    <w:unhideWhenUsed/>
    <w:rsid w:val="00404812"/>
    <w:rPr>
      <w:vertAlign w:val="superscript"/>
    </w:rPr>
  </w:style>
  <w:style w:type="paragraph" w:styleId="Header">
    <w:name w:val="header"/>
    <w:basedOn w:val="Normal"/>
    <w:link w:val="HeaderChar"/>
    <w:uiPriority w:val="99"/>
    <w:unhideWhenUsed/>
    <w:rsid w:val="00AC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795"/>
  </w:style>
  <w:style w:type="paragraph" w:styleId="Footer">
    <w:name w:val="footer"/>
    <w:basedOn w:val="Normal"/>
    <w:link w:val="FooterChar"/>
    <w:uiPriority w:val="99"/>
    <w:unhideWhenUsed/>
    <w:rsid w:val="00AC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795"/>
  </w:style>
  <w:style w:type="character" w:styleId="Hyperlink">
    <w:name w:val="Hyperlink"/>
    <w:basedOn w:val="DefaultParagraphFont"/>
    <w:uiPriority w:val="99"/>
    <w:unhideWhenUsed/>
    <w:rsid w:val="00C463B8"/>
    <w:rPr>
      <w:color w:val="0563C1" w:themeColor="hyperlink"/>
      <w:u w:val="single"/>
    </w:rPr>
  </w:style>
  <w:style w:type="character" w:styleId="FollowedHyperlink">
    <w:name w:val="FollowedHyperlink"/>
    <w:basedOn w:val="DefaultParagraphFont"/>
    <w:uiPriority w:val="99"/>
    <w:semiHidden/>
    <w:unhideWhenUsed/>
    <w:rsid w:val="00944F4D"/>
    <w:rPr>
      <w:color w:val="954F72" w:themeColor="followedHyperlink"/>
      <w:u w:val="single"/>
    </w:rPr>
  </w:style>
  <w:style w:type="character" w:customStyle="1" w:styleId="UnresolvedMention1">
    <w:name w:val="Unresolved Mention1"/>
    <w:basedOn w:val="DefaultParagraphFont"/>
    <w:uiPriority w:val="99"/>
    <w:semiHidden/>
    <w:unhideWhenUsed/>
    <w:rsid w:val="00970D07"/>
    <w:rPr>
      <w:color w:val="605E5C"/>
      <w:shd w:val="clear" w:color="auto" w:fill="E1DFDD"/>
    </w:rPr>
  </w:style>
  <w:style w:type="table" w:styleId="TableGrid">
    <w:name w:val="Table Grid"/>
    <w:basedOn w:val="TableNormal"/>
    <w:uiPriority w:val="39"/>
    <w:rsid w:val="007750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95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948">
      <w:bodyDiv w:val="1"/>
      <w:marLeft w:val="0"/>
      <w:marRight w:val="0"/>
      <w:marTop w:val="0"/>
      <w:marBottom w:val="0"/>
      <w:divBdr>
        <w:top w:val="none" w:sz="0" w:space="0" w:color="auto"/>
        <w:left w:val="none" w:sz="0" w:space="0" w:color="auto"/>
        <w:bottom w:val="none" w:sz="0" w:space="0" w:color="auto"/>
        <w:right w:val="none" w:sz="0" w:space="0" w:color="auto"/>
      </w:divBdr>
    </w:div>
    <w:div w:id="1195383277">
      <w:bodyDiv w:val="1"/>
      <w:marLeft w:val="0"/>
      <w:marRight w:val="0"/>
      <w:marTop w:val="0"/>
      <w:marBottom w:val="0"/>
      <w:divBdr>
        <w:top w:val="none" w:sz="0" w:space="0" w:color="auto"/>
        <w:left w:val="none" w:sz="0" w:space="0" w:color="auto"/>
        <w:bottom w:val="none" w:sz="0" w:space="0" w:color="auto"/>
        <w:right w:val="none" w:sz="0" w:space="0" w:color="auto"/>
      </w:divBdr>
      <w:divsChild>
        <w:div w:id="355271031">
          <w:marLeft w:val="0"/>
          <w:marRight w:val="0"/>
          <w:marTop w:val="0"/>
          <w:marBottom w:val="0"/>
          <w:divBdr>
            <w:top w:val="none" w:sz="0" w:space="0" w:color="auto"/>
            <w:left w:val="none" w:sz="0" w:space="0" w:color="auto"/>
            <w:bottom w:val="none" w:sz="0" w:space="0" w:color="auto"/>
            <w:right w:val="none" w:sz="0" w:space="0" w:color="auto"/>
          </w:divBdr>
          <w:divsChild>
            <w:div w:id="515774286">
              <w:marLeft w:val="0"/>
              <w:marRight w:val="0"/>
              <w:marTop w:val="0"/>
              <w:marBottom w:val="0"/>
              <w:divBdr>
                <w:top w:val="none" w:sz="0" w:space="0" w:color="auto"/>
                <w:left w:val="none" w:sz="0" w:space="0" w:color="auto"/>
                <w:bottom w:val="none" w:sz="0" w:space="0" w:color="auto"/>
                <w:right w:val="none" w:sz="0" w:space="0" w:color="auto"/>
              </w:divBdr>
              <w:divsChild>
                <w:div w:id="6075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1429">
      <w:bodyDiv w:val="1"/>
      <w:marLeft w:val="0"/>
      <w:marRight w:val="0"/>
      <w:marTop w:val="0"/>
      <w:marBottom w:val="0"/>
      <w:divBdr>
        <w:top w:val="none" w:sz="0" w:space="0" w:color="auto"/>
        <w:left w:val="none" w:sz="0" w:space="0" w:color="auto"/>
        <w:bottom w:val="none" w:sz="0" w:space="0" w:color="auto"/>
        <w:right w:val="none" w:sz="0" w:space="0" w:color="auto"/>
      </w:divBdr>
    </w:div>
    <w:div w:id="1375041988">
      <w:bodyDiv w:val="1"/>
      <w:marLeft w:val="0"/>
      <w:marRight w:val="0"/>
      <w:marTop w:val="0"/>
      <w:marBottom w:val="0"/>
      <w:divBdr>
        <w:top w:val="none" w:sz="0" w:space="0" w:color="auto"/>
        <w:left w:val="none" w:sz="0" w:space="0" w:color="auto"/>
        <w:bottom w:val="none" w:sz="0" w:space="0" w:color="auto"/>
        <w:right w:val="none" w:sz="0" w:space="0" w:color="auto"/>
      </w:divBdr>
    </w:div>
    <w:div w:id="1392971092">
      <w:bodyDiv w:val="1"/>
      <w:marLeft w:val="0"/>
      <w:marRight w:val="0"/>
      <w:marTop w:val="0"/>
      <w:marBottom w:val="0"/>
      <w:divBdr>
        <w:top w:val="none" w:sz="0" w:space="0" w:color="auto"/>
        <w:left w:val="none" w:sz="0" w:space="0" w:color="auto"/>
        <w:bottom w:val="none" w:sz="0" w:space="0" w:color="auto"/>
        <w:right w:val="none" w:sz="0" w:space="0" w:color="auto"/>
      </w:divBdr>
    </w:div>
    <w:div w:id="19976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o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treatybodyexternal/Download.aspx?symbolno=CAT%2fC%2f63%2f4&amp;Lang=en"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28" Type="http://schemas.openxmlformats.org/officeDocument/2006/relationships/hyperlink" Target="https://tbinternet.ohchr.org/_layouts/treatybodyexternal/Download.aspx?symbolno=CAT%2fC%2f63%2f4&amp;Lang=en" TargetMode="External"/><Relationship Id="rId10" Type="http://schemas.openxmlformats.org/officeDocument/2006/relationships/hyperlink" Target="https://www.ohchr.org/EN/HRBodies/OPCAT/Pages/OPCATIndex.aspx" TargetMode="Externa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eader" Target="header2.xml"/><Relationship Id="rId27" Type="http://schemas.openxmlformats.org/officeDocument/2006/relationships/hyperlink" Target="https://foreignminister.gov.au/releases/Pages/2017/jb_mr_171215b.aspx" TargetMode="External"/><Relationship Id="rId30" Type="http://schemas.openxmlformats.org/officeDocument/2006/relationships/hyperlink" Target="https://www.ohchr.org/EN/HRBodies/OPCAT/Pages/OPCATIndex.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solidFill>
                  <a:schemeClr val="tx1"/>
                </a:solidFill>
                <a:latin typeface="Times New Roman" panose="02020603050405020304" pitchFamily="18" charset="0"/>
                <a:cs typeface="Times New Roman" panose="02020603050405020304" pitchFamily="18" charset="0"/>
              </a:rPr>
              <a:t>Figure 2: Average</a:t>
            </a:r>
            <a:r>
              <a:rPr lang="en-US" sz="1000" b="1" baseline="0">
                <a:solidFill>
                  <a:schemeClr val="tx1"/>
                </a:solidFill>
                <a:latin typeface="Times New Roman" panose="02020603050405020304" pitchFamily="18" charset="0"/>
                <a:cs typeface="Times New Roman" panose="02020603050405020304" pitchFamily="18" charset="0"/>
              </a:rPr>
              <a:t> total adult prisons in 2017</a:t>
            </a:r>
            <a:endParaRPr lang="en-US" sz="1000" b="1">
              <a:solidFill>
                <a:schemeClr val="tx1"/>
              </a:solidFill>
              <a:latin typeface="Times New Roman" panose="02020603050405020304" pitchFamily="18" charset="0"/>
              <a:cs typeface="Times New Roman" panose="02020603050405020304" pitchFamily="18" charset="0"/>
            </a:endParaRPr>
          </a:p>
        </c:rich>
      </c:tx>
      <c:overlay val="0"/>
      <c:spPr>
        <a:noFill/>
        <a:ln>
          <a:solidFill>
            <a:schemeClr val="tx1"/>
          </a:solidFill>
        </a:ln>
        <a:effectLst/>
      </c:spPr>
      <c:txPr>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Sheet1!$A$2:$A$4</c:f>
              <c:strCache>
                <c:ptCount val="3"/>
                <c:pt idx="0">
                  <c:v>1-20</c:v>
                </c:pt>
                <c:pt idx="1">
                  <c:v>21-100</c:v>
                </c:pt>
                <c:pt idx="2">
                  <c:v>100 plus</c:v>
                </c:pt>
              </c:strCache>
            </c:strRef>
          </c:cat>
          <c:val>
            <c:numRef>
              <c:f>Sheet1!$B$2:$B$4</c:f>
              <c:numCache>
                <c:formatCode>General</c:formatCode>
                <c:ptCount val="3"/>
                <c:pt idx="0">
                  <c:v>4.3</c:v>
                </c:pt>
                <c:pt idx="1">
                  <c:v>2.5</c:v>
                </c:pt>
                <c:pt idx="2">
                  <c:v>3.5</c:v>
                </c:pt>
              </c:numCache>
            </c:numRef>
          </c:val>
          <c:extLst>
            <c:ext xmlns:c16="http://schemas.microsoft.com/office/drawing/2014/chart" uri="{C3380CC4-5D6E-409C-BE32-E72D297353CC}">
              <c16:uniqueId val="{00000000-BCB1-B843-BDC9-F4EA9128B85F}"/>
            </c:ext>
          </c:extLst>
        </c:ser>
        <c:dLbls>
          <c:showLegendKey val="0"/>
          <c:showVal val="0"/>
          <c:showCatName val="0"/>
          <c:showSerName val="0"/>
          <c:showPercent val="0"/>
          <c:showBubbleSize val="0"/>
        </c:dLbls>
        <c:gapWidth val="219"/>
        <c:overlap val="-27"/>
        <c:axId val="-346372400"/>
        <c:axId val="-348860912"/>
      </c:barChart>
      <c:catAx>
        <c:axId val="-346372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Number</a:t>
                </a:r>
                <a:r>
                  <a:rPr lang="en-US" b="1" baseline="0">
                    <a:solidFill>
                      <a:schemeClr val="tx1"/>
                    </a:solidFill>
                    <a:latin typeface="Times New Roman" panose="02020603050405020304" pitchFamily="18" charset="0"/>
                    <a:cs typeface="Times New Roman" panose="02020603050405020304" pitchFamily="18" charset="0"/>
                  </a:rPr>
                  <a:t> of prisons</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8860912"/>
        <c:crosses val="autoZero"/>
        <c:auto val="1"/>
        <c:lblAlgn val="ctr"/>
        <c:lblOffset val="100"/>
        <c:noMultiLvlLbl val="0"/>
      </c:catAx>
      <c:valAx>
        <c:axId val="-34886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Number</a:t>
                </a:r>
                <a:r>
                  <a:rPr lang="en-US" b="1" baseline="0">
                    <a:solidFill>
                      <a:schemeClr val="tx1"/>
                    </a:solidFill>
                    <a:latin typeface="Times New Roman" panose="02020603050405020304" pitchFamily="18" charset="0"/>
                    <a:cs typeface="Times New Roman" panose="02020603050405020304" pitchFamily="18" charset="0"/>
                  </a:rPr>
                  <a:t> of NPMs</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6372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Figure</a:t>
            </a:r>
            <a:r>
              <a:rPr lang="en-US" sz="1100" b="1" baseline="0">
                <a:latin typeface="Times New Roman" panose="02020603050405020304" pitchFamily="18" charset="0"/>
                <a:cs typeface="Times New Roman" panose="02020603050405020304" pitchFamily="18" charset="0"/>
              </a:rPr>
              <a:t> 9: </a:t>
            </a:r>
            <a:r>
              <a:rPr lang="en-US" sz="1100" b="1">
                <a:latin typeface="Times New Roman" panose="02020603050405020304" pitchFamily="18" charset="0"/>
                <a:cs typeface="Times New Roman" panose="02020603050405020304" pitchFamily="18" charset="0"/>
              </a:rPr>
              <a:t>Visit</a:t>
            </a:r>
            <a:r>
              <a:rPr lang="en-US" sz="1100" b="1" baseline="0">
                <a:latin typeface="Times New Roman" panose="02020603050405020304" pitchFamily="18" charset="0"/>
                <a:cs typeface="Times New Roman" panose="02020603050405020304" pitchFamily="18" charset="0"/>
              </a:rPr>
              <a:t> intensity and progress</a:t>
            </a:r>
            <a:endParaRPr lang="en-US" sz="1100" b="1">
              <a:latin typeface="Times New Roman" panose="02020603050405020304" pitchFamily="18" charset="0"/>
              <a:cs typeface="Times New Roman" panose="02020603050405020304" pitchFamily="18" charset="0"/>
            </a:endParaRPr>
          </a:p>
        </c:rich>
      </c:tx>
      <c:overlay val="0"/>
      <c:spPr>
        <a:noFill/>
        <a:ln>
          <a:solidFill>
            <a:schemeClr val="tx1"/>
          </a:solid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Sheet1!$A$2</c:f>
              <c:strCache>
                <c:ptCount val="1"/>
                <c:pt idx="0">
                  <c:v>Declined</c:v>
                </c:pt>
              </c:strCache>
            </c:strRef>
          </c:tx>
          <c:spPr>
            <a:solidFill>
              <a:schemeClr val="accent1"/>
            </a:solidFill>
            <a:ln>
              <a:noFill/>
            </a:ln>
            <a:effectLst/>
          </c:spPr>
          <c:invertIfNegative val="0"/>
          <c:cat>
            <c:strRef>
              <c:f>Sheet1!$B$1:$E$1</c:f>
              <c:strCache>
                <c:ptCount val="4"/>
                <c:pt idx="0">
                  <c:v>1 to 10</c:v>
                </c:pt>
                <c:pt idx="1">
                  <c:v>11 to 20</c:v>
                </c:pt>
                <c:pt idx="2">
                  <c:v>21 to 100</c:v>
                </c:pt>
                <c:pt idx="3">
                  <c:v>100 plus</c:v>
                </c:pt>
              </c:strCache>
            </c:strRef>
          </c:cat>
          <c:val>
            <c:numRef>
              <c:f>Sheet1!$B$2:$E$2</c:f>
              <c:numCache>
                <c:formatCode>General</c:formatCode>
                <c:ptCount val="4"/>
                <c:pt idx="0">
                  <c:v>11</c:v>
                </c:pt>
                <c:pt idx="1">
                  <c:v>8</c:v>
                </c:pt>
                <c:pt idx="2">
                  <c:v>0</c:v>
                </c:pt>
                <c:pt idx="3">
                  <c:v>0</c:v>
                </c:pt>
              </c:numCache>
            </c:numRef>
          </c:val>
          <c:extLst>
            <c:ext xmlns:c16="http://schemas.microsoft.com/office/drawing/2014/chart" uri="{C3380CC4-5D6E-409C-BE32-E72D297353CC}">
              <c16:uniqueId val="{00000000-1486-994C-807B-3BC8E501ECC1}"/>
            </c:ext>
          </c:extLst>
        </c:ser>
        <c:ser>
          <c:idx val="1"/>
          <c:order val="1"/>
          <c:tx>
            <c:strRef>
              <c:f>Sheet1!$A$3</c:f>
              <c:strCache>
                <c:ptCount val="1"/>
                <c:pt idx="0">
                  <c:v>Stayed the same </c:v>
                </c:pt>
              </c:strCache>
            </c:strRef>
          </c:tx>
          <c:spPr>
            <a:solidFill>
              <a:schemeClr val="accent2"/>
            </a:solidFill>
            <a:ln>
              <a:noFill/>
            </a:ln>
            <a:effectLst/>
          </c:spPr>
          <c:invertIfNegative val="0"/>
          <c:cat>
            <c:strRef>
              <c:f>Sheet1!$B$1:$E$1</c:f>
              <c:strCache>
                <c:ptCount val="4"/>
                <c:pt idx="0">
                  <c:v>1 to 10</c:v>
                </c:pt>
                <c:pt idx="1">
                  <c:v>11 to 20</c:v>
                </c:pt>
                <c:pt idx="2">
                  <c:v>21 to 100</c:v>
                </c:pt>
                <c:pt idx="3">
                  <c:v>100 plus</c:v>
                </c:pt>
              </c:strCache>
            </c:strRef>
          </c:cat>
          <c:val>
            <c:numRef>
              <c:f>Sheet1!$B$3:$E$3</c:f>
              <c:numCache>
                <c:formatCode>General</c:formatCode>
                <c:ptCount val="4"/>
                <c:pt idx="0">
                  <c:v>3</c:v>
                </c:pt>
                <c:pt idx="1">
                  <c:v>5</c:v>
                </c:pt>
                <c:pt idx="2">
                  <c:v>2</c:v>
                </c:pt>
                <c:pt idx="3">
                  <c:v>0</c:v>
                </c:pt>
              </c:numCache>
            </c:numRef>
          </c:val>
          <c:extLst>
            <c:ext xmlns:c16="http://schemas.microsoft.com/office/drawing/2014/chart" uri="{C3380CC4-5D6E-409C-BE32-E72D297353CC}">
              <c16:uniqueId val="{00000001-1486-994C-807B-3BC8E501ECC1}"/>
            </c:ext>
          </c:extLst>
        </c:ser>
        <c:ser>
          <c:idx val="2"/>
          <c:order val="2"/>
          <c:tx>
            <c:strRef>
              <c:f>Sheet1!$A$4</c:f>
              <c:strCache>
                <c:ptCount val="1"/>
                <c:pt idx="0">
                  <c:v>Improved</c:v>
                </c:pt>
              </c:strCache>
            </c:strRef>
          </c:tx>
          <c:spPr>
            <a:solidFill>
              <a:schemeClr val="accent3"/>
            </a:solidFill>
            <a:ln>
              <a:noFill/>
            </a:ln>
            <a:effectLst/>
          </c:spPr>
          <c:invertIfNegative val="0"/>
          <c:cat>
            <c:strRef>
              <c:f>Sheet1!$B$1:$E$1</c:f>
              <c:strCache>
                <c:ptCount val="4"/>
                <c:pt idx="0">
                  <c:v>1 to 10</c:v>
                </c:pt>
                <c:pt idx="1">
                  <c:v>11 to 20</c:v>
                </c:pt>
                <c:pt idx="2">
                  <c:v>21 to 100</c:v>
                </c:pt>
                <c:pt idx="3">
                  <c:v>100 plus</c:v>
                </c:pt>
              </c:strCache>
            </c:strRef>
          </c:cat>
          <c:val>
            <c:numRef>
              <c:f>Sheet1!$B$4:$E$4</c:f>
              <c:numCache>
                <c:formatCode>General</c:formatCode>
                <c:ptCount val="4"/>
                <c:pt idx="0">
                  <c:v>14</c:v>
                </c:pt>
                <c:pt idx="1">
                  <c:v>9</c:v>
                </c:pt>
                <c:pt idx="2">
                  <c:v>7</c:v>
                </c:pt>
                <c:pt idx="3">
                  <c:v>6</c:v>
                </c:pt>
              </c:numCache>
            </c:numRef>
          </c:val>
          <c:extLst>
            <c:ext xmlns:c16="http://schemas.microsoft.com/office/drawing/2014/chart" uri="{C3380CC4-5D6E-409C-BE32-E72D297353CC}">
              <c16:uniqueId val="{00000002-1486-994C-807B-3BC8E501ECC1}"/>
            </c:ext>
          </c:extLst>
        </c:ser>
        <c:dLbls>
          <c:showLegendKey val="0"/>
          <c:showVal val="0"/>
          <c:showCatName val="0"/>
          <c:showSerName val="0"/>
          <c:showPercent val="0"/>
          <c:showBubbleSize val="0"/>
        </c:dLbls>
        <c:gapWidth val="219"/>
        <c:overlap val="-27"/>
        <c:axId val="-340262432"/>
        <c:axId val="-340417040"/>
      </c:barChart>
      <c:catAx>
        <c:axId val="-340262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baseline="0">
                    <a:latin typeface="Times New Roman" panose="02020603050405020304" pitchFamily="18" charset="0"/>
                    <a:cs typeface="Times New Roman" panose="02020603050405020304" pitchFamily="18" charset="0"/>
                  </a:rPr>
                  <a:t>Personnel days</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0417040"/>
        <c:crosses val="autoZero"/>
        <c:auto val="1"/>
        <c:lblAlgn val="ctr"/>
        <c:lblOffset val="100"/>
        <c:noMultiLvlLbl val="0"/>
      </c:catAx>
      <c:valAx>
        <c:axId val="-34041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Number</a:t>
                </a:r>
                <a:r>
                  <a:rPr lang="en-US" b="1" baseline="0">
                    <a:latin typeface="Times New Roman" panose="02020603050405020304" pitchFamily="18" charset="0"/>
                    <a:cs typeface="Times New Roman" panose="02020603050405020304" pitchFamily="18" charset="0"/>
                  </a:rPr>
                  <a:t> of MPMs</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026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Figure 10: Visit</a:t>
            </a:r>
            <a:r>
              <a:rPr lang="en-US" sz="1100" b="1" baseline="0">
                <a:latin typeface="Times New Roman" panose="02020603050405020304" pitchFamily="18" charset="0"/>
                <a:cs typeface="Times New Roman" panose="02020603050405020304" pitchFamily="18" charset="0"/>
              </a:rPr>
              <a:t> frequency and progress</a:t>
            </a:r>
            <a:endParaRPr lang="en-US" sz="1100" b="1">
              <a:latin typeface="Times New Roman" panose="02020603050405020304" pitchFamily="18" charset="0"/>
              <a:cs typeface="Times New Roman" panose="02020603050405020304" pitchFamily="18" charset="0"/>
            </a:endParaRPr>
          </a:p>
        </c:rich>
      </c:tx>
      <c:overlay val="0"/>
      <c:spPr>
        <a:noFill/>
        <a:ln>
          <a:solidFill>
            <a:schemeClr val="tx1"/>
          </a:solid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Sheet1!$A$2</c:f>
              <c:strCache>
                <c:ptCount val="1"/>
                <c:pt idx="0">
                  <c:v>Declined</c:v>
                </c:pt>
              </c:strCache>
            </c:strRef>
          </c:tx>
          <c:spPr>
            <a:solidFill>
              <a:schemeClr val="accent1"/>
            </a:solidFill>
            <a:ln>
              <a:noFill/>
            </a:ln>
            <a:effectLst/>
          </c:spPr>
          <c:invertIfNegative val="0"/>
          <c:cat>
            <c:strRef>
              <c:f>Sheet1!$B$1:$E$1</c:f>
              <c:strCache>
                <c:ptCount val="4"/>
                <c:pt idx="0">
                  <c:v>1 to 24</c:v>
                </c:pt>
                <c:pt idx="1">
                  <c:v>25 to 36 </c:v>
                </c:pt>
                <c:pt idx="2">
                  <c:v>37 to 48</c:v>
                </c:pt>
                <c:pt idx="3">
                  <c:v>48 plus</c:v>
                </c:pt>
              </c:strCache>
            </c:strRef>
          </c:cat>
          <c:val>
            <c:numRef>
              <c:f>Sheet1!$B$2:$E$2</c:f>
              <c:numCache>
                <c:formatCode>General</c:formatCode>
                <c:ptCount val="4"/>
                <c:pt idx="0">
                  <c:v>3</c:v>
                </c:pt>
                <c:pt idx="1">
                  <c:v>11</c:v>
                </c:pt>
                <c:pt idx="2">
                  <c:v>3</c:v>
                </c:pt>
                <c:pt idx="3">
                  <c:v>2</c:v>
                </c:pt>
              </c:numCache>
            </c:numRef>
          </c:val>
          <c:extLst>
            <c:ext xmlns:c16="http://schemas.microsoft.com/office/drawing/2014/chart" uri="{C3380CC4-5D6E-409C-BE32-E72D297353CC}">
              <c16:uniqueId val="{00000000-95DE-A449-A966-5AC378F4F203}"/>
            </c:ext>
          </c:extLst>
        </c:ser>
        <c:ser>
          <c:idx val="1"/>
          <c:order val="1"/>
          <c:tx>
            <c:strRef>
              <c:f>Sheet1!$A$3</c:f>
              <c:strCache>
                <c:ptCount val="1"/>
                <c:pt idx="0">
                  <c:v>Stayed the same</c:v>
                </c:pt>
              </c:strCache>
            </c:strRef>
          </c:tx>
          <c:spPr>
            <a:solidFill>
              <a:schemeClr val="accent2"/>
            </a:solidFill>
            <a:ln>
              <a:noFill/>
            </a:ln>
            <a:effectLst/>
          </c:spPr>
          <c:invertIfNegative val="0"/>
          <c:cat>
            <c:strRef>
              <c:f>Sheet1!$B$1:$E$1</c:f>
              <c:strCache>
                <c:ptCount val="4"/>
                <c:pt idx="0">
                  <c:v>1 to 24</c:v>
                </c:pt>
                <c:pt idx="1">
                  <c:v>25 to 36 </c:v>
                </c:pt>
                <c:pt idx="2">
                  <c:v>37 to 48</c:v>
                </c:pt>
                <c:pt idx="3">
                  <c:v>48 plus</c:v>
                </c:pt>
              </c:strCache>
            </c:strRef>
          </c:cat>
          <c:val>
            <c:numRef>
              <c:f>Sheet1!$B$3:$E$3</c:f>
              <c:numCache>
                <c:formatCode>General</c:formatCode>
                <c:ptCount val="4"/>
                <c:pt idx="0">
                  <c:v>2</c:v>
                </c:pt>
                <c:pt idx="1">
                  <c:v>7</c:v>
                </c:pt>
                <c:pt idx="2">
                  <c:v>0</c:v>
                </c:pt>
                <c:pt idx="3">
                  <c:v>3</c:v>
                </c:pt>
              </c:numCache>
            </c:numRef>
          </c:val>
          <c:extLst>
            <c:ext xmlns:c16="http://schemas.microsoft.com/office/drawing/2014/chart" uri="{C3380CC4-5D6E-409C-BE32-E72D297353CC}">
              <c16:uniqueId val="{00000001-95DE-A449-A966-5AC378F4F203}"/>
            </c:ext>
          </c:extLst>
        </c:ser>
        <c:ser>
          <c:idx val="2"/>
          <c:order val="2"/>
          <c:tx>
            <c:strRef>
              <c:f>Sheet1!$A$4</c:f>
              <c:strCache>
                <c:ptCount val="1"/>
                <c:pt idx="0">
                  <c:v>Improved</c:v>
                </c:pt>
              </c:strCache>
            </c:strRef>
          </c:tx>
          <c:spPr>
            <a:solidFill>
              <a:schemeClr val="accent3"/>
            </a:solidFill>
            <a:ln>
              <a:noFill/>
            </a:ln>
            <a:effectLst/>
          </c:spPr>
          <c:invertIfNegative val="0"/>
          <c:cat>
            <c:strRef>
              <c:f>Sheet1!$B$1:$E$1</c:f>
              <c:strCache>
                <c:ptCount val="4"/>
                <c:pt idx="0">
                  <c:v>1 to 24</c:v>
                </c:pt>
                <c:pt idx="1">
                  <c:v>25 to 36 </c:v>
                </c:pt>
                <c:pt idx="2">
                  <c:v>37 to 48</c:v>
                </c:pt>
                <c:pt idx="3">
                  <c:v>48 plus</c:v>
                </c:pt>
              </c:strCache>
            </c:strRef>
          </c:cat>
          <c:val>
            <c:numRef>
              <c:f>Sheet1!$B$4:$E$4</c:f>
              <c:numCache>
                <c:formatCode>General</c:formatCode>
                <c:ptCount val="4"/>
                <c:pt idx="0">
                  <c:v>14</c:v>
                </c:pt>
                <c:pt idx="1">
                  <c:v>18</c:v>
                </c:pt>
                <c:pt idx="2">
                  <c:v>5</c:v>
                </c:pt>
                <c:pt idx="3">
                  <c:v>5</c:v>
                </c:pt>
              </c:numCache>
            </c:numRef>
          </c:val>
          <c:extLst>
            <c:ext xmlns:c16="http://schemas.microsoft.com/office/drawing/2014/chart" uri="{C3380CC4-5D6E-409C-BE32-E72D297353CC}">
              <c16:uniqueId val="{00000002-95DE-A449-A966-5AC378F4F203}"/>
            </c:ext>
          </c:extLst>
        </c:ser>
        <c:dLbls>
          <c:showLegendKey val="0"/>
          <c:showVal val="0"/>
          <c:showCatName val="0"/>
          <c:showSerName val="0"/>
          <c:showPercent val="0"/>
          <c:showBubbleSize val="0"/>
        </c:dLbls>
        <c:gapWidth val="219"/>
        <c:overlap val="-27"/>
        <c:axId val="-364049728"/>
        <c:axId val="-348656112"/>
      </c:barChart>
      <c:catAx>
        <c:axId val="-364049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Average</a:t>
                </a:r>
                <a:r>
                  <a:rPr lang="en-US" b="1" baseline="0">
                    <a:latin typeface="Times New Roman" panose="02020603050405020304" pitchFamily="18" charset="0"/>
                    <a:cs typeface="Times New Roman" panose="02020603050405020304" pitchFamily="18" charset="0"/>
                  </a:rPr>
                  <a:t> frequency (months)</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8656112"/>
        <c:crosses val="autoZero"/>
        <c:auto val="1"/>
        <c:lblAlgn val="ctr"/>
        <c:lblOffset val="100"/>
        <c:noMultiLvlLbl val="0"/>
      </c:catAx>
      <c:valAx>
        <c:axId val="-348656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Number</a:t>
                </a:r>
                <a:r>
                  <a:rPr lang="en-US" b="1" baseline="0">
                    <a:latin typeface="Times New Roman" panose="02020603050405020304" pitchFamily="18" charset="0"/>
                    <a:cs typeface="Times New Roman" panose="02020603050405020304" pitchFamily="18" charset="0"/>
                  </a:rPr>
                  <a:t> of NPMs</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404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r>
              <a:rPr lang="en-US" sz="1000" b="1">
                <a:solidFill>
                  <a:schemeClr val="tx1"/>
                </a:solidFill>
                <a:latin typeface="Times New Roman" panose="02020603050405020304" pitchFamily="18" charset="0"/>
                <a:cs typeface="Times New Roman" panose="02020603050405020304" pitchFamily="18" charset="0"/>
              </a:rPr>
              <a:t>Figure 1: Average</a:t>
            </a:r>
            <a:r>
              <a:rPr lang="en-US" sz="1000" b="1" baseline="0">
                <a:solidFill>
                  <a:schemeClr val="tx1"/>
                </a:solidFill>
                <a:latin typeface="Times New Roman" panose="02020603050405020304" pitchFamily="18" charset="0"/>
                <a:cs typeface="Times New Roman" panose="02020603050405020304" pitchFamily="18" charset="0"/>
              </a:rPr>
              <a:t> t</a:t>
            </a:r>
            <a:r>
              <a:rPr lang="en-US" sz="1000" b="1">
                <a:solidFill>
                  <a:schemeClr val="tx1"/>
                </a:solidFill>
                <a:latin typeface="Times New Roman" panose="02020603050405020304" pitchFamily="18" charset="0"/>
                <a:cs typeface="Times New Roman" panose="02020603050405020304" pitchFamily="18" charset="0"/>
              </a:rPr>
              <a:t>otal</a:t>
            </a:r>
            <a:r>
              <a:rPr lang="en-US" sz="1000" b="1" baseline="0">
                <a:solidFill>
                  <a:schemeClr val="tx1"/>
                </a:solidFill>
                <a:latin typeface="Times New Roman" panose="02020603050405020304" pitchFamily="18" charset="0"/>
                <a:cs typeface="Times New Roman" panose="02020603050405020304" pitchFamily="18" charset="0"/>
              </a:rPr>
              <a:t> adult prison populations in 2017   </a:t>
            </a:r>
            <a:endParaRPr lang="en-US" sz="1000" b="1">
              <a:solidFill>
                <a:schemeClr val="tx1"/>
              </a:solidFill>
              <a:latin typeface="Times New Roman" panose="02020603050405020304" pitchFamily="18" charset="0"/>
              <a:cs typeface="Times New Roman" panose="02020603050405020304" pitchFamily="18" charset="0"/>
            </a:endParaRPr>
          </a:p>
        </c:rich>
      </c:tx>
      <c:overlay val="0"/>
      <c:spPr>
        <a:noFill/>
        <a:ln>
          <a:solidFill>
            <a:schemeClr val="tx1"/>
          </a:solid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30069262175561"/>
          <c:y val="0.118626666850532"/>
          <c:w val="0.86993058433485304"/>
          <c:h val="0.61079984400534904"/>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1-1000</c:v>
                </c:pt>
                <c:pt idx="1">
                  <c:v>1001-5000</c:v>
                </c:pt>
                <c:pt idx="2">
                  <c:v>5001-10000</c:v>
                </c:pt>
                <c:pt idx="3">
                  <c:v>10001-20000</c:v>
                </c:pt>
                <c:pt idx="4">
                  <c:v>20001-50000</c:v>
                </c:pt>
                <c:pt idx="5">
                  <c:v>50,000 plus</c:v>
                </c:pt>
              </c:strCache>
            </c:strRef>
          </c:cat>
          <c:val>
            <c:numRef>
              <c:f>Sheet1!$B$2:$B$7</c:f>
              <c:numCache>
                <c:formatCode>General</c:formatCode>
                <c:ptCount val="6"/>
                <c:pt idx="0">
                  <c:v>2</c:v>
                </c:pt>
                <c:pt idx="1">
                  <c:v>4</c:v>
                </c:pt>
                <c:pt idx="2">
                  <c:v>5</c:v>
                </c:pt>
                <c:pt idx="3">
                  <c:v>2</c:v>
                </c:pt>
                <c:pt idx="4">
                  <c:v>1</c:v>
                </c:pt>
                <c:pt idx="5">
                  <c:v>4</c:v>
                </c:pt>
              </c:numCache>
            </c:numRef>
          </c:val>
          <c:extLst>
            <c:ext xmlns:c16="http://schemas.microsoft.com/office/drawing/2014/chart" uri="{C3380CC4-5D6E-409C-BE32-E72D297353CC}">
              <c16:uniqueId val="{00000000-32AE-8E43-9D1B-03879E9620E2}"/>
            </c:ext>
          </c:extLst>
        </c:ser>
        <c:dLbls>
          <c:showLegendKey val="0"/>
          <c:showVal val="0"/>
          <c:showCatName val="0"/>
          <c:showSerName val="0"/>
          <c:showPercent val="0"/>
          <c:showBubbleSize val="0"/>
        </c:dLbls>
        <c:gapWidth val="219"/>
        <c:overlap val="-27"/>
        <c:axId val="-365414512"/>
        <c:axId val="-349337744"/>
      </c:barChart>
      <c:catAx>
        <c:axId val="-365414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Prison populations</a:t>
                </a:r>
              </a:p>
            </c:rich>
          </c:tx>
          <c:layout>
            <c:manualLayout>
              <c:xMode val="edge"/>
              <c:yMode val="edge"/>
              <c:x val="0.33732611548556402"/>
              <c:y val="0.949684901471378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337744"/>
        <c:crosses val="autoZero"/>
        <c:auto val="1"/>
        <c:lblAlgn val="ctr"/>
        <c:lblOffset val="100"/>
        <c:noMultiLvlLbl val="0"/>
      </c:catAx>
      <c:valAx>
        <c:axId val="-34933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Number</a:t>
                </a:r>
                <a:r>
                  <a:rPr lang="en-US" b="1" baseline="0">
                    <a:latin typeface="Times New Roman" panose="02020603050405020304" pitchFamily="18" charset="0"/>
                    <a:cs typeface="Times New Roman" panose="02020603050405020304" pitchFamily="18" charset="0"/>
                  </a:rPr>
                  <a:t> of NPMs</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5414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US" sz="1000" b="1">
                <a:solidFill>
                  <a:schemeClr val="tx1"/>
                </a:solidFill>
                <a:latin typeface="Times New Roman" panose="02020603050405020304" pitchFamily="18" charset="0"/>
                <a:cs typeface="Times New Roman" panose="02020603050405020304" pitchFamily="18" charset="0"/>
              </a:rPr>
              <a:t>Figure 3: Interval</a:t>
            </a:r>
            <a:r>
              <a:rPr lang="en-US" sz="1000" b="1" baseline="0">
                <a:solidFill>
                  <a:schemeClr val="tx1"/>
                </a:solidFill>
                <a:latin typeface="Times New Roman" panose="02020603050405020304" pitchFamily="18" charset="0"/>
                <a:cs typeface="Times New Roman" panose="02020603050405020304" pitchFamily="18" charset="0"/>
              </a:rPr>
              <a:t> between visits ranking /% prisons visited ranking comparison</a:t>
            </a:r>
            <a:endParaRPr lang="en-US" sz="1000" b="1">
              <a:solidFill>
                <a:schemeClr val="tx1"/>
              </a:solidFill>
              <a:latin typeface="Times New Roman" panose="02020603050405020304" pitchFamily="18" charset="0"/>
              <a:cs typeface="Times New Roman" panose="02020603050405020304" pitchFamily="18" charset="0"/>
            </a:endParaRPr>
          </a:p>
        </c:rich>
      </c:tx>
      <c:overlay val="0"/>
      <c:spPr>
        <a:noFill/>
        <a:ln>
          <a:solidFill>
            <a:schemeClr val="tx1"/>
          </a:solid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Frequency of visits</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5.35905680600215E-2"/>
                  <c:y val="-4.3988269794721403E-2"/>
                </c:manualLayout>
              </c:layout>
              <c:tx>
                <c:rich>
                  <a:bodyPr/>
                  <a:lstStyle/>
                  <a:p>
                    <a:r>
                      <a:rPr lang="fr-FR"/>
                      <a:t>Q</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246-744C-903B-F016B3705294}"/>
                </c:ext>
              </c:extLst>
            </c:dLbl>
            <c:dLbl>
              <c:idx val="1"/>
              <c:layout>
                <c:manualLayout>
                  <c:x val="-1.0718113612004299E-2"/>
                  <c:y val="-8.9604699645889198E-17"/>
                </c:manualLayout>
              </c:layout>
              <c:tx>
                <c:rich>
                  <a:bodyPr/>
                  <a:lstStyle/>
                  <a:p>
                    <a:r>
                      <a:rPr lang="en-US"/>
                      <a:t>I </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246-744C-903B-F016B3705294}"/>
                </c:ext>
              </c:extLst>
            </c:dLbl>
            <c:dLbl>
              <c:idx val="2"/>
              <c:layout>
                <c:manualLayout>
                  <c:x val="-1.3397642015005399E-2"/>
                  <c:y val="8.9604699645889198E-17"/>
                </c:manualLayout>
              </c:layout>
              <c:tx>
                <c:rich>
                  <a:bodyPr/>
                  <a:lstStyle/>
                  <a:p>
                    <a:r>
                      <a:rPr lang="en-US"/>
                      <a:t>G </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246-744C-903B-F016B3705294}"/>
                </c:ext>
              </c:extLst>
            </c:dLbl>
            <c:dLbl>
              <c:idx val="3"/>
              <c:layout>
                <c:manualLayout>
                  <c:x val="-6.1056113966461698E-2"/>
                  <c:y val="-1.8002478429199401E-2"/>
                </c:manualLayout>
              </c:layout>
              <c:tx>
                <c:rich>
                  <a:bodyPr/>
                  <a:lstStyle/>
                  <a:p>
                    <a:r>
                      <a:rPr lang="en-US"/>
                      <a:t>M </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246-744C-903B-F016B3705294}"/>
                </c:ext>
              </c:extLst>
            </c:dLbl>
            <c:dLbl>
              <c:idx val="4"/>
              <c:layout>
                <c:manualLayout>
                  <c:x val="-1.33976420150055E-2"/>
                  <c:y val="0"/>
                </c:manualLayout>
              </c:layout>
              <c:tx>
                <c:rich>
                  <a:bodyPr/>
                  <a:lstStyle/>
                  <a:p>
                    <a:r>
                      <a:rPr lang="pt-BR"/>
                      <a:t>O </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246-744C-903B-F016B3705294}"/>
                </c:ext>
              </c:extLst>
            </c:dLbl>
            <c:dLbl>
              <c:idx val="5"/>
              <c:layout>
                <c:manualLayout>
                  <c:x val="-3.5846287903722601E-2"/>
                  <c:y val="-4.091582577104550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D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1.7416934619507E-2"/>
                      <c:h val="4.0787093695399498E-2"/>
                    </c:manualLayout>
                  </c15:layout>
                </c:ext>
                <c:ext xmlns:c16="http://schemas.microsoft.com/office/drawing/2014/chart" uri="{C3380CC4-5D6E-409C-BE32-E72D297353CC}">
                  <c16:uniqueId val="{00000005-E246-744C-903B-F016B3705294}"/>
                </c:ext>
              </c:extLst>
            </c:dLbl>
            <c:dLbl>
              <c:idx val="6"/>
              <c:layout>
                <c:manualLayout>
                  <c:x val="-4.0825674523803597E-2"/>
                  <c:y val="-4.1521386073075199E-2"/>
                </c:manualLayout>
              </c:layout>
              <c:tx>
                <c:rich>
                  <a:bodyPr/>
                  <a:lstStyle/>
                  <a:p>
                    <a:r>
                      <a:rPr lang="en-US"/>
                      <a:t>E </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E246-744C-903B-F016B3705294}"/>
                </c:ext>
              </c:extLst>
            </c:dLbl>
            <c:dLbl>
              <c:idx val="7"/>
              <c:layout>
                <c:manualLayout>
                  <c:x val="-3.7037037037037E-2"/>
                  <c:y val="-3.9682539682539701E-2"/>
                </c:manualLayout>
              </c:layout>
              <c:tx>
                <c:rich>
                  <a:bodyPr/>
                  <a:lstStyle/>
                  <a:p>
                    <a:r>
                      <a:rPr lang="hr-HR"/>
                      <a:t>H </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246-744C-903B-F016B3705294}"/>
                </c:ext>
              </c:extLst>
            </c:dLbl>
            <c:dLbl>
              <c:idx val="8"/>
              <c:layout>
                <c:manualLayout>
                  <c:x val="-1.6077170418006399E-2"/>
                  <c:y val="0"/>
                </c:manualLayout>
              </c:layout>
              <c:tx>
                <c:rich>
                  <a:bodyPr/>
                  <a:lstStyle/>
                  <a:p>
                    <a:r>
                      <a:rPr lang="en-US"/>
                      <a:t>R</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E246-744C-903B-F016B3705294}"/>
                </c:ext>
              </c:extLst>
            </c:dLbl>
            <c:dLbl>
              <c:idx val="9"/>
              <c:layout>
                <c:manualLayout>
                  <c:x val="-1.6077170418006399E-2"/>
                  <c:y val="-9.7751710654936392E-3"/>
                </c:manualLayout>
              </c:layout>
              <c:tx>
                <c:rich>
                  <a:bodyPr/>
                  <a:lstStyle/>
                  <a:p>
                    <a:r>
                      <a:rPr lang="en-US"/>
                      <a:t>L</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246-744C-903B-F016B3705294}"/>
                </c:ext>
              </c:extLst>
            </c:dLbl>
            <c:dLbl>
              <c:idx val="10"/>
              <c:layout>
                <c:manualLayout>
                  <c:x val="-5.35905680600215E-2"/>
                  <c:y val="-9.7751710654936392E-3"/>
                </c:manualLayout>
              </c:layout>
              <c:tx>
                <c:rich>
                  <a:bodyPr/>
                  <a:lstStyle/>
                  <a:p>
                    <a:r>
                      <a:rPr lang="en-US"/>
                      <a:t>B </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E246-744C-903B-F016B3705294}"/>
                </c:ext>
              </c:extLst>
            </c:dLbl>
            <c:dLbl>
              <c:idx val="11"/>
              <c:layout>
                <c:manualLayout>
                  <c:x val="-1.6077170418006399E-2"/>
                  <c:y val="-4.8875855327468699E-3"/>
                </c:manualLayout>
              </c:layout>
              <c:tx>
                <c:rich>
                  <a:bodyPr/>
                  <a:lstStyle/>
                  <a:p>
                    <a:r>
                      <a:rPr lang="en-US"/>
                      <a:t>C </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246-744C-903B-F016B37052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Sheet1!$A$2:$A$13</c:f>
              <c:numCache>
                <c:formatCode>General</c:formatCode>
                <c:ptCount val="12"/>
                <c:pt idx="0">
                  <c:v>2</c:v>
                </c:pt>
                <c:pt idx="1">
                  <c:v>6</c:v>
                </c:pt>
                <c:pt idx="2">
                  <c:v>7</c:v>
                </c:pt>
                <c:pt idx="3">
                  <c:v>8</c:v>
                </c:pt>
                <c:pt idx="4">
                  <c:v>9</c:v>
                </c:pt>
                <c:pt idx="5">
                  <c:v>11</c:v>
                </c:pt>
                <c:pt idx="6">
                  <c:v>12</c:v>
                </c:pt>
                <c:pt idx="7">
                  <c:v>12</c:v>
                </c:pt>
                <c:pt idx="8">
                  <c:v>14</c:v>
                </c:pt>
                <c:pt idx="9">
                  <c:v>15</c:v>
                </c:pt>
                <c:pt idx="10">
                  <c:v>17</c:v>
                </c:pt>
                <c:pt idx="11">
                  <c:v>18</c:v>
                </c:pt>
              </c:numCache>
            </c:numRef>
          </c:xVal>
          <c:yVal>
            <c:numRef>
              <c:f>Sheet1!$B$2:$B$13</c:f>
              <c:numCache>
                <c:formatCode>General</c:formatCode>
                <c:ptCount val="12"/>
                <c:pt idx="0">
                  <c:v>1</c:v>
                </c:pt>
                <c:pt idx="1">
                  <c:v>2</c:v>
                </c:pt>
                <c:pt idx="2">
                  <c:v>3</c:v>
                </c:pt>
                <c:pt idx="3">
                  <c:v>6</c:v>
                </c:pt>
                <c:pt idx="4">
                  <c:v>10</c:v>
                </c:pt>
                <c:pt idx="5">
                  <c:v>7</c:v>
                </c:pt>
                <c:pt idx="6">
                  <c:v>8</c:v>
                </c:pt>
                <c:pt idx="7">
                  <c:v>4</c:v>
                </c:pt>
                <c:pt idx="8">
                  <c:v>4</c:v>
                </c:pt>
                <c:pt idx="9">
                  <c:v>10</c:v>
                </c:pt>
                <c:pt idx="10">
                  <c:v>12</c:v>
                </c:pt>
                <c:pt idx="11">
                  <c:v>9</c:v>
                </c:pt>
              </c:numCache>
            </c:numRef>
          </c:yVal>
          <c:smooth val="0"/>
          <c:extLst>
            <c:ext xmlns:c16="http://schemas.microsoft.com/office/drawing/2014/chart" uri="{C3380CC4-5D6E-409C-BE32-E72D297353CC}">
              <c16:uniqueId val="{0000000D-E246-744C-903B-F016B3705294}"/>
            </c:ext>
          </c:extLst>
        </c:ser>
        <c:dLbls>
          <c:showLegendKey val="0"/>
          <c:showVal val="0"/>
          <c:showCatName val="0"/>
          <c:showSerName val="0"/>
          <c:showPercent val="0"/>
          <c:showBubbleSize val="0"/>
        </c:dLbls>
        <c:axId val="-340412976"/>
        <c:axId val="-380546384"/>
      </c:scatterChart>
      <c:valAx>
        <c:axId val="-34041297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a:t>
                </a:r>
                <a:r>
                  <a:rPr lang="en-US" b="1" baseline="0">
                    <a:solidFill>
                      <a:schemeClr val="tx1"/>
                    </a:solidFill>
                    <a:latin typeface="Times New Roman" panose="02020603050405020304" pitchFamily="18" charset="0"/>
                    <a:cs typeface="Times New Roman" panose="02020603050405020304" pitchFamily="18" charset="0"/>
                  </a:rPr>
                  <a:t> of prisons visited - rank</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0546384"/>
        <c:crosses val="autoZero"/>
        <c:crossBetween val="midCat"/>
      </c:valAx>
      <c:valAx>
        <c:axId val="-3805463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Interval</a:t>
                </a:r>
                <a:r>
                  <a:rPr lang="en-US" b="1" baseline="0">
                    <a:solidFill>
                      <a:schemeClr val="tx1"/>
                    </a:solidFill>
                    <a:latin typeface="Times New Roman" panose="02020603050405020304" pitchFamily="18" charset="0"/>
                    <a:cs typeface="Times New Roman" panose="02020603050405020304" pitchFamily="18" charset="0"/>
                  </a:rPr>
                  <a:t> between visits -rank</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04129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solidFill>
                  <a:schemeClr val="tx1"/>
                </a:solidFill>
                <a:latin typeface="Times New Roman" panose="02020603050405020304" pitchFamily="18" charset="0"/>
                <a:cs typeface="Times New Roman" panose="02020603050405020304" pitchFamily="18" charset="0"/>
              </a:rPr>
              <a:t>Figure 4: % prisons visited 2017 </a:t>
            </a:r>
          </a:p>
        </c:rich>
      </c:tx>
      <c:overlay val="0"/>
      <c:spPr>
        <a:noFill/>
        <a:ln>
          <a:solidFill>
            <a:schemeClr val="tx1"/>
          </a:solid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 prisons visited</c:v>
                </c:pt>
              </c:strCache>
            </c:strRef>
          </c:tx>
          <c:spPr>
            <a:solidFill>
              <a:schemeClr val="accent1"/>
            </a:solidFill>
            <a:ln>
              <a:noFill/>
            </a:ln>
            <a:effectLst/>
          </c:spPr>
          <c:invertIfNegative val="0"/>
          <c:cat>
            <c:strRef>
              <c:f>Sheet1!$A$2:$A$4</c:f>
              <c:strCache>
                <c:ptCount val="3"/>
                <c:pt idx="0">
                  <c:v>0 to 10</c:v>
                </c:pt>
                <c:pt idx="1">
                  <c:v>11 to 30</c:v>
                </c:pt>
                <c:pt idx="2">
                  <c:v>31 to 50+</c:v>
                </c:pt>
              </c:strCache>
            </c:strRef>
          </c:cat>
          <c:val>
            <c:numRef>
              <c:f>Sheet1!$B$2:$B$4</c:f>
              <c:numCache>
                <c:formatCode>General</c:formatCode>
                <c:ptCount val="3"/>
                <c:pt idx="0">
                  <c:v>5</c:v>
                </c:pt>
                <c:pt idx="1">
                  <c:v>4</c:v>
                </c:pt>
                <c:pt idx="2">
                  <c:v>9</c:v>
                </c:pt>
              </c:numCache>
            </c:numRef>
          </c:val>
          <c:extLst>
            <c:ext xmlns:c16="http://schemas.microsoft.com/office/drawing/2014/chart" uri="{C3380CC4-5D6E-409C-BE32-E72D297353CC}">
              <c16:uniqueId val="{00000000-806E-8240-875F-40A6AF0CA0C5}"/>
            </c:ext>
          </c:extLst>
        </c:ser>
        <c:dLbls>
          <c:showLegendKey val="0"/>
          <c:showVal val="0"/>
          <c:showCatName val="0"/>
          <c:showSerName val="0"/>
          <c:showPercent val="0"/>
          <c:showBubbleSize val="0"/>
        </c:dLbls>
        <c:gapWidth val="219"/>
        <c:overlap val="-27"/>
        <c:axId val="-349013344"/>
        <c:axId val="-362884992"/>
      </c:barChart>
      <c:catAx>
        <c:axId val="-34901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2884992"/>
        <c:crosses val="autoZero"/>
        <c:auto val="1"/>
        <c:lblAlgn val="ctr"/>
        <c:lblOffset val="100"/>
        <c:noMultiLvlLbl val="0"/>
      </c:catAx>
      <c:valAx>
        <c:axId val="-362884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Number</a:t>
                </a:r>
                <a:r>
                  <a:rPr lang="en-US" b="1" baseline="0">
                    <a:solidFill>
                      <a:schemeClr val="tx1"/>
                    </a:solidFill>
                    <a:latin typeface="Times New Roman" panose="02020603050405020304" pitchFamily="18" charset="0"/>
                    <a:cs typeface="Times New Roman" panose="02020603050405020304" pitchFamily="18" charset="0"/>
                  </a:rPr>
                  <a:t> of NPMs</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901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ln>
                  <a:solidFill>
                    <a:schemeClr val="tx1"/>
                  </a:solid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Figure 5:Average</a:t>
            </a:r>
            <a:r>
              <a:rPr lang="en-US" sz="1200" b="1"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ranking of factors determining visits schedule</a:t>
            </a:r>
            <a:endParaRPr lang="en-US" sz="1200" b="1"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c:rich>
      </c:tx>
      <c:overlay val="0"/>
      <c:spPr>
        <a:noFill/>
        <a:ln>
          <a:solidFill>
            <a:schemeClr val="tx1"/>
          </a:solidFill>
        </a:ln>
        <a:effectLst/>
      </c:spPr>
      <c:txPr>
        <a:bodyPr rot="0" spcFirstLastPara="1" vertOverflow="ellipsis" vert="horz" wrap="square" anchor="ctr" anchorCtr="1"/>
        <a:lstStyle/>
        <a:p>
          <a:pPr>
            <a:defRPr sz="1200" b="0" i="0" u="none" strike="noStrike" kern="1200" spc="0" baseline="0">
              <a:ln>
                <a:solidFill>
                  <a:schemeClr val="tx1"/>
                </a:solid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Sheet1!$A$2</c:f>
              <c:strCache>
                <c:ptCount val="1"/>
                <c:pt idx="0">
                  <c:v>Time since last visit</c:v>
                </c:pt>
              </c:strCache>
            </c:strRef>
          </c:tx>
          <c:spPr>
            <a:solidFill>
              <a:schemeClr val="accent1"/>
            </a:solidFill>
            <a:ln>
              <a:noFill/>
            </a:ln>
            <a:effectLst/>
          </c:spPr>
          <c:invertIfNegative val="0"/>
          <c:cat>
            <c:strRef>
              <c:f>Sheet1!$B$1:$E$1</c:f>
              <c:strCache>
                <c:ptCount val="4"/>
                <c:pt idx="0">
                  <c:v>Av.overall ranking</c:v>
                </c:pt>
                <c:pt idx="1">
                  <c:v>Sufficient resources</c:v>
                </c:pt>
                <c:pt idx="2">
                  <c:v>&lt;=5 personnel</c:v>
                </c:pt>
                <c:pt idx="3">
                  <c:v>&gt;=21 personnel</c:v>
                </c:pt>
              </c:strCache>
            </c:strRef>
          </c:cat>
          <c:val>
            <c:numRef>
              <c:f>Sheet1!$B$2:$E$2</c:f>
              <c:numCache>
                <c:formatCode>General</c:formatCode>
                <c:ptCount val="4"/>
                <c:pt idx="0">
                  <c:v>2.77</c:v>
                </c:pt>
                <c:pt idx="1">
                  <c:v>2.75</c:v>
                </c:pt>
                <c:pt idx="2">
                  <c:v>2.66</c:v>
                </c:pt>
                <c:pt idx="3">
                  <c:v>4</c:v>
                </c:pt>
              </c:numCache>
            </c:numRef>
          </c:val>
          <c:extLst>
            <c:ext xmlns:c16="http://schemas.microsoft.com/office/drawing/2014/chart" uri="{C3380CC4-5D6E-409C-BE32-E72D297353CC}">
              <c16:uniqueId val="{00000000-C924-EA49-B7CB-2C5ECE38C911}"/>
            </c:ext>
          </c:extLst>
        </c:ser>
        <c:ser>
          <c:idx val="1"/>
          <c:order val="1"/>
          <c:tx>
            <c:strRef>
              <c:f>Sheet1!$A$3</c:f>
              <c:strCache>
                <c:ptCount val="1"/>
                <c:pt idx="0">
                  <c:v>Concerns at last visit</c:v>
                </c:pt>
              </c:strCache>
            </c:strRef>
          </c:tx>
          <c:spPr>
            <a:solidFill>
              <a:schemeClr val="accent2"/>
            </a:solidFill>
            <a:ln>
              <a:noFill/>
            </a:ln>
            <a:effectLst/>
          </c:spPr>
          <c:invertIfNegative val="0"/>
          <c:cat>
            <c:strRef>
              <c:f>Sheet1!$B$1:$E$1</c:f>
              <c:strCache>
                <c:ptCount val="4"/>
                <c:pt idx="0">
                  <c:v>Av.overall ranking</c:v>
                </c:pt>
                <c:pt idx="1">
                  <c:v>Sufficient resources</c:v>
                </c:pt>
                <c:pt idx="2">
                  <c:v>&lt;=5 personnel</c:v>
                </c:pt>
                <c:pt idx="3">
                  <c:v>&gt;=21 personnel</c:v>
                </c:pt>
              </c:strCache>
            </c:strRef>
          </c:cat>
          <c:val>
            <c:numRef>
              <c:f>Sheet1!$B$3:$E$3</c:f>
              <c:numCache>
                <c:formatCode>General</c:formatCode>
                <c:ptCount val="4"/>
                <c:pt idx="0">
                  <c:v>3.61</c:v>
                </c:pt>
                <c:pt idx="1">
                  <c:v>4</c:v>
                </c:pt>
                <c:pt idx="2">
                  <c:v>3.66</c:v>
                </c:pt>
                <c:pt idx="3">
                  <c:v>4</c:v>
                </c:pt>
              </c:numCache>
            </c:numRef>
          </c:val>
          <c:extLst>
            <c:ext xmlns:c16="http://schemas.microsoft.com/office/drawing/2014/chart" uri="{C3380CC4-5D6E-409C-BE32-E72D297353CC}">
              <c16:uniqueId val="{00000001-C924-EA49-B7CB-2C5ECE38C911}"/>
            </c:ext>
          </c:extLst>
        </c:ser>
        <c:ser>
          <c:idx val="2"/>
          <c:order val="2"/>
          <c:tx>
            <c:strRef>
              <c:f>Sheet1!$A$4</c:f>
              <c:strCache>
                <c:ptCount val="1"/>
                <c:pt idx="0">
                  <c:v>Vulnerability of population</c:v>
                </c:pt>
              </c:strCache>
            </c:strRef>
          </c:tx>
          <c:spPr>
            <a:solidFill>
              <a:schemeClr val="accent3"/>
            </a:solidFill>
            <a:ln>
              <a:noFill/>
            </a:ln>
            <a:effectLst/>
          </c:spPr>
          <c:invertIfNegative val="0"/>
          <c:cat>
            <c:strRef>
              <c:f>Sheet1!$B$1:$E$1</c:f>
              <c:strCache>
                <c:ptCount val="4"/>
                <c:pt idx="0">
                  <c:v>Av.overall ranking</c:v>
                </c:pt>
                <c:pt idx="1">
                  <c:v>Sufficient resources</c:v>
                </c:pt>
                <c:pt idx="2">
                  <c:v>&lt;=5 personnel</c:v>
                </c:pt>
                <c:pt idx="3">
                  <c:v>&gt;=21 personnel</c:v>
                </c:pt>
              </c:strCache>
            </c:strRef>
          </c:cat>
          <c:val>
            <c:numRef>
              <c:f>Sheet1!$B$4:$E$4</c:f>
              <c:numCache>
                <c:formatCode>General</c:formatCode>
                <c:ptCount val="4"/>
                <c:pt idx="0">
                  <c:v>3.5</c:v>
                </c:pt>
                <c:pt idx="1">
                  <c:v>3.5</c:v>
                </c:pt>
                <c:pt idx="2">
                  <c:v>3.66</c:v>
                </c:pt>
                <c:pt idx="3">
                  <c:v>4</c:v>
                </c:pt>
              </c:numCache>
            </c:numRef>
          </c:val>
          <c:extLst>
            <c:ext xmlns:c16="http://schemas.microsoft.com/office/drawing/2014/chart" uri="{C3380CC4-5D6E-409C-BE32-E72D297353CC}">
              <c16:uniqueId val="{00000002-C924-EA49-B7CB-2C5ECE38C911}"/>
            </c:ext>
          </c:extLst>
        </c:ser>
        <c:ser>
          <c:idx val="3"/>
          <c:order val="3"/>
          <c:tx>
            <c:strRef>
              <c:f>Sheet1!$A$5</c:f>
              <c:strCache>
                <c:ptCount val="1"/>
                <c:pt idx="0">
                  <c:v>Information and intelligence</c:v>
                </c:pt>
              </c:strCache>
            </c:strRef>
          </c:tx>
          <c:spPr>
            <a:solidFill>
              <a:schemeClr val="accent4"/>
            </a:solidFill>
            <a:ln>
              <a:noFill/>
            </a:ln>
            <a:effectLst/>
          </c:spPr>
          <c:invertIfNegative val="0"/>
          <c:cat>
            <c:strRef>
              <c:f>Sheet1!$B$1:$E$1</c:f>
              <c:strCache>
                <c:ptCount val="4"/>
                <c:pt idx="0">
                  <c:v>Av.overall ranking</c:v>
                </c:pt>
                <c:pt idx="1">
                  <c:v>Sufficient resources</c:v>
                </c:pt>
                <c:pt idx="2">
                  <c:v>&lt;=5 personnel</c:v>
                </c:pt>
                <c:pt idx="3">
                  <c:v>&gt;=21 personnel</c:v>
                </c:pt>
              </c:strCache>
            </c:strRef>
          </c:cat>
          <c:val>
            <c:numRef>
              <c:f>Sheet1!$B$5:$E$5</c:f>
              <c:numCache>
                <c:formatCode>General</c:formatCode>
                <c:ptCount val="4"/>
                <c:pt idx="0">
                  <c:v>3.61</c:v>
                </c:pt>
                <c:pt idx="1">
                  <c:v>3.5</c:v>
                </c:pt>
                <c:pt idx="2">
                  <c:v>3.66</c:v>
                </c:pt>
                <c:pt idx="3">
                  <c:v>3.5</c:v>
                </c:pt>
              </c:numCache>
            </c:numRef>
          </c:val>
          <c:extLst>
            <c:ext xmlns:c16="http://schemas.microsoft.com/office/drawing/2014/chart" uri="{C3380CC4-5D6E-409C-BE32-E72D297353CC}">
              <c16:uniqueId val="{00000003-C924-EA49-B7CB-2C5ECE38C911}"/>
            </c:ext>
          </c:extLst>
        </c:ser>
        <c:ser>
          <c:idx val="4"/>
          <c:order val="4"/>
          <c:tx>
            <c:strRef>
              <c:f>Sheet1!$A$6</c:f>
              <c:strCache>
                <c:ptCount val="1"/>
                <c:pt idx="0">
                  <c:v>Other</c:v>
                </c:pt>
              </c:strCache>
            </c:strRef>
          </c:tx>
          <c:spPr>
            <a:solidFill>
              <a:schemeClr val="accent5"/>
            </a:solidFill>
            <a:ln>
              <a:noFill/>
            </a:ln>
            <a:effectLst/>
          </c:spPr>
          <c:invertIfNegative val="0"/>
          <c:cat>
            <c:strRef>
              <c:f>Sheet1!$B$1:$E$1</c:f>
              <c:strCache>
                <c:ptCount val="4"/>
                <c:pt idx="0">
                  <c:v>Av.overall ranking</c:v>
                </c:pt>
                <c:pt idx="1">
                  <c:v>Sufficient resources</c:v>
                </c:pt>
                <c:pt idx="2">
                  <c:v>&lt;=5 personnel</c:v>
                </c:pt>
                <c:pt idx="3">
                  <c:v>&gt;=21 personnel</c:v>
                </c:pt>
              </c:strCache>
            </c:strRef>
          </c:cat>
          <c:val>
            <c:numRef>
              <c:f>Sheet1!$B$6:$E$6</c:f>
              <c:numCache>
                <c:formatCode>General</c:formatCode>
                <c:ptCount val="4"/>
                <c:pt idx="0">
                  <c:v>0.67</c:v>
                </c:pt>
                <c:pt idx="1">
                  <c:v>2.25</c:v>
                </c:pt>
                <c:pt idx="2">
                  <c:v>1.1599999999999999</c:v>
                </c:pt>
                <c:pt idx="3">
                  <c:v>1</c:v>
                </c:pt>
              </c:numCache>
            </c:numRef>
          </c:val>
          <c:extLst>
            <c:ext xmlns:c16="http://schemas.microsoft.com/office/drawing/2014/chart" uri="{C3380CC4-5D6E-409C-BE32-E72D297353CC}">
              <c16:uniqueId val="{00000004-C924-EA49-B7CB-2C5ECE38C911}"/>
            </c:ext>
          </c:extLst>
        </c:ser>
        <c:dLbls>
          <c:showLegendKey val="0"/>
          <c:showVal val="0"/>
          <c:showCatName val="0"/>
          <c:showSerName val="0"/>
          <c:showPercent val="0"/>
          <c:showBubbleSize val="0"/>
        </c:dLbls>
        <c:gapWidth val="219"/>
        <c:overlap val="-27"/>
        <c:axId val="-377918160"/>
        <c:axId val="-340655840"/>
      </c:barChart>
      <c:catAx>
        <c:axId val="-37791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0655840"/>
        <c:crosses val="autoZero"/>
        <c:auto val="1"/>
        <c:lblAlgn val="ctr"/>
        <c:lblOffset val="100"/>
        <c:noMultiLvlLbl val="0"/>
      </c:catAx>
      <c:valAx>
        <c:axId val="-340655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Overall</a:t>
                </a:r>
                <a:r>
                  <a:rPr lang="en-US" b="1" baseline="0">
                    <a:latin typeface="Times New Roman" panose="02020603050405020304" pitchFamily="18" charset="0"/>
                    <a:cs typeface="Times New Roman" panose="02020603050405020304" pitchFamily="18" charset="0"/>
                  </a:rPr>
                  <a:t> average ranking</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791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chemeClr val="tx1"/>
                </a:solidFill>
                <a:latin typeface="Times New Roman" panose="02020603050405020304" pitchFamily="18" charset="0"/>
                <a:cs typeface="Times New Roman" panose="02020603050405020304" pitchFamily="18" charset="0"/>
              </a:rPr>
              <a:t>Figure</a:t>
            </a:r>
            <a:r>
              <a:rPr lang="en-US" sz="1000" b="1" baseline="0">
                <a:solidFill>
                  <a:schemeClr val="tx1"/>
                </a:solidFill>
                <a:latin typeface="Times New Roman" panose="02020603050405020304" pitchFamily="18" charset="0"/>
                <a:cs typeface="Times New Roman" panose="02020603050405020304" pitchFamily="18" charset="0"/>
              </a:rPr>
              <a:t> 9: Regularity and NPM type</a:t>
            </a:r>
            <a:endParaRPr lang="en-US" sz="1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134902254865199"/>
          <c:y val="2.7932960893854799E-2"/>
        </c:manualLayout>
      </c:layout>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New body</c:v>
                </c:pt>
              </c:strCache>
            </c:strRef>
          </c:tx>
          <c:spPr>
            <a:solidFill>
              <a:schemeClr val="accent1"/>
            </a:solidFill>
            <a:ln>
              <a:noFill/>
            </a:ln>
            <a:effectLst/>
          </c:spPr>
          <c:invertIfNegative val="0"/>
          <c:cat>
            <c:strRef>
              <c:f>Sheet1!$A$2:$A$4</c:f>
              <c:strCache>
                <c:ptCount val="3"/>
                <c:pt idx="0">
                  <c:v>0 to 10</c:v>
                </c:pt>
                <c:pt idx="1">
                  <c:v>11 to 30</c:v>
                </c:pt>
                <c:pt idx="2">
                  <c:v>30 plus</c:v>
                </c:pt>
              </c:strCache>
            </c:strRef>
          </c:cat>
          <c:val>
            <c:numRef>
              <c:f>Sheet1!$B$2:$B$4</c:f>
              <c:numCache>
                <c:formatCode>General</c:formatCode>
                <c:ptCount val="3"/>
                <c:pt idx="0">
                  <c:v>2</c:v>
                </c:pt>
                <c:pt idx="1">
                  <c:v>1</c:v>
                </c:pt>
                <c:pt idx="2">
                  <c:v>0</c:v>
                </c:pt>
              </c:numCache>
            </c:numRef>
          </c:val>
          <c:extLst>
            <c:ext xmlns:c16="http://schemas.microsoft.com/office/drawing/2014/chart" uri="{C3380CC4-5D6E-409C-BE32-E72D297353CC}">
              <c16:uniqueId val="{00000000-CBC1-1247-A825-C38B0FB6CF6C}"/>
            </c:ext>
          </c:extLst>
        </c:ser>
        <c:ser>
          <c:idx val="1"/>
          <c:order val="1"/>
          <c:tx>
            <c:strRef>
              <c:f>Sheet1!$C$1</c:f>
              <c:strCache>
                <c:ptCount val="1"/>
                <c:pt idx="0">
                  <c:v>NHRI/Omb</c:v>
                </c:pt>
              </c:strCache>
            </c:strRef>
          </c:tx>
          <c:spPr>
            <a:solidFill>
              <a:schemeClr val="accent2"/>
            </a:solidFill>
            <a:ln>
              <a:noFill/>
            </a:ln>
            <a:effectLst/>
          </c:spPr>
          <c:invertIfNegative val="0"/>
          <c:cat>
            <c:strRef>
              <c:f>Sheet1!$A$2:$A$4</c:f>
              <c:strCache>
                <c:ptCount val="3"/>
                <c:pt idx="0">
                  <c:v>0 to 10</c:v>
                </c:pt>
                <c:pt idx="1">
                  <c:v>11 to 30</c:v>
                </c:pt>
                <c:pt idx="2">
                  <c:v>30 plus</c:v>
                </c:pt>
              </c:strCache>
            </c:strRef>
          </c:cat>
          <c:val>
            <c:numRef>
              <c:f>Sheet1!$C$2:$C$4</c:f>
              <c:numCache>
                <c:formatCode>General</c:formatCode>
                <c:ptCount val="3"/>
                <c:pt idx="0">
                  <c:v>5</c:v>
                </c:pt>
                <c:pt idx="1">
                  <c:v>2</c:v>
                </c:pt>
                <c:pt idx="2">
                  <c:v>4</c:v>
                </c:pt>
              </c:numCache>
            </c:numRef>
          </c:val>
          <c:extLst>
            <c:ext xmlns:c16="http://schemas.microsoft.com/office/drawing/2014/chart" uri="{C3380CC4-5D6E-409C-BE32-E72D297353CC}">
              <c16:uniqueId val="{00000001-CBC1-1247-A825-C38B0FB6CF6C}"/>
            </c:ext>
          </c:extLst>
        </c:ser>
        <c:ser>
          <c:idx val="2"/>
          <c:order val="2"/>
          <c:tx>
            <c:strRef>
              <c:f>Sheet1!$D$1</c:f>
              <c:strCache>
                <c:ptCount val="1"/>
                <c:pt idx="0">
                  <c:v>Omb+</c:v>
                </c:pt>
              </c:strCache>
            </c:strRef>
          </c:tx>
          <c:spPr>
            <a:solidFill>
              <a:schemeClr val="accent3"/>
            </a:solidFill>
            <a:ln>
              <a:noFill/>
            </a:ln>
            <a:effectLst/>
          </c:spPr>
          <c:invertIfNegative val="0"/>
          <c:cat>
            <c:strRef>
              <c:f>Sheet1!$A$2:$A$4</c:f>
              <c:strCache>
                <c:ptCount val="3"/>
                <c:pt idx="0">
                  <c:v>0 to 10</c:v>
                </c:pt>
                <c:pt idx="1">
                  <c:v>11 to 30</c:v>
                </c:pt>
                <c:pt idx="2">
                  <c:v>30 plus</c:v>
                </c:pt>
              </c:strCache>
            </c:strRef>
          </c:cat>
          <c:val>
            <c:numRef>
              <c:f>Sheet1!$D$2:$D$4</c:f>
              <c:numCache>
                <c:formatCode>General</c:formatCode>
                <c:ptCount val="3"/>
                <c:pt idx="0">
                  <c:v>0</c:v>
                </c:pt>
                <c:pt idx="1">
                  <c:v>1</c:v>
                </c:pt>
                <c:pt idx="2">
                  <c:v>2</c:v>
                </c:pt>
              </c:numCache>
            </c:numRef>
          </c:val>
          <c:extLst>
            <c:ext xmlns:c16="http://schemas.microsoft.com/office/drawing/2014/chart" uri="{C3380CC4-5D6E-409C-BE32-E72D297353CC}">
              <c16:uniqueId val="{00000002-CBC1-1247-A825-C38B0FB6CF6C}"/>
            </c:ext>
          </c:extLst>
        </c:ser>
        <c:ser>
          <c:idx val="3"/>
          <c:order val="3"/>
          <c:tx>
            <c:strRef>
              <c:f>Sheet1!$E$1</c:f>
              <c:strCache>
                <c:ptCount val="1"/>
                <c:pt idx="0">
                  <c:v>Multi-body</c:v>
                </c:pt>
              </c:strCache>
            </c:strRef>
          </c:tx>
          <c:spPr>
            <a:solidFill>
              <a:schemeClr val="accent4"/>
            </a:solidFill>
            <a:ln>
              <a:noFill/>
            </a:ln>
            <a:effectLst/>
          </c:spPr>
          <c:invertIfNegative val="0"/>
          <c:cat>
            <c:strRef>
              <c:f>Sheet1!$A$2:$A$4</c:f>
              <c:strCache>
                <c:ptCount val="3"/>
                <c:pt idx="0">
                  <c:v>0 to 10</c:v>
                </c:pt>
                <c:pt idx="1">
                  <c:v>11 to 30</c:v>
                </c:pt>
                <c:pt idx="2">
                  <c:v>30 plus</c:v>
                </c:pt>
              </c:strCache>
            </c:strRef>
          </c:cat>
          <c:val>
            <c:numRef>
              <c:f>Sheet1!$E$2:$E$4</c:f>
              <c:numCache>
                <c:formatCode>General</c:formatCode>
                <c:ptCount val="3"/>
                <c:pt idx="0">
                  <c:v>0</c:v>
                </c:pt>
                <c:pt idx="1">
                  <c:v>0</c:v>
                </c:pt>
                <c:pt idx="2">
                  <c:v>1</c:v>
                </c:pt>
              </c:numCache>
            </c:numRef>
          </c:val>
          <c:extLst>
            <c:ext xmlns:c16="http://schemas.microsoft.com/office/drawing/2014/chart" uri="{C3380CC4-5D6E-409C-BE32-E72D297353CC}">
              <c16:uniqueId val="{00000003-CBC1-1247-A825-C38B0FB6CF6C}"/>
            </c:ext>
          </c:extLst>
        </c:ser>
        <c:dLbls>
          <c:showLegendKey val="0"/>
          <c:showVal val="0"/>
          <c:showCatName val="0"/>
          <c:showSerName val="0"/>
          <c:showPercent val="0"/>
          <c:showBubbleSize val="0"/>
        </c:dLbls>
        <c:gapWidth val="219"/>
        <c:overlap val="-27"/>
        <c:axId val="-365388128"/>
        <c:axId val="-348908752"/>
      </c:barChart>
      <c:catAx>
        <c:axId val="-365388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a:t>
                </a:r>
                <a:r>
                  <a:rPr lang="en-US" b="1" baseline="0">
                    <a:solidFill>
                      <a:schemeClr val="tx1"/>
                    </a:solidFill>
                    <a:latin typeface="Times New Roman" panose="02020603050405020304" pitchFamily="18" charset="0"/>
                    <a:cs typeface="Times New Roman" panose="02020603050405020304" pitchFamily="18" charset="0"/>
                  </a:rPr>
                  <a:t> of prisons visited</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8908752"/>
        <c:crosses val="autoZero"/>
        <c:auto val="1"/>
        <c:lblAlgn val="ctr"/>
        <c:lblOffset val="100"/>
        <c:noMultiLvlLbl val="0"/>
      </c:catAx>
      <c:valAx>
        <c:axId val="-348908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Number</a:t>
                </a:r>
                <a:r>
                  <a:rPr lang="en-US" b="1" baseline="0">
                    <a:solidFill>
                      <a:schemeClr val="tx1"/>
                    </a:solidFill>
                    <a:latin typeface="Times New Roman" panose="02020603050405020304" pitchFamily="18" charset="0"/>
                    <a:cs typeface="Times New Roman" panose="02020603050405020304" pitchFamily="18" charset="0"/>
                  </a:rPr>
                  <a:t> of NPMs</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5388128"/>
        <c:crosses val="autoZero"/>
        <c:crossBetween val="between"/>
      </c:valAx>
      <c:spPr>
        <a:noFill/>
        <a:ln>
          <a:noFill/>
        </a:ln>
        <a:effectLst/>
      </c:spPr>
    </c:plotArea>
    <c:legend>
      <c:legendPos val="r"/>
      <c:overlay val="0"/>
      <c:spPr>
        <a:noFill/>
        <a:ln>
          <a:solidFill>
            <a:schemeClr val="tx1"/>
          </a:solid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chemeClr val="tx1"/>
                </a:solidFill>
                <a:latin typeface="Times New Roman" panose="02020603050405020304" pitchFamily="18" charset="0"/>
                <a:cs typeface="Times New Roman" panose="02020603050405020304" pitchFamily="18" charset="0"/>
              </a:rPr>
              <a:t>Figure 10:</a:t>
            </a:r>
            <a:r>
              <a:rPr lang="en-US" sz="1000" b="1" baseline="0">
                <a:solidFill>
                  <a:schemeClr val="tx1"/>
                </a:solidFill>
                <a:latin typeface="Times New Roman" panose="02020603050405020304" pitchFamily="18" charset="0"/>
                <a:cs typeface="Times New Roman" panose="02020603050405020304" pitchFamily="18" charset="0"/>
              </a:rPr>
              <a:t> </a:t>
            </a:r>
            <a:r>
              <a:rPr lang="en-US" sz="1000" b="1">
                <a:solidFill>
                  <a:schemeClr val="tx1"/>
                </a:solidFill>
                <a:latin typeface="Times New Roman" panose="02020603050405020304" pitchFamily="18" charset="0"/>
                <a:cs typeface="Times New Roman" panose="02020603050405020304" pitchFamily="18" charset="0"/>
              </a:rPr>
              <a:t>Regularity and date NPM designated</a:t>
            </a:r>
          </a:p>
        </c:rich>
      </c:tx>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Pre 2010</c:v>
                </c:pt>
              </c:strCache>
            </c:strRef>
          </c:tx>
          <c:spPr>
            <a:solidFill>
              <a:schemeClr val="accent1"/>
            </a:solidFill>
            <a:ln>
              <a:noFill/>
            </a:ln>
            <a:effectLst/>
          </c:spPr>
          <c:invertIfNegative val="0"/>
          <c:cat>
            <c:strRef>
              <c:f>Sheet1!$B$1:$D$1</c:f>
              <c:strCache>
                <c:ptCount val="3"/>
                <c:pt idx="0">
                  <c:v>0 to 10</c:v>
                </c:pt>
                <c:pt idx="1">
                  <c:v>11 to 30</c:v>
                </c:pt>
                <c:pt idx="2">
                  <c:v>30 plus</c:v>
                </c:pt>
              </c:strCache>
            </c:strRef>
          </c:cat>
          <c:val>
            <c:numRef>
              <c:f>Sheet1!$B$2:$D$2</c:f>
              <c:numCache>
                <c:formatCode>General</c:formatCode>
                <c:ptCount val="3"/>
                <c:pt idx="0">
                  <c:v>6</c:v>
                </c:pt>
                <c:pt idx="1">
                  <c:v>0</c:v>
                </c:pt>
                <c:pt idx="2">
                  <c:v>4</c:v>
                </c:pt>
              </c:numCache>
            </c:numRef>
          </c:val>
          <c:extLst>
            <c:ext xmlns:c16="http://schemas.microsoft.com/office/drawing/2014/chart" uri="{C3380CC4-5D6E-409C-BE32-E72D297353CC}">
              <c16:uniqueId val="{00000000-2912-5244-A2F6-04481F98EFB2}"/>
            </c:ext>
          </c:extLst>
        </c:ser>
        <c:ser>
          <c:idx val="1"/>
          <c:order val="1"/>
          <c:tx>
            <c:strRef>
              <c:f>Sheet1!$A$3</c:f>
              <c:strCache>
                <c:ptCount val="1"/>
                <c:pt idx="0">
                  <c:v>Post 2009</c:v>
                </c:pt>
              </c:strCache>
            </c:strRef>
          </c:tx>
          <c:spPr>
            <a:solidFill>
              <a:schemeClr val="accent2"/>
            </a:solidFill>
            <a:ln>
              <a:noFill/>
            </a:ln>
            <a:effectLst/>
          </c:spPr>
          <c:invertIfNegative val="0"/>
          <c:cat>
            <c:strRef>
              <c:f>Sheet1!$B$1:$D$1</c:f>
              <c:strCache>
                <c:ptCount val="3"/>
                <c:pt idx="0">
                  <c:v>0 to 10</c:v>
                </c:pt>
                <c:pt idx="1">
                  <c:v>11 to 30</c:v>
                </c:pt>
                <c:pt idx="2">
                  <c:v>30 plus</c:v>
                </c:pt>
              </c:strCache>
            </c:strRef>
          </c:cat>
          <c:val>
            <c:numRef>
              <c:f>Sheet1!$B$3:$D$3</c:f>
              <c:numCache>
                <c:formatCode>General</c:formatCode>
                <c:ptCount val="3"/>
                <c:pt idx="0">
                  <c:v>1</c:v>
                </c:pt>
                <c:pt idx="1">
                  <c:v>4</c:v>
                </c:pt>
                <c:pt idx="2">
                  <c:v>3</c:v>
                </c:pt>
              </c:numCache>
            </c:numRef>
          </c:val>
          <c:extLst>
            <c:ext xmlns:c16="http://schemas.microsoft.com/office/drawing/2014/chart" uri="{C3380CC4-5D6E-409C-BE32-E72D297353CC}">
              <c16:uniqueId val="{00000001-2912-5244-A2F6-04481F98EFB2}"/>
            </c:ext>
          </c:extLst>
        </c:ser>
        <c:dLbls>
          <c:showLegendKey val="0"/>
          <c:showVal val="0"/>
          <c:showCatName val="0"/>
          <c:showSerName val="0"/>
          <c:showPercent val="0"/>
          <c:showBubbleSize val="0"/>
        </c:dLbls>
        <c:gapWidth val="150"/>
        <c:axId val="-365446896"/>
        <c:axId val="-349119856"/>
      </c:barChart>
      <c:catAx>
        <c:axId val="-365446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a:t>
                </a:r>
                <a:r>
                  <a:rPr lang="en-US" b="1" baseline="0">
                    <a:solidFill>
                      <a:schemeClr val="tx1"/>
                    </a:solidFill>
                    <a:latin typeface="Times New Roman" panose="02020603050405020304" pitchFamily="18" charset="0"/>
                    <a:cs typeface="Times New Roman" panose="02020603050405020304" pitchFamily="18" charset="0"/>
                  </a:rPr>
                  <a:t> of prisons visited</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9119856"/>
        <c:crosses val="autoZero"/>
        <c:auto val="1"/>
        <c:lblAlgn val="ctr"/>
        <c:lblOffset val="100"/>
        <c:noMultiLvlLbl val="0"/>
      </c:catAx>
      <c:valAx>
        <c:axId val="-349119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Number of NPMs</a:t>
                </a:r>
              </a:p>
            </c:rich>
          </c:tx>
          <c:layout>
            <c:manualLayout>
              <c:xMode val="edge"/>
              <c:yMode val="edge"/>
              <c:x val="4.6554934823091303E-2"/>
              <c:y val="0.2859094587413479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5446896"/>
        <c:crosses val="autoZero"/>
        <c:crossBetween val="between"/>
      </c:valAx>
      <c:spPr>
        <a:noFill/>
        <a:ln>
          <a:noFill/>
        </a:ln>
        <a:effectLst/>
      </c:spPr>
    </c:plotArea>
    <c:legend>
      <c:legendPos val="r"/>
      <c:overlay val="0"/>
      <c:spPr>
        <a:noFill/>
        <a:ln>
          <a:solidFill>
            <a:schemeClr val="tx1"/>
          </a:solidFill>
        </a:ln>
        <a:effectLst/>
      </c:spPr>
      <c:txPr>
        <a:bodyPr rot="0" spcFirstLastPara="1" vertOverflow="ellipsis" vert="horz" wrap="square" anchor="ctr" anchorCtr="1"/>
        <a:lstStyle/>
        <a:p>
          <a:pPr>
            <a:defRPr sz="900" b="1" i="0" u="none" strike="noStrike" kern="1200" baseline="0">
              <a:ln>
                <a:solidFill>
                  <a:schemeClr val="tx1"/>
                </a:solidFill>
              </a:ln>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Figure 7: Average</a:t>
            </a:r>
            <a:r>
              <a:rPr lang="en-US" sz="1200" b="1" baseline="0">
                <a:solidFill>
                  <a:schemeClr val="tx1"/>
                </a:solidFill>
                <a:latin typeface="Times New Roman" panose="02020603050405020304" pitchFamily="18" charset="0"/>
                <a:cs typeface="Times New Roman" panose="02020603050405020304" pitchFamily="18" charset="0"/>
              </a:rPr>
              <a:t> number of personnel days/visit with % of prisons visited </a:t>
            </a:r>
            <a:endParaRPr lang="en-US" sz="1200" b="1">
              <a:ln>
                <a:solidFill>
                  <a:schemeClr val="tx1"/>
                </a:solidFill>
              </a:ln>
              <a:solidFill>
                <a:schemeClr val="tx1"/>
              </a:solidFill>
              <a:latin typeface="Times New Roman" panose="02020603050405020304" pitchFamily="18" charset="0"/>
              <a:cs typeface="Times New Roman" panose="02020603050405020304" pitchFamily="18" charset="0"/>
            </a:endParaRPr>
          </a:p>
        </c:rich>
      </c:tx>
      <c:overlay val="0"/>
      <c:spPr>
        <a:noFill/>
        <a:ln>
          <a:solidFill>
            <a:schemeClr val="tx1"/>
          </a:solid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tx>
            <c:strRef>
              <c:f>Sheet1!$B$1</c:f>
              <c:strCache>
                <c:ptCount val="1"/>
                <c:pt idx="0">
                  <c:v>Av. Personnel days /visit</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1.1574074074074099E-2"/>
                  <c:y val="7.9365079365079395E-3"/>
                </c:manualLayout>
              </c:layout>
              <c:tx>
                <c:rich>
                  <a:bodyPr/>
                  <a:lstStyle/>
                  <a:p>
                    <a:r>
                      <a:rPr lang="en-US"/>
                      <a:t>P</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4B-EC4E-BEE6-CD8BAAD4FA78}"/>
                </c:ext>
              </c:extLst>
            </c:dLbl>
            <c:dLbl>
              <c:idx val="1"/>
              <c:layout>
                <c:manualLayout>
                  <c:x val="-4.6296296296296301E-2"/>
                  <c:y val="-1.4550096466308601E-16"/>
                </c:manualLayout>
              </c:layout>
              <c:tx>
                <c:rich>
                  <a:bodyPr/>
                  <a:lstStyle/>
                  <a:p>
                    <a:r>
                      <a:rPr lang="fr-FR"/>
                      <a:t>Q</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4B-EC4E-BEE6-CD8BAAD4FA78}"/>
                </c:ext>
              </c:extLst>
            </c:dLbl>
            <c:dLbl>
              <c:idx val="2"/>
              <c:layout>
                <c:manualLayout>
                  <c:x val="-3.9351851851851798E-2"/>
                  <c:y val="-3.57142857142859E-2"/>
                </c:manualLayout>
              </c:layout>
              <c:tx>
                <c:rich>
                  <a:bodyPr/>
                  <a:lstStyle/>
                  <a:p>
                    <a:r>
                      <a:rPr lang="en-US"/>
                      <a:t>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4B-EC4E-BEE6-CD8BAAD4FA78}"/>
                </c:ext>
              </c:extLst>
            </c:dLbl>
            <c:dLbl>
              <c:idx val="3"/>
              <c:layout>
                <c:manualLayout>
                  <c:x val="-9.2592592592592605E-3"/>
                  <c:y val="7.2750482331543399E-17"/>
                </c:manualLayout>
              </c:layout>
              <c:tx>
                <c:rich>
                  <a:bodyPr/>
                  <a:lstStyle/>
                  <a:p>
                    <a:r>
                      <a:rPr lang="en-US"/>
                      <a:t>F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4B-EC4E-BEE6-CD8BAAD4FA78}"/>
                </c:ext>
              </c:extLst>
            </c:dLbl>
            <c:dLbl>
              <c:idx val="5"/>
              <c:layout>
                <c:manualLayout>
                  <c:x val="-9.2592592592593004E-3"/>
                  <c:y val="-3.1746031746031897E-2"/>
                </c:manualLayout>
              </c:layout>
              <c:tx>
                <c:rich>
                  <a:bodyPr/>
                  <a:lstStyle/>
                  <a:p>
                    <a:r>
                      <a:rPr lang="en-US"/>
                      <a:t>G</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4B-EC4E-BEE6-CD8BAAD4FA78}"/>
                </c:ext>
              </c:extLst>
            </c:dLbl>
            <c:dLbl>
              <c:idx val="6"/>
              <c:layout>
                <c:manualLayout>
                  <c:x val="-1.1574074074074099E-2"/>
                  <c:y val="-1.58730158730159E-2"/>
                </c:manualLayout>
              </c:layout>
              <c:tx>
                <c:rich>
                  <a:bodyPr/>
                  <a:lstStyle/>
                  <a:p>
                    <a:r>
                      <a:rPr lang="en-US"/>
                      <a:t>M</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4B-EC4E-BEE6-CD8BAAD4FA78}"/>
                </c:ext>
              </c:extLst>
            </c:dLbl>
            <c:dLbl>
              <c:idx val="7"/>
              <c:layout>
                <c:manualLayout>
                  <c:x val="-6.9444444444444397E-3"/>
                  <c:y val="-2.7777777777777901E-2"/>
                </c:manualLayout>
              </c:layout>
              <c:tx>
                <c:rich>
                  <a:bodyPr/>
                  <a:lstStyle/>
                  <a:p>
                    <a:r>
                      <a:rPr lang="pt-BR"/>
                      <a:t>O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4B-EC4E-BEE6-CD8BAAD4FA78}"/>
                </c:ext>
              </c:extLst>
            </c:dLbl>
            <c:dLbl>
              <c:idx val="8"/>
              <c:layout>
                <c:manualLayout>
                  <c:x val="-4.62962962962971E-3"/>
                  <c:y val="-7.9365079365079395E-3"/>
                </c:manualLayout>
              </c:layout>
              <c:tx>
                <c:rich>
                  <a:bodyPr/>
                  <a:lstStyle/>
                  <a:p>
                    <a:r>
                      <a:rPr lang="en-US"/>
                      <a:t>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4B-EC4E-BEE6-CD8BAAD4FA78}"/>
                </c:ext>
              </c:extLst>
            </c:dLbl>
            <c:dLbl>
              <c:idx val="9"/>
              <c:layout>
                <c:manualLayout>
                  <c:x val="-5.2083333333333398E-2"/>
                  <c:y val="-4.1666822897137898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D</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3657407407407399E-2"/>
                      <c:h val="2.51787276590426E-2"/>
                    </c:manualLayout>
                  </c15:layout>
                </c:ext>
                <c:ext xmlns:c16="http://schemas.microsoft.com/office/drawing/2014/chart" uri="{C3380CC4-5D6E-409C-BE32-E72D297353CC}">
                  <c16:uniqueId val="{00000008-C54B-EC4E-BEE6-CD8BAAD4FA78}"/>
                </c:ext>
              </c:extLst>
            </c:dLbl>
            <c:dLbl>
              <c:idx val="10"/>
              <c:layout>
                <c:manualLayout>
                  <c:x val="-2.0833333333333301E-2"/>
                  <c:y val="3.1746031746031599E-2"/>
                </c:manualLayout>
              </c:layout>
              <c:tx>
                <c:rich>
                  <a:bodyPr/>
                  <a:lstStyle/>
                  <a:p>
                    <a:r>
                      <a:rPr lang="en-US"/>
                      <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4B-EC4E-BEE6-CD8BAAD4FA78}"/>
                </c:ext>
              </c:extLst>
            </c:dLbl>
            <c:dLbl>
              <c:idx val="11"/>
              <c:layout>
                <c:manualLayout>
                  <c:x val="-9.2592592592593507E-3"/>
                  <c:y val="-1.58730158730159E-2"/>
                </c:manualLayout>
              </c:layout>
              <c:tx>
                <c:rich>
                  <a:bodyPr/>
                  <a:lstStyle/>
                  <a:p>
                    <a:r>
                      <a:rPr lang="en-US"/>
                      <a:t>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54B-EC4E-BEE6-CD8BAAD4FA78}"/>
                </c:ext>
              </c:extLst>
            </c:dLbl>
            <c:dLbl>
              <c:idx val="12"/>
              <c:layout>
                <c:manualLayout>
                  <c:x val="-4.62962962962971E-3"/>
                  <c:y val="0"/>
                </c:manualLayout>
              </c:layout>
              <c:tx>
                <c:rich>
                  <a:bodyPr/>
                  <a:lstStyle/>
                  <a:p>
                    <a:r>
                      <a:rPr lang="en-US"/>
                      <a:t>R</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54B-EC4E-BEE6-CD8BAAD4FA78}"/>
                </c:ext>
              </c:extLst>
            </c:dLbl>
            <c:dLbl>
              <c:idx val="13"/>
              <c:layout>
                <c:manualLayout>
                  <c:x val="-6.9444444444444397E-3"/>
                  <c:y val="-2.3809523809523999E-2"/>
                </c:manualLayout>
              </c:layout>
              <c:tx>
                <c:rich>
                  <a:bodyPr/>
                  <a:lstStyle/>
                  <a:p>
                    <a:r>
                      <a:rPr lang="en-US"/>
                      <a:t>L</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54B-EC4E-BEE6-CD8BAAD4FA78}"/>
                </c:ext>
              </c:extLst>
            </c:dLbl>
            <c:dLbl>
              <c:idx val="14"/>
              <c:layout>
                <c:manualLayout>
                  <c:x val="-6.9444444444444397E-3"/>
                  <c:y val="-7.2750482331543399E-17"/>
                </c:manualLayout>
              </c:layout>
              <c:tx>
                <c:rich>
                  <a:bodyPr/>
                  <a:lstStyle/>
                  <a:p>
                    <a:r>
                      <a:rPr lang="en-US"/>
                      <a:t>J</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54B-EC4E-BEE6-CD8BAAD4FA7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Sheet1!$A$2:$A$16</c:f>
              <c:numCache>
                <c:formatCode>General</c:formatCode>
                <c:ptCount val="15"/>
                <c:pt idx="0">
                  <c:v>2</c:v>
                </c:pt>
                <c:pt idx="1">
                  <c:v>2</c:v>
                </c:pt>
                <c:pt idx="2">
                  <c:v>3</c:v>
                </c:pt>
                <c:pt idx="3">
                  <c:v>7</c:v>
                </c:pt>
                <c:pt idx="4">
                  <c:v>8</c:v>
                </c:pt>
                <c:pt idx="5">
                  <c:v>9</c:v>
                </c:pt>
                <c:pt idx="6">
                  <c:v>12</c:v>
                </c:pt>
                <c:pt idx="7">
                  <c:v>17</c:v>
                </c:pt>
                <c:pt idx="8">
                  <c:v>22</c:v>
                </c:pt>
                <c:pt idx="9">
                  <c:v>30</c:v>
                </c:pt>
                <c:pt idx="10">
                  <c:v>33</c:v>
                </c:pt>
                <c:pt idx="11">
                  <c:v>33</c:v>
                </c:pt>
                <c:pt idx="12">
                  <c:v>37</c:v>
                </c:pt>
                <c:pt idx="13">
                  <c:v>38</c:v>
                </c:pt>
                <c:pt idx="14">
                  <c:v>50</c:v>
                </c:pt>
              </c:numCache>
            </c:numRef>
          </c:xVal>
          <c:yVal>
            <c:numRef>
              <c:f>Sheet1!$B$2:$B$16</c:f>
              <c:numCache>
                <c:formatCode>General</c:formatCode>
                <c:ptCount val="15"/>
                <c:pt idx="0">
                  <c:v>3.8</c:v>
                </c:pt>
                <c:pt idx="1">
                  <c:v>7.2</c:v>
                </c:pt>
                <c:pt idx="2">
                  <c:v>10</c:v>
                </c:pt>
                <c:pt idx="3">
                  <c:v>26.64</c:v>
                </c:pt>
                <c:pt idx="5">
                  <c:v>16.71</c:v>
                </c:pt>
                <c:pt idx="6">
                  <c:v>2.34</c:v>
                </c:pt>
                <c:pt idx="7">
                  <c:v>19.010000000000009</c:v>
                </c:pt>
                <c:pt idx="8">
                  <c:v>4</c:v>
                </c:pt>
                <c:pt idx="9">
                  <c:v>22.18</c:v>
                </c:pt>
                <c:pt idx="10">
                  <c:v>15</c:v>
                </c:pt>
                <c:pt idx="11">
                  <c:v>18</c:v>
                </c:pt>
                <c:pt idx="12">
                  <c:v>68.42</c:v>
                </c:pt>
                <c:pt idx="13">
                  <c:v>5.64</c:v>
                </c:pt>
                <c:pt idx="14">
                  <c:v>27.36</c:v>
                </c:pt>
              </c:numCache>
            </c:numRef>
          </c:yVal>
          <c:smooth val="0"/>
          <c:extLst>
            <c:ext xmlns:c16="http://schemas.microsoft.com/office/drawing/2014/chart" uri="{C3380CC4-5D6E-409C-BE32-E72D297353CC}">
              <c16:uniqueId val="{0000000F-C54B-EC4E-BEE6-CD8BAAD4FA78}"/>
            </c:ext>
          </c:extLst>
        </c:ser>
        <c:dLbls>
          <c:showLegendKey val="0"/>
          <c:showVal val="0"/>
          <c:showCatName val="0"/>
          <c:showSerName val="0"/>
          <c:showPercent val="0"/>
          <c:showBubbleSize val="0"/>
        </c:dLbls>
        <c:axId val="-364714208"/>
        <c:axId val="-365425264"/>
      </c:scatterChart>
      <c:valAx>
        <c:axId val="-3647142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a:t>
                </a:r>
                <a:r>
                  <a:rPr lang="en-US" b="1" baseline="0">
                    <a:solidFill>
                      <a:schemeClr val="tx1"/>
                    </a:solidFill>
                    <a:latin typeface="Times New Roman" panose="02020603050405020304" pitchFamily="18" charset="0"/>
                    <a:cs typeface="Times New Roman" panose="02020603050405020304" pitchFamily="18" charset="0"/>
                  </a:rPr>
                  <a:t> of prisons visited</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5425264"/>
        <c:crosses val="autoZero"/>
        <c:crossBetween val="midCat"/>
      </c:valAx>
      <c:valAx>
        <c:axId val="-3654252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Av. Personnel</a:t>
                </a:r>
                <a:r>
                  <a:rPr lang="en-US" b="1" baseline="0">
                    <a:solidFill>
                      <a:schemeClr val="tx1"/>
                    </a:solidFill>
                    <a:latin typeface="Times New Roman" panose="02020603050405020304" pitchFamily="18" charset="0"/>
                    <a:cs typeface="Times New Roman" panose="02020603050405020304" pitchFamily="18" charset="0"/>
                  </a:rPr>
                  <a:t> days/Visit</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471420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en-US" sz="1200" b="1"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Figure 8: Average</a:t>
            </a:r>
            <a:r>
              <a:rPr lang="en-US" sz="1200" b="1"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number of personnel days/visit with frequency of visits</a:t>
            </a:r>
            <a:endParaRPr lang="en-US" sz="1200" b="1"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c:rich>
      </c:tx>
      <c:overlay val="0"/>
      <c:spPr>
        <a:noFill/>
        <a:ln>
          <a:solidFill>
            <a:schemeClr val="tx1"/>
          </a:solidFill>
        </a:ln>
        <a:effectLst/>
      </c:spPr>
      <c:txPr>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tx>
            <c:strRef>
              <c:f>Sheet1!$B$1</c:f>
              <c:strCache>
                <c:ptCount val="1"/>
                <c:pt idx="0">
                  <c:v>Av. Personnel days /visit</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2.3148148148149799E-3"/>
                  <c:y val="-3.9682539682541103E-3"/>
                </c:manualLayout>
              </c:layout>
              <c:tx>
                <c:rich>
                  <a:bodyPr/>
                  <a:lstStyle/>
                  <a:p>
                    <a:r>
                      <a:rPr lang="fr-FR"/>
                      <a:t>Q</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0A-F647-96BB-7D457E3E31E6}"/>
                </c:ext>
              </c:extLst>
            </c:dLbl>
            <c:dLbl>
              <c:idx val="1"/>
              <c:layout>
                <c:manualLayout>
                  <c:x val="-3.2407407407407399E-2"/>
                  <c:y val="3.5714285714285601E-2"/>
                </c:manualLayout>
              </c:layout>
              <c:tx>
                <c:rich>
                  <a:bodyPr/>
                  <a:lstStyle/>
                  <a:p>
                    <a:r>
                      <a:rPr lang="en-US"/>
                      <a:t>G</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0A-F647-96BB-7D457E3E31E6}"/>
                </c:ext>
              </c:extLst>
            </c:dLbl>
            <c:dLbl>
              <c:idx val="2"/>
              <c:layout>
                <c:manualLayout>
                  <c:x val="-6.9444444444444397E-3"/>
                  <c:y val="-2.3809523809523801E-2"/>
                </c:manualLayout>
              </c:layout>
              <c:tx>
                <c:rich>
                  <a:bodyPr/>
                  <a:lstStyle/>
                  <a:p>
                    <a:r>
                      <a:rPr lang="en-US"/>
                      <a:t>M</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0A-F647-96BB-7D457E3E31E6}"/>
                </c:ext>
              </c:extLst>
            </c:dLbl>
            <c:dLbl>
              <c:idx val="3"/>
              <c:layout>
                <c:manualLayout>
                  <c:x val="-4.8611111111111098E-2"/>
                  <c:y val="2.7777777777777801E-2"/>
                </c:manualLayout>
              </c:layout>
              <c:tx>
                <c:rich>
                  <a:bodyPr/>
                  <a:lstStyle/>
                  <a:p>
                    <a:r>
                      <a:rPr lang="pt-BR"/>
                      <a:t>O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0A-F647-96BB-7D457E3E31E6}"/>
                </c:ext>
              </c:extLst>
            </c:dLbl>
            <c:dLbl>
              <c:idx val="4"/>
              <c:layout>
                <c:manualLayout>
                  <c:x val="-6.9444444444444397E-3"/>
                  <c:y val="-3.17460317460318E-2"/>
                </c:manualLayout>
              </c:layout>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0A-F647-96BB-7D457E3E31E6}"/>
                </c:ext>
              </c:extLst>
            </c:dLbl>
            <c:dLbl>
              <c:idx val="5"/>
              <c:layout>
                <c:manualLayout>
                  <c:x val="-1.85185185185185E-2"/>
                  <c:y val="1.9841269841269799E-2"/>
                </c:manualLayout>
              </c:layout>
              <c:tx>
                <c:rich>
                  <a:bodyPr/>
                  <a:lstStyle/>
                  <a:p>
                    <a:r>
                      <a:rPr lang="en-US"/>
                      <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0A-F647-96BB-7D457E3E31E6}"/>
                </c:ext>
              </c:extLst>
            </c:dLbl>
            <c:dLbl>
              <c:idx val="6"/>
              <c:layout>
                <c:manualLayout>
                  <c:x val="-2.3148148148148098E-2"/>
                  <c:y val="2.7777777777777801E-2"/>
                </c:manualLayout>
              </c:layout>
              <c:tx>
                <c:rich>
                  <a:bodyPr/>
                  <a:lstStyle/>
                  <a:p>
                    <a:r>
                      <a:rPr lang="en-US"/>
                      <a:t>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0A-F647-96BB-7D457E3E31E6}"/>
                </c:ext>
              </c:extLst>
            </c:dLbl>
            <c:dLbl>
              <c:idx val="7"/>
              <c:layout>
                <c:manualLayout>
                  <c:x val="-2.3148148148148098E-2"/>
                  <c:y val="-1.190476190476190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9768518518518497E-2"/>
                      <c:h val="4.5019997500312499E-2"/>
                    </c:manualLayout>
                  </c15:layout>
                </c:ext>
                <c:ext xmlns:c16="http://schemas.microsoft.com/office/drawing/2014/chart" uri="{C3380CC4-5D6E-409C-BE32-E72D297353CC}">
                  <c16:uniqueId val="{00000007-DE0A-F647-96BB-7D457E3E31E6}"/>
                </c:ext>
              </c:extLst>
            </c:dLbl>
            <c:dLbl>
              <c:idx val="8"/>
              <c:layout>
                <c:manualLayout>
                  <c:x val="-9.2592592592592605E-3"/>
                  <c:y val="-1.5873015873016001E-2"/>
                </c:manualLayout>
              </c:layout>
              <c:tx>
                <c:rich>
                  <a:bodyPr/>
                  <a:lstStyle/>
                  <a:p>
                    <a:r>
                      <a:rPr lang="en-US"/>
                      <a:t>L</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0A-F647-96BB-7D457E3E31E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Sheet1!$A$2:$A$10</c:f>
              <c:numCache>
                <c:formatCode>General</c:formatCode>
                <c:ptCount val="9"/>
                <c:pt idx="0">
                  <c:v>71</c:v>
                </c:pt>
                <c:pt idx="1">
                  <c:v>43</c:v>
                </c:pt>
                <c:pt idx="2">
                  <c:v>28</c:v>
                </c:pt>
                <c:pt idx="3">
                  <c:v>14</c:v>
                </c:pt>
                <c:pt idx="4">
                  <c:v>26</c:v>
                </c:pt>
                <c:pt idx="5">
                  <c:v>24</c:v>
                </c:pt>
                <c:pt idx="6">
                  <c:v>30</c:v>
                </c:pt>
                <c:pt idx="7">
                  <c:v>30</c:v>
                </c:pt>
                <c:pt idx="8">
                  <c:v>14</c:v>
                </c:pt>
              </c:numCache>
            </c:numRef>
          </c:xVal>
          <c:yVal>
            <c:numRef>
              <c:f>Sheet1!$B$2:$B$10</c:f>
              <c:numCache>
                <c:formatCode>General</c:formatCode>
                <c:ptCount val="9"/>
                <c:pt idx="0">
                  <c:v>7.2</c:v>
                </c:pt>
                <c:pt idx="1">
                  <c:v>16.71</c:v>
                </c:pt>
                <c:pt idx="2">
                  <c:v>2.34</c:v>
                </c:pt>
                <c:pt idx="3">
                  <c:v>19.010000000000009</c:v>
                </c:pt>
                <c:pt idx="4">
                  <c:v>22.18</c:v>
                </c:pt>
                <c:pt idx="5">
                  <c:v>15</c:v>
                </c:pt>
                <c:pt idx="6">
                  <c:v>18</c:v>
                </c:pt>
                <c:pt idx="7">
                  <c:v>68.42</c:v>
                </c:pt>
                <c:pt idx="8">
                  <c:v>5.64</c:v>
                </c:pt>
              </c:numCache>
            </c:numRef>
          </c:yVal>
          <c:smooth val="0"/>
          <c:extLst>
            <c:ext xmlns:c16="http://schemas.microsoft.com/office/drawing/2014/chart" uri="{C3380CC4-5D6E-409C-BE32-E72D297353CC}">
              <c16:uniqueId val="{0000000A-DE0A-F647-96BB-7D457E3E31E6}"/>
            </c:ext>
          </c:extLst>
        </c:ser>
        <c:dLbls>
          <c:showLegendKey val="0"/>
          <c:showVal val="0"/>
          <c:showCatName val="0"/>
          <c:showSerName val="0"/>
          <c:showPercent val="0"/>
          <c:showBubbleSize val="0"/>
        </c:dLbls>
        <c:axId val="-364739152"/>
        <c:axId val="-364081184"/>
      </c:scatterChart>
      <c:valAx>
        <c:axId val="-36473915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Frequency</a:t>
                </a:r>
                <a:r>
                  <a:rPr lang="en-US" b="1" baseline="0">
                    <a:solidFill>
                      <a:schemeClr val="tx1"/>
                    </a:solidFill>
                    <a:latin typeface="Times New Roman" panose="02020603050405020304" pitchFamily="18" charset="0"/>
                    <a:cs typeface="Times New Roman" panose="02020603050405020304" pitchFamily="18" charset="0"/>
                  </a:rPr>
                  <a:t> of visits (months)</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4081184"/>
        <c:crosses val="autoZero"/>
        <c:crossBetween val="midCat"/>
      </c:valAx>
      <c:valAx>
        <c:axId val="-3640811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Av. Personnel</a:t>
                </a:r>
                <a:r>
                  <a:rPr lang="en-US" b="1" baseline="0">
                    <a:solidFill>
                      <a:schemeClr val="tx1"/>
                    </a:solidFill>
                    <a:latin typeface="Times New Roman" panose="02020603050405020304" pitchFamily="18" charset="0"/>
                    <a:cs typeface="Times New Roman" panose="02020603050405020304" pitchFamily="18" charset="0"/>
                  </a:rPr>
                  <a:t> days/Visit</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473915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F3FC-D38E-724F-B37F-9EC9F3DC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8457</Words>
  <Characters>48207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Murray</dc:creator>
  <cp:keywords/>
  <dc:description/>
  <cp:lastModifiedBy>Hardwick, Nicholas</cp:lastModifiedBy>
  <cp:revision>3</cp:revision>
  <dcterms:created xsi:type="dcterms:W3CDTF">2019-03-04T16:48:00Z</dcterms:created>
  <dcterms:modified xsi:type="dcterms:W3CDTF">2019-03-04T16:48:00Z</dcterms:modified>
</cp:coreProperties>
</file>