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E8DE" w14:textId="77777777" w:rsidR="00CE1349" w:rsidRPr="00FF684A" w:rsidRDefault="00CE1349" w:rsidP="00CE1349">
      <w:pPr>
        <w:jc w:val="center"/>
        <w:rPr>
          <w:rFonts w:cs="Times New Roman"/>
          <w:b/>
          <w:szCs w:val="24"/>
        </w:rPr>
      </w:pPr>
      <w:r w:rsidRPr="00FF684A">
        <w:rPr>
          <w:rFonts w:cs="Times New Roman"/>
          <w:b/>
          <w:szCs w:val="24"/>
        </w:rPr>
        <w:t>The idea of Liberty, 1600-1800: a distributional concept analysis</w:t>
      </w:r>
    </w:p>
    <w:p w14:paraId="74DD75CC" w14:textId="55027C72" w:rsidR="00CE1349" w:rsidRPr="00FF684A" w:rsidRDefault="00CE1349" w:rsidP="00CE1349">
      <w:pPr>
        <w:spacing w:line="480" w:lineRule="auto"/>
        <w:rPr>
          <w:rFonts w:cs="Times New Roman"/>
          <w:szCs w:val="24"/>
        </w:rPr>
      </w:pPr>
      <w:r w:rsidRPr="00FF684A">
        <w:rPr>
          <w:rFonts w:cs="Times New Roman"/>
          <w:szCs w:val="24"/>
        </w:rPr>
        <w:tab/>
        <w:t>Intellectual historians of early modern and enlightenment Europe have established a tradition of thought within which many of our contemporary ideas of politics find their roots.  Of course</w:t>
      </w:r>
      <w:r>
        <w:rPr>
          <w:rFonts w:cs="Times New Roman"/>
          <w:szCs w:val="24"/>
        </w:rPr>
        <w:t>,</w:t>
      </w:r>
      <w:r w:rsidRPr="00FF684A">
        <w:rPr>
          <w:rFonts w:cs="Times New Roman"/>
          <w:szCs w:val="24"/>
        </w:rPr>
        <w:t xml:space="preserve"> political concepts such as ‘republicanism’ were not invented in this historical time-frame, and most if not all of our contemporary political ideas can trace their histories back to classical times.  Notwithstanding</w:t>
      </w:r>
      <w:bookmarkStart w:id="0" w:name="_GoBack"/>
      <w:bookmarkEnd w:id="0"/>
      <w:r w:rsidRPr="00FF684A">
        <w:rPr>
          <w:rFonts w:cs="Times New Roman"/>
          <w:szCs w:val="24"/>
        </w:rPr>
        <w:t xml:space="preserve"> such </w:t>
      </w:r>
      <w:r w:rsidRPr="00FF684A">
        <w:rPr>
          <w:rFonts w:cs="Times New Roman"/>
          <w:i/>
          <w:szCs w:val="24"/>
        </w:rPr>
        <w:t>longue durée</w:t>
      </w:r>
      <w:r w:rsidRPr="00FF684A">
        <w:rPr>
          <w:rFonts w:cs="Times New Roman"/>
          <w:szCs w:val="24"/>
        </w:rPr>
        <w:t xml:space="preserve"> accounts there is a place for more time constrained analyses and the following focus on the two hundred years between the start of the seventeenth century and the end of the eighteenth works within a well delineated tradition of scholarship that gives significant emphasis to this period.</w:t>
      </w:r>
      <w:r w:rsidRPr="00FF684A">
        <w:rPr>
          <w:rStyle w:val="FootnoteReference"/>
          <w:rFonts w:cs="Times New Roman"/>
          <w:szCs w:val="24"/>
        </w:rPr>
        <w:footnoteReference w:id="1"/>
      </w:r>
      <w:r w:rsidRPr="00FF684A">
        <w:rPr>
          <w:rFonts w:cs="Times New Roman"/>
          <w:szCs w:val="24"/>
        </w:rPr>
        <w:t xml:space="preserve">  This is to note that many of the ideas which contribute to our senses of contemporary social, legal and political life were given explicit and extensive attention during these two centuries in Britain.  For present purposes, given the readership of this journal, one can call to mind the work of Quentin Skinner, John Pocock and Reinhart Koselleck and the intricate legacies produced by this work as a convenient shortcut for establishing a context for the following observations. This scholarship is not, of course, uncontested and in common with deep and powerful traditions of intellectual history it has produced revision and re-calibration.</w:t>
      </w:r>
      <w:r w:rsidRPr="00FF684A">
        <w:rPr>
          <w:rStyle w:val="FootnoteReference"/>
          <w:rFonts w:cs="Times New Roman"/>
          <w:szCs w:val="24"/>
        </w:rPr>
        <w:footnoteReference w:id="2"/>
      </w:r>
      <w:r w:rsidRPr="00FF684A">
        <w:rPr>
          <w:rFonts w:cs="Times New Roman"/>
          <w:szCs w:val="24"/>
        </w:rPr>
        <w:t xml:space="preserve">  This essay does not set out to adjudicate in any of the local arguments that appear in this tradition, rather it aims to outline the ways in which a new method for the history of ideas, based upon computational modes of inquiry, might contribute to it.  This method has been developed within the </w:t>
      </w:r>
      <w:r>
        <w:rPr>
          <w:rFonts w:cs="Times New Roman"/>
          <w:szCs w:val="24"/>
        </w:rPr>
        <w:t>(removed for blind review purposes)</w:t>
      </w:r>
      <w:r w:rsidRPr="00FF684A">
        <w:rPr>
          <w:rFonts w:cs="Times New Roman"/>
          <w:szCs w:val="24"/>
        </w:rPr>
        <w:t xml:space="preserve"> over the last three years.</w:t>
      </w:r>
      <w:r w:rsidRPr="00FF684A">
        <w:rPr>
          <w:rFonts w:cs="Times New Roman"/>
          <w:szCs w:val="24"/>
        </w:rPr>
        <w:tab/>
      </w:r>
    </w:p>
    <w:p w14:paraId="6EFD14A8" w14:textId="457FC75B" w:rsidR="00CE1349" w:rsidRPr="00967BAA" w:rsidRDefault="00CE1349" w:rsidP="00CE1349">
      <w:pPr>
        <w:spacing w:line="480" w:lineRule="auto"/>
        <w:rPr>
          <w:rFonts w:cs="Times New Roman"/>
          <w:szCs w:val="24"/>
        </w:rPr>
      </w:pPr>
      <w:r w:rsidRPr="00FF684A">
        <w:rPr>
          <w:rFonts w:cs="Times New Roman"/>
          <w:szCs w:val="24"/>
        </w:rPr>
        <w:lastRenderedPageBreak/>
        <w:tab/>
        <w:t>As its titles indicates, the essay seeks to investigate the idea of liberty across the seventeenth and eighteenth centuries.  Throughout our attention will be directed at its operation within English, and the data upon which our investigations are based has been extracted from the digital archives of printed materials,</w:t>
      </w:r>
      <w:r>
        <w:rPr>
          <w:rFonts w:cs="Times New Roman"/>
          <w:szCs w:val="24"/>
        </w:rPr>
        <w:t xml:space="preserve"> </w:t>
      </w:r>
      <w:r w:rsidRPr="00FF684A">
        <w:rPr>
          <w:rFonts w:cs="Times New Roman"/>
          <w:szCs w:val="24"/>
        </w:rPr>
        <w:t>ECCO</w:t>
      </w:r>
      <w:r>
        <w:rPr>
          <w:rFonts w:cs="Times New Roman"/>
          <w:szCs w:val="24"/>
        </w:rPr>
        <w:t xml:space="preserve"> and EEBO-TCP. </w:t>
      </w:r>
      <w:r w:rsidRPr="00FF684A">
        <w:rPr>
          <w:rFonts w:cs="Times New Roman"/>
          <w:szCs w:val="24"/>
        </w:rPr>
        <w:t xml:space="preserve"> </w:t>
      </w:r>
      <w:r w:rsidRPr="00967BAA">
        <w:rPr>
          <w:rFonts w:cs="Times New Roman"/>
          <w:szCs w:val="24"/>
        </w:rPr>
        <w:t>Comprising some 180,000 titles, 200,000 volumes and more than 3</w:t>
      </w:r>
      <w:r>
        <w:rPr>
          <w:rFonts w:cs="Times New Roman"/>
          <w:szCs w:val="24"/>
        </w:rPr>
        <w:t>3</w:t>
      </w:r>
      <w:r w:rsidRPr="00967BAA">
        <w:rPr>
          <w:rFonts w:cs="Times New Roman"/>
          <w:szCs w:val="24"/>
        </w:rPr>
        <w:t xml:space="preserve"> million pages of text, Eighteenth Century Collections Online (ECCO) is well-known as the world's largest digital archive of books from the eighteenth century, containing </w:t>
      </w:r>
      <w:r w:rsidR="000C2203">
        <w:rPr>
          <w:rFonts w:cs="Times New Roman"/>
          <w:szCs w:val="24"/>
        </w:rPr>
        <w:t>“</w:t>
      </w:r>
      <w:r w:rsidRPr="00967BAA">
        <w:rPr>
          <w:rFonts w:cs="Times New Roman"/>
          <w:szCs w:val="24"/>
        </w:rPr>
        <w:t>every significant English-language and foreign-language title printed in the United Kingdom between the years 1701 and 1800</w:t>
      </w:r>
      <w:r w:rsidR="000C2203">
        <w:rPr>
          <w:rFonts w:cs="Times New Roman"/>
          <w:szCs w:val="24"/>
        </w:rPr>
        <w:t>”</w:t>
      </w:r>
      <w:r>
        <w:rPr>
          <w:rFonts w:cs="Times New Roman"/>
          <w:szCs w:val="24"/>
        </w:rPr>
        <w:t>.</w:t>
      </w:r>
      <w:r>
        <w:rPr>
          <w:rStyle w:val="FootnoteReference"/>
          <w:rFonts w:cs="Times New Roman"/>
          <w:szCs w:val="24"/>
        </w:rPr>
        <w:footnoteReference w:id="3"/>
      </w:r>
      <w:r>
        <w:rPr>
          <w:rFonts w:cs="Times New Roman"/>
          <w:szCs w:val="24"/>
        </w:rPr>
        <w:t xml:space="preserve">  </w:t>
      </w:r>
      <w:r w:rsidRPr="00967BAA">
        <w:rPr>
          <w:rFonts w:cs="Times New Roman"/>
          <w:szCs w:val="24"/>
        </w:rPr>
        <w:t xml:space="preserve">The entire corpus has been scanned and optical character recognition has been applied to the texts, resulting in a 'machine-readable' version of each that can be subjected to computational analyses. </w:t>
      </w:r>
      <w:r>
        <w:rPr>
          <w:rFonts w:cs="Times New Roman"/>
          <w:szCs w:val="24"/>
        </w:rPr>
        <w:t xml:space="preserve"> </w:t>
      </w:r>
      <w:r w:rsidRPr="00967BAA">
        <w:rPr>
          <w:rFonts w:cs="Times New Roman"/>
          <w:szCs w:val="24"/>
        </w:rPr>
        <w:t xml:space="preserve">A limitation of this resource is the high degree of error in the recognised text. The Early Modern OCR Project, a project aiming to build a bespoke process for applying </w:t>
      </w:r>
      <w:r w:rsidR="007A2B00">
        <w:rPr>
          <w:rFonts w:cs="Times New Roman"/>
          <w:szCs w:val="24"/>
        </w:rPr>
        <w:t>optical character recognition (</w:t>
      </w:r>
      <w:r w:rsidRPr="00967BAA">
        <w:rPr>
          <w:rFonts w:cs="Times New Roman"/>
          <w:szCs w:val="24"/>
        </w:rPr>
        <w:t>OCR</w:t>
      </w:r>
      <w:r w:rsidR="007A2B00">
        <w:rPr>
          <w:rFonts w:cs="Times New Roman"/>
          <w:szCs w:val="24"/>
        </w:rPr>
        <w:t>)</w:t>
      </w:r>
      <w:r w:rsidRPr="00967BAA">
        <w:rPr>
          <w:rFonts w:cs="Times New Roman"/>
          <w:szCs w:val="24"/>
        </w:rPr>
        <w:t xml:space="preserve"> to early modern texts in such a way as to achieve high levels of accuracy, ultimately was only able to achieve 86% accuracy, and even the most up-to-date version of the OCR</w:t>
      </w:r>
      <w:r w:rsidR="00317184">
        <w:rPr>
          <w:rFonts w:cs="Times New Roman"/>
          <w:szCs w:val="24"/>
        </w:rPr>
        <w:t xml:space="preserve"> based</w:t>
      </w:r>
      <w:r w:rsidRPr="00967BAA">
        <w:rPr>
          <w:rFonts w:cs="Times New Roman"/>
          <w:szCs w:val="24"/>
        </w:rPr>
        <w:t xml:space="preserve"> ECCO texts offered by Gale Cengage have been estimated at only 89% accuracy.</w:t>
      </w:r>
      <w:r>
        <w:rPr>
          <w:rStyle w:val="FootnoteReference"/>
          <w:rFonts w:cs="Times New Roman"/>
          <w:szCs w:val="24"/>
        </w:rPr>
        <w:footnoteReference w:id="4"/>
      </w:r>
      <w:r w:rsidRPr="00967BAA">
        <w:rPr>
          <w:rFonts w:cs="Times New Roman"/>
          <w:szCs w:val="24"/>
        </w:rPr>
        <w:t xml:space="preserve"> </w:t>
      </w:r>
      <w:r>
        <w:rPr>
          <w:rFonts w:cs="Times New Roman"/>
          <w:szCs w:val="24"/>
        </w:rPr>
        <w:t xml:space="preserve"> </w:t>
      </w:r>
      <w:r w:rsidRPr="00967BAA">
        <w:rPr>
          <w:rFonts w:cs="Times New Roman"/>
          <w:szCs w:val="24"/>
        </w:rPr>
        <w:t xml:space="preserve">Because OCR errors are far more likely to result in nonwords than they are to transform words to other valid words, digital searches for particular terms (e.g., "freedom") will underestimate the frequencies of these words. Our analyses primarily </w:t>
      </w:r>
      <w:r w:rsidRPr="00967BAA">
        <w:rPr>
          <w:rFonts w:cs="Times New Roman"/>
          <w:i/>
          <w:iCs/>
          <w:szCs w:val="24"/>
        </w:rPr>
        <w:t xml:space="preserve">compare </w:t>
      </w:r>
      <w:r w:rsidRPr="00967BAA">
        <w:rPr>
          <w:rFonts w:cs="Times New Roman"/>
          <w:szCs w:val="24"/>
        </w:rPr>
        <w:t xml:space="preserve">frequencies and associations of particular terms ("freedom", "liberty") and phrases (e.g., "freedom to", "freedom for"), so it is proportions that are important rather than absolute frequencies. As there is no reason </w:t>
      </w:r>
      <w:r w:rsidRPr="00967BAA">
        <w:rPr>
          <w:rFonts w:cs="Times New Roman"/>
          <w:i/>
          <w:iCs/>
          <w:szCs w:val="24"/>
        </w:rPr>
        <w:t>a priori</w:t>
      </w:r>
      <w:r w:rsidRPr="00967BAA">
        <w:rPr>
          <w:rFonts w:cs="Times New Roman"/>
          <w:szCs w:val="24"/>
        </w:rPr>
        <w:t xml:space="preserve"> to believe that one of these words or phrases will </w:t>
      </w:r>
      <w:r w:rsidRPr="00967BAA">
        <w:rPr>
          <w:rFonts w:cs="Times New Roman"/>
          <w:szCs w:val="24"/>
        </w:rPr>
        <w:lastRenderedPageBreak/>
        <w:t>be vastly more subject to OCR error than the other, we have confidence that the OCR error is not having a disproportionate impact on our conclusions, but it must be kept in mind as a source of noise.</w:t>
      </w:r>
      <w:r>
        <w:rPr>
          <w:rStyle w:val="FootnoteReference"/>
          <w:rFonts w:cs="Times New Roman"/>
          <w:szCs w:val="24"/>
        </w:rPr>
        <w:footnoteReference w:id="5"/>
      </w:r>
    </w:p>
    <w:p w14:paraId="7E0E737A" w14:textId="77777777" w:rsidR="00CE1349" w:rsidRDefault="00CE1349" w:rsidP="00CE1349">
      <w:pPr>
        <w:spacing w:line="480" w:lineRule="auto"/>
        <w:rPr>
          <w:rFonts w:cs="Times New Roman"/>
          <w:szCs w:val="24"/>
        </w:rPr>
      </w:pPr>
      <w:r w:rsidRPr="00967BAA">
        <w:rPr>
          <w:rFonts w:cs="Times New Roman"/>
          <w:szCs w:val="24"/>
        </w:rPr>
        <w:t>       Early English Books Online (EEBO) consists of over 125,000 books published in English, primarily between the years of 1600 and 1700, and drawn from Pollard &amp; Redgrave's Short-Title Catalogue (1475-1640), Wing's Short-Title Catalogue (1641-1700), Thomason Tracts (1640-1661), and the Early English Books Tract Supplement (16th and 17th centuries).</w:t>
      </w:r>
      <w:r>
        <w:rPr>
          <w:rStyle w:val="FootnoteReference"/>
          <w:rFonts w:cs="Times New Roman"/>
          <w:szCs w:val="24"/>
        </w:rPr>
        <w:footnoteReference w:id="6"/>
      </w:r>
      <w:r w:rsidRPr="00967BAA">
        <w:rPr>
          <w:rFonts w:cs="Times New Roman"/>
          <w:szCs w:val="24"/>
        </w:rPr>
        <w:t> </w:t>
      </w:r>
      <w:r>
        <w:rPr>
          <w:rFonts w:cs="Times New Roman"/>
          <w:szCs w:val="24"/>
        </w:rPr>
        <w:t xml:space="preserve">  </w:t>
      </w:r>
      <w:r w:rsidRPr="00967BAA">
        <w:rPr>
          <w:rFonts w:cs="Times New Roman"/>
          <w:szCs w:val="24"/>
        </w:rPr>
        <w:t>In contrast to ECCO, for which results of the application of OCR to the scanned images are licensed to universities with a subscription to the resource, this is not the case for EEBO. The Early Modern OCR Project (EMOP), the only research group of which we are aware that has attempted to apply OCR to the full EEBO corpus, ultimately achieved word accuracy levels of 68%, and produced files that can be searched online at </w:t>
      </w:r>
      <w:hyperlink r:id="rId8" w:tgtFrame="_blank" w:history="1">
        <w:r w:rsidRPr="00967BAA">
          <w:rPr>
            <w:rStyle w:val="Hyperlink"/>
            <w:rFonts w:cs="Times New Roman"/>
            <w:szCs w:val="24"/>
          </w:rPr>
          <w:t>18thconnect.org</w:t>
        </w:r>
      </w:hyperlink>
      <w:r w:rsidRPr="00967BAA">
        <w:rPr>
          <w:rFonts w:cs="Times New Roman"/>
          <w:szCs w:val="24"/>
        </w:rPr>
        <w:t xml:space="preserve">. </w:t>
      </w:r>
      <w:r>
        <w:rPr>
          <w:rFonts w:cs="Times New Roman"/>
          <w:szCs w:val="24"/>
        </w:rPr>
        <w:t xml:space="preserve"> </w:t>
      </w:r>
      <w:r w:rsidRPr="00967BAA">
        <w:rPr>
          <w:rFonts w:cs="Times New Roman"/>
          <w:szCs w:val="24"/>
        </w:rPr>
        <w:t xml:space="preserve">A researcher who makes manual corrections using this online interface is permitted to download the specific files that he or she has corrected. </w:t>
      </w:r>
      <w:r>
        <w:rPr>
          <w:rFonts w:cs="Times New Roman"/>
          <w:szCs w:val="24"/>
        </w:rPr>
        <w:t xml:space="preserve"> </w:t>
      </w:r>
      <w:r w:rsidRPr="00967BAA">
        <w:rPr>
          <w:rFonts w:cs="Times New Roman"/>
          <w:szCs w:val="24"/>
        </w:rPr>
        <w:t xml:space="preserve">However, EMOP's license ultimately did not allow them to make a machine-readable version of the whole of EEBO available to the wider research community in a format suitable for text and data mining. </w:t>
      </w:r>
      <w:r>
        <w:rPr>
          <w:rFonts w:cs="Times New Roman"/>
          <w:szCs w:val="24"/>
        </w:rPr>
        <w:t xml:space="preserve"> </w:t>
      </w:r>
      <w:r w:rsidRPr="00967BAA">
        <w:rPr>
          <w:rFonts w:cs="Times New Roman"/>
          <w:szCs w:val="24"/>
        </w:rPr>
        <w:t xml:space="preserve">For this reason, our analyses on EEBO are necessarily restricted to the manually transcribed texts of EEBO-TCP. </w:t>
      </w:r>
      <w:r>
        <w:rPr>
          <w:rFonts w:cs="Times New Roman"/>
          <w:szCs w:val="24"/>
        </w:rPr>
        <w:t xml:space="preserve"> </w:t>
      </w:r>
      <w:r w:rsidRPr="00967BAA">
        <w:rPr>
          <w:rFonts w:cs="Times New Roman"/>
          <w:szCs w:val="24"/>
        </w:rPr>
        <w:t>EEBO-TCP continually grows in size as new texts are transcribed and added to the dataset. At the time we obtained access to the corpus, it contained 52,915 texts in total, over 90% of which fell between the years 1600 and 1700 and were therefore used in this analysis.</w:t>
      </w:r>
    </w:p>
    <w:p w14:paraId="0B7118AB" w14:textId="77777777" w:rsidR="00CE1349" w:rsidRPr="00E64905" w:rsidRDefault="00CE1349" w:rsidP="00CE1349">
      <w:pPr>
        <w:spacing w:line="480" w:lineRule="auto"/>
        <w:rPr>
          <w:rFonts w:cs="Times New Roman"/>
          <w:szCs w:val="24"/>
        </w:rPr>
      </w:pPr>
      <w:r>
        <w:rPr>
          <w:rFonts w:cs="Times New Roman"/>
          <w:szCs w:val="24"/>
        </w:rPr>
        <w:lastRenderedPageBreak/>
        <w:tab/>
        <w:t>One further note of explanation with respect to the dataset ECCO will be useful.  It is often remarked that books printed during this period have a complex relation to the notion of the ‘original’ edition or to reprints.</w:t>
      </w:r>
      <w:r>
        <w:rPr>
          <w:rStyle w:val="FootnoteReference"/>
          <w:rFonts w:cs="Times New Roman"/>
          <w:szCs w:val="24"/>
        </w:rPr>
        <w:footnoteReference w:id="7"/>
      </w:r>
      <w:r>
        <w:rPr>
          <w:rFonts w:cs="Times New Roman"/>
          <w:szCs w:val="24"/>
        </w:rPr>
        <w:t xml:space="preserve">  For this reason counts of the uses of words that are based on the entire content of the dataset need to be tempered with respect to the vagaries of eighteenth century ‘publication’.  Our own analyses of the dataset, however, indicate that for these purposes the noise that is produced by multiple editions or printings of the same text is not significant.  </w:t>
      </w:r>
      <w:r w:rsidRPr="00E64905">
        <w:rPr>
          <w:rFonts w:cs="Times New Roman"/>
          <w:szCs w:val="24"/>
        </w:rPr>
        <w:t xml:space="preserve">ECCO </w:t>
      </w:r>
      <w:r>
        <w:rPr>
          <w:rFonts w:cs="Times New Roman"/>
          <w:szCs w:val="24"/>
        </w:rPr>
        <w:t xml:space="preserve">contains </w:t>
      </w:r>
      <w:r>
        <w:rPr>
          <w:rFonts w:cs="Times New Roman"/>
          <w:szCs w:val="24"/>
          <w:lang w:val="en-US"/>
        </w:rPr>
        <w:t xml:space="preserve">approximately </w:t>
      </w:r>
      <w:r w:rsidRPr="00E64905">
        <w:rPr>
          <w:rFonts w:cs="Times New Roman"/>
          <w:szCs w:val="24"/>
          <w:lang w:val="en-US"/>
        </w:rPr>
        <w:t>207,628</w:t>
      </w:r>
      <w:r>
        <w:rPr>
          <w:rFonts w:cs="Times New Roman"/>
          <w:szCs w:val="24"/>
          <w:lang w:val="en-US"/>
        </w:rPr>
        <w:t xml:space="preserve"> texts, and the n</w:t>
      </w:r>
      <w:r w:rsidRPr="00E64905">
        <w:rPr>
          <w:rFonts w:cs="Times New Roman"/>
          <w:szCs w:val="24"/>
          <w:lang w:val="en-US"/>
        </w:rPr>
        <w:t xml:space="preserve">umber of these that are alternate editions of another work with </w:t>
      </w:r>
      <w:r>
        <w:rPr>
          <w:rFonts w:cs="Times New Roman"/>
          <w:szCs w:val="24"/>
          <w:lang w:val="en-US"/>
        </w:rPr>
        <w:t xml:space="preserve">the </w:t>
      </w:r>
      <w:r w:rsidRPr="00E64905">
        <w:rPr>
          <w:rFonts w:cs="Times New Roman"/>
          <w:szCs w:val="24"/>
          <w:lang w:val="en-US"/>
        </w:rPr>
        <w:t xml:space="preserve">same title </w:t>
      </w:r>
      <w:r>
        <w:rPr>
          <w:rFonts w:cs="Times New Roman"/>
          <w:szCs w:val="24"/>
          <w:lang w:val="en-US"/>
        </w:rPr>
        <w:t>and</w:t>
      </w:r>
      <w:r w:rsidRPr="00E64905">
        <w:rPr>
          <w:rFonts w:cs="Times New Roman"/>
          <w:szCs w:val="24"/>
          <w:lang w:val="en-US"/>
        </w:rPr>
        <w:t xml:space="preserve"> volume</w:t>
      </w:r>
      <w:r>
        <w:rPr>
          <w:rFonts w:cs="Times New Roman"/>
          <w:szCs w:val="24"/>
          <w:lang w:val="en-US"/>
        </w:rPr>
        <w:t xml:space="preserve"> is</w:t>
      </w:r>
      <w:r w:rsidRPr="00E64905">
        <w:rPr>
          <w:rFonts w:cs="Times New Roman"/>
          <w:szCs w:val="24"/>
          <w:lang w:val="en-US"/>
        </w:rPr>
        <w:t xml:space="preserve"> 7,679 (</w:t>
      </w:r>
      <w:r>
        <w:rPr>
          <w:rFonts w:cs="Times New Roman"/>
          <w:szCs w:val="24"/>
          <w:lang w:val="en-US"/>
        </w:rPr>
        <w:t xml:space="preserve">or </w:t>
      </w:r>
      <w:r w:rsidRPr="00E64905">
        <w:rPr>
          <w:rFonts w:cs="Times New Roman"/>
          <w:szCs w:val="24"/>
          <w:lang w:val="en-US"/>
        </w:rPr>
        <w:t>3.70 %</w:t>
      </w:r>
      <w:r>
        <w:rPr>
          <w:rFonts w:cs="Times New Roman"/>
          <w:szCs w:val="24"/>
          <w:lang w:val="en-US"/>
        </w:rPr>
        <w:t xml:space="preserve"> of the total number of texts</w:t>
      </w:r>
      <w:r w:rsidRPr="00E64905">
        <w:rPr>
          <w:rFonts w:cs="Times New Roman"/>
          <w:szCs w:val="24"/>
          <w:lang w:val="en-US"/>
        </w:rPr>
        <w:t>)</w:t>
      </w:r>
      <w:r>
        <w:rPr>
          <w:rFonts w:cs="Times New Roman"/>
          <w:szCs w:val="24"/>
          <w:lang w:val="en-US"/>
        </w:rPr>
        <w:t>.  The n</w:t>
      </w:r>
      <w:r w:rsidRPr="00E64905">
        <w:rPr>
          <w:rFonts w:cs="Times New Roman"/>
          <w:szCs w:val="24"/>
          <w:lang w:val="en-US"/>
        </w:rPr>
        <w:t xml:space="preserve">umber of these that are identical to another work with </w:t>
      </w:r>
      <w:r>
        <w:rPr>
          <w:rFonts w:cs="Times New Roman"/>
          <w:szCs w:val="24"/>
          <w:lang w:val="en-US"/>
        </w:rPr>
        <w:t xml:space="preserve">the </w:t>
      </w:r>
      <w:r w:rsidRPr="00E64905">
        <w:rPr>
          <w:rFonts w:cs="Times New Roman"/>
          <w:szCs w:val="24"/>
          <w:lang w:val="en-US"/>
        </w:rPr>
        <w:t xml:space="preserve">same title, volume, </w:t>
      </w:r>
      <w:r>
        <w:rPr>
          <w:rFonts w:cs="Times New Roman"/>
          <w:szCs w:val="24"/>
          <w:lang w:val="en-US"/>
        </w:rPr>
        <w:t>and</w:t>
      </w:r>
      <w:r w:rsidRPr="00E64905">
        <w:rPr>
          <w:rFonts w:cs="Times New Roman"/>
          <w:szCs w:val="24"/>
          <w:lang w:val="en-US"/>
        </w:rPr>
        <w:t xml:space="preserve"> edition but a different publisher's </w:t>
      </w:r>
      <w:r>
        <w:rPr>
          <w:rFonts w:cs="Times New Roman"/>
          <w:szCs w:val="24"/>
          <w:lang w:val="en-US"/>
        </w:rPr>
        <w:t xml:space="preserve">or printer’s </w:t>
      </w:r>
      <w:r w:rsidRPr="00E64905">
        <w:rPr>
          <w:rFonts w:cs="Times New Roman"/>
          <w:szCs w:val="24"/>
          <w:lang w:val="en-US"/>
        </w:rPr>
        <w:t>imprint</w:t>
      </w:r>
      <w:r>
        <w:rPr>
          <w:rFonts w:cs="Times New Roman"/>
          <w:szCs w:val="24"/>
          <w:lang w:val="en-US"/>
        </w:rPr>
        <w:t xml:space="preserve"> is</w:t>
      </w:r>
      <w:r w:rsidRPr="00E64905">
        <w:rPr>
          <w:rFonts w:cs="Times New Roman"/>
          <w:szCs w:val="24"/>
          <w:lang w:val="en-US"/>
        </w:rPr>
        <w:t xml:space="preserve"> 6,482 (3.12 %</w:t>
      </w:r>
      <w:r>
        <w:rPr>
          <w:rFonts w:cs="Times New Roman"/>
          <w:szCs w:val="24"/>
          <w:lang w:val="en-US"/>
        </w:rPr>
        <w:t xml:space="preserve"> of the total number of texts</w:t>
      </w:r>
      <w:r w:rsidRPr="00E64905">
        <w:rPr>
          <w:rFonts w:cs="Times New Roman"/>
          <w:szCs w:val="24"/>
          <w:lang w:val="en-US"/>
        </w:rPr>
        <w:t>)</w:t>
      </w:r>
      <w:r>
        <w:rPr>
          <w:rFonts w:cs="Times New Roman"/>
          <w:szCs w:val="24"/>
          <w:lang w:val="en-US"/>
        </w:rPr>
        <w:t>.  The n</w:t>
      </w:r>
      <w:r w:rsidRPr="00E64905">
        <w:rPr>
          <w:rFonts w:cs="Times New Roman"/>
          <w:szCs w:val="24"/>
          <w:lang w:val="en-US"/>
        </w:rPr>
        <w:t>umber of outright duplicates</w:t>
      </w:r>
      <w:r>
        <w:rPr>
          <w:rFonts w:cs="Times New Roman"/>
          <w:szCs w:val="24"/>
          <w:lang w:val="en-US"/>
        </w:rPr>
        <w:t xml:space="preserve"> is </w:t>
      </w:r>
      <w:r w:rsidRPr="00E64905">
        <w:rPr>
          <w:rFonts w:cs="Times New Roman"/>
          <w:szCs w:val="24"/>
          <w:lang w:val="en-US"/>
        </w:rPr>
        <w:t>1,362 (0.66 %)</w:t>
      </w:r>
      <w:r>
        <w:rPr>
          <w:rFonts w:cs="Times New Roman"/>
          <w:szCs w:val="24"/>
          <w:lang w:val="en-US"/>
        </w:rPr>
        <w:t>.</w:t>
      </w:r>
    </w:p>
    <w:p w14:paraId="0CCC09A7" w14:textId="77777777" w:rsidR="00CE1349" w:rsidRPr="00FF684A" w:rsidRDefault="00CE1349" w:rsidP="00CE1349">
      <w:pPr>
        <w:spacing w:line="480" w:lineRule="auto"/>
        <w:rPr>
          <w:rFonts w:cs="Times New Roman"/>
          <w:szCs w:val="24"/>
        </w:rPr>
      </w:pPr>
      <w:r>
        <w:rPr>
          <w:rFonts w:cs="Times New Roman"/>
          <w:szCs w:val="24"/>
        </w:rPr>
        <w:tab/>
      </w:r>
      <w:r w:rsidRPr="00FF684A">
        <w:rPr>
          <w:rFonts w:cs="Times New Roman"/>
          <w:szCs w:val="24"/>
        </w:rPr>
        <w:t xml:space="preserve">Our aim </w:t>
      </w:r>
      <w:r>
        <w:rPr>
          <w:rFonts w:cs="Times New Roman"/>
          <w:szCs w:val="24"/>
        </w:rPr>
        <w:t xml:space="preserve">in this paper </w:t>
      </w:r>
      <w:r w:rsidRPr="00FF684A">
        <w:rPr>
          <w:rFonts w:cs="Times New Roman"/>
          <w:szCs w:val="24"/>
        </w:rPr>
        <w:t xml:space="preserve">is to test the efficacy of computational text mining techniques for the history of ideas.  More specifically, employing some strategies developed within </w:t>
      </w:r>
      <w:r>
        <w:rPr>
          <w:rFonts w:cs="Times New Roman"/>
          <w:szCs w:val="24"/>
        </w:rPr>
        <w:t>(removed for blind review purposes)</w:t>
      </w:r>
      <w:r w:rsidRPr="00FF684A">
        <w:rPr>
          <w:rFonts w:cs="Times New Roman"/>
          <w:szCs w:val="24"/>
        </w:rPr>
        <w:t xml:space="preserve">, we present here a counter example to mainstream histories of ideas that are based upon the close reading of a small sample of texts, by reading the archive </w:t>
      </w:r>
      <w:r>
        <w:rPr>
          <w:rFonts w:cs="Times New Roman"/>
          <w:szCs w:val="24"/>
        </w:rPr>
        <w:t>in its totality</w:t>
      </w:r>
      <w:r w:rsidRPr="00FF684A">
        <w:rPr>
          <w:rFonts w:cs="Times New Roman"/>
          <w:szCs w:val="24"/>
        </w:rPr>
        <w:t>.  This entails using tools developed within digital forms of scholarship which are based upon both computational and statistical methods.</w:t>
      </w:r>
    </w:p>
    <w:p w14:paraId="0A9B019F" w14:textId="3B759924" w:rsidR="00CE1349" w:rsidRDefault="00CE1349" w:rsidP="00CE1349">
      <w:pPr>
        <w:spacing w:line="480" w:lineRule="auto"/>
        <w:rPr>
          <w:rFonts w:cs="Times New Roman"/>
          <w:szCs w:val="24"/>
        </w:rPr>
      </w:pPr>
      <w:r w:rsidRPr="00FF684A">
        <w:rPr>
          <w:rFonts w:cs="Times New Roman"/>
          <w:szCs w:val="24"/>
        </w:rPr>
        <w:tab/>
        <w:t xml:space="preserve">The potential benefit of the strategy is the elaboration of a complementary account of the history of the idea of liberty that is based upon its general dispersion within the print culture as a whole.  No one scholar can read the entire printed archive of this period, and it is important to recognise that computers (accurately speaking) cannot do so either.  But software can be used to extract data from large datasets </w:t>
      </w:r>
      <w:r>
        <w:rPr>
          <w:rFonts w:cs="Times New Roman"/>
          <w:szCs w:val="24"/>
        </w:rPr>
        <w:t>in order to help</w:t>
      </w:r>
      <w:r w:rsidRPr="00FF684A">
        <w:rPr>
          <w:rFonts w:cs="Times New Roman"/>
          <w:szCs w:val="24"/>
        </w:rPr>
        <w:t xml:space="preserve"> us build a picture of </w:t>
      </w:r>
      <w:r w:rsidRPr="00FF684A">
        <w:rPr>
          <w:rFonts w:cs="Times New Roman"/>
          <w:szCs w:val="24"/>
        </w:rPr>
        <w:lastRenderedPageBreak/>
        <w:t>the culture at large in so far as it has been preserved or sedimented within the archive of printed books represented by our two datasets.  Our approach, then, turns away from grand theory, or the master tradition of thinking about ideas, in order to ex</w:t>
      </w:r>
      <w:r>
        <w:rPr>
          <w:rFonts w:cs="Times New Roman"/>
          <w:szCs w:val="24"/>
        </w:rPr>
        <w:t xml:space="preserve">plore their dispersal and traction within the </w:t>
      </w:r>
      <w:r w:rsidRPr="00FF684A">
        <w:rPr>
          <w:rFonts w:cs="Times New Roman"/>
          <w:szCs w:val="24"/>
        </w:rPr>
        <w:t xml:space="preserve">culture at large.  </w:t>
      </w:r>
      <w:r>
        <w:rPr>
          <w:rFonts w:cs="Times New Roman"/>
          <w:szCs w:val="24"/>
        </w:rPr>
        <w:t>To some extent the approach we take here can be compared to some current projects in historical linguistics such as LDN</w:t>
      </w:r>
      <w:r w:rsidR="000C2203">
        <w:rPr>
          <w:rFonts w:cs="Times New Roman"/>
          <w:szCs w:val="24"/>
        </w:rPr>
        <w:t>A</w:t>
      </w:r>
      <w:r>
        <w:rPr>
          <w:rFonts w:cs="Times New Roman"/>
          <w:szCs w:val="24"/>
        </w:rPr>
        <w:t>, based in Sheffield,  which also use methods developed in corpus and computational linguistics.</w:t>
      </w:r>
      <w:r w:rsidR="006416A0">
        <w:rPr>
          <w:rFonts w:cs="Times New Roman"/>
          <w:szCs w:val="24"/>
        </w:rPr>
        <w:t xml:space="preserve"> </w:t>
      </w:r>
      <w:r>
        <w:rPr>
          <w:rFonts w:cs="Times New Roman"/>
          <w:szCs w:val="24"/>
        </w:rPr>
        <w:t xml:space="preserve"> </w:t>
      </w:r>
      <w:r w:rsidR="006416A0" w:rsidRPr="006416A0">
        <w:rPr>
          <w:rFonts w:cs="Times New Roman"/>
          <w:szCs w:val="24"/>
        </w:rPr>
        <w:t>Th</w:t>
      </w:r>
      <w:r w:rsidR="006416A0">
        <w:rPr>
          <w:rFonts w:cs="Times New Roman"/>
          <w:szCs w:val="24"/>
        </w:rPr>
        <w:t xml:space="preserve">is </w:t>
      </w:r>
      <w:r w:rsidR="006416A0" w:rsidRPr="006416A0">
        <w:rPr>
          <w:rFonts w:cs="Times New Roman"/>
          <w:szCs w:val="24"/>
        </w:rPr>
        <w:t xml:space="preserve">project focuses on the early modern period, using a transcribed subset of Early English Books Online (EEBO-TCP) in combination with a thesaurus categorisation of word senses from the period to examine the change over time of raw word association frequencies and </w:t>
      </w:r>
      <w:r w:rsidR="004E51F1">
        <w:rPr>
          <w:rFonts w:cs="Times New Roman"/>
          <w:szCs w:val="24"/>
        </w:rPr>
        <w:t>pointwise mutual information</w:t>
      </w:r>
      <w:r w:rsidR="006416A0" w:rsidRPr="006416A0">
        <w:rPr>
          <w:rFonts w:cs="Times New Roman"/>
          <w:szCs w:val="24"/>
        </w:rPr>
        <w:t xml:space="preserve"> scores between pairs of terms of interest.</w:t>
      </w:r>
      <w:r w:rsidR="006416A0">
        <w:rPr>
          <w:rStyle w:val="FootnoteReference"/>
          <w:rFonts w:cs="Times New Roman"/>
          <w:szCs w:val="24"/>
        </w:rPr>
        <w:footnoteReference w:id="8"/>
      </w:r>
      <w:r w:rsidR="006416A0" w:rsidRPr="006416A0">
        <w:rPr>
          <w:rFonts w:cs="Times New Roman"/>
          <w:szCs w:val="24"/>
        </w:rPr>
        <w:t xml:space="preserve">   A </w:t>
      </w:r>
      <w:r w:rsidR="006416A0">
        <w:rPr>
          <w:rFonts w:cs="Times New Roman"/>
          <w:szCs w:val="24"/>
        </w:rPr>
        <w:t xml:space="preserve">different </w:t>
      </w:r>
      <w:r w:rsidR="006416A0" w:rsidRPr="006416A0">
        <w:rPr>
          <w:rFonts w:cs="Times New Roman"/>
          <w:szCs w:val="24"/>
        </w:rPr>
        <w:t>project based in Amsterdam, Texcavator, allows users to explore the development of sentiment around issues in newspaper text, presenting results in the form of histograms of word clouds and word and sentiment dictionary frequencies, alongside document metadata.</w:t>
      </w:r>
      <w:r w:rsidR="006416A0">
        <w:rPr>
          <w:rStyle w:val="FootnoteReference"/>
          <w:rFonts w:cs="Times New Roman"/>
          <w:szCs w:val="24"/>
        </w:rPr>
        <w:footnoteReference w:id="9"/>
      </w:r>
      <w:r w:rsidR="006416A0" w:rsidRPr="006416A0">
        <w:rPr>
          <w:rFonts w:cs="Times New Roman"/>
          <w:szCs w:val="24"/>
        </w:rPr>
        <w:t xml:space="preserve">   And a project based in Brussels has created a method for multi-dimensional scaling of distributional semantic change, in order to analyse a change in meaning in positive evaluative adjectives in American English from 1860-2000, using PMI weighted co-occurrence scores derived from ten word windows around the term of interest.</w:t>
      </w:r>
      <w:r w:rsidR="006416A0">
        <w:rPr>
          <w:rStyle w:val="FootnoteReference"/>
          <w:rFonts w:cs="Times New Roman"/>
          <w:szCs w:val="24"/>
        </w:rPr>
        <w:footnoteReference w:id="10"/>
      </w:r>
      <w:r w:rsidR="006416A0" w:rsidRPr="006416A0">
        <w:rPr>
          <w:rFonts w:cs="Times New Roman"/>
          <w:szCs w:val="24"/>
        </w:rPr>
        <w:t xml:space="preserve">  </w:t>
      </w:r>
      <w:bookmarkStart w:id="1" w:name="_Hlk519694106"/>
      <w:r w:rsidR="006416A0">
        <w:rPr>
          <w:rFonts w:cs="Times New Roman"/>
          <w:szCs w:val="24"/>
        </w:rPr>
        <w:t xml:space="preserve">Lastly, there </w:t>
      </w:r>
      <w:bookmarkEnd w:id="1"/>
      <w:r w:rsidR="006416A0" w:rsidRPr="006416A0">
        <w:rPr>
          <w:rFonts w:cs="Times New Roman"/>
          <w:szCs w:val="24"/>
        </w:rPr>
        <w:t>is also a project based in Helsinki which aims to analyse publication trends in the field of history in early modern Britain and North America in 1470–1800, based on English Short Title Catalogue (ESTC) data.</w:t>
      </w:r>
      <w:r w:rsidR="006416A0">
        <w:rPr>
          <w:rStyle w:val="FootnoteReference"/>
          <w:rFonts w:cs="Times New Roman"/>
          <w:szCs w:val="24"/>
        </w:rPr>
        <w:footnoteReference w:id="11"/>
      </w:r>
      <w:r w:rsidR="006416A0" w:rsidRPr="006416A0">
        <w:rPr>
          <w:rFonts w:cs="Times New Roman"/>
          <w:szCs w:val="24"/>
        </w:rPr>
        <w:t xml:space="preserve">. </w:t>
      </w:r>
      <w:r w:rsidR="006416A0">
        <w:rPr>
          <w:rFonts w:cs="Times New Roman"/>
          <w:szCs w:val="24"/>
        </w:rPr>
        <w:t xml:space="preserve"> </w:t>
      </w:r>
      <w:r>
        <w:rPr>
          <w:rFonts w:cs="Times New Roman"/>
          <w:szCs w:val="24"/>
        </w:rPr>
        <w:t xml:space="preserve">The major </w:t>
      </w:r>
      <w:r>
        <w:rPr>
          <w:rFonts w:cs="Times New Roman"/>
          <w:szCs w:val="24"/>
        </w:rPr>
        <w:lastRenderedPageBreak/>
        <w:t>difference between the work we present here and these other projects is our emphasis on conceptual structure or behaviour as opposed to semantic shifts.  We do not deny, however, that changes in structure are likely to be congruent with changes in the meanings of terms.</w:t>
      </w:r>
    </w:p>
    <w:p w14:paraId="7799DBD8" w14:textId="77777777" w:rsidR="00CE1349" w:rsidRPr="00FF684A" w:rsidRDefault="00CE1349" w:rsidP="00CE1349">
      <w:pPr>
        <w:spacing w:line="480" w:lineRule="auto"/>
        <w:rPr>
          <w:rFonts w:cs="Times New Roman"/>
          <w:szCs w:val="24"/>
        </w:rPr>
      </w:pPr>
      <w:r>
        <w:rPr>
          <w:rFonts w:cs="Times New Roman"/>
          <w:szCs w:val="24"/>
        </w:rPr>
        <w:tab/>
      </w:r>
      <w:r w:rsidRPr="00FF684A">
        <w:rPr>
          <w:rFonts w:cs="Times New Roman"/>
          <w:szCs w:val="24"/>
        </w:rPr>
        <w:t xml:space="preserve">An initial observation of the following kind helps orient </w:t>
      </w:r>
      <w:r>
        <w:rPr>
          <w:rFonts w:cs="Times New Roman"/>
          <w:szCs w:val="24"/>
        </w:rPr>
        <w:t>our</w:t>
      </w:r>
      <w:r w:rsidRPr="00FF684A">
        <w:rPr>
          <w:rFonts w:cs="Times New Roman"/>
          <w:szCs w:val="24"/>
        </w:rPr>
        <w:t xml:space="preserve"> approach: let us say that Hobbes had a theory of liberty which directed his thinking with this idea, but did his fellow citizens mirror or adopt this thinking?  Of course</w:t>
      </w:r>
      <w:r>
        <w:rPr>
          <w:rFonts w:cs="Times New Roman"/>
          <w:szCs w:val="24"/>
        </w:rPr>
        <w:t>,</w:t>
      </w:r>
      <w:r w:rsidRPr="00FF684A">
        <w:rPr>
          <w:rFonts w:cs="Times New Roman"/>
          <w:szCs w:val="24"/>
        </w:rPr>
        <w:t xml:space="preserve"> we cannot answer that question with very fine</w:t>
      </w:r>
      <w:r>
        <w:rPr>
          <w:rFonts w:cs="Times New Roman"/>
          <w:szCs w:val="24"/>
        </w:rPr>
        <w:t>-</w:t>
      </w:r>
      <w:r w:rsidRPr="00FF684A">
        <w:rPr>
          <w:rFonts w:cs="Times New Roman"/>
          <w:szCs w:val="24"/>
        </w:rPr>
        <w:t>grained detail since those citizens may have thought about the idea in numerous ways that never fell into print transcriptions of such thinking.  Nevertheless</w:t>
      </w:r>
      <w:r>
        <w:rPr>
          <w:rFonts w:cs="Times New Roman"/>
          <w:szCs w:val="24"/>
        </w:rPr>
        <w:t>,</w:t>
      </w:r>
      <w:r w:rsidRPr="00FF684A">
        <w:rPr>
          <w:rFonts w:cs="Times New Roman"/>
          <w:szCs w:val="24"/>
        </w:rPr>
        <w:t xml:space="preserve"> we believe that a </w:t>
      </w:r>
      <w:r>
        <w:rPr>
          <w:rFonts w:cs="Times New Roman"/>
          <w:szCs w:val="24"/>
        </w:rPr>
        <w:t>full-scale</w:t>
      </w:r>
      <w:r w:rsidRPr="00FF684A">
        <w:rPr>
          <w:rFonts w:cs="Times New Roman"/>
          <w:szCs w:val="24"/>
        </w:rPr>
        <w:t xml:space="preserve"> survey of the printed text archive does provide us with valuable insights into the ways in which a culture formulated and used ideas in the past.</w:t>
      </w:r>
    </w:p>
    <w:p w14:paraId="6493D851" w14:textId="17A02DF7" w:rsidR="00CE1349" w:rsidRPr="00FF684A" w:rsidRDefault="00CE1349" w:rsidP="00CE1349">
      <w:pPr>
        <w:spacing w:line="480" w:lineRule="auto"/>
        <w:rPr>
          <w:rFonts w:cs="Times New Roman"/>
          <w:szCs w:val="24"/>
        </w:rPr>
      </w:pPr>
      <w:r w:rsidRPr="00FF684A">
        <w:rPr>
          <w:rFonts w:cs="Times New Roman"/>
          <w:szCs w:val="24"/>
        </w:rPr>
        <w:tab/>
        <w:t xml:space="preserve">One can grasp the trajectory of this endeavour by noting the following: since the publication of Isaiah Berlin’s lecture on the ‘Two Concepts of Liberty’ in 1958 intellectual historians and political theorists have debated with some vigour the notion that liberty comes in two different guises.  The first, positive liberty, is based upon our freedom to choose what we do.  The second, negative liberty, is based upon our accepting constraints upon how we act, freedom </w:t>
      </w:r>
      <w:r w:rsidRPr="00FF684A">
        <w:rPr>
          <w:rFonts w:cs="Times New Roman"/>
          <w:i/>
          <w:szCs w:val="24"/>
        </w:rPr>
        <w:t>from</w:t>
      </w:r>
      <w:r w:rsidRPr="00FF684A">
        <w:rPr>
          <w:rFonts w:cs="Times New Roman"/>
          <w:szCs w:val="24"/>
        </w:rPr>
        <w:t xml:space="preserve"> slavery, for example.  </w:t>
      </w:r>
      <w:r>
        <w:rPr>
          <w:rFonts w:cs="Times New Roman"/>
          <w:szCs w:val="24"/>
        </w:rPr>
        <w:t xml:space="preserve">And this debate has a very clear contemporary relevance: it helps us understand our own attempts to work within (or against) what has come down to us as a theory of government and democracy based upon ‘liberalism’.  Our concluding section outlines ways in which computational methods can shine a light on the emergence or incubation of such a theory, effectively mapping the shifting lexical terrains within which our two terms ‘freedom’ and ‘liberty’ operated </w:t>
      </w:r>
      <w:r w:rsidR="009A259A">
        <w:rPr>
          <w:rFonts w:cs="Times New Roman"/>
          <w:szCs w:val="24"/>
        </w:rPr>
        <w:t xml:space="preserve">in English </w:t>
      </w:r>
      <w:r>
        <w:rPr>
          <w:rFonts w:cs="Times New Roman"/>
          <w:szCs w:val="24"/>
        </w:rPr>
        <w:t xml:space="preserve">at the end of the eighteenth century.  Such an account helps us understand how concepts coagulate or constellate over time and provide the basis for the articulation of complex political ideas.  </w:t>
      </w:r>
      <w:r w:rsidR="004B65A4">
        <w:rPr>
          <w:rFonts w:cs="Times New Roman"/>
          <w:szCs w:val="24"/>
        </w:rPr>
        <w:t xml:space="preserve">From the evidence of our data mining we believe that any close grained historical account of what has become a contested but nevertheless widely accepted truth – broadly speaking </w:t>
      </w:r>
      <w:r w:rsidR="00FD01E3">
        <w:rPr>
          <w:rFonts w:cs="Times New Roman"/>
          <w:szCs w:val="24"/>
        </w:rPr>
        <w:t xml:space="preserve">the </w:t>
      </w:r>
      <w:r w:rsidR="00FD01E3">
        <w:rPr>
          <w:rFonts w:cs="Times New Roman"/>
          <w:szCs w:val="24"/>
        </w:rPr>
        <w:lastRenderedPageBreak/>
        <w:t xml:space="preserve">identification of </w:t>
      </w:r>
      <w:r w:rsidR="004B65A4">
        <w:rPr>
          <w:rFonts w:cs="Times New Roman"/>
          <w:szCs w:val="24"/>
        </w:rPr>
        <w:t>liberalism’s triumph over republicanism,</w:t>
      </w:r>
      <w:r w:rsidR="00FD01E3">
        <w:rPr>
          <w:rStyle w:val="FootnoteReference"/>
          <w:rFonts w:cs="Times New Roman"/>
          <w:szCs w:val="24"/>
        </w:rPr>
        <w:footnoteReference w:id="12"/>
      </w:r>
      <w:r w:rsidR="004B65A4">
        <w:rPr>
          <w:rFonts w:cs="Times New Roman"/>
          <w:szCs w:val="24"/>
        </w:rPr>
        <w:t xml:space="preserve"> or more narrowly the interdependence of liberty and individual rights</w:t>
      </w:r>
      <w:r w:rsidR="00EB3F1E">
        <w:rPr>
          <w:rFonts w:cs="Times New Roman"/>
          <w:szCs w:val="24"/>
        </w:rPr>
        <w:t xml:space="preserve"> -</w:t>
      </w:r>
      <w:r w:rsidR="004B65A4">
        <w:rPr>
          <w:rFonts w:cs="Times New Roman"/>
          <w:szCs w:val="24"/>
        </w:rPr>
        <w:t xml:space="preserve"> based on English language sources (as this study is and recognises as a limitation due to comparability of available datasets) </w:t>
      </w:r>
      <w:r w:rsidR="00BC46FC">
        <w:rPr>
          <w:rFonts w:cs="Times New Roman"/>
          <w:szCs w:val="24"/>
        </w:rPr>
        <w:t xml:space="preserve">is likely to find the last thirty years of the eighteenth century of particular importance.  Indeed, a strongly formulated revision to the prevailing orthodoxy notes that the longer </w:t>
      </w:r>
      <w:r w:rsidR="00BC46FC" w:rsidRPr="00BC46FC">
        <w:rPr>
          <w:rFonts w:cs="Times New Roman"/>
          <w:i/>
          <w:szCs w:val="24"/>
        </w:rPr>
        <w:t>dur</w:t>
      </w:r>
      <w:r w:rsidR="00BC46FC">
        <w:rPr>
          <w:rFonts w:cs="Times New Roman"/>
          <w:i/>
          <w:szCs w:val="24"/>
        </w:rPr>
        <w:t>é</w:t>
      </w:r>
      <w:r w:rsidR="00BC46FC" w:rsidRPr="00BC46FC">
        <w:rPr>
          <w:rFonts w:cs="Times New Roman"/>
          <w:i/>
          <w:szCs w:val="24"/>
        </w:rPr>
        <w:t>e</w:t>
      </w:r>
      <w:r w:rsidR="00BC46FC">
        <w:rPr>
          <w:rFonts w:cs="Times New Roman"/>
          <w:szCs w:val="24"/>
        </w:rPr>
        <w:t xml:space="preserve"> history of the political idea of liberty is likely to pass over the intense work of conceptual formation and adaptation that occurred in this thirty</w:t>
      </w:r>
      <w:r w:rsidR="009A259A">
        <w:rPr>
          <w:rFonts w:cs="Times New Roman"/>
          <w:szCs w:val="24"/>
        </w:rPr>
        <w:t>-</w:t>
      </w:r>
      <w:r w:rsidR="00BC46FC">
        <w:rPr>
          <w:rFonts w:cs="Times New Roman"/>
          <w:szCs w:val="24"/>
        </w:rPr>
        <w:t xml:space="preserve">year period.  The sweep of our </w:t>
      </w:r>
      <w:r w:rsidR="00EB3F1E">
        <w:rPr>
          <w:rFonts w:cs="Times New Roman"/>
          <w:szCs w:val="24"/>
        </w:rPr>
        <w:t>essay</w:t>
      </w:r>
      <w:r w:rsidR="00BC46FC">
        <w:rPr>
          <w:rFonts w:cs="Times New Roman"/>
          <w:szCs w:val="24"/>
        </w:rPr>
        <w:t>, then, moves from the well-embedded accounts of liberty both historically and philosophically, that is from Cambridge School accounts and the post Isaiah Berlin philosophical tradition, to a data supported conceptual micro-history that identifies forces active in the las</w:t>
      </w:r>
      <w:r w:rsidR="00FD01E3">
        <w:rPr>
          <w:rFonts w:cs="Times New Roman"/>
          <w:szCs w:val="24"/>
        </w:rPr>
        <w:t xml:space="preserve">t </w:t>
      </w:r>
      <w:r w:rsidR="00BC46FC">
        <w:rPr>
          <w:rFonts w:cs="Times New Roman"/>
          <w:szCs w:val="24"/>
        </w:rPr>
        <w:t>decades of the eighteenth century.</w:t>
      </w:r>
      <w:r w:rsidR="00EB12DF">
        <w:rPr>
          <w:rStyle w:val="FootnoteReference"/>
          <w:rFonts w:cs="Times New Roman"/>
          <w:szCs w:val="24"/>
        </w:rPr>
        <w:footnoteReference w:id="13"/>
      </w:r>
      <w:r w:rsidR="00BC46FC">
        <w:rPr>
          <w:rFonts w:cs="Times New Roman"/>
          <w:szCs w:val="24"/>
        </w:rPr>
        <w:t xml:space="preserve">  </w:t>
      </w:r>
      <w:r w:rsidR="00EB3F1E">
        <w:rPr>
          <w:rFonts w:cs="Times New Roman"/>
          <w:szCs w:val="24"/>
        </w:rPr>
        <w:t>It may be useful to note here that</w:t>
      </w:r>
      <w:r w:rsidR="008A4766">
        <w:rPr>
          <w:rFonts w:cs="Times New Roman"/>
          <w:szCs w:val="24"/>
        </w:rPr>
        <w:t xml:space="preserve"> in our view</w:t>
      </w:r>
      <w:r w:rsidR="00EB3F1E">
        <w:rPr>
          <w:rFonts w:cs="Times New Roman"/>
          <w:szCs w:val="24"/>
        </w:rPr>
        <w:t xml:space="preserve"> ‘surface’ or ‘distant’ reading (the terms that have become established for describing methods of interrogating digital text archives through computational means</w:t>
      </w:r>
      <w:r w:rsidR="008A4766">
        <w:rPr>
          <w:rFonts w:cs="Times New Roman"/>
          <w:szCs w:val="24"/>
        </w:rPr>
        <w:t>) is not an end in itself.  Indeed</w:t>
      </w:r>
      <w:r w:rsidR="00FD01E3">
        <w:rPr>
          <w:rFonts w:cs="Times New Roman"/>
          <w:szCs w:val="24"/>
        </w:rPr>
        <w:t>,</w:t>
      </w:r>
      <w:r w:rsidR="008A4766">
        <w:rPr>
          <w:rFonts w:cs="Times New Roman"/>
          <w:szCs w:val="24"/>
        </w:rPr>
        <w:t xml:space="preserve"> the very terms are misleading because machine modes of data extraction are not in any sense ‘distant’ from the texts to which they are applied: such methods when applied at scale read exponentially closer than humans are capable of doing.  Moreover, as the concluding sections of this essay suggest, reading at scale can have the effect of identifying very local effects that otherwise are unperceivable.  When we uncover such spikes in a general trend they should be understood as diagnostic with respect to further interrogation of the underlying data.  Thus</w:t>
      </w:r>
      <w:r w:rsidR="00FD01E3">
        <w:rPr>
          <w:rFonts w:cs="Times New Roman"/>
          <w:szCs w:val="24"/>
        </w:rPr>
        <w:t>,</w:t>
      </w:r>
      <w:r w:rsidR="008A4766">
        <w:rPr>
          <w:rFonts w:cs="Times New Roman"/>
          <w:szCs w:val="24"/>
        </w:rPr>
        <w:t xml:space="preserve"> w</w:t>
      </w:r>
      <w:r w:rsidR="00BC46FC">
        <w:rPr>
          <w:rFonts w:cs="Times New Roman"/>
          <w:szCs w:val="24"/>
        </w:rPr>
        <w:t xml:space="preserve">e propose this </w:t>
      </w:r>
      <w:r w:rsidR="008A4766">
        <w:rPr>
          <w:rFonts w:cs="Times New Roman"/>
          <w:szCs w:val="24"/>
        </w:rPr>
        <w:t xml:space="preserve">essay </w:t>
      </w:r>
      <w:r w:rsidR="00BC46FC">
        <w:rPr>
          <w:rFonts w:cs="Times New Roman"/>
          <w:szCs w:val="24"/>
        </w:rPr>
        <w:t xml:space="preserve">as an invitation to return to the </w:t>
      </w:r>
      <w:r w:rsidR="009A259A">
        <w:rPr>
          <w:rFonts w:cs="Times New Roman"/>
          <w:szCs w:val="24"/>
        </w:rPr>
        <w:t xml:space="preserve">more generously constructed historical context of our thirty-year period, thereby combining the new methods used here with more conventional modes of the history of ideas.  Our hope is to extend and expand the field as it has evolved, not to supplant it.  </w:t>
      </w:r>
      <w:r>
        <w:rPr>
          <w:rFonts w:cs="Times New Roman"/>
          <w:szCs w:val="24"/>
        </w:rPr>
        <w:t xml:space="preserve">We begin, however, in the pre-history of this emergent </w:t>
      </w:r>
      <w:r>
        <w:rPr>
          <w:rFonts w:cs="Times New Roman"/>
          <w:szCs w:val="24"/>
        </w:rPr>
        <w:lastRenderedPageBreak/>
        <w:t>political category ‘liberalism’, by asking the extent to which the dominant account of two types of liberty (as mapped by Berlin and his interlocutors) might have been recognisable to  - say – a</w:t>
      </w:r>
      <w:r w:rsidR="009A259A">
        <w:rPr>
          <w:rFonts w:cs="Times New Roman"/>
          <w:szCs w:val="24"/>
        </w:rPr>
        <w:t>n</w:t>
      </w:r>
      <w:r>
        <w:rPr>
          <w:rFonts w:cs="Times New Roman"/>
          <w:szCs w:val="24"/>
        </w:rPr>
        <w:t xml:space="preserve"> English gentleman in 1660. </w:t>
      </w:r>
    </w:p>
    <w:p w14:paraId="16DE762B" w14:textId="77777777" w:rsidR="00CE1349" w:rsidRPr="00FF684A" w:rsidRDefault="00CE1349" w:rsidP="00CE1349">
      <w:pPr>
        <w:spacing w:line="480" w:lineRule="auto"/>
        <w:rPr>
          <w:rFonts w:cs="Times New Roman"/>
          <w:b/>
          <w:szCs w:val="24"/>
        </w:rPr>
      </w:pPr>
      <w:r w:rsidRPr="00FF684A">
        <w:rPr>
          <w:rFonts w:cs="Times New Roman"/>
          <w:b/>
          <w:szCs w:val="24"/>
        </w:rPr>
        <w:t>1. Raw frequency</w:t>
      </w:r>
    </w:p>
    <w:p w14:paraId="6F6801D2" w14:textId="77777777" w:rsidR="00CE1349" w:rsidRPr="00FF684A" w:rsidRDefault="00CE1349" w:rsidP="00CE1349">
      <w:pPr>
        <w:spacing w:line="480" w:lineRule="auto"/>
        <w:rPr>
          <w:rFonts w:cs="Times New Roman"/>
          <w:szCs w:val="24"/>
        </w:rPr>
      </w:pPr>
      <w:r w:rsidRPr="00FF684A">
        <w:rPr>
          <w:rFonts w:cs="Times New Roman"/>
          <w:szCs w:val="24"/>
        </w:rPr>
        <w:tab/>
        <w:t xml:space="preserve">Our procedure in the following is incremental: we begin with some rudimentary exercises in data extraction from our two datasets before employing some more sophisticated techniques for parsing conceptual forms.  As the evidence accumulates we believe a clear picture emerges over the course of two centuries and this picture has some elements in common with some extant accounts which we shall comment upon at the close of the essay.  Let us begin with a very simple enquiry of our data: what did the noun ‘liberty’ associate with over the first one hundred years of our restricted time period?  And how frequently did it do so?  Did agents in the seventeenth century speak of ‘liberty from servitude’?  Did they think of themselves as free from persecution?  We can quickly find answers to these questions by searching through the EEBO-TCP dataset in order to find all the uses of the phrase ‘liberty from’.  The results indicate that liberty was most commonly understood to be </w:t>
      </w:r>
      <w:r w:rsidRPr="00FF684A">
        <w:rPr>
          <w:rFonts w:cs="Times New Roman"/>
          <w:i/>
          <w:szCs w:val="24"/>
        </w:rPr>
        <w:t>from</w:t>
      </w:r>
      <w:r w:rsidRPr="00FF684A">
        <w:rPr>
          <w:rFonts w:cs="Times New Roman"/>
          <w:szCs w:val="24"/>
        </w:rPr>
        <w:t xml:space="preserve"> sin (or sinne in its variant spelling), a total of fifty-seven occurrences across the century.  The next most common was bondage, a total of thirty-six occurrences.  Law (24), prison (15), necessity (13), God (12), power (11), king (10), oppression (9), tyranny (9), imprisonment (8) and coaction (8) are the next most frequent terms.</w:t>
      </w:r>
    </w:p>
    <w:p w14:paraId="041AC9F5" w14:textId="67BEF71D" w:rsidR="00CE1349" w:rsidRPr="00FF684A" w:rsidRDefault="00CE1349" w:rsidP="00CE1349">
      <w:pPr>
        <w:spacing w:line="480" w:lineRule="auto"/>
        <w:rPr>
          <w:rFonts w:cs="Times New Roman"/>
          <w:szCs w:val="24"/>
        </w:rPr>
      </w:pPr>
      <w:r w:rsidRPr="00FF684A">
        <w:rPr>
          <w:rFonts w:cs="Times New Roman"/>
          <w:szCs w:val="24"/>
        </w:rPr>
        <w:tab/>
        <w:t xml:space="preserve">A very elementary comparison with the phrase ‘freedom from’ helps us begin to see an outline. The same search for this alternative yields the following results: freedom </w:t>
      </w:r>
      <w:r w:rsidRPr="00FF684A">
        <w:rPr>
          <w:rFonts w:cs="Times New Roman"/>
          <w:i/>
          <w:szCs w:val="24"/>
        </w:rPr>
        <w:t xml:space="preserve">from </w:t>
      </w:r>
      <w:r w:rsidRPr="00FF684A">
        <w:rPr>
          <w:rFonts w:cs="Times New Roman"/>
          <w:szCs w:val="24"/>
        </w:rPr>
        <w:t xml:space="preserve">was most commonly attached, once again, to sin (including sinne) – a total of three hundred and thirty-nine occurrences across the seventeenth century.  And bondage was the next most common, with seventy-one occurrences.  Law (55), guilt (49), punishment (47), death (38), </w:t>
      </w:r>
      <w:r w:rsidRPr="00FF684A">
        <w:rPr>
          <w:rFonts w:cs="Times New Roman"/>
          <w:szCs w:val="24"/>
        </w:rPr>
        <w:lastRenderedPageBreak/>
        <w:t xml:space="preserve">arrests (36), evil (35), curse (33), power (31), pain (31), condemnation (30), persecution (27, misery (27) and trouble (25) are the next most common.  Here one can see that although the two phrases were applied equally commonly to sin, bondage, and law, for the most part they shared very few nouns to which the phrases were applied.  This initial inspection of the data leads us to suppose that ‘liberty’ and ‘freedom’ certainly shared habits of usage – let us say they operated in a similar ideational terrain – but they were clearly not identical.  We shall keep this firmly in view as we begin to investigate the extent to which we can identify two different ideas or concepts – liberty and freedom - at work across the two centuries. </w:t>
      </w:r>
    </w:p>
    <w:p w14:paraId="12C26871" w14:textId="42ED1777" w:rsidR="00CE1349" w:rsidRDefault="00CE1349" w:rsidP="00CE1349">
      <w:pPr>
        <w:spacing w:line="480" w:lineRule="auto"/>
        <w:rPr>
          <w:rFonts w:cs="Times New Roman"/>
          <w:szCs w:val="24"/>
        </w:rPr>
      </w:pPr>
      <w:r w:rsidRPr="00FF684A">
        <w:rPr>
          <w:rFonts w:cs="Times New Roman"/>
          <w:szCs w:val="24"/>
        </w:rPr>
        <w:tab/>
        <w:t>In our second data extraction we have inspected the raw frequency of the two variants of the phrases ‘liberty to’ and ‘liberty from’ and compared these with ‘freedome from’ and ‘freedome to’.  The data is presented in the following table:</w:t>
      </w:r>
      <w:r w:rsidRPr="00FF684A">
        <w:rPr>
          <w:rFonts w:cs="Times New Roman"/>
          <w:szCs w:val="24"/>
        </w:rPr>
        <w:tab/>
      </w:r>
    </w:p>
    <w:p w14:paraId="1CAA09D9" w14:textId="453C22B5" w:rsidR="00A357CB" w:rsidRDefault="00A357CB" w:rsidP="00CE1349">
      <w:pPr>
        <w:spacing w:line="480" w:lineRule="auto"/>
        <w:rPr>
          <w:rFonts w:cs="Times New Roman"/>
          <w:szCs w:val="24"/>
        </w:rPr>
      </w:pPr>
      <w:r>
        <w:rPr>
          <w:rFonts w:cs="Times New Roman"/>
          <w:szCs w:val="24"/>
        </w:rPr>
        <w:t>Insert table 1</w:t>
      </w:r>
    </w:p>
    <w:p w14:paraId="25C47D70" w14:textId="77777777" w:rsidR="00CE1349" w:rsidRPr="00FF684A" w:rsidRDefault="00CE1349" w:rsidP="00CE1349">
      <w:pPr>
        <w:spacing w:line="480" w:lineRule="auto"/>
        <w:rPr>
          <w:rFonts w:cs="Times New Roman"/>
          <w:szCs w:val="24"/>
        </w:rPr>
      </w:pPr>
      <w:r w:rsidRPr="00FF684A">
        <w:rPr>
          <w:rFonts w:cs="Times New Roman"/>
          <w:szCs w:val="24"/>
        </w:rPr>
        <w:tab/>
      </w:r>
      <w:r w:rsidRPr="00FF684A">
        <w:rPr>
          <w:rFonts w:cs="Times New Roman"/>
          <w:szCs w:val="24"/>
        </w:rPr>
        <w:tab/>
      </w:r>
      <w:r w:rsidRPr="00FF684A">
        <w:rPr>
          <w:rFonts w:cs="Times New Roman"/>
          <w:szCs w:val="24"/>
        </w:rPr>
        <w:tab/>
      </w:r>
      <w:r w:rsidRPr="00FF684A">
        <w:rPr>
          <w:rFonts w:cs="Times New Roman"/>
          <w:szCs w:val="24"/>
        </w:rPr>
        <w:tab/>
      </w:r>
    </w:p>
    <w:p w14:paraId="7E0CEFA6" w14:textId="77777777" w:rsidR="00CE1349" w:rsidRPr="00FF684A" w:rsidRDefault="00CE1349" w:rsidP="00CE1349">
      <w:pPr>
        <w:spacing w:line="480" w:lineRule="auto"/>
        <w:rPr>
          <w:rFonts w:cs="Times New Roman"/>
          <w:szCs w:val="24"/>
        </w:rPr>
      </w:pPr>
      <w:r w:rsidRPr="00FF684A">
        <w:rPr>
          <w:rFonts w:cs="Times New Roman"/>
          <w:szCs w:val="24"/>
        </w:rPr>
        <w:t>As one can see, the data indicates that ‘freedome from’ was far more common than ‘liberty from, and, correspondingly, the frequency of the phrase ‘freedome to’ is far smaller tha</w:t>
      </w:r>
      <w:r>
        <w:rPr>
          <w:rFonts w:cs="Times New Roman"/>
          <w:szCs w:val="24"/>
        </w:rPr>
        <w:t>n</w:t>
      </w:r>
      <w:r w:rsidRPr="00FF684A">
        <w:rPr>
          <w:rFonts w:cs="Times New Roman"/>
          <w:szCs w:val="24"/>
        </w:rPr>
        <w:t xml:space="preserve"> ‘liberty to’: five hundred and eleven occurrences compared to 3,143.  This clearly marks a distinction in the uses for the two words and one might begin to hazard that this difference is determined by the positive or negative senses of the concept of liberty.  Although one could think of freedom in its positive inflection, freedom to choose what one might do, that conception was much more commonly articulated in the verbal expression ‘</w:t>
      </w:r>
      <w:r w:rsidRPr="00FF684A">
        <w:rPr>
          <w:rFonts w:cs="Times New Roman"/>
          <w:i/>
          <w:szCs w:val="24"/>
        </w:rPr>
        <w:t>liberty to</w:t>
      </w:r>
      <w:r w:rsidRPr="00FF684A">
        <w:rPr>
          <w:rFonts w:cs="Times New Roman"/>
          <w:szCs w:val="24"/>
        </w:rPr>
        <w:t>’ do something.  Conversely, the negative inflection, liberty from restraint was more commonly articulated in the verbal expression ‘</w:t>
      </w:r>
      <w:r w:rsidRPr="00FF684A">
        <w:rPr>
          <w:rFonts w:cs="Times New Roman"/>
          <w:i/>
          <w:szCs w:val="24"/>
        </w:rPr>
        <w:t>freedom from’</w:t>
      </w:r>
      <w:r w:rsidRPr="00FF684A">
        <w:rPr>
          <w:rFonts w:cs="Times New Roman"/>
          <w:szCs w:val="24"/>
        </w:rPr>
        <w:t>.</w:t>
      </w:r>
    </w:p>
    <w:p w14:paraId="5152BBD3" w14:textId="77777777" w:rsidR="00CE1349" w:rsidRPr="00FF684A" w:rsidRDefault="00CE1349" w:rsidP="00CE1349">
      <w:pPr>
        <w:spacing w:line="480" w:lineRule="auto"/>
        <w:rPr>
          <w:rFonts w:cs="Times New Roman"/>
          <w:szCs w:val="24"/>
        </w:rPr>
      </w:pPr>
      <w:r w:rsidRPr="00FF684A">
        <w:rPr>
          <w:rFonts w:cs="Times New Roman"/>
          <w:szCs w:val="24"/>
        </w:rPr>
        <w:lastRenderedPageBreak/>
        <w:tab/>
        <w:t>If we now extract the data for these uses across the two centuries we can begin to note how the idea of liberty slowly but surely became distinct from the idea of freedom:</w:t>
      </w:r>
    </w:p>
    <w:p w14:paraId="6DFC65B1" w14:textId="1EC4B775" w:rsidR="00CE1349" w:rsidRPr="00FF684A" w:rsidRDefault="00A357CB" w:rsidP="00CE1349">
      <w:pPr>
        <w:spacing w:line="480" w:lineRule="auto"/>
        <w:rPr>
          <w:rFonts w:cs="Times New Roman"/>
          <w:szCs w:val="24"/>
        </w:rPr>
      </w:pPr>
      <w:r>
        <w:rPr>
          <w:rFonts w:cs="Times New Roman"/>
          <w:szCs w:val="24"/>
        </w:rPr>
        <w:t>Insert table 2</w:t>
      </w:r>
      <w:r w:rsidR="00CE1349" w:rsidRPr="00FF684A">
        <w:rPr>
          <w:rFonts w:cs="Times New Roman"/>
          <w:szCs w:val="24"/>
        </w:rPr>
        <w:fldChar w:fldCharType="begin"/>
      </w:r>
      <w:r w:rsidR="00CE1349" w:rsidRPr="00FF684A">
        <w:rPr>
          <w:rFonts w:cs="Times New Roman"/>
          <w:szCs w:val="24"/>
        </w:rPr>
        <w:instrText xml:space="preserve"> LINK Excel.Sheet.8 "Book1" "Sheet1!R1C1:R6C5" \a \f 5 \h  \* MERGEFORMAT </w:instrText>
      </w:r>
      <w:r w:rsidR="00CE1349" w:rsidRPr="00FF684A">
        <w:rPr>
          <w:rFonts w:cs="Times New Roman"/>
          <w:szCs w:val="24"/>
        </w:rPr>
        <w:fldChar w:fldCharType="separate"/>
      </w:r>
    </w:p>
    <w:p w14:paraId="6ADDBD9E" w14:textId="77777777" w:rsidR="00CE1349" w:rsidRPr="00FF684A" w:rsidRDefault="00CE1349" w:rsidP="00CE1349">
      <w:pPr>
        <w:spacing w:line="480" w:lineRule="auto"/>
        <w:rPr>
          <w:rFonts w:cs="Times New Roman"/>
          <w:szCs w:val="24"/>
        </w:rPr>
      </w:pPr>
      <w:r w:rsidRPr="00FF684A">
        <w:rPr>
          <w:rFonts w:cs="Times New Roman"/>
          <w:szCs w:val="24"/>
        </w:rPr>
        <w:fldChar w:fldCharType="end"/>
      </w:r>
    </w:p>
    <w:p w14:paraId="57C0340F" w14:textId="77777777" w:rsidR="00CE1349" w:rsidRPr="00FF684A" w:rsidRDefault="00CE1349" w:rsidP="00CE1349">
      <w:pPr>
        <w:spacing w:line="480" w:lineRule="auto"/>
        <w:rPr>
          <w:rFonts w:cs="Times New Roman"/>
          <w:szCs w:val="24"/>
        </w:rPr>
      </w:pPr>
      <w:r w:rsidRPr="00FF684A">
        <w:rPr>
          <w:rFonts w:cs="Times New Roman"/>
          <w:szCs w:val="24"/>
        </w:rPr>
        <w:t>These raw frequencies of the phrases indicate clearly that over the two centuries the uses of freedom in both the positive and negative liberty senses evens out: where ‘freedom from’ in the early seventeenth century is clearly more common than ‘freedom to’, by the end of the eighteenth century there is no clear preference.  The story with liberty is markedly different: ‘liberty to’ is far more common across the two hundred years.  If we are to understand ‘liberty’ as a distinct idea from ‘freedom’ these data suggest that liberty was articulated in the positive sense: liberty to act as one wished.  In the case of ‘freedom’ there seems to have been no clear preference for the positive or negative sense.</w:t>
      </w:r>
    </w:p>
    <w:p w14:paraId="0399FF64" w14:textId="77777777" w:rsidR="00CE1349" w:rsidRPr="00FF684A" w:rsidRDefault="00CE1349" w:rsidP="00CE1349">
      <w:pPr>
        <w:spacing w:line="480" w:lineRule="auto"/>
        <w:rPr>
          <w:rFonts w:cs="Times New Roman"/>
          <w:b/>
          <w:szCs w:val="24"/>
        </w:rPr>
      </w:pPr>
      <w:r w:rsidRPr="00FF684A">
        <w:rPr>
          <w:rFonts w:cs="Times New Roman"/>
          <w:b/>
          <w:szCs w:val="24"/>
        </w:rPr>
        <w:t>2. Distributional probability</w:t>
      </w:r>
    </w:p>
    <w:p w14:paraId="617B81BA" w14:textId="68A6EA2D" w:rsidR="008117EB" w:rsidRDefault="00CE1349" w:rsidP="00CE1349">
      <w:pPr>
        <w:spacing w:line="480" w:lineRule="auto"/>
        <w:rPr>
          <w:rFonts w:cs="Times New Roman"/>
          <w:szCs w:val="24"/>
        </w:rPr>
      </w:pPr>
      <w:r w:rsidRPr="00FF684A">
        <w:rPr>
          <w:rFonts w:cs="Times New Roman"/>
          <w:b/>
          <w:szCs w:val="24"/>
        </w:rPr>
        <w:tab/>
      </w:r>
      <w:r w:rsidRPr="00FF684A">
        <w:rPr>
          <w:rFonts w:cs="Times New Roman"/>
          <w:szCs w:val="24"/>
        </w:rPr>
        <w:t>In our next data extraction we have used a more sophisticated tool for analysing very large datasets of language use.  In this case we are using statistical methods for predicting the likelihood of two terms co-associating.</w:t>
      </w:r>
      <w:r w:rsidR="001B3C97">
        <w:rPr>
          <w:rFonts w:cs="Times New Roman"/>
          <w:szCs w:val="24"/>
        </w:rPr>
        <w:t xml:space="preserve"> </w:t>
      </w:r>
      <w:r w:rsidRPr="00FF684A">
        <w:rPr>
          <w:rFonts w:cs="Times New Roman"/>
          <w:szCs w:val="24"/>
        </w:rPr>
        <w:t xml:space="preserve"> </w:t>
      </w:r>
      <w:r w:rsidR="008117EB" w:rsidRPr="008117EB">
        <w:rPr>
          <w:rFonts w:cs="Times New Roman"/>
          <w:szCs w:val="24"/>
        </w:rPr>
        <w:t xml:space="preserve">The use of the term ‘co-associating’ is intended to signal that our approach is slightly different from most corpus linguistic studies which use the term ‘co-occurrence’.  Firstly, the use of ‘association’ underlines our focus on ideas which are said to be linked in the mind through a process of association: when we derive data on words or terms appearing in a text stream at different proximities we mean to be directing attention away from their purely linguistic attributes or functionality, that is away from grammar or syntax, towards an underlying conceptual architecture.  Secondly, when we derive data from co-occurrence at wide spans – say one hundred words away – we are not </w:t>
      </w:r>
      <w:r w:rsidR="008117EB" w:rsidRPr="008117EB">
        <w:rPr>
          <w:rFonts w:cs="Times New Roman"/>
          <w:szCs w:val="24"/>
        </w:rPr>
        <w:lastRenderedPageBreak/>
        <w:t xml:space="preserve">likely to be picking up on grammatical or syntactic coherence: the words do not occur with each other in a sense that may be explained by the rules of natural language.  Their appearing in some kind of stretched linkage may be more likely explained by the fact that the text is concerned with a topic – hence words that contribute to the semantic field which characterises, say, our discussion of the weather are likely to be scattered across lengthy segments of text. ‘ Co-association’, then, across varying spans or distances is intended to capture the fact that we are building a picture of a unit of thinking or understanding that in common speech we call an idea.  </w:t>
      </w:r>
    </w:p>
    <w:p w14:paraId="45E74DEF" w14:textId="557952C6" w:rsidR="00CE1349" w:rsidRPr="00FF684A" w:rsidRDefault="001B3C97" w:rsidP="00CE1349">
      <w:pPr>
        <w:spacing w:line="480" w:lineRule="auto"/>
        <w:rPr>
          <w:rFonts w:cs="Times New Roman"/>
          <w:b/>
          <w:szCs w:val="24"/>
        </w:rPr>
      </w:pPr>
      <w:r>
        <w:rPr>
          <w:rFonts w:cs="Times New Roman"/>
          <w:szCs w:val="24"/>
        </w:rPr>
        <w:tab/>
        <w:t xml:space="preserve">Our measure of distributional probability, </w:t>
      </w:r>
      <w:r w:rsidRPr="001B3C97">
        <w:rPr>
          <w:rFonts w:cs="Times New Roman"/>
          <w:i/>
          <w:szCs w:val="24"/>
        </w:rPr>
        <w:t>dpf,</w:t>
      </w:r>
      <w:r>
        <w:rPr>
          <w:rFonts w:cs="Times New Roman"/>
          <w:szCs w:val="24"/>
        </w:rPr>
        <w:t xml:space="preserve"> </w:t>
      </w:r>
      <w:r w:rsidR="00CE1349" w:rsidRPr="00FF684A">
        <w:rPr>
          <w:rFonts w:cs="Times New Roman"/>
          <w:szCs w:val="24"/>
        </w:rPr>
        <w:t xml:space="preserve">is created by first observing the raw frequency of occurrence of the target term and then calculating the statistical probability of such a term co-associating with every other term in the dataset.  This enables us to create a measure against which we can compare the actual occurrences of every co-associated pair of terms.  </w:t>
      </w:r>
      <w:r w:rsidR="004E51F1">
        <w:t>We generate a numerical value from these calculations, the </w:t>
      </w:r>
      <w:r w:rsidR="004E51F1">
        <w:rPr>
          <w:i/>
          <w:iCs/>
        </w:rPr>
        <w:t>dpf</w:t>
      </w:r>
      <w:r w:rsidR="004E51F1">
        <w:t>, which gives us an index to the degree to which lexis is statistically co-associated throughout the dataset</w:t>
      </w:r>
      <w:r w:rsidR="00CE1349" w:rsidRPr="00FF684A">
        <w:rPr>
          <w:rFonts w:cs="Times New Roman"/>
          <w:szCs w:val="24"/>
        </w:rPr>
        <w:t>.   This measure can be plotted above a baseline which is calculated by assuming that the target term could in theory be found in proximity to every other term were that term to be randomly distributed within a string of lexis.  It is important to note that our measure is not sensitive to grammar or syntax which allows us to inspect co-association at large spans or distances between terms.  Thus</w:t>
      </w:r>
      <w:r w:rsidR="00CE1349">
        <w:rPr>
          <w:rFonts w:cs="Times New Roman"/>
          <w:szCs w:val="24"/>
        </w:rPr>
        <w:t>,</w:t>
      </w:r>
      <w:r w:rsidR="00CE1349" w:rsidRPr="00FF684A">
        <w:rPr>
          <w:rFonts w:cs="Times New Roman"/>
          <w:szCs w:val="24"/>
        </w:rPr>
        <w:t xml:space="preserve"> our tool enables us to inspect spans from close up (five words either ante or post the target term) to far away (one hundred words either ante or post).  The purpose of doing this is to capture information on lexical behaviour through the discovery of patterns of co-</w:t>
      </w:r>
      <w:r w:rsidR="00CE1349">
        <w:rPr>
          <w:rFonts w:cs="Times New Roman"/>
          <w:szCs w:val="24"/>
        </w:rPr>
        <w:t>association</w:t>
      </w:r>
      <w:r w:rsidR="00CE1349" w:rsidRPr="00FF684A">
        <w:rPr>
          <w:rFonts w:cs="Times New Roman"/>
          <w:szCs w:val="24"/>
        </w:rPr>
        <w:t xml:space="preserve"> between terms</w:t>
      </w:r>
      <w:r w:rsidR="00CE1349">
        <w:rPr>
          <w:rFonts w:cs="Times New Roman"/>
          <w:szCs w:val="24"/>
        </w:rPr>
        <w:t xml:space="preserve"> so as to construct a ‘conceptual signature’, a unique identification for any concept based upon data derived from distributions in lexical use</w:t>
      </w:r>
      <w:r w:rsidR="00CE1349" w:rsidRPr="00FF684A">
        <w:rPr>
          <w:rFonts w:cs="Times New Roman"/>
          <w:szCs w:val="24"/>
        </w:rPr>
        <w:t xml:space="preserve">.  </w:t>
      </w:r>
      <w:bookmarkStart w:id="2" w:name="_Hlk519934001"/>
      <w:r w:rsidR="00CE1349" w:rsidRPr="00FF684A">
        <w:rPr>
          <w:rFonts w:cs="Times New Roman"/>
          <w:szCs w:val="24"/>
        </w:rPr>
        <w:t>Most linguistically slanted research that utilizes similar techniques</w:t>
      </w:r>
      <w:r w:rsidR="00CE1349">
        <w:rPr>
          <w:rFonts w:cs="Times New Roman"/>
          <w:szCs w:val="24"/>
        </w:rPr>
        <w:t xml:space="preserve"> based on neo-Firthian distributional semantics</w:t>
      </w:r>
      <w:r w:rsidR="00CE1349" w:rsidRPr="00FF684A">
        <w:rPr>
          <w:rFonts w:cs="Times New Roman"/>
          <w:szCs w:val="24"/>
        </w:rPr>
        <w:t xml:space="preserve"> is interested in the features of a language that enable or construct </w:t>
      </w:r>
      <w:r w:rsidR="00CE1349" w:rsidRPr="00FF684A">
        <w:rPr>
          <w:rFonts w:cs="Times New Roman"/>
          <w:szCs w:val="24"/>
        </w:rPr>
        <w:lastRenderedPageBreak/>
        <w:t>coherence.</w:t>
      </w:r>
      <w:r w:rsidR="00CE1349">
        <w:rPr>
          <w:rStyle w:val="FootnoteReference"/>
          <w:rFonts w:cs="Times New Roman"/>
          <w:szCs w:val="24"/>
        </w:rPr>
        <w:footnoteReference w:id="14"/>
      </w:r>
      <w:r w:rsidR="00CE1349" w:rsidRPr="00FF684A">
        <w:rPr>
          <w:rFonts w:cs="Times New Roman"/>
          <w:szCs w:val="24"/>
        </w:rPr>
        <w:t xml:space="preserve">  </w:t>
      </w:r>
      <w:r w:rsidR="00ED557B">
        <w:rPr>
          <w:rFonts w:cs="Times New Roman"/>
          <w:szCs w:val="24"/>
        </w:rPr>
        <w:t>And in work of this kind aimed at understanding conceptual relations statistical regularities in grammatical structure are a key component.</w:t>
      </w:r>
      <w:r w:rsidR="0013488B">
        <w:t xml:space="preserve"> </w:t>
      </w:r>
      <w:r w:rsidR="00ED557B">
        <w:t xml:space="preserve"> </w:t>
      </w:r>
      <w:r w:rsidR="0013488B">
        <w:t xml:space="preserve">Our </w:t>
      </w:r>
      <w:r w:rsidR="009566BF">
        <w:t>approach</w:t>
      </w:r>
      <w:r w:rsidR="0013488B">
        <w:t xml:space="preserve"> differs in that it does not use this method, and does not try to detect relations like meronymy and hypernymy, rather we detect a general association relation from supra-sentential co-occurrences.</w:t>
      </w:r>
      <w:r w:rsidR="00CE1349">
        <w:rPr>
          <w:rStyle w:val="FootnoteReference"/>
          <w:rFonts w:cs="Times New Roman"/>
          <w:szCs w:val="24"/>
        </w:rPr>
        <w:footnoteReference w:id="15"/>
      </w:r>
      <w:r w:rsidR="00CE1349" w:rsidRPr="00FF684A">
        <w:rPr>
          <w:rFonts w:cs="Times New Roman"/>
          <w:szCs w:val="24"/>
        </w:rPr>
        <w:t xml:space="preserve">  </w:t>
      </w:r>
      <w:r w:rsidR="00ED557B">
        <w:rPr>
          <w:rFonts w:cs="Times New Roman"/>
          <w:szCs w:val="24"/>
        </w:rPr>
        <w:t>Thus</w:t>
      </w:r>
      <w:r w:rsidR="00CE1349" w:rsidRPr="00FF684A">
        <w:rPr>
          <w:rFonts w:cs="Times New Roman"/>
          <w:szCs w:val="24"/>
        </w:rPr>
        <w:t xml:space="preserve"> the co-association data we have captured in the following analysis helps us identify the widest lexical terrain within which a target term operates without regard to immediate syntactic placement or grammatical aspect. </w:t>
      </w:r>
      <w:bookmarkEnd w:id="2"/>
      <w:r w:rsidR="00CE1349" w:rsidRPr="00FF684A">
        <w:rPr>
          <w:rFonts w:cs="Times New Roman"/>
          <w:szCs w:val="24"/>
        </w:rPr>
        <w:t xml:space="preserve"> When we inspect both close up and increasingly distant behaviour of two co-associated terms we can begin to assess the strength of ‘binding’ that occurs between any two terms.  </w:t>
      </w:r>
      <w:r w:rsidR="004E51F1">
        <w:rPr>
          <w:rFonts w:cs="Times New Roman"/>
          <w:szCs w:val="24"/>
        </w:rPr>
        <w:t xml:space="preserve">In this way we can move </w:t>
      </w:r>
      <w:r w:rsidR="00CE1349" w:rsidRPr="00FF684A">
        <w:rPr>
          <w:rFonts w:cs="Times New Roman"/>
          <w:szCs w:val="24"/>
        </w:rPr>
        <w:t xml:space="preserve">from strictly semantic or syntactic binding – as in phrases that are common in the English language – to a different kind of binding that we think of as more narrowly ‘conceptual’.  In this way we can start to map the lexical terrain within which ideas circulate and are given shape, structure and form.  </w:t>
      </w:r>
    </w:p>
    <w:p w14:paraId="55A5A2EA" w14:textId="163C585F" w:rsidR="00CE1349" w:rsidRDefault="00CE1349" w:rsidP="00CE1349">
      <w:pPr>
        <w:spacing w:line="480" w:lineRule="auto"/>
        <w:rPr>
          <w:szCs w:val="24"/>
        </w:rPr>
      </w:pPr>
      <w:r w:rsidRPr="00FF684A">
        <w:rPr>
          <w:rFonts w:cs="Times New Roman"/>
          <w:szCs w:val="24"/>
        </w:rPr>
        <w:tab/>
        <w:t xml:space="preserve">In the following analyses we used our tool to inspect the number of </w:t>
      </w:r>
      <w:r w:rsidR="00620A35">
        <w:rPr>
          <w:rFonts w:cs="Times New Roman"/>
          <w:szCs w:val="24"/>
        </w:rPr>
        <w:t xml:space="preserve">highly </w:t>
      </w:r>
      <w:r w:rsidRPr="00FF684A">
        <w:rPr>
          <w:rFonts w:cs="Times New Roman"/>
          <w:szCs w:val="24"/>
        </w:rPr>
        <w:t>co-associated terms for a selected target term as distance from the target increases.  We have done this for sample decades over the two centuries.  The first line in the table indicates the number of new terms that appear in the co-association list for any given span and the second line indicates the percentage of terms that are preserved from the previous span.  This is the first data for the term</w:t>
      </w:r>
      <w:r>
        <w:rPr>
          <w:sz w:val="22"/>
        </w:rPr>
        <w:t xml:space="preserve"> </w:t>
      </w:r>
      <w:r w:rsidRPr="00000FFD">
        <w:rPr>
          <w:szCs w:val="24"/>
        </w:rPr>
        <w:t>liberty in the decade 1620-30:</w:t>
      </w:r>
    </w:p>
    <w:p w14:paraId="52B348F9" w14:textId="0DB71B67" w:rsidR="00A357CB" w:rsidRPr="00000FFD" w:rsidRDefault="00A357CB" w:rsidP="00CE1349">
      <w:pPr>
        <w:spacing w:line="480" w:lineRule="auto"/>
        <w:rPr>
          <w:szCs w:val="24"/>
        </w:rPr>
      </w:pPr>
      <w:r>
        <w:rPr>
          <w:szCs w:val="24"/>
        </w:rPr>
        <w:t>Insert table 3</w:t>
      </w:r>
    </w:p>
    <w:p w14:paraId="4E67C3B9" w14:textId="6B71F454" w:rsidR="00CE1349" w:rsidRPr="00000FFD" w:rsidRDefault="00CE1349" w:rsidP="00CE1349">
      <w:pPr>
        <w:spacing w:line="480" w:lineRule="auto"/>
        <w:rPr>
          <w:szCs w:val="24"/>
        </w:rPr>
      </w:pPr>
    </w:p>
    <w:p w14:paraId="7757A2DB" w14:textId="77777777" w:rsidR="00A357CB" w:rsidRDefault="00CE1349" w:rsidP="00CE1349">
      <w:pPr>
        <w:spacing w:line="480" w:lineRule="auto"/>
        <w:rPr>
          <w:rFonts w:cs="Times New Roman"/>
          <w:szCs w:val="24"/>
        </w:rPr>
      </w:pPr>
      <w:r w:rsidRPr="00000FFD">
        <w:rPr>
          <w:szCs w:val="24"/>
        </w:rPr>
        <w:t>As one can see ‘liberty’ does not preserve a common set of co-association: at each span increase new</w:t>
      </w:r>
      <w:r>
        <w:rPr>
          <w:sz w:val="22"/>
        </w:rPr>
        <w:t xml:space="preserve"> lexis enters the co-association list.  </w:t>
      </w:r>
      <w:r w:rsidRPr="00CD13A7">
        <w:rPr>
          <w:szCs w:val="24"/>
        </w:rPr>
        <w:t xml:space="preserve">Thus, between distance ten and twenty 158 new terms appear in the list.  Between distance ninety and one hundred 149 new terms appear.  The percentage report tells the same story from the other angle: very small amounts of lexis are preserved </w:t>
      </w:r>
      <w:r w:rsidRPr="00703CFC">
        <w:rPr>
          <w:rFonts w:cs="Times New Roman"/>
          <w:szCs w:val="24"/>
        </w:rPr>
        <w:t>as the distance lengthens.  This can be compared to the report for the later decade, 1680-90:</w:t>
      </w:r>
    </w:p>
    <w:p w14:paraId="7DCC6C71" w14:textId="6AB686A0" w:rsidR="00CE1349" w:rsidRPr="00703CFC" w:rsidRDefault="00A357CB" w:rsidP="00CE1349">
      <w:pPr>
        <w:spacing w:line="480" w:lineRule="auto"/>
        <w:rPr>
          <w:rFonts w:cs="Times New Roman"/>
          <w:szCs w:val="24"/>
        </w:rPr>
      </w:pPr>
      <w:r>
        <w:rPr>
          <w:rFonts w:cs="Times New Roman"/>
          <w:szCs w:val="24"/>
        </w:rPr>
        <w:t>Insert table 4</w:t>
      </w:r>
    </w:p>
    <w:p w14:paraId="26691BE5" w14:textId="780F99A0" w:rsidR="00CE1349" w:rsidRPr="00000FFD" w:rsidRDefault="00CE1349" w:rsidP="00CE1349">
      <w:pPr>
        <w:spacing w:line="480" w:lineRule="auto"/>
        <w:rPr>
          <w:rFonts w:cs="Times New Roman"/>
          <w:szCs w:val="24"/>
        </w:rPr>
      </w:pPr>
    </w:p>
    <w:p w14:paraId="295FE8F3" w14:textId="098588E3" w:rsidR="00CE1349" w:rsidRDefault="00CE1349" w:rsidP="00CE1349">
      <w:pPr>
        <w:spacing w:line="480" w:lineRule="auto"/>
        <w:rPr>
          <w:rFonts w:cs="Times New Roman"/>
          <w:szCs w:val="24"/>
        </w:rPr>
      </w:pPr>
      <w:r w:rsidRPr="00000FFD">
        <w:rPr>
          <w:rFonts w:cs="Times New Roman"/>
          <w:szCs w:val="24"/>
        </w:rPr>
        <w:t xml:space="preserve">Here we can see that the preservation of the same words as distance varies is greater than in the earlier decade.  If one compares what happens at close range, between five and ten terms away in the two time slices, we see that the increase from 1620-30 to 1680-90 is marked: 12.9% to 37.4%, and then in the next distance window 9.2% to 29.2%.  The reports from the two corresponding decades in the eighteenth century follow.  This is the data for 1720-30: </w:t>
      </w:r>
    </w:p>
    <w:p w14:paraId="62E12662" w14:textId="49696941" w:rsidR="00A357CB" w:rsidRPr="00000FFD" w:rsidRDefault="00A357CB" w:rsidP="00CE1349">
      <w:pPr>
        <w:spacing w:line="480" w:lineRule="auto"/>
        <w:rPr>
          <w:rFonts w:cs="Times New Roman"/>
          <w:szCs w:val="24"/>
        </w:rPr>
      </w:pPr>
      <w:r>
        <w:rPr>
          <w:rFonts w:cs="Times New Roman"/>
          <w:szCs w:val="24"/>
        </w:rPr>
        <w:t>Insert table 5</w:t>
      </w:r>
    </w:p>
    <w:p w14:paraId="5F787410" w14:textId="6BF7CA76" w:rsidR="00CE1349" w:rsidRPr="00000FFD" w:rsidRDefault="00CE1349" w:rsidP="00CE1349">
      <w:pPr>
        <w:spacing w:line="480" w:lineRule="auto"/>
        <w:rPr>
          <w:rFonts w:cs="Times New Roman"/>
          <w:szCs w:val="24"/>
        </w:rPr>
      </w:pPr>
    </w:p>
    <w:p w14:paraId="2B097616" w14:textId="1C1F07A2" w:rsidR="00CE1349" w:rsidRDefault="00CE1349" w:rsidP="00CE1349">
      <w:pPr>
        <w:spacing w:line="480" w:lineRule="auto"/>
        <w:rPr>
          <w:rFonts w:cs="Times New Roman"/>
          <w:szCs w:val="24"/>
        </w:rPr>
      </w:pPr>
      <w:r w:rsidRPr="00000FFD">
        <w:rPr>
          <w:rFonts w:cs="Times New Roman"/>
          <w:szCs w:val="24"/>
        </w:rPr>
        <w:t xml:space="preserve">In this decade of the eighteenth century we can immediately see a very different pattern: ‘liberty’ hardly attracts any new co-associated lexis as distance or span increases.  Or, to put that the other way, the preservation of the same co-associated lexis runs at around 70% for most of the distance markers.  This is report for 1780-90: </w:t>
      </w:r>
    </w:p>
    <w:p w14:paraId="6D748194" w14:textId="166D13CA" w:rsidR="00A357CB" w:rsidRPr="00000FFD" w:rsidRDefault="00A357CB" w:rsidP="00CE1349">
      <w:pPr>
        <w:spacing w:line="480" w:lineRule="auto"/>
        <w:rPr>
          <w:rFonts w:cs="Times New Roman"/>
          <w:szCs w:val="24"/>
        </w:rPr>
      </w:pPr>
      <w:r>
        <w:rPr>
          <w:rFonts w:cs="Times New Roman"/>
          <w:szCs w:val="24"/>
        </w:rPr>
        <w:t>Insert table 6</w:t>
      </w:r>
    </w:p>
    <w:p w14:paraId="2503EF87" w14:textId="719CDE5B" w:rsidR="00CE1349" w:rsidRPr="00000FFD" w:rsidRDefault="00CE1349" w:rsidP="00CE1349">
      <w:pPr>
        <w:spacing w:line="480" w:lineRule="auto"/>
        <w:rPr>
          <w:rFonts w:cs="Times New Roman"/>
          <w:szCs w:val="24"/>
        </w:rPr>
      </w:pPr>
    </w:p>
    <w:p w14:paraId="2308D71A" w14:textId="77777777" w:rsidR="00CE1349" w:rsidRPr="00000FFD" w:rsidRDefault="00CE1349" w:rsidP="00CE1349">
      <w:pPr>
        <w:spacing w:line="480" w:lineRule="auto"/>
        <w:rPr>
          <w:rFonts w:cs="Times New Roman"/>
          <w:szCs w:val="24"/>
        </w:rPr>
      </w:pPr>
      <w:r w:rsidRPr="00000FFD">
        <w:rPr>
          <w:rFonts w:cs="Times New Roman"/>
          <w:szCs w:val="24"/>
        </w:rPr>
        <w:lastRenderedPageBreak/>
        <w:t xml:space="preserve">Now the preservation is closer to 80% right across the spans.  The data gives us a very clear picture of the shape of binding for the word ‘liberty’ across two centuries.  In the early seventeenth century ‘liberty’ operates in a varied lexical terrain.  At close span it has strong binding with a wide variety of other terms, and as distance increases this varied binding persists, adding new lexis to its operational terrain at each distance marker.  At the end of the eighteenth century the picture has reversed: close to the varied pattern of binding is maintained but as the span increases the number and variation of bound terms falls dramatically, which is to note that the bound terms are </w:t>
      </w:r>
      <w:r w:rsidRPr="00000FFD">
        <w:rPr>
          <w:rFonts w:cs="Times New Roman"/>
          <w:i/>
          <w:szCs w:val="24"/>
        </w:rPr>
        <w:t>predominantly the same</w:t>
      </w:r>
      <w:r w:rsidRPr="00000FFD">
        <w:rPr>
          <w:rFonts w:cs="Times New Roman"/>
          <w:szCs w:val="24"/>
        </w:rPr>
        <w:t xml:space="preserve"> as distance increases. </w:t>
      </w:r>
    </w:p>
    <w:p w14:paraId="2530B7BF" w14:textId="2A0B4F2F" w:rsidR="00CE1349" w:rsidRDefault="00CE1349" w:rsidP="00CE1349">
      <w:pPr>
        <w:spacing w:line="480" w:lineRule="auto"/>
        <w:rPr>
          <w:rFonts w:cs="Times New Roman"/>
          <w:szCs w:val="24"/>
        </w:rPr>
      </w:pPr>
      <w:r w:rsidRPr="00000FFD">
        <w:rPr>
          <w:rFonts w:cs="Times New Roman"/>
          <w:szCs w:val="24"/>
        </w:rPr>
        <w:tab/>
        <w:t>We can compare this binding profile with ‘freedom’s’.  This is the report for 1620-30, using the variant spelling ‘freedome’:</w:t>
      </w:r>
    </w:p>
    <w:p w14:paraId="0EE976F3" w14:textId="62FFD752" w:rsidR="00A357CB" w:rsidRPr="00000FFD" w:rsidRDefault="00A357CB" w:rsidP="00CE1349">
      <w:pPr>
        <w:spacing w:line="480" w:lineRule="auto"/>
        <w:rPr>
          <w:rFonts w:cs="Times New Roman"/>
          <w:szCs w:val="24"/>
        </w:rPr>
      </w:pPr>
      <w:r>
        <w:rPr>
          <w:rFonts w:cs="Times New Roman"/>
          <w:szCs w:val="24"/>
        </w:rPr>
        <w:t>Insert table 7</w:t>
      </w:r>
    </w:p>
    <w:p w14:paraId="5905CFCF" w14:textId="0BF45A81" w:rsidR="00CE1349" w:rsidRPr="00000FFD" w:rsidRDefault="00CE1349" w:rsidP="00CE1349">
      <w:pPr>
        <w:spacing w:line="480" w:lineRule="auto"/>
        <w:rPr>
          <w:rFonts w:cs="Times New Roman"/>
          <w:szCs w:val="24"/>
        </w:rPr>
      </w:pPr>
    </w:p>
    <w:p w14:paraId="4F022598" w14:textId="3840C80D" w:rsidR="00CE1349" w:rsidRDefault="00CE1349" w:rsidP="00CE1349">
      <w:pPr>
        <w:spacing w:line="480" w:lineRule="auto"/>
        <w:rPr>
          <w:rFonts w:cs="Times New Roman"/>
          <w:szCs w:val="24"/>
        </w:rPr>
      </w:pPr>
      <w:r w:rsidRPr="00000FFD">
        <w:rPr>
          <w:rFonts w:cs="Times New Roman"/>
          <w:szCs w:val="24"/>
        </w:rPr>
        <w:t>And the following for ‘freedom’ 1680-90 (because the variant spelling had become rare by the end of the seventeenth century) demonstrates a very similar profile:</w:t>
      </w:r>
    </w:p>
    <w:p w14:paraId="2847759D" w14:textId="2BB8986B" w:rsidR="00A357CB" w:rsidRPr="00000FFD" w:rsidRDefault="00A357CB" w:rsidP="00CE1349">
      <w:pPr>
        <w:spacing w:line="480" w:lineRule="auto"/>
        <w:rPr>
          <w:rFonts w:cs="Times New Roman"/>
          <w:szCs w:val="24"/>
        </w:rPr>
      </w:pPr>
      <w:r>
        <w:rPr>
          <w:rFonts w:cs="Times New Roman"/>
          <w:szCs w:val="24"/>
        </w:rPr>
        <w:t>Insert table 8</w:t>
      </w:r>
    </w:p>
    <w:p w14:paraId="2069198E" w14:textId="63BC1850" w:rsidR="00CE1349" w:rsidRPr="00000FFD" w:rsidRDefault="00CE1349" w:rsidP="00CE1349">
      <w:pPr>
        <w:spacing w:line="480" w:lineRule="auto"/>
        <w:rPr>
          <w:rFonts w:cs="Times New Roman"/>
          <w:szCs w:val="24"/>
        </w:rPr>
      </w:pPr>
    </w:p>
    <w:p w14:paraId="7B060E2F" w14:textId="41FD8DED" w:rsidR="00CE1349" w:rsidRDefault="00CE1349" w:rsidP="00CE1349">
      <w:pPr>
        <w:spacing w:line="480" w:lineRule="auto"/>
        <w:rPr>
          <w:rFonts w:cs="Times New Roman"/>
          <w:szCs w:val="24"/>
        </w:rPr>
      </w:pPr>
      <w:r w:rsidRPr="00000FFD">
        <w:rPr>
          <w:rFonts w:cs="Times New Roman"/>
          <w:szCs w:val="24"/>
        </w:rPr>
        <w:t>In common with ‘liberty’ over the course of the seventeenth century, ‘freedom(e)’ binds with a wide range of other terms and as distance increases it attracts new and different terms.  If this is then compared to the reports for the eighteenth century the following picture emerges.  This is the data for 1720-30:</w:t>
      </w:r>
    </w:p>
    <w:p w14:paraId="373AA746" w14:textId="2C6973F7" w:rsidR="00A357CB" w:rsidRPr="00000FFD" w:rsidRDefault="00A357CB" w:rsidP="00CE1349">
      <w:pPr>
        <w:spacing w:line="480" w:lineRule="auto"/>
        <w:rPr>
          <w:rFonts w:cs="Times New Roman"/>
          <w:szCs w:val="24"/>
        </w:rPr>
      </w:pPr>
      <w:r>
        <w:rPr>
          <w:rFonts w:cs="Times New Roman"/>
          <w:szCs w:val="24"/>
        </w:rPr>
        <w:t>Insert table 9</w:t>
      </w:r>
    </w:p>
    <w:p w14:paraId="325B2AB8" w14:textId="64929C8D" w:rsidR="00CE1349" w:rsidRPr="00000FFD" w:rsidRDefault="00CE1349" w:rsidP="00CE1349">
      <w:pPr>
        <w:spacing w:line="480" w:lineRule="auto"/>
        <w:rPr>
          <w:rFonts w:cs="Times New Roman"/>
          <w:szCs w:val="24"/>
        </w:rPr>
      </w:pPr>
    </w:p>
    <w:p w14:paraId="6E82A23E" w14:textId="678CB48C" w:rsidR="00CE1349" w:rsidRDefault="00CE1349" w:rsidP="00CE1349">
      <w:pPr>
        <w:spacing w:line="480" w:lineRule="auto"/>
        <w:rPr>
          <w:rFonts w:cs="Times New Roman"/>
          <w:szCs w:val="24"/>
        </w:rPr>
      </w:pPr>
      <w:r w:rsidRPr="00000FFD">
        <w:rPr>
          <w:rFonts w:cs="Times New Roman"/>
          <w:szCs w:val="24"/>
        </w:rPr>
        <w:t xml:space="preserve">And this is the data for the later time slice, 1780-90: </w:t>
      </w:r>
    </w:p>
    <w:p w14:paraId="1BF74B35" w14:textId="53E0D44C" w:rsidR="00A357CB" w:rsidRPr="00000FFD" w:rsidRDefault="00A357CB" w:rsidP="00CE1349">
      <w:pPr>
        <w:spacing w:line="480" w:lineRule="auto"/>
        <w:rPr>
          <w:rFonts w:cs="Times New Roman"/>
          <w:szCs w:val="24"/>
        </w:rPr>
      </w:pPr>
      <w:r>
        <w:rPr>
          <w:rFonts w:cs="Times New Roman"/>
          <w:szCs w:val="24"/>
        </w:rPr>
        <w:t>Insert table 10</w:t>
      </w:r>
    </w:p>
    <w:p w14:paraId="249716B7" w14:textId="483E2378" w:rsidR="00CE1349" w:rsidRPr="00000FFD" w:rsidRDefault="00CE1349" w:rsidP="00CE1349">
      <w:pPr>
        <w:spacing w:line="480" w:lineRule="auto"/>
        <w:rPr>
          <w:rFonts w:cs="Times New Roman"/>
          <w:szCs w:val="24"/>
        </w:rPr>
      </w:pPr>
    </w:p>
    <w:p w14:paraId="534F3D6D" w14:textId="7FC0B898" w:rsidR="00CE1349" w:rsidRDefault="00CE1349" w:rsidP="00CE1349">
      <w:pPr>
        <w:spacing w:line="480" w:lineRule="auto"/>
        <w:rPr>
          <w:rFonts w:cs="Times New Roman"/>
          <w:szCs w:val="24"/>
        </w:rPr>
      </w:pPr>
      <w:r w:rsidRPr="00000FFD">
        <w:rPr>
          <w:rFonts w:cs="Times New Roman"/>
          <w:szCs w:val="24"/>
        </w:rPr>
        <w:t>Here one can note that the preservation of bound tokens over distance increases diachronically but to a lesser degree than for ‘liberty’.  Where ‘freedom’ has a maximal preservation between any distance marker of 51.6% in the date range 1780-90, ‘liberty’ preserves 84.2% of bound lexis in the same date range.  Another measure helps us capture further the difference between the two terms with respect to change over time.  Here we have compared the preservation of lexis at the same distance (ten terms apart) between two dates in the eighteenth century, 1720-30 and 1780-90, for each of the two terms:</w:t>
      </w:r>
    </w:p>
    <w:p w14:paraId="1F769D7A" w14:textId="3CCE3DCE" w:rsidR="00E33C8C" w:rsidRPr="00000FFD" w:rsidRDefault="00E33C8C" w:rsidP="00CE1349">
      <w:pPr>
        <w:spacing w:line="480" w:lineRule="auto"/>
        <w:rPr>
          <w:rFonts w:cs="Times New Roman"/>
          <w:szCs w:val="24"/>
        </w:rPr>
      </w:pPr>
      <w:r>
        <w:rPr>
          <w:rFonts w:cs="Times New Roman"/>
          <w:szCs w:val="24"/>
        </w:rPr>
        <w:t>Insert table 11</w:t>
      </w:r>
    </w:p>
    <w:p w14:paraId="2F3BA940" w14:textId="77777777" w:rsidR="00CE1349" w:rsidRPr="00000FFD" w:rsidRDefault="00CE1349" w:rsidP="00CE1349">
      <w:pPr>
        <w:spacing w:line="480" w:lineRule="auto"/>
        <w:rPr>
          <w:rFonts w:cs="Times New Roman"/>
          <w:szCs w:val="24"/>
        </w:rPr>
      </w:pPr>
    </w:p>
    <w:p w14:paraId="1ED8CC6D" w14:textId="77777777" w:rsidR="00CE1349" w:rsidRPr="00000FFD" w:rsidRDefault="00CE1349" w:rsidP="00CE1349">
      <w:pPr>
        <w:spacing w:line="480" w:lineRule="auto"/>
        <w:rPr>
          <w:rFonts w:cs="Times New Roman"/>
          <w:szCs w:val="24"/>
        </w:rPr>
      </w:pPr>
      <w:r w:rsidRPr="00000FFD">
        <w:rPr>
          <w:rFonts w:cs="Times New Roman"/>
          <w:szCs w:val="24"/>
        </w:rPr>
        <w:t>We are now seeing a consistent pattern: liberty operates in a very stable lexical terrain over the course of the eighteenth century.  The opposite is the case for ‘freedom’.</w:t>
      </w:r>
    </w:p>
    <w:p w14:paraId="7E2732B5" w14:textId="77777777" w:rsidR="00CE1349" w:rsidRPr="00CA23A6" w:rsidRDefault="00CE1349" w:rsidP="00CE1349">
      <w:pPr>
        <w:pBdr>
          <w:top w:val="nil"/>
          <w:left w:val="nil"/>
          <w:bottom w:val="nil"/>
          <w:right w:val="nil"/>
          <w:between w:val="nil"/>
          <w:bar w:val="nil"/>
        </w:pBdr>
        <w:spacing w:after="0" w:line="480" w:lineRule="auto"/>
        <w:rPr>
          <w:rFonts w:eastAsia="Arial Unicode MS" w:cs="Times New Roman"/>
          <w:b/>
          <w:sz w:val="22"/>
          <w:szCs w:val="24"/>
          <w:bdr w:val="nil"/>
          <w:lang w:val="en-US"/>
        </w:rPr>
      </w:pPr>
      <w:r>
        <w:rPr>
          <w:rFonts w:eastAsia="Arial Unicode MS" w:cs="Times New Roman"/>
          <w:b/>
          <w:sz w:val="22"/>
          <w:szCs w:val="24"/>
          <w:bdr w:val="nil"/>
          <w:lang w:val="en-US"/>
        </w:rPr>
        <w:t>3</w:t>
      </w:r>
      <w:r w:rsidRPr="00CA23A6">
        <w:rPr>
          <w:rFonts w:eastAsia="Arial Unicode MS" w:cs="Times New Roman"/>
          <w:b/>
          <w:sz w:val="22"/>
          <w:szCs w:val="24"/>
          <w:bdr w:val="nil"/>
          <w:lang w:val="en-US"/>
        </w:rPr>
        <w:t>.  The convergence of the ideas of ‘liberty’ and ‘freedom’</w:t>
      </w:r>
    </w:p>
    <w:p w14:paraId="40D1440A" w14:textId="51B6D204"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r>
        <w:rPr>
          <w:rFonts w:eastAsia="Arial Unicode MS" w:cs="Times New Roman"/>
          <w:sz w:val="22"/>
          <w:szCs w:val="24"/>
          <w:bdr w:val="nil"/>
          <w:lang w:val="en-US"/>
        </w:rPr>
        <w:tab/>
      </w:r>
      <w:r w:rsidRPr="001D63EB">
        <w:rPr>
          <w:rFonts w:eastAsia="Arial Unicode MS" w:cs="Times New Roman"/>
          <w:szCs w:val="24"/>
          <w:bdr w:val="nil"/>
          <w:lang w:val="en-US"/>
        </w:rPr>
        <w:t xml:space="preserve">In our analyses so far we have identified differences in the behavior of the two terms ‘liberty’ and ‘freedom’ across the seventeenth and eighteenth centuries.  We contend that this difference in lexical behavior maps onto a difference in conceptual structure: although they share a </w:t>
      </w:r>
      <w:r>
        <w:rPr>
          <w:rFonts w:eastAsia="Arial Unicode MS" w:cs="Times New Roman"/>
          <w:szCs w:val="24"/>
          <w:bdr w:val="nil"/>
          <w:lang w:val="en-US"/>
        </w:rPr>
        <w:t xml:space="preserve">lexical </w:t>
      </w:r>
      <w:r w:rsidRPr="001D63EB">
        <w:rPr>
          <w:rFonts w:eastAsia="Arial Unicode MS" w:cs="Times New Roman"/>
          <w:szCs w:val="24"/>
          <w:bdr w:val="nil"/>
          <w:lang w:val="en-US"/>
        </w:rPr>
        <w:t>terrain, and as shall become evident below, the</w:t>
      </w:r>
      <w:r>
        <w:rPr>
          <w:rFonts w:eastAsia="Arial Unicode MS" w:cs="Times New Roman"/>
          <w:szCs w:val="24"/>
          <w:bdr w:val="nil"/>
          <w:lang w:val="en-US"/>
        </w:rPr>
        <w:t>se terrains</w:t>
      </w:r>
      <w:r w:rsidRPr="001D63EB">
        <w:rPr>
          <w:rFonts w:eastAsia="Arial Unicode MS" w:cs="Times New Roman"/>
          <w:szCs w:val="24"/>
          <w:bdr w:val="nil"/>
          <w:lang w:val="en-US"/>
        </w:rPr>
        <w:t xml:space="preserve"> converge by the end of the eighteenth century, </w:t>
      </w:r>
      <w:r>
        <w:rPr>
          <w:rFonts w:eastAsia="Arial Unicode MS" w:cs="Times New Roman"/>
          <w:szCs w:val="24"/>
          <w:bdr w:val="nil"/>
          <w:lang w:val="en-US"/>
        </w:rPr>
        <w:t xml:space="preserve">we believe that ‘liberty’ and ‘freedom’ </w:t>
      </w:r>
      <w:r w:rsidRPr="001D63EB">
        <w:rPr>
          <w:rFonts w:eastAsia="Arial Unicode MS" w:cs="Times New Roman"/>
          <w:szCs w:val="24"/>
          <w:bdr w:val="nil"/>
          <w:lang w:val="en-US"/>
        </w:rPr>
        <w:t xml:space="preserve">are nevertheless structured differently as concepts.  If we track the common co-associated lexis at distances between five </w:t>
      </w:r>
      <w:r w:rsidRPr="001D63EB">
        <w:rPr>
          <w:rFonts w:eastAsia="Arial Unicode MS" w:cs="Times New Roman"/>
          <w:szCs w:val="24"/>
          <w:bdr w:val="nil"/>
          <w:lang w:val="en-US"/>
        </w:rPr>
        <w:lastRenderedPageBreak/>
        <w:t>and one hundred over the two centuries this difference is clearly observable, as is the convergence noted above.  The following table provides the data for the overlap between the co-association lists for the two terms ‘liberty’ and ‘freedom’ (the number of co-associated terms on these lists is given in columns two and three, and the number of terms that are common to both lists in column four):</w:t>
      </w:r>
    </w:p>
    <w:p w14:paraId="6DA3CD53" w14:textId="3604AB2B" w:rsidR="00E33C8C" w:rsidRDefault="00E33C8C" w:rsidP="00CE1349">
      <w:pPr>
        <w:pBdr>
          <w:top w:val="nil"/>
          <w:left w:val="nil"/>
          <w:bottom w:val="nil"/>
          <w:right w:val="nil"/>
          <w:between w:val="nil"/>
          <w:bar w:val="nil"/>
        </w:pBdr>
        <w:spacing w:after="0" w:line="480" w:lineRule="auto"/>
        <w:rPr>
          <w:rFonts w:eastAsia="Arial Unicode MS" w:cs="Times New Roman"/>
          <w:szCs w:val="24"/>
          <w:bdr w:val="nil"/>
          <w:lang w:val="en-US"/>
        </w:rPr>
      </w:pPr>
      <w:r>
        <w:rPr>
          <w:rFonts w:eastAsia="Arial Unicode MS" w:cs="Times New Roman"/>
          <w:szCs w:val="24"/>
          <w:bdr w:val="nil"/>
          <w:lang w:val="en-US"/>
        </w:rPr>
        <w:t>Insert table 12</w:t>
      </w:r>
    </w:p>
    <w:p w14:paraId="372BF7E5" w14:textId="77777777"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075F9200" w14:textId="77777777" w:rsidR="00CE1349" w:rsidRPr="001D63EB"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7870C7F6" w14:textId="77777777" w:rsidR="00CE1349" w:rsidRPr="00FF684A"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19B430E4" w14:textId="639EE719"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r w:rsidRPr="00FF684A">
        <w:rPr>
          <w:rFonts w:eastAsia="Arial Unicode MS" w:cs="Times New Roman"/>
          <w:szCs w:val="24"/>
          <w:bdr w:val="nil"/>
          <w:lang w:val="en-US"/>
        </w:rPr>
        <w:t>This can be compared with the later time slice</w:t>
      </w:r>
      <w:r w:rsidR="00E33C8C">
        <w:rPr>
          <w:rFonts w:eastAsia="Arial Unicode MS" w:cs="Times New Roman"/>
          <w:szCs w:val="24"/>
          <w:bdr w:val="nil"/>
          <w:lang w:val="en-US"/>
        </w:rPr>
        <w:t>:</w:t>
      </w:r>
    </w:p>
    <w:p w14:paraId="6214A2A4" w14:textId="48DA0613" w:rsidR="00E33C8C" w:rsidRPr="00FF684A" w:rsidRDefault="00E33C8C" w:rsidP="00CE1349">
      <w:pPr>
        <w:pBdr>
          <w:top w:val="nil"/>
          <w:left w:val="nil"/>
          <w:bottom w:val="nil"/>
          <w:right w:val="nil"/>
          <w:between w:val="nil"/>
          <w:bar w:val="nil"/>
        </w:pBdr>
        <w:spacing w:after="0" w:line="480" w:lineRule="auto"/>
        <w:rPr>
          <w:rFonts w:eastAsia="Arial Unicode MS" w:cs="Times New Roman"/>
          <w:szCs w:val="24"/>
          <w:bdr w:val="nil"/>
          <w:lang w:val="en-US"/>
        </w:rPr>
      </w:pPr>
      <w:r>
        <w:rPr>
          <w:rFonts w:eastAsia="Arial Unicode MS" w:cs="Times New Roman"/>
          <w:szCs w:val="24"/>
          <w:bdr w:val="nil"/>
          <w:lang w:val="en-US"/>
        </w:rPr>
        <w:t>Insert table 13</w:t>
      </w:r>
    </w:p>
    <w:p w14:paraId="30C44C82" w14:textId="77777777"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17CBFAF9" w14:textId="77777777" w:rsidR="00CE1349" w:rsidRPr="001D63EB"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tbl>
      <w:tblPr>
        <w:tblW w:w="6960" w:type="dxa"/>
        <w:tblLook w:val="04A0" w:firstRow="1" w:lastRow="0" w:firstColumn="1" w:lastColumn="0" w:noHBand="0" w:noVBand="1"/>
      </w:tblPr>
      <w:tblGrid>
        <w:gridCol w:w="1540"/>
        <w:gridCol w:w="960"/>
        <w:gridCol w:w="1620"/>
        <w:gridCol w:w="1840"/>
        <w:gridCol w:w="1000"/>
      </w:tblGrid>
      <w:tr w:rsidR="00CE1349" w:rsidRPr="00797460" w14:paraId="5D74F2FA" w14:textId="77777777" w:rsidTr="008117EB">
        <w:trPr>
          <w:trHeight w:val="300"/>
        </w:trPr>
        <w:tc>
          <w:tcPr>
            <w:tcW w:w="1540" w:type="dxa"/>
            <w:tcBorders>
              <w:top w:val="nil"/>
              <w:left w:val="nil"/>
              <w:bottom w:val="nil"/>
              <w:right w:val="nil"/>
            </w:tcBorders>
            <w:shd w:val="clear" w:color="auto" w:fill="auto"/>
            <w:noWrap/>
            <w:vAlign w:val="bottom"/>
            <w:hideMark/>
          </w:tcPr>
          <w:p w14:paraId="0767D3C3" w14:textId="77777777" w:rsidR="00CE1349" w:rsidRPr="00797460" w:rsidRDefault="00CE1349" w:rsidP="008117EB">
            <w:pPr>
              <w:spacing w:after="0" w:line="240" w:lineRule="auto"/>
              <w:rPr>
                <w:rFonts w:ascii="Calibri" w:eastAsia="Times New Roman" w:hAnsi="Calibri" w:cs="Times New Roman"/>
                <w:color w:val="000000"/>
                <w:szCs w:val="24"/>
                <w:lang w:eastAsia="en-GB"/>
              </w:rPr>
            </w:pPr>
          </w:p>
        </w:tc>
        <w:tc>
          <w:tcPr>
            <w:tcW w:w="960" w:type="dxa"/>
            <w:tcBorders>
              <w:top w:val="nil"/>
              <w:left w:val="nil"/>
              <w:bottom w:val="nil"/>
              <w:right w:val="nil"/>
            </w:tcBorders>
            <w:shd w:val="clear" w:color="auto" w:fill="auto"/>
            <w:noWrap/>
            <w:vAlign w:val="bottom"/>
            <w:hideMark/>
          </w:tcPr>
          <w:p w14:paraId="3533A73F" w14:textId="77777777" w:rsidR="00CE1349" w:rsidRPr="00797460" w:rsidRDefault="00CE1349" w:rsidP="008117EB">
            <w:pPr>
              <w:spacing w:after="0" w:line="240" w:lineRule="auto"/>
              <w:rPr>
                <w:rFonts w:ascii="Calibri" w:eastAsia="Times New Roman" w:hAnsi="Calibri" w:cs="Times New Roman"/>
                <w:color w:val="000000"/>
                <w:szCs w:val="24"/>
                <w:lang w:eastAsia="en-GB"/>
              </w:rPr>
            </w:pPr>
          </w:p>
        </w:tc>
        <w:tc>
          <w:tcPr>
            <w:tcW w:w="1620" w:type="dxa"/>
            <w:tcBorders>
              <w:top w:val="nil"/>
              <w:left w:val="nil"/>
              <w:bottom w:val="nil"/>
              <w:right w:val="nil"/>
            </w:tcBorders>
            <w:shd w:val="clear" w:color="auto" w:fill="auto"/>
            <w:noWrap/>
            <w:vAlign w:val="bottom"/>
            <w:hideMark/>
          </w:tcPr>
          <w:p w14:paraId="19A3F9B3" w14:textId="77777777" w:rsidR="00CE1349" w:rsidRPr="00797460" w:rsidRDefault="00CE1349" w:rsidP="008117EB">
            <w:pPr>
              <w:spacing w:after="0" w:line="240" w:lineRule="auto"/>
              <w:rPr>
                <w:rFonts w:ascii="Calibri" w:eastAsia="Times New Roman" w:hAnsi="Calibri" w:cs="Times New Roman"/>
                <w:color w:val="000000"/>
                <w:szCs w:val="24"/>
                <w:lang w:eastAsia="en-GB"/>
              </w:rPr>
            </w:pPr>
          </w:p>
        </w:tc>
        <w:tc>
          <w:tcPr>
            <w:tcW w:w="1840" w:type="dxa"/>
            <w:tcBorders>
              <w:top w:val="nil"/>
              <w:left w:val="nil"/>
              <w:bottom w:val="nil"/>
              <w:right w:val="nil"/>
            </w:tcBorders>
            <w:shd w:val="clear" w:color="auto" w:fill="auto"/>
            <w:noWrap/>
            <w:vAlign w:val="bottom"/>
            <w:hideMark/>
          </w:tcPr>
          <w:p w14:paraId="42AF0B63" w14:textId="77777777" w:rsidR="00CE1349" w:rsidRPr="00797460" w:rsidRDefault="00CE1349" w:rsidP="008117EB">
            <w:pPr>
              <w:spacing w:after="0" w:line="240" w:lineRule="auto"/>
              <w:rPr>
                <w:rFonts w:ascii="Calibri" w:eastAsia="Times New Roman" w:hAnsi="Calibri" w:cs="Times New Roman"/>
                <w:color w:val="000000"/>
                <w:szCs w:val="24"/>
                <w:lang w:eastAsia="en-GB"/>
              </w:rPr>
            </w:pPr>
          </w:p>
        </w:tc>
        <w:tc>
          <w:tcPr>
            <w:tcW w:w="1000" w:type="dxa"/>
            <w:tcBorders>
              <w:top w:val="nil"/>
              <w:left w:val="nil"/>
              <w:bottom w:val="nil"/>
              <w:right w:val="nil"/>
            </w:tcBorders>
            <w:shd w:val="clear" w:color="auto" w:fill="auto"/>
            <w:noWrap/>
            <w:vAlign w:val="bottom"/>
            <w:hideMark/>
          </w:tcPr>
          <w:p w14:paraId="5054BA1E" w14:textId="77777777" w:rsidR="00CE1349" w:rsidRPr="00797460" w:rsidRDefault="00CE1349" w:rsidP="008117EB">
            <w:pPr>
              <w:spacing w:after="0" w:line="240" w:lineRule="auto"/>
              <w:rPr>
                <w:rFonts w:ascii="Calibri" w:eastAsia="Times New Roman" w:hAnsi="Calibri" w:cs="Times New Roman"/>
                <w:color w:val="000000"/>
                <w:szCs w:val="24"/>
                <w:lang w:eastAsia="en-GB"/>
              </w:rPr>
            </w:pPr>
          </w:p>
        </w:tc>
      </w:tr>
    </w:tbl>
    <w:p w14:paraId="6A9A581B" w14:textId="2CFECD6E"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r>
        <w:rPr>
          <w:rFonts w:eastAsia="Arial Unicode MS" w:cs="Times New Roman"/>
          <w:sz w:val="22"/>
          <w:szCs w:val="24"/>
          <w:bdr w:val="nil"/>
          <w:lang w:val="en-US"/>
        </w:rPr>
        <w:tab/>
        <w:t xml:space="preserve">One can note that there is a very narrow common terrain between the two terms – at best they </w:t>
      </w:r>
      <w:r w:rsidRPr="00FF684A">
        <w:rPr>
          <w:rFonts w:eastAsia="Arial Unicode MS" w:cs="Times New Roman"/>
          <w:szCs w:val="24"/>
          <w:bdr w:val="nil"/>
          <w:lang w:val="en-US"/>
        </w:rPr>
        <w:t>share fifty</w:t>
      </w:r>
      <w:r>
        <w:rPr>
          <w:rFonts w:eastAsia="Arial Unicode MS" w:cs="Times New Roman"/>
          <w:szCs w:val="24"/>
          <w:bdr w:val="nil"/>
          <w:lang w:val="en-US"/>
        </w:rPr>
        <w:t>-</w:t>
      </w:r>
      <w:r w:rsidRPr="00FF684A">
        <w:rPr>
          <w:rFonts w:eastAsia="Arial Unicode MS" w:cs="Times New Roman"/>
          <w:szCs w:val="24"/>
          <w:bdr w:val="nil"/>
          <w:lang w:val="en-US"/>
        </w:rPr>
        <w:t xml:space="preserve">four terms.  This is data for the eighteenth century, first the earlier date range 1701-40: </w:t>
      </w:r>
    </w:p>
    <w:p w14:paraId="461BD0C0" w14:textId="64F0EF46" w:rsidR="00E33C8C" w:rsidRDefault="00E33C8C" w:rsidP="00CE1349">
      <w:pPr>
        <w:pBdr>
          <w:top w:val="nil"/>
          <w:left w:val="nil"/>
          <w:bottom w:val="nil"/>
          <w:right w:val="nil"/>
          <w:between w:val="nil"/>
          <w:bar w:val="nil"/>
        </w:pBdr>
        <w:spacing w:after="0" w:line="480" w:lineRule="auto"/>
        <w:rPr>
          <w:rFonts w:eastAsia="Arial Unicode MS" w:cs="Times New Roman"/>
          <w:szCs w:val="24"/>
          <w:bdr w:val="nil"/>
          <w:lang w:val="en-US"/>
        </w:rPr>
      </w:pPr>
      <w:r>
        <w:rPr>
          <w:rFonts w:eastAsia="Arial Unicode MS" w:cs="Times New Roman"/>
          <w:szCs w:val="24"/>
          <w:bdr w:val="nil"/>
          <w:lang w:val="en-US"/>
        </w:rPr>
        <w:t>Insert table 14</w:t>
      </w:r>
    </w:p>
    <w:p w14:paraId="3E32E43E" w14:textId="77777777"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274DA2B4" w14:textId="77777777" w:rsidR="00CE1349" w:rsidRPr="001D63EB"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686797F3" w14:textId="0D9D9293"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r w:rsidRPr="00FF684A">
        <w:rPr>
          <w:rFonts w:eastAsia="Arial Unicode MS" w:cs="Times New Roman"/>
          <w:szCs w:val="24"/>
          <w:bdr w:val="nil"/>
          <w:lang w:val="en-US"/>
        </w:rPr>
        <w:t xml:space="preserve">It is important to note that at the distance of one hundred terms the eleven common words in the co-association lists contain five ‘stop’ words, that is the most common words in a language such as ‘the’, and’ and so forth.  This is to say that there are only six terms of any significance in common.  And the following presents the data for the last forty years of the eighteenth century: </w:t>
      </w:r>
    </w:p>
    <w:p w14:paraId="710CC7F3" w14:textId="60BF03C4" w:rsidR="00E33C8C" w:rsidRDefault="00E33C8C" w:rsidP="00CE1349">
      <w:pPr>
        <w:pBdr>
          <w:top w:val="nil"/>
          <w:left w:val="nil"/>
          <w:bottom w:val="nil"/>
          <w:right w:val="nil"/>
          <w:between w:val="nil"/>
          <w:bar w:val="nil"/>
        </w:pBdr>
        <w:spacing w:after="0" w:line="480" w:lineRule="auto"/>
        <w:rPr>
          <w:rFonts w:eastAsia="Arial Unicode MS" w:cs="Times New Roman"/>
          <w:szCs w:val="24"/>
          <w:bdr w:val="nil"/>
          <w:lang w:val="en-US"/>
        </w:rPr>
      </w:pPr>
      <w:r>
        <w:rPr>
          <w:rFonts w:eastAsia="Arial Unicode MS" w:cs="Times New Roman"/>
          <w:szCs w:val="24"/>
          <w:bdr w:val="nil"/>
          <w:lang w:val="en-US"/>
        </w:rPr>
        <w:t>Insert table 15</w:t>
      </w:r>
    </w:p>
    <w:p w14:paraId="693D26D5" w14:textId="77777777"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5753BFD9" w14:textId="77777777" w:rsidR="00CE1349" w:rsidRPr="001D63EB"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42F3BEE6" w14:textId="77777777"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1BEF59F2" w14:textId="77777777" w:rsidR="00CE1349" w:rsidRPr="00FF684A"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r w:rsidRPr="00FF684A">
        <w:rPr>
          <w:rFonts w:eastAsia="Arial Unicode MS" w:cs="Times New Roman"/>
          <w:szCs w:val="24"/>
          <w:bdr w:val="nil"/>
          <w:lang w:val="en-US"/>
        </w:rPr>
        <w:t>By the end of the century the overlap in lexical terrain between ‘liberty’ and ‘freedom’ has been transformed: the forty</w:t>
      </w:r>
      <w:r>
        <w:rPr>
          <w:rFonts w:eastAsia="Arial Unicode MS" w:cs="Times New Roman"/>
          <w:szCs w:val="24"/>
          <w:bdr w:val="nil"/>
          <w:lang w:val="en-US"/>
        </w:rPr>
        <w:t>-</w:t>
      </w:r>
      <w:r w:rsidRPr="00FF684A">
        <w:rPr>
          <w:rFonts w:eastAsia="Arial Unicode MS" w:cs="Times New Roman"/>
          <w:szCs w:val="24"/>
          <w:bdr w:val="nil"/>
          <w:lang w:val="en-US"/>
        </w:rPr>
        <w:t xml:space="preserve">three terms that are held in common between the co-association lists at distance one hundred represents 51.2% of all of the terms on freedom’s list.  Or, to look at it from the side of ‘liberty, the one hundred and seventy-five common terms at distance five comprise 45.6% of the terms in liberty’s list.  The </w:t>
      </w:r>
      <w:r>
        <w:rPr>
          <w:rFonts w:eastAsia="Arial Unicode MS" w:cs="Times New Roman"/>
          <w:szCs w:val="24"/>
          <w:bdr w:val="nil"/>
          <w:lang w:val="en-US"/>
        </w:rPr>
        <w:t>lexical terrain in which the two terms operated had converged by the end of the eighteenth century</w:t>
      </w:r>
      <w:r w:rsidRPr="00FF684A">
        <w:rPr>
          <w:rFonts w:eastAsia="Arial Unicode MS" w:cs="Times New Roman"/>
          <w:szCs w:val="24"/>
          <w:bdr w:val="nil"/>
          <w:lang w:val="en-US"/>
        </w:rPr>
        <w:t>.</w:t>
      </w:r>
    </w:p>
    <w:p w14:paraId="485A4AF7" w14:textId="77777777" w:rsidR="00CE1349" w:rsidRDefault="00CE1349" w:rsidP="00CE1349">
      <w:pPr>
        <w:pStyle w:val="Body"/>
        <w:spacing w:line="480" w:lineRule="auto"/>
        <w:rPr>
          <w:rFonts w:ascii="Times New Roman" w:hAnsi="Times New Roman" w:cs="Times New Roman"/>
          <w:b/>
        </w:rPr>
      </w:pPr>
    </w:p>
    <w:p w14:paraId="4AFACC75" w14:textId="77777777" w:rsidR="00CE1349" w:rsidRPr="00CA23A6" w:rsidRDefault="00CE1349" w:rsidP="00CE1349">
      <w:pPr>
        <w:pStyle w:val="Body"/>
        <w:spacing w:line="480" w:lineRule="auto"/>
        <w:rPr>
          <w:rFonts w:ascii="Times New Roman" w:hAnsi="Times New Roman" w:cs="Times New Roman"/>
          <w:b/>
        </w:rPr>
      </w:pPr>
      <w:r>
        <w:rPr>
          <w:rFonts w:ascii="Times New Roman" w:hAnsi="Times New Roman" w:cs="Times New Roman"/>
          <w:b/>
        </w:rPr>
        <w:t>4</w:t>
      </w:r>
      <w:r w:rsidRPr="00CA23A6">
        <w:rPr>
          <w:rFonts w:ascii="Times New Roman" w:hAnsi="Times New Roman" w:cs="Times New Roman"/>
          <w:b/>
        </w:rPr>
        <w:t>. Common bound lexis</w:t>
      </w:r>
    </w:p>
    <w:p w14:paraId="12827F78" w14:textId="77777777" w:rsidR="00CE1349" w:rsidRDefault="00CE1349" w:rsidP="00CE1349">
      <w:pPr>
        <w:pStyle w:val="Body"/>
        <w:spacing w:line="480" w:lineRule="auto"/>
        <w:rPr>
          <w:rFonts w:ascii="Times New Roman" w:hAnsi="Times New Roman" w:cs="Times New Roman"/>
        </w:rPr>
      </w:pPr>
      <w:r>
        <w:rPr>
          <w:rFonts w:ascii="Times New Roman" w:hAnsi="Times New Roman" w:cs="Times New Roman"/>
        </w:rPr>
        <w:tab/>
        <w:t xml:space="preserve">The stability of the lexical terrain within which ‘liberty’ operates might be thought about in terms of a network or constellation of terms which together comprise the circumscribed semantic space that we call an idea.  The code developed by (removed for blind review purposes) enables us to drill down further into these spaces and discover the tight lexical networks operating in our datasets.  And, given the fact that we can derive this data chronologically, we can track how these networks change over time.  In the following data analysis we have constructed the network by identifying which terms are in each other’s lists of bound terms, thereby isolating the common bound lexis to all the terms in the network.  Such networks or cliques are generally not large in size, that is they do not number more than a handful of terms  – as one can intuit from the observation that as the set size increases the rule that each term must be on each of the other’s list is likely to constrain very large sets.  This is indeed borne out by the data. </w:t>
      </w:r>
    </w:p>
    <w:p w14:paraId="3360E5B4" w14:textId="77777777" w:rsidR="00CE1349" w:rsidRPr="00503FD1" w:rsidRDefault="00CE1349" w:rsidP="00CE1349">
      <w:pPr>
        <w:pStyle w:val="Body"/>
        <w:spacing w:line="480" w:lineRule="auto"/>
        <w:rPr>
          <w:rFonts w:ascii="Times New Roman" w:hAnsi="Times New Roman" w:cs="Times New Roman"/>
          <w:lang w:val="en-GB"/>
        </w:rPr>
      </w:pPr>
      <w:r>
        <w:rPr>
          <w:rFonts w:ascii="Times New Roman" w:hAnsi="Times New Roman" w:cs="Times New Roman"/>
        </w:rPr>
        <w:tab/>
        <w:t xml:space="preserve">In the early seventeenth century, 1630-40, ‘liberty’ can be found on the binding list of six other terms each of which also contain the other terms in the set of seven terms.  These terms are: liberty, bondage, freedome, slavery, thraldome, servitude and freed.  When we inspect the data for the later decade 1690-1700 the largest set within which ‘liberty’ operates is six terms and they are: thraldom (in the modern variant spelling), bondage, freedom, liberty, slavery and free.  Once again we </w:t>
      </w:r>
      <w:r>
        <w:rPr>
          <w:rFonts w:ascii="Times New Roman" w:hAnsi="Times New Roman" w:cs="Times New Roman"/>
        </w:rPr>
        <w:lastRenderedPageBreak/>
        <w:t xml:space="preserve">note the stability of this lexical terrain.  When we move to the far end of the eighteenth century the picture has changed.  In the period 1770-1800 liberty is a member of eighty-two sets of eight terms, and the six most strongly associated comprise a set of variations on the following terms: </w:t>
      </w:r>
      <w:r w:rsidRPr="00B9278B">
        <w:rPr>
          <w:rFonts w:ascii="Times New Roman" w:hAnsi="Times New Roman" w:cs="Times New Roman"/>
          <w:lang w:val="en-GB"/>
        </w:rPr>
        <w:t>anarchy,</w:t>
      </w:r>
      <w:r>
        <w:rPr>
          <w:rFonts w:ascii="Times New Roman" w:hAnsi="Times New Roman" w:cs="Times New Roman"/>
          <w:lang w:val="en-GB"/>
        </w:rPr>
        <w:t xml:space="preserve"> </w:t>
      </w:r>
      <w:r w:rsidRPr="00B9278B">
        <w:rPr>
          <w:rFonts w:ascii="Times New Roman" w:hAnsi="Times New Roman" w:cs="Times New Roman"/>
          <w:lang w:val="en-GB"/>
        </w:rPr>
        <w:t>aristocracy,</w:t>
      </w:r>
      <w:r>
        <w:rPr>
          <w:rFonts w:ascii="Times New Roman" w:hAnsi="Times New Roman" w:cs="Times New Roman"/>
          <w:lang w:val="en-GB"/>
        </w:rPr>
        <w:t xml:space="preserve"> </w:t>
      </w:r>
      <w:r w:rsidRPr="00B9278B">
        <w:rPr>
          <w:rFonts w:ascii="Times New Roman" w:hAnsi="Times New Roman" w:cs="Times New Roman"/>
          <w:lang w:val="en-GB"/>
        </w:rPr>
        <w:t>democracy,</w:t>
      </w:r>
      <w:r>
        <w:rPr>
          <w:rFonts w:ascii="Times New Roman" w:hAnsi="Times New Roman" w:cs="Times New Roman"/>
          <w:lang w:val="en-GB"/>
        </w:rPr>
        <w:t xml:space="preserve"> </w:t>
      </w:r>
      <w:r w:rsidRPr="00B9278B">
        <w:rPr>
          <w:rFonts w:ascii="Times New Roman" w:hAnsi="Times New Roman" w:cs="Times New Roman"/>
          <w:lang w:val="en-GB"/>
        </w:rPr>
        <w:t>government,</w:t>
      </w:r>
      <w:r>
        <w:rPr>
          <w:rFonts w:ascii="Times New Roman" w:hAnsi="Times New Roman" w:cs="Times New Roman"/>
          <w:lang w:val="en-GB"/>
        </w:rPr>
        <w:t xml:space="preserve"> </w:t>
      </w:r>
      <w:r w:rsidRPr="00B9278B">
        <w:rPr>
          <w:rFonts w:ascii="Times New Roman" w:hAnsi="Times New Roman" w:cs="Times New Roman"/>
          <w:lang w:val="en-GB"/>
        </w:rPr>
        <w:t>liberty,</w:t>
      </w:r>
      <w:r>
        <w:rPr>
          <w:rFonts w:ascii="Times New Roman" w:hAnsi="Times New Roman" w:cs="Times New Roman"/>
          <w:lang w:val="en-GB"/>
        </w:rPr>
        <w:t xml:space="preserve"> </w:t>
      </w:r>
      <w:r w:rsidRPr="00B9278B">
        <w:rPr>
          <w:rFonts w:ascii="Times New Roman" w:hAnsi="Times New Roman" w:cs="Times New Roman"/>
          <w:lang w:val="en-GB"/>
        </w:rPr>
        <w:t>monarchy,</w:t>
      </w:r>
      <w:r>
        <w:rPr>
          <w:rFonts w:ascii="Times New Roman" w:hAnsi="Times New Roman" w:cs="Times New Roman"/>
          <w:lang w:val="en-GB"/>
        </w:rPr>
        <w:t xml:space="preserve"> </w:t>
      </w:r>
      <w:r w:rsidRPr="00B9278B">
        <w:rPr>
          <w:rFonts w:ascii="Times New Roman" w:hAnsi="Times New Roman" w:cs="Times New Roman"/>
          <w:lang w:val="en-GB"/>
        </w:rPr>
        <w:t>republican,</w:t>
      </w:r>
      <w:r>
        <w:rPr>
          <w:rFonts w:ascii="Times New Roman" w:hAnsi="Times New Roman" w:cs="Times New Roman"/>
          <w:lang w:val="en-GB"/>
        </w:rPr>
        <w:t xml:space="preserve"> </w:t>
      </w:r>
      <w:r w:rsidRPr="00B9278B">
        <w:rPr>
          <w:rFonts w:ascii="Times New Roman" w:hAnsi="Times New Roman" w:cs="Times New Roman"/>
          <w:lang w:val="en-GB"/>
        </w:rPr>
        <w:t>tyranny</w:t>
      </w:r>
      <w:r>
        <w:rPr>
          <w:rFonts w:ascii="Times New Roman" w:hAnsi="Times New Roman" w:cs="Times New Roman"/>
          <w:lang w:val="en-GB"/>
        </w:rPr>
        <w:t xml:space="preserve">, equality, revolution, republic.  Interestingly, however, the profile for freedom is very divergent.  In the same time period, the last decades of the eighteenth century, the largest set size within which this term appears is six, and there is only one such set: </w:t>
      </w:r>
      <w:r w:rsidRPr="00E85D94">
        <w:rPr>
          <w:rFonts w:ascii="Times New Roman" w:hAnsi="Times New Roman" w:cs="Times New Roman"/>
          <w:lang w:val="en-GB"/>
        </w:rPr>
        <w:t>democracy,</w:t>
      </w:r>
      <w:r>
        <w:rPr>
          <w:rFonts w:ascii="Times New Roman" w:hAnsi="Times New Roman" w:cs="Times New Roman"/>
          <w:lang w:val="en-GB"/>
        </w:rPr>
        <w:t xml:space="preserve"> </w:t>
      </w:r>
      <w:r w:rsidRPr="00E85D94">
        <w:rPr>
          <w:rFonts w:ascii="Times New Roman" w:hAnsi="Times New Roman" w:cs="Times New Roman"/>
          <w:lang w:val="en-GB"/>
        </w:rPr>
        <w:t>freedom,</w:t>
      </w:r>
      <w:r>
        <w:rPr>
          <w:rFonts w:ascii="Times New Roman" w:hAnsi="Times New Roman" w:cs="Times New Roman"/>
          <w:lang w:val="en-GB"/>
        </w:rPr>
        <w:t xml:space="preserve"> </w:t>
      </w:r>
      <w:r w:rsidRPr="00E85D94">
        <w:rPr>
          <w:rFonts w:ascii="Times New Roman" w:hAnsi="Times New Roman" w:cs="Times New Roman"/>
          <w:lang w:val="en-GB"/>
        </w:rPr>
        <w:t>government,</w:t>
      </w:r>
      <w:r>
        <w:rPr>
          <w:rFonts w:ascii="Times New Roman" w:hAnsi="Times New Roman" w:cs="Times New Roman"/>
          <w:lang w:val="en-GB"/>
        </w:rPr>
        <w:t xml:space="preserve"> </w:t>
      </w:r>
      <w:r w:rsidRPr="00E85D94">
        <w:rPr>
          <w:rFonts w:ascii="Times New Roman" w:hAnsi="Times New Roman" w:cs="Times New Roman"/>
          <w:lang w:val="en-GB"/>
        </w:rPr>
        <w:t>liberty,</w:t>
      </w:r>
      <w:r>
        <w:rPr>
          <w:rFonts w:ascii="Times New Roman" w:hAnsi="Times New Roman" w:cs="Times New Roman"/>
          <w:lang w:val="en-GB"/>
        </w:rPr>
        <w:t xml:space="preserve"> </w:t>
      </w:r>
      <w:r w:rsidRPr="00E85D94">
        <w:rPr>
          <w:rFonts w:ascii="Times New Roman" w:hAnsi="Times New Roman" w:cs="Times New Roman"/>
          <w:lang w:val="en-GB"/>
        </w:rPr>
        <w:t>revolution,</w:t>
      </w:r>
      <w:r>
        <w:rPr>
          <w:rFonts w:ascii="Times New Roman" w:hAnsi="Times New Roman" w:cs="Times New Roman"/>
          <w:lang w:val="en-GB"/>
        </w:rPr>
        <w:t xml:space="preserve"> </w:t>
      </w:r>
      <w:r w:rsidRPr="00E85D94">
        <w:rPr>
          <w:rFonts w:ascii="Times New Roman" w:hAnsi="Times New Roman" w:cs="Times New Roman"/>
          <w:lang w:val="en-GB"/>
        </w:rPr>
        <w:t>tyranny</w:t>
      </w:r>
      <w:r>
        <w:rPr>
          <w:rFonts w:ascii="Times New Roman" w:hAnsi="Times New Roman" w:cs="Times New Roman"/>
          <w:lang w:val="en-GB"/>
        </w:rPr>
        <w:t>.  Once again our earlier data analyses are confirmed: the uses of liberty and freedom converge over the two hundred years, and the tight lexical terrain within which liberty operates has, by the end of the eighteenth century, become very evidently established.  Whereas the seventeenth century thought liberty in conjunction with slavery, that is it thought liberty as an adjunct of person, by the end of the eighteenth century liberty had become an adjunct of the state.</w:t>
      </w:r>
      <w:r>
        <w:rPr>
          <w:rStyle w:val="FootnoteReference"/>
          <w:rFonts w:ascii="Times New Roman" w:hAnsi="Times New Roman" w:cs="Times New Roman"/>
          <w:lang w:val="en-GB"/>
        </w:rPr>
        <w:footnoteReference w:id="16"/>
      </w:r>
    </w:p>
    <w:p w14:paraId="2758EC54" w14:textId="77777777" w:rsidR="00CE1349" w:rsidRDefault="00CE1349" w:rsidP="00CE1349">
      <w:pPr>
        <w:pStyle w:val="Body"/>
        <w:spacing w:line="480" w:lineRule="auto"/>
        <w:rPr>
          <w:rFonts w:ascii="Times New Roman" w:hAnsi="Times New Roman" w:cs="Times New Roman"/>
        </w:rPr>
      </w:pPr>
    </w:p>
    <w:p w14:paraId="196F265D" w14:textId="77777777" w:rsidR="00CE1349" w:rsidRPr="00CA23A6" w:rsidRDefault="00CE1349" w:rsidP="00CE1349">
      <w:pPr>
        <w:pBdr>
          <w:top w:val="nil"/>
          <w:left w:val="nil"/>
          <w:bottom w:val="nil"/>
          <w:right w:val="nil"/>
          <w:between w:val="nil"/>
          <w:bar w:val="nil"/>
        </w:pBdr>
        <w:spacing w:after="0" w:line="480" w:lineRule="auto"/>
        <w:rPr>
          <w:rFonts w:eastAsia="Arial Unicode MS" w:cs="Times New Roman"/>
          <w:sz w:val="22"/>
          <w:szCs w:val="24"/>
          <w:bdr w:val="nil"/>
          <w:lang w:val="en-US"/>
        </w:rPr>
      </w:pPr>
      <w:r>
        <w:rPr>
          <w:rFonts w:eastAsia="Arial Unicode MS" w:cs="Times New Roman"/>
          <w:b/>
          <w:sz w:val="22"/>
          <w:szCs w:val="24"/>
          <w:bdr w:val="nil"/>
          <w:lang w:val="en-US"/>
        </w:rPr>
        <w:t xml:space="preserve">5. </w:t>
      </w:r>
      <w:r w:rsidRPr="00CA23A6">
        <w:rPr>
          <w:rFonts w:eastAsia="Arial Unicode MS" w:cs="Times New Roman"/>
          <w:b/>
          <w:sz w:val="22"/>
          <w:szCs w:val="24"/>
          <w:bdr w:val="nil"/>
          <w:lang w:val="en-US"/>
        </w:rPr>
        <w:t>Libert</w:t>
      </w:r>
      <w:r>
        <w:rPr>
          <w:rFonts w:eastAsia="Arial Unicode MS" w:cs="Times New Roman"/>
          <w:b/>
          <w:sz w:val="22"/>
          <w:szCs w:val="24"/>
          <w:bdr w:val="nil"/>
          <w:lang w:val="en-US"/>
        </w:rPr>
        <w:t>ies as rights</w:t>
      </w:r>
      <w:r w:rsidRPr="00CA23A6">
        <w:rPr>
          <w:rFonts w:eastAsia="Arial Unicode MS" w:cs="Times New Roman"/>
          <w:sz w:val="22"/>
          <w:szCs w:val="24"/>
          <w:bdr w:val="nil"/>
          <w:lang w:val="en-US"/>
        </w:rPr>
        <w:t>.</w:t>
      </w:r>
    </w:p>
    <w:p w14:paraId="581F7B13" w14:textId="77777777" w:rsidR="00CE1349" w:rsidRDefault="00CE1349" w:rsidP="00CE1349">
      <w:pPr>
        <w:pBdr>
          <w:top w:val="nil"/>
          <w:left w:val="nil"/>
          <w:bottom w:val="nil"/>
          <w:right w:val="nil"/>
          <w:between w:val="nil"/>
          <w:bar w:val="nil"/>
        </w:pBdr>
        <w:spacing w:after="0" w:line="480" w:lineRule="auto"/>
        <w:rPr>
          <w:rFonts w:eastAsia="Arial Unicode MS" w:cs="Times New Roman"/>
          <w:sz w:val="22"/>
          <w:szCs w:val="24"/>
          <w:bdr w:val="nil"/>
          <w:lang w:val="en-US"/>
        </w:rPr>
      </w:pPr>
      <w:r>
        <w:rPr>
          <w:rFonts w:eastAsia="Arial Unicode MS" w:cs="Times New Roman"/>
          <w:sz w:val="22"/>
          <w:szCs w:val="24"/>
          <w:bdr w:val="nil"/>
          <w:lang w:val="en-US"/>
        </w:rPr>
        <w:tab/>
        <w:t xml:space="preserve">What contribution can the preceding computational and statistical approach to the history of ideas make to the long tradition of inquiry into the foundations of our modern concept of freedom or liberty which underlies the contemporary understanding of liberalism?  In this section we shall address this question by focusing on the work of the intellectual historian who, more than any other, has with remarkable tenacity and consistently compelling scholarship taught us how to read the genealogy of the concept: Quentin Skinner.  As is well known Skinner began his long career as a scholar immersed in the traditions of thinking modern political concepts in the late 1960’s when he presented his Cambridge lectures that were the basis for </w:t>
      </w:r>
      <w:r w:rsidRPr="00895617">
        <w:rPr>
          <w:rFonts w:eastAsia="Arial Unicode MS" w:cs="Times New Roman"/>
          <w:i/>
          <w:sz w:val="22"/>
          <w:szCs w:val="24"/>
          <w:bdr w:val="nil"/>
          <w:lang w:val="en-US"/>
        </w:rPr>
        <w:t>The Foundations of Modern Political Thought</w:t>
      </w:r>
      <w:r>
        <w:rPr>
          <w:rFonts w:eastAsia="Arial Unicode MS" w:cs="Times New Roman"/>
          <w:sz w:val="22"/>
          <w:szCs w:val="24"/>
          <w:bdr w:val="nil"/>
          <w:lang w:val="en-US"/>
        </w:rPr>
        <w:t>.  But it was in the 1980’s that he turned most consistently to the historical reconstruction of the various traditions of thinking that developed the idea of liberty.</w:t>
      </w:r>
      <w:r>
        <w:rPr>
          <w:rStyle w:val="FootnoteReference"/>
          <w:rFonts w:eastAsia="Arial Unicode MS" w:cs="Times New Roman"/>
          <w:sz w:val="22"/>
          <w:szCs w:val="24"/>
          <w:bdr w:val="nil"/>
          <w:lang w:val="en-US"/>
        </w:rPr>
        <w:footnoteReference w:id="17"/>
      </w:r>
    </w:p>
    <w:p w14:paraId="4AC17812" w14:textId="77777777" w:rsidR="00CE1349" w:rsidRPr="003B1486" w:rsidRDefault="00CE1349" w:rsidP="00CE1349">
      <w:pPr>
        <w:pStyle w:val="BodyA"/>
        <w:spacing w:line="480" w:lineRule="auto"/>
        <w:ind w:firstLine="720"/>
        <w:rPr>
          <w:rFonts w:ascii="Times New Roman" w:hAnsi="Times New Roman"/>
          <w:sz w:val="24"/>
          <w:szCs w:val="24"/>
        </w:rPr>
      </w:pPr>
      <w:r>
        <w:rPr>
          <w:rFonts w:ascii="Times New Roman" w:hAnsi="Times New Roman"/>
          <w:sz w:val="24"/>
          <w:szCs w:val="24"/>
        </w:rPr>
        <w:lastRenderedPageBreak/>
        <w:t xml:space="preserve">In his 1984 essay ‘The idea of negative liberty’, Quentin Skinner gives an historical account of two opposing ideas. One is ‘negative liberty’, in which the individual’s social freedom is guaranteed only by the absence of limiting factors such as state intervention, responsibilities to one’s communities, and other externalities.  In this scheme, liberty can only be defined negatively, as Thomas Hobbes has it at the start of his chapter ‘Of the liberty of subjects’ from </w:t>
      </w:r>
      <w:r>
        <w:rPr>
          <w:rFonts w:ascii="Times New Roman" w:hAnsi="Times New Roman"/>
          <w:i/>
          <w:iCs/>
          <w:sz w:val="24"/>
          <w:szCs w:val="24"/>
        </w:rPr>
        <w:t>Leviathan</w:t>
      </w:r>
      <w:r>
        <w:rPr>
          <w:rFonts w:ascii="Times New Roman" w:hAnsi="Times New Roman"/>
          <w:sz w:val="24"/>
          <w:szCs w:val="24"/>
        </w:rPr>
        <w:t>: ‘liberty or freedom signifieth (properly) the absence of opposition.’</w:t>
      </w:r>
      <w:r>
        <w:rPr>
          <w:rStyle w:val="FootnoteReference"/>
          <w:rFonts w:ascii="Times New Roman" w:hAnsi="Times New Roman"/>
          <w:sz w:val="24"/>
          <w:szCs w:val="24"/>
        </w:rPr>
        <w:footnoteReference w:id="18"/>
      </w:r>
      <w:r>
        <w:rPr>
          <w:rFonts w:ascii="Times New Roman" w:hAnsi="Times New Roman"/>
          <w:sz w:val="24"/>
          <w:szCs w:val="24"/>
        </w:rPr>
        <w:t xml:space="preserve">  Skinner contrasts this with an ideal of liberty in which the operative factor is the virtue and value of public service.  According to this way of seeing things one is only consummately free when one acknowledges one’s social responsibilities and carries out virtuous acts of public service.  These contrasting ideas of liberty are named by Canadian philosopher Charles Taylor as the ‘opportunity concept’ and the ‘positive exercise concept’.</w:t>
      </w:r>
      <w:r>
        <w:rPr>
          <w:rStyle w:val="FootnoteReference"/>
          <w:rFonts w:ascii="Times New Roman" w:hAnsi="Times New Roman"/>
          <w:sz w:val="24"/>
          <w:szCs w:val="24"/>
        </w:rPr>
        <w:footnoteReference w:id="19"/>
      </w:r>
      <w:r>
        <w:rPr>
          <w:rFonts w:ascii="Times New Roman" w:hAnsi="Times New Roman"/>
          <w:sz w:val="24"/>
          <w:szCs w:val="24"/>
        </w:rPr>
        <w:t xml:space="preserve"> The former relies purely on the absence of constraint and prescribed social objectives (freedom from), whereas the latter involves positive action in the service of the state or community (freedom to).</w:t>
      </w:r>
      <w:r>
        <w:rPr>
          <w:rStyle w:val="FootnoteReference"/>
          <w:rFonts w:ascii="Times New Roman" w:hAnsi="Times New Roman"/>
          <w:sz w:val="24"/>
          <w:szCs w:val="24"/>
        </w:rPr>
        <w:footnoteReference w:id="20"/>
      </w:r>
      <w:r>
        <w:rPr>
          <w:rFonts w:ascii="Times New Roman" w:hAnsi="Times New Roman"/>
          <w:sz w:val="24"/>
          <w:szCs w:val="24"/>
        </w:rPr>
        <w:t xml:space="preserve">  Skinner sets out to demonstrate that the early modern period </w:t>
      </w:r>
      <w:r w:rsidRPr="002C4C70">
        <w:rPr>
          <w:rFonts w:ascii="Times New Roman" w:hAnsi="Times New Roman"/>
          <w:i/>
          <w:sz w:val="24"/>
          <w:szCs w:val="24"/>
        </w:rPr>
        <w:t>combined</w:t>
      </w:r>
      <w:r>
        <w:rPr>
          <w:rFonts w:ascii="Times New Roman" w:hAnsi="Times New Roman"/>
          <w:sz w:val="24"/>
          <w:szCs w:val="24"/>
        </w:rPr>
        <w:t xml:space="preserve"> these two notions of liberty, writing: </w:t>
      </w:r>
    </w:p>
    <w:p w14:paraId="7B282127" w14:textId="77777777" w:rsidR="00CE1349" w:rsidRDefault="00CE1349" w:rsidP="00CE1349">
      <w:pPr>
        <w:pStyle w:val="BodyA"/>
        <w:spacing w:line="480" w:lineRule="auto"/>
        <w:ind w:left="785"/>
        <w:rPr>
          <w:rFonts w:ascii="Times New Roman" w:eastAsia="Times New Roman" w:hAnsi="Times New Roman" w:cs="Times New Roman"/>
          <w:sz w:val="24"/>
          <w:szCs w:val="24"/>
        </w:rPr>
      </w:pPr>
      <w:r>
        <w:rPr>
          <w:rFonts w:ascii="Times New Roman" w:hAnsi="Times New Roman"/>
          <w:sz w:val="24"/>
          <w:szCs w:val="24"/>
        </w:rPr>
        <w:t>I shall try to show that, in an earlier and now discarded tradition of thought about social freedom, the negative idea of liberty as the mere non-obstruction of individual agents in the pursuit of their chosen ends was combined with the ideas of virtue and public service in just the manner nowadays assumed on all sides to be impossible without incoherence.</w:t>
      </w:r>
      <w:r>
        <w:rPr>
          <w:rFonts w:ascii="Times New Roman" w:eastAsia="Times New Roman" w:hAnsi="Times New Roman" w:cs="Times New Roman"/>
          <w:sz w:val="24"/>
          <w:szCs w:val="24"/>
          <w:vertAlign w:val="superscript"/>
        </w:rPr>
        <w:footnoteReference w:id="21"/>
      </w:r>
    </w:p>
    <w:p w14:paraId="4D8CD478" w14:textId="77777777" w:rsidR="00CE1349" w:rsidRDefault="00CE1349" w:rsidP="00CE1349">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his inaugural lecture as Regius Professor of Modern History in 1997 Skinner returned to this material and subsequently published a short book on the topic entitled </w:t>
      </w:r>
      <w:r w:rsidRPr="007B1689">
        <w:rPr>
          <w:rFonts w:ascii="Times New Roman" w:eastAsia="Times New Roman" w:hAnsi="Times New Roman" w:cs="Times New Roman"/>
          <w:i/>
          <w:sz w:val="24"/>
          <w:szCs w:val="24"/>
        </w:rPr>
        <w:t>Liberty Before Liberalism</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2"/>
      </w:r>
      <w:r>
        <w:rPr>
          <w:rFonts w:ascii="Times New Roman" w:eastAsia="Times New Roman" w:hAnsi="Times New Roman" w:cs="Times New Roman"/>
          <w:sz w:val="24"/>
          <w:szCs w:val="24"/>
        </w:rPr>
        <w:t xml:space="preserve">  Once again he stressed the combination of negative and positive liberty in the neo-Roman tradition which he claims was dominant in political discourse in England immediately following the regicide in 1649.  His aim, in both this short book and the original essay published in 1984, is to revise, even dissolve our modern assumption that liberty is incoherent outside a theory of rights.  Early modern republican writers, he insists, understood liberty from constraint within the context of behaviour that was based in notions of virtue and public service.</w:t>
      </w:r>
      <w:r>
        <w:rPr>
          <w:rStyle w:val="FootnoteReference"/>
          <w:rFonts w:ascii="Times New Roman" w:eastAsia="Times New Roman" w:hAnsi="Times New Roman" w:cs="Times New Roman"/>
          <w:sz w:val="24"/>
          <w:szCs w:val="24"/>
        </w:rPr>
        <w:footnoteReference w:id="23"/>
      </w:r>
    </w:p>
    <w:p w14:paraId="2EBFF0D0" w14:textId="137CE635" w:rsidR="00CE1349" w:rsidRDefault="00CE1349" w:rsidP="00CE1349">
      <w:pPr>
        <w:pStyle w:val="BodyA"/>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If the period in general thought liberty in this way – that is in harness with or articulated around notions of virtue, one would expect the lexical terrain within which the two terms circulated to have intersections or commonalities.  Such a common terrain derived from co-association data could, of course, be either supportive or critical of the notion that Skinner proposes, which is to note that co-association in and of itself does not give an index to the senses in which terms qualify each other.   Notwithstanding this caveat we can begin by noting that while S</w:t>
      </w:r>
      <w:r w:rsidRPr="00903E46">
        <w:rPr>
          <w:rFonts w:ascii="Times New Roman" w:hAnsi="Times New Roman" w:cs="Times New Roman"/>
          <w:sz w:val="24"/>
          <w:szCs w:val="24"/>
        </w:rPr>
        <w:t xml:space="preserve">kinner’s reading of the classic texts – those by Harrington and Sidney </w:t>
      </w:r>
      <w:r w:rsidRPr="00903E46">
        <w:rPr>
          <w:rFonts w:ascii="Times New Roman" w:hAnsi="Times New Roman" w:cs="Times New Roman"/>
          <w:sz w:val="24"/>
          <w:szCs w:val="24"/>
        </w:rPr>
        <w:lastRenderedPageBreak/>
        <w:t xml:space="preserve">prime amongst them – certainly makes a convincing case, </w:t>
      </w:r>
      <w:r>
        <w:rPr>
          <w:rFonts w:ascii="Times New Roman" w:hAnsi="Times New Roman" w:cs="Times New Roman"/>
          <w:sz w:val="24"/>
          <w:szCs w:val="24"/>
        </w:rPr>
        <w:t xml:space="preserve">the extent to which this neo-roman account of liberty penetrated the culture needs to be assessed.  A first pass through the datasets we have been using suggests that the overlapping lexical terrain between liberty or freedom and virtue was negligible.  In the following table we have tracked this overlap across the two centuries by creating </w:t>
      </w:r>
      <w:r w:rsidRPr="00903E46">
        <w:rPr>
          <w:rFonts w:ascii="Times New Roman" w:hAnsi="Times New Roman" w:cs="Times New Roman"/>
          <w:i/>
          <w:sz w:val="24"/>
          <w:szCs w:val="24"/>
        </w:rPr>
        <w:t>dpf</w:t>
      </w:r>
      <w:r>
        <w:rPr>
          <w:rFonts w:ascii="Times New Roman" w:hAnsi="Times New Roman" w:cs="Times New Roman"/>
          <w:sz w:val="24"/>
          <w:szCs w:val="24"/>
        </w:rPr>
        <w:t xml:space="preserve">  lists for the terms at a span of ten terms and have included data for the variant spellings ‘libertie’ and ‘freedome’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
    <w:p w14:paraId="39984D41" w14:textId="5D6B44CF" w:rsidR="00E33C8C" w:rsidRPr="00903E46" w:rsidRDefault="00E33C8C" w:rsidP="00CE1349">
      <w:pPr>
        <w:pStyle w:val="BodyA"/>
        <w:spacing w:line="480" w:lineRule="auto"/>
        <w:rPr>
          <w:rFonts w:ascii="Times New Roman" w:hAnsi="Times New Roman" w:cs="Times New Roman"/>
          <w:sz w:val="24"/>
          <w:szCs w:val="24"/>
        </w:rPr>
      </w:pPr>
      <w:r>
        <w:rPr>
          <w:rFonts w:ascii="Times New Roman" w:hAnsi="Times New Roman" w:cs="Times New Roman"/>
          <w:sz w:val="24"/>
          <w:szCs w:val="24"/>
        </w:rPr>
        <w:t>Insert table 16</w:t>
      </w:r>
    </w:p>
    <w:p w14:paraId="148620A6" w14:textId="77777777" w:rsidR="00CE1349" w:rsidRPr="00903E46"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5967BB82" w14:textId="77777777" w:rsidR="00CE1349" w:rsidRPr="00FE3BF6" w:rsidRDefault="00CE1349" w:rsidP="00CE1349">
      <w:pPr>
        <w:pBdr>
          <w:top w:val="nil"/>
          <w:left w:val="nil"/>
          <w:bottom w:val="nil"/>
          <w:right w:val="nil"/>
          <w:between w:val="nil"/>
          <w:bar w:val="nil"/>
        </w:pBdr>
        <w:spacing w:after="0" w:line="480" w:lineRule="auto"/>
        <w:rPr>
          <w:rFonts w:eastAsia="Arial Unicode MS" w:cs="Times New Roman"/>
          <w:sz w:val="22"/>
          <w:szCs w:val="24"/>
          <w:bdr w:val="nil"/>
          <w:lang w:val="en-US"/>
        </w:rPr>
      </w:pPr>
    </w:p>
    <w:p w14:paraId="7B914590" w14:textId="6479CC96" w:rsidR="00CE1349" w:rsidRDefault="00CE1349" w:rsidP="00CE1349">
      <w:pPr>
        <w:pBdr>
          <w:top w:val="nil"/>
          <w:left w:val="nil"/>
          <w:bottom w:val="nil"/>
          <w:right w:val="nil"/>
          <w:between w:val="nil"/>
          <w:bar w:val="nil"/>
        </w:pBdr>
        <w:spacing w:after="0" w:line="480" w:lineRule="auto"/>
        <w:rPr>
          <w:rFonts w:eastAsia="Arial Unicode MS" w:cs="Times New Roman"/>
          <w:sz w:val="22"/>
          <w:szCs w:val="24"/>
          <w:bdr w:val="nil"/>
          <w:lang w:val="en-US"/>
        </w:rPr>
      </w:pPr>
      <w:r w:rsidRPr="00FE3BF6">
        <w:rPr>
          <w:rFonts w:eastAsia="Arial Unicode MS" w:cs="Times New Roman"/>
          <w:sz w:val="22"/>
          <w:szCs w:val="24"/>
          <w:bdr w:val="nil"/>
          <w:lang w:val="en-US"/>
        </w:rPr>
        <w:t>At a pr</w:t>
      </w:r>
      <w:r>
        <w:rPr>
          <w:rFonts w:eastAsia="Arial Unicode MS" w:cs="Times New Roman"/>
          <w:sz w:val="22"/>
          <w:szCs w:val="24"/>
          <w:bdr w:val="nil"/>
          <w:lang w:val="en-US"/>
        </w:rPr>
        <w:t>oximate distance, here 10 terms</w:t>
      </w:r>
      <w:r w:rsidRPr="00FE3BF6">
        <w:rPr>
          <w:rFonts w:eastAsia="Arial Unicode MS" w:cs="Times New Roman"/>
          <w:sz w:val="22"/>
          <w:szCs w:val="24"/>
          <w:bdr w:val="nil"/>
          <w:lang w:val="en-US"/>
        </w:rPr>
        <w:t xml:space="preserve"> apart, </w:t>
      </w:r>
      <w:r>
        <w:rPr>
          <w:rFonts w:eastAsia="Arial Unicode MS" w:cs="Times New Roman"/>
          <w:sz w:val="22"/>
          <w:szCs w:val="24"/>
          <w:bdr w:val="nil"/>
          <w:lang w:val="en-US"/>
        </w:rPr>
        <w:t>one</w:t>
      </w:r>
      <w:r w:rsidRPr="00FE3BF6">
        <w:rPr>
          <w:rFonts w:eastAsia="Arial Unicode MS" w:cs="Times New Roman"/>
          <w:sz w:val="22"/>
          <w:szCs w:val="24"/>
          <w:bdr w:val="nil"/>
          <w:lang w:val="en-US"/>
        </w:rPr>
        <w:t xml:space="preserve"> would expect to pick up semantic behavior, but </w:t>
      </w:r>
      <w:r>
        <w:rPr>
          <w:rFonts w:eastAsia="Arial Unicode MS" w:cs="Times New Roman"/>
          <w:sz w:val="22"/>
          <w:szCs w:val="24"/>
          <w:bdr w:val="nil"/>
          <w:lang w:val="en-US"/>
        </w:rPr>
        <w:t xml:space="preserve">as the data indicates the lexical terrain within which liberty and freedom operated did not have strong connections to the terrain within which virtue appeared.  At the longer span of one hundred terms, where we expect to find a different kind of binding, the story is substantially the same:  </w:t>
      </w:r>
      <w:r w:rsidRPr="00FE3BF6">
        <w:rPr>
          <w:rFonts w:eastAsia="Arial Unicode MS" w:cs="Times New Roman"/>
          <w:sz w:val="22"/>
          <w:szCs w:val="24"/>
          <w:bdr w:val="nil"/>
          <w:lang w:val="en-US"/>
        </w:rPr>
        <w:t xml:space="preserve"> </w:t>
      </w:r>
    </w:p>
    <w:p w14:paraId="2FAA9340" w14:textId="118FB7D9" w:rsidR="00E33C8C" w:rsidRPr="00903E46" w:rsidRDefault="00E33C8C" w:rsidP="00CE1349">
      <w:pPr>
        <w:pBdr>
          <w:top w:val="nil"/>
          <w:left w:val="nil"/>
          <w:bottom w:val="nil"/>
          <w:right w:val="nil"/>
          <w:between w:val="nil"/>
          <w:bar w:val="nil"/>
        </w:pBdr>
        <w:spacing w:after="0" w:line="480" w:lineRule="auto"/>
        <w:rPr>
          <w:rFonts w:eastAsia="Arial Unicode MS" w:cs="Times New Roman"/>
          <w:szCs w:val="24"/>
          <w:bdr w:val="nil"/>
          <w:lang w:val="en-US"/>
        </w:rPr>
      </w:pPr>
      <w:r>
        <w:rPr>
          <w:rFonts w:eastAsia="Arial Unicode MS" w:cs="Times New Roman"/>
          <w:szCs w:val="24"/>
          <w:bdr w:val="nil"/>
          <w:lang w:val="en-US"/>
        </w:rPr>
        <w:t>Insert table 17</w:t>
      </w:r>
    </w:p>
    <w:p w14:paraId="054E4325" w14:textId="77777777" w:rsidR="00CE1349" w:rsidRPr="00903E46"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2672A8CD" w14:textId="77777777" w:rsidR="00CE1349" w:rsidRPr="00903E46"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0A750CD9" w14:textId="77777777" w:rsidR="00E33C8C" w:rsidRDefault="00CE1349" w:rsidP="00CE1349">
      <w:pPr>
        <w:pBdr>
          <w:top w:val="nil"/>
          <w:left w:val="nil"/>
          <w:bottom w:val="nil"/>
          <w:right w:val="nil"/>
          <w:between w:val="nil"/>
          <w:bar w:val="nil"/>
        </w:pBdr>
        <w:spacing w:after="0" w:line="480" w:lineRule="auto"/>
        <w:rPr>
          <w:rFonts w:eastAsia="Times New Roman" w:cs="Times New Roman"/>
          <w:szCs w:val="24"/>
        </w:rPr>
      </w:pPr>
      <w:r>
        <w:rPr>
          <w:rFonts w:eastAsia="Arial Unicode MS" w:cs="Times New Roman"/>
          <w:sz w:val="22"/>
          <w:szCs w:val="24"/>
          <w:bdr w:val="nil"/>
          <w:lang w:val="en-US"/>
        </w:rPr>
        <w:t xml:space="preserve">This data seems to contrast with Skinner’s argument, at least in so far as he supposes the neo-roman account to have widespread currency.  But it also supports another strand of his thesis which points out the virtual hegemony of a Hobbesian ‘negative liberty’.  If we drill down further into the datasets and create similar reports for some candidates for specific virtues the story is pretty much the same.  Here we have taken the terms </w:t>
      </w:r>
      <w:r>
        <w:rPr>
          <w:rFonts w:eastAsia="Times New Roman" w:cs="Times New Roman"/>
          <w:szCs w:val="24"/>
        </w:rPr>
        <w:t>benevolence, magnanimity, charity, generosity and virtue and run a similar analysis, this time across fifty year segments of the two centuries:</w:t>
      </w:r>
    </w:p>
    <w:p w14:paraId="17C28975" w14:textId="75E49EBA" w:rsidR="00CE1349" w:rsidRDefault="00E33C8C" w:rsidP="00CE1349">
      <w:pPr>
        <w:pBdr>
          <w:top w:val="nil"/>
          <w:left w:val="nil"/>
          <w:bottom w:val="nil"/>
          <w:right w:val="nil"/>
          <w:between w:val="nil"/>
          <w:bar w:val="nil"/>
        </w:pBdr>
        <w:spacing w:after="0" w:line="480" w:lineRule="auto"/>
        <w:rPr>
          <w:szCs w:val="24"/>
        </w:rPr>
      </w:pPr>
      <w:r>
        <w:rPr>
          <w:rFonts w:eastAsia="Times New Roman" w:cs="Times New Roman"/>
          <w:szCs w:val="24"/>
        </w:rPr>
        <w:t>Insert table 18</w:t>
      </w:r>
      <w:r w:rsidR="00CE1349">
        <w:rPr>
          <w:rFonts w:eastAsia="Times New Roman" w:cs="Times New Roman"/>
          <w:szCs w:val="24"/>
        </w:rPr>
        <w:tab/>
      </w:r>
    </w:p>
    <w:p w14:paraId="7643245D" w14:textId="77777777" w:rsidR="00CE1349" w:rsidRDefault="00CE1349" w:rsidP="00CE1349">
      <w:pPr>
        <w:pStyle w:val="BodyA"/>
        <w:spacing w:line="480" w:lineRule="auto"/>
        <w:rPr>
          <w:rFonts w:ascii="Times New Roman" w:hAnsi="Times New Roman"/>
          <w:sz w:val="24"/>
          <w:szCs w:val="24"/>
        </w:rPr>
      </w:pPr>
    </w:p>
    <w:p w14:paraId="08D7002B" w14:textId="77777777" w:rsidR="00CE1349" w:rsidRDefault="00CE1349" w:rsidP="00CE1349">
      <w:pPr>
        <w:pStyle w:val="BodyA"/>
        <w:spacing w:line="480" w:lineRule="auto"/>
        <w:ind w:firstLine="720"/>
        <w:rPr>
          <w:rFonts w:ascii="Times New Roman" w:hAnsi="Times New Roman"/>
          <w:sz w:val="24"/>
          <w:szCs w:val="24"/>
        </w:rPr>
      </w:pPr>
    </w:p>
    <w:p w14:paraId="3B2E392E" w14:textId="5B409CE2" w:rsidR="00CE1349" w:rsidRDefault="00CE1349" w:rsidP="00CE1349">
      <w:pPr>
        <w:pStyle w:val="BodyA"/>
        <w:spacing w:line="480" w:lineRule="auto"/>
        <w:rPr>
          <w:rFonts w:ascii="Times New Roman" w:hAnsi="Times New Roman"/>
          <w:sz w:val="24"/>
          <w:szCs w:val="24"/>
        </w:rPr>
      </w:pPr>
      <w:r>
        <w:rPr>
          <w:rFonts w:ascii="Times New Roman" w:hAnsi="Times New Roman"/>
          <w:sz w:val="24"/>
          <w:szCs w:val="24"/>
        </w:rPr>
        <w:lastRenderedPageBreak/>
        <w:t>These data indicate that these virtues – represented here by the lexis that designates them – were not thought about within the same semantic space as either liberty or freedom.  If we inspect the actual terms that appear in these lists – remembering that the number of terms here is very small and entering due caution with respect to generalisations from such sparse data -  another st</w:t>
      </w:r>
      <w:r w:rsidR="00B84098">
        <w:rPr>
          <w:rFonts w:ascii="Times New Roman" w:hAnsi="Times New Roman"/>
          <w:sz w:val="24"/>
          <w:szCs w:val="24"/>
        </w:rPr>
        <w:t>r</w:t>
      </w:r>
      <w:r>
        <w:rPr>
          <w:rFonts w:ascii="Times New Roman" w:hAnsi="Times New Roman"/>
          <w:sz w:val="24"/>
          <w:szCs w:val="24"/>
        </w:rPr>
        <w:t xml:space="preserve">and of Skinner’s argument hoves into view.  The three terms that appear on the co-association lists for benevolence, magnanimity and generosity in the seventeenth century are: slavery, servitude and arbitrary.  And these terms fall out of the lists in the eighteenth.  It is also noteworthy, given Skinner’s insistence that the Hobbesian view has such trouble with the accommodation of a theory of the state as person with a theory of negative liberty which constructs citizenship as effectively independent of the servitude that occurs when arbitrary power is exercised, that the following two terms enter these lists: volition and rights.  </w:t>
      </w:r>
    </w:p>
    <w:p w14:paraId="77545F17" w14:textId="750EF43C" w:rsidR="00CE1349" w:rsidRDefault="00CE1349" w:rsidP="00CE1349">
      <w:pPr>
        <w:pStyle w:val="BodyA"/>
        <w:spacing w:line="480" w:lineRule="auto"/>
        <w:rPr>
          <w:rFonts w:ascii="Times New Roman" w:hAnsi="Times New Roman"/>
          <w:sz w:val="24"/>
          <w:szCs w:val="24"/>
        </w:rPr>
      </w:pPr>
      <w:r>
        <w:rPr>
          <w:rFonts w:ascii="Times New Roman" w:hAnsi="Times New Roman"/>
          <w:sz w:val="24"/>
          <w:szCs w:val="24"/>
        </w:rPr>
        <w:tab/>
        <w:t xml:space="preserve">We believe this to indicate that the forces which solder rights to liberty really only began to have effects within the conceptual architecture we shall investigate in our concluding section towards the end of the eighteenth century.  </w:t>
      </w:r>
      <w:r w:rsidR="00894129">
        <w:rPr>
          <w:rFonts w:ascii="Times New Roman" w:hAnsi="Times New Roman"/>
          <w:sz w:val="24"/>
          <w:szCs w:val="24"/>
        </w:rPr>
        <w:t xml:space="preserve">For Skinner the </w:t>
      </w:r>
      <w:r w:rsidR="00894129" w:rsidRPr="00894129">
        <w:rPr>
          <w:rFonts w:ascii="Times New Roman" w:hAnsi="Times New Roman"/>
          <w:i/>
          <w:sz w:val="24"/>
          <w:szCs w:val="24"/>
        </w:rPr>
        <w:t>long duree</w:t>
      </w:r>
      <w:r w:rsidR="00894129">
        <w:rPr>
          <w:rFonts w:ascii="Times New Roman" w:hAnsi="Times New Roman"/>
          <w:sz w:val="24"/>
          <w:szCs w:val="24"/>
        </w:rPr>
        <w:t xml:space="preserve"> account is more persuasive as he draws out the implications of </w:t>
      </w:r>
      <w:r>
        <w:rPr>
          <w:rFonts w:ascii="Times New Roman" w:hAnsi="Times New Roman"/>
          <w:sz w:val="24"/>
          <w:szCs w:val="24"/>
        </w:rPr>
        <w:t xml:space="preserve">the </w:t>
      </w:r>
      <w:r w:rsidR="00B57627">
        <w:rPr>
          <w:rFonts w:ascii="Times New Roman" w:hAnsi="Times New Roman"/>
          <w:sz w:val="24"/>
          <w:szCs w:val="24"/>
        </w:rPr>
        <w:t>“</w:t>
      </w:r>
      <w:r>
        <w:rPr>
          <w:rFonts w:ascii="Times New Roman" w:hAnsi="Times New Roman"/>
          <w:sz w:val="24"/>
          <w:szCs w:val="24"/>
        </w:rPr>
        <w:t>Hobbesian claim that any theory of negative liberty must in effect be a theory of individual rights</w:t>
      </w:r>
      <w:r w:rsidR="00894129">
        <w:rPr>
          <w:rFonts w:ascii="Times New Roman" w:hAnsi="Times New Roman"/>
          <w:sz w:val="24"/>
          <w:szCs w:val="24"/>
        </w:rPr>
        <w:t xml:space="preserve">.” </w:t>
      </w:r>
      <w:r>
        <w:rPr>
          <w:rStyle w:val="FootnoteReference"/>
          <w:rFonts w:ascii="Times New Roman" w:hAnsi="Times New Roman"/>
          <w:sz w:val="24"/>
          <w:szCs w:val="24"/>
        </w:rPr>
        <w:footnoteReference w:id="25"/>
      </w:r>
      <w:r>
        <w:rPr>
          <w:rFonts w:ascii="Times New Roman" w:hAnsi="Times New Roman"/>
          <w:sz w:val="24"/>
          <w:szCs w:val="24"/>
        </w:rPr>
        <w:t xml:space="preserve">  </w:t>
      </w:r>
      <w:r w:rsidR="00894129">
        <w:rPr>
          <w:rFonts w:ascii="Times New Roman" w:hAnsi="Times New Roman"/>
          <w:sz w:val="24"/>
          <w:szCs w:val="24"/>
        </w:rPr>
        <w:t xml:space="preserve">In contrast we see the tectonics underlying the formulation of a linked or constellated set of terms which contribute to a theory of liberty in a slightly broader perspective outlined below.  </w:t>
      </w:r>
      <w:r>
        <w:rPr>
          <w:rFonts w:ascii="Times New Roman" w:hAnsi="Times New Roman"/>
          <w:sz w:val="24"/>
          <w:szCs w:val="24"/>
        </w:rPr>
        <w:t>Let us keep with Skinner’s point as way of sharpening that observation: note that he claims that ‘</w:t>
      </w:r>
      <w:r w:rsidRPr="00526868">
        <w:rPr>
          <w:rFonts w:ascii="Times New Roman" w:hAnsi="Times New Roman"/>
          <w:i/>
          <w:sz w:val="24"/>
          <w:szCs w:val="24"/>
        </w:rPr>
        <w:t xml:space="preserve">any </w:t>
      </w:r>
      <w:r>
        <w:rPr>
          <w:rFonts w:ascii="Times New Roman" w:hAnsi="Times New Roman"/>
          <w:sz w:val="24"/>
          <w:szCs w:val="24"/>
        </w:rPr>
        <w:t xml:space="preserve">theory of negative liberty’ must be congruent with, even inserted within a theory of rights.  As we have noted above, Skinner is certainly correct in stating that the Hobbesian version of negative liberty quickly became hegemonic and that our history of this idea is to some extent </w:t>
      </w:r>
      <w:r>
        <w:rPr>
          <w:rFonts w:ascii="Times New Roman" w:hAnsi="Times New Roman"/>
          <w:sz w:val="24"/>
          <w:szCs w:val="24"/>
        </w:rPr>
        <w:lastRenderedPageBreak/>
        <w:t>a history of forgetting, of the erasure of different ways of thinking that idea.  Noting the linkage of negative liberty and rights, he writes:</w:t>
      </w:r>
    </w:p>
    <w:p w14:paraId="7AD0FD32" w14:textId="77777777" w:rsidR="00CE1349" w:rsidRDefault="00CE1349" w:rsidP="00CE1349">
      <w:pPr>
        <w:pStyle w:val="BodyA"/>
        <w:spacing w:line="480" w:lineRule="auto"/>
        <w:rPr>
          <w:rFonts w:ascii="Times New Roman" w:hAnsi="Times New Roman"/>
          <w:sz w:val="24"/>
          <w:szCs w:val="24"/>
        </w:rPr>
      </w:pPr>
      <w:r>
        <w:rPr>
          <w:rFonts w:ascii="Times New Roman" w:hAnsi="Times New Roman"/>
          <w:sz w:val="24"/>
          <w:szCs w:val="24"/>
        </w:rPr>
        <w:tab/>
        <w:t xml:space="preserve">As we have seen, this has reached the status of an axiom in many contemporary </w:t>
      </w:r>
      <w:r>
        <w:rPr>
          <w:rFonts w:ascii="Times New Roman" w:hAnsi="Times New Roman"/>
          <w:sz w:val="24"/>
          <w:szCs w:val="24"/>
        </w:rPr>
        <w:tab/>
        <w:t xml:space="preserve">discussions of negative liberty.  Liberty of action, we are assured, ‘is a right’; there is </w:t>
      </w:r>
      <w:r>
        <w:rPr>
          <w:rFonts w:ascii="Times New Roman" w:hAnsi="Times New Roman"/>
          <w:sz w:val="24"/>
          <w:szCs w:val="24"/>
        </w:rPr>
        <w:tab/>
        <w:t xml:space="preserve">a ‘moral right to liberty’; we are bound to view our liberty both as a natural right and </w:t>
      </w:r>
      <w:r>
        <w:rPr>
          <w:rFonts w:ascii="Times New Roman" w:hAnsi="Times New Roman"/>
          <w:sz w:val="24"/>
          <w:szCs w:val="24"/>
        </w:rPr>
        <w:tab/>
        <w:t xml:space="preserve">as the means to secure our other rights.  As will by now be obvious, these are mere </w:t>
      </w:r>
      <w:r>
        <w:rPr>
          <w:rFonts w:ascii="Times New Roman" w:hAnsi="Times New Roman"/>
          <w:sz w:val="24"/>
          <w:szCs w:val="24"/>
        </w:rPr>
        <w:tab/>
        <w:t xml:space="preserve">dogmas.  A classical theory such as Machiavelli’s helps us to see that there is no </w:t>
      </w:r>
      <w:r>
        <w:rPr>
          <w:rFonts w:ascii="Times New Roman" w:hAnsi="Times New Roman"/>
          <w:sz w:val="24"/>
          <w:szCs w:val="24"/>
        </w:rPr>
        <w:tab/>
        <w:t xml:space="preserve">conceivable obligation to think of our liberty in this particular way.  Machiavelli’s is a </w:t>
      </w:r>
      <w:r>
        <w:rPr>
          <w:rFonts w:ascii="Times New Roman" w:hAnsi="Times New Roman"/>
          <w:sz w:val="24"/>
          <w:szCs w:val="24"/>
        </w:rPr>
        <w:tab/>
        <w:t xml:space="preserve">theory of negative liberty, but he develops it without making any use whatever of the </w:t>
      </w:r>
      <w:r>
        <w:rPr>
          <w:rFonts w:ascii="Times New Roman" w:hAnsi="Times New Roman"/>
          <w:sz w:val="24"/>
          <w:szCs w:val="24"/>
        </w:rPr>
        <w:tab/>
        <w:t>concept of individual rights.</w:t>
      </w:r>
      <w:r>
        <w:rPr>
          <w:rStyle w:val="FootnoteReference"/>
          <w:rFonts w:ascii="Times New Roman" w:hAnsi="Times New Roman"/>
          <w:sz w:val="24"/>
          <w:szCs w:val="24"/>
        </w:rPr>
        <w:footnoteReference w:id="26"/>
      </w:r>
      <w:r>
        <w:rPr>
          <w:rFonts w:ascii="Times New Roman" w:hAnsi="Times New Roman"/>
          <w:sz w:val="24"/>
          <w:szCs w:val="24"/>
        </w:rPr>
        <w:t xml:space="preserve"> </w:t>
      </w:r>
    </w:p>
    <w:p w14:paraId="79F1FDF1" w14:textId="7F086198" w:rsidR="00CE1349" w:rsidRDefault="00CE1349" w:rsidP="00CE1349">
      <w:pPr>
        <w:pStyle w:val="BodyA"/>
        <w:spacing w:line="480" w:lineRule="auto"/>
        <w:rPr>
          <w:rFonts w:ascii="Times New Roman" w:hAnsi="Times New Roman" w:cs="Times New Roman"/>
          <w:sz w:val="24"/>
          <w:szCs w:val="24"/>
        </w:rPr>
      </w:pPr>
      <w:r>
        <w:rPr>
          <w:rFonts w:ascii="Times New Roman" w:hAnsi="Times New Roman"/>
          <w:sz w:val="24"/>
          <w:szCs w:val="24"/>
        </w:rPr>
        <w:t xml:space="preserve">When we inspect the data we can see how accurate this account of the soldering of liberty to rights is.  Here we have tracked the </w:t>
      </w:r>
      <w:r>
        <w:rPr>
          <w:rFonts w:ascii="Times New Roman" w:hAnsi="Times New Roman" w:cs="Times New Roman"/>
        </w:rPr>
        <w:t xml:space="preserve">shared lexical terrain between ‘liberty’ and rights’ across the two centuries. This is the data for the percentage of common co-associated lexis at a </w:t>
      </w:r>
      <w:r w:rsidRPr="00C21667">
        <w:rPr>
          <w:rFonts w:ascii="Times New Roman" w:hAnsi="Times New Roman" w:cs="Times New Roman"/>
          <w:sz w:val="24"/>
          <w:szCs w:val="24"/>
        </w:rPr>
        <w:t>distance of ten terms:</w:t>
      </w:r>
    </w:p>
    <w:p w14:paraId="7F95108E" w14:textId="143A8BBF" w:rsidR="00E33C8C" w:rsidRPr="00C21667" w:rsidRDefault="00E33C8C" w:rsidP="00CE1349">
      <w:pPr>
        <w:pStyle w:val="BodyA"/>
        <w:spacing w:line="480" w:lineRule="auto"/>
        <w:rPr>
          <w:rFonts w:ascii="Times New Roman" w:hAnsi="Times New Roman" w:cs="Times New Roman"/>
          <w:sz w:val="24"/>
          <w:szCs w:val="24"/>
        </w:rPr>
      </w:pPr>
      <w:r>
        <w:rPr>
          <w:rFonts w:ascii="Times New Roman" w:hAnsi="Times New Roman" w:cs="Times New Roman"/>
          <w:sz w:val="24"/>
          <w:szCs w:val="24"/>
        </w:rPr>
        <w:t>Insert table 19</w:t>
      </w:r>
    </w:p>
    <w:p w14:paraId="59D0DB36" w14:textId="77777777" w:rsidR="00CE1349" w:rsidRPr="00C21667"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2C04F954" w14:textId="0E8A01C4" w:rsidR="00CE1349"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r w:rsidRPr="00B525BB">
        <w:rPr>
          <w:rFonts w:eastAsia="Arial Unicode MS" w:cs="Times New Roman"/>
          <w:szCs w:val="24"/>
          <w:bdr w:val="nil"/>
          <w:lang w:val="en-US"/>
        </w:rPr>
        <w:t>And if we inspect the data for a longer span of one hundred words, where we pick up what we consider to be weak syntactic binding and stronger conceptual binding, the picture is even clearer.  Thus, the same inquiry but in this case looking at the co-association at distance one hundred yields the following:</w:t>
      </w:r>
    </w:p>
    <w:p w14:paraId="5F726AE2" w14:textId="54B4ED20" w:rsidR="00E33C8C" w:rsidRPr="00B525BB" w:rsidRDefault="00E33C8C" w:rsidP="00CE1349">
      <w:pPr>
        <w:pBdr>
          <w:top w:val="nil"/>
          <w:left w:val="nil"/>
          <w:bottom w:val="nil"/>
          <w:right w:val="nil"/>
          <w:between w:val="nil"/>
          <w:bar w:val="nil"/>
        </w:pBdr>
        <w:spacing w:after="0" w:line="480" w:lineRule="auto"/>
        <w:rPr>
          <w:rFonts w:eastAsia="Arial Unicode MS" w:cs="Times New Roman"/>
          <w:szCs w:val="24"/>
          <w:bdr w:val="nil"/>
          <w:lang w:val="en-US"/>
        </w:rPr>
      </w:pPr>
      <w:r>
        <w:rPr>
          <w:rFonts w:eastAsia="Arial Unicode MS" w:cs="Times New Roman"/>
          <w:szCs w:val="24"/>
          <w:bdr w:val="nil"/>
          <w:lang w:val="en-US"/>
        </w:rPr>
        <w:t>Insert table 20</w:t>
      </w:r>
    </w:p>
    <w:p w14:paraId="61392F5E" w14:textId="77777777" w:rsidR="00CE1349" w:rsidRPr="00B525BB" w:rsidRDefault="00CE1349" w:rsidP="00CE1349">
      <w:pPr>
        <w:pBdr>
          <w:top w:val="nil"/>
          <w:left w:val="nil"/>
          <w:bottom w:val="nil"/>
          <w:right w:val="nil"/>
          <w:between w:val="nil"/>
          <w:bar w:val="nil"/>
        </w:pBdr>
        <w:spacing w:after="0" w:line="480" w:lineRule="auto"/>
        <w:rPr>
          <w:rFonts w:eastAsia="Arial Unicode MS" w:cs="Times New Roman"/>
          <w:szCs w:val="24"/>
          <w:bdr w:val="nil"/>
          <w:lang w:val="en-US"/>
        </w:rPr>
      </w:pPr>
    </w:p>
    <w:p w14:paraId="69DB242E" w14:textId="77777777" w:rsidR="00CE1349" w:rsidRPr="00B525BB" w:rsidRDefault="00CE1349" w:rsidP="00CE1349">
      <w:pPr>
        <w:pStyle w:val="BodyA"/>
        <w:spacing w:line="480" w:lineRule="auto"/>
        <w:rPr>
          <w:rFonts w:ascii="Times New Roman" w:hAnsi="Times New Roman" w:cs="Times New Roman"/>
          <w:sz w:val="24"/>
          <w:szCs w:val="24"/>
        </w:rPr>
      </w:pPr>
    </w:p>
    <w:p w14:paraId="15E4C9E3" w14:textId="77777777" w:rsidR="00A52084" w:rsidRDefault="00CE1349" w:rsidP="00CE1349">
      <w:pPr>
        <w:pStyle w:val="BodyA"/>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data indicates that b</w:t>
      </w:r>
      <w:r w:rsidRPr="00B525BB">
        <w:rPr>
          <w:rFonts w:ascii="Times New Roman" w:hAnsi="Times New Roman" w:cs="Times New Roman"/>
          <w:sz w:val="24"/>
          <w:szCs w:val="24"/>
        </w:rPr>
        <w:t xml:space="preserve">y the end of the eighteenth century the Hobbesian version of negative liberty was, effectively, the only game in town. </w:t>
      </w:r>
    </w:p>
    <w:p w14:paraId="7AEFB47F" w14:textId="77777777" w:rsidR="00A52084" w:rsidRDefault="00A52084" w:rsidP="00CE1349">
      <w:pPr>
        <w:pStyle w:val="BodyA"/>
        <w:spacing w:line="480" w:lineRule="auto"/>
        <w:rPr>
          <w:rFonts w:ascii="Times New Roman" w:hAnsi="Times New Roman" w:cs="Times New Roman"/>
          <w:b/>
          <w:sz w:val="24"/>
          <w:szCs w:val="24"/>
        </w:rPr>
      </w:pPr>
    </w:p>
    <w:p w14:paraId="239AEC16" w14:textId="0521C0D7" w:rsidR="00CE1349" w:rsidRPr="00A52084" w:rsidRDefault="00CE1349" w:rsidP="00CE1349">
      <w:pPr>
        <w:pStyle w:val="BodyA"/>
        <w:spacing w:line="480" w:lineRule="auto"/>
        <w:rPr>
          <w:rFonts w:ascii="Times New Roman" w:hAnsi="Times New Roman" w:cs="Times New Roman"/>
          <w:sz w:val="24"/>
          <w:szCs w:val="24"/>
        </w:rPr>
      </w:pPr>
      <w:r w:rsidRPr="00CD13A7">
        <w:rPr>
          <w:rFonts w:ascii="Times New Roman" w:hAnsi="Times New Roman" w:cs="Times New Roman"/>
          <w:b/>
          <w:sz w:val="24"/>
          <w:szCs w:val="24"/>
        </w:rPr>
        <w:t>6. From liberty to liberalism</w:t>
      </w:r>
    </w:p>
    <w:p w14:paraId="095FBC5F" w14:textId="2E09EBB5" w:rsidR="00CE1349" w:rsidRDefault="00CE1349" w:rsidP="00CE1349">
      <w:pPr>
        <w:pStyle w:val="BodyA"/>
        <w:spacing w:line="480" w:lineRule="auto"/>
        <w:ind w:firstLine="720"/>
        <w:rPr>
          <w:rFonts w:ascii="Times New Roman" w:hAnsi="Times New Roman"/>
          <w:sz w:val="24"/>
          <w:szCs w:val="24"/>
        </w:rPr>
      </w:pPr>
      <w:r>
        <w:rPr>
          <w:rFonts w:ascii="Times New Roman" w:hAnsi="Times New Roman"/>
          <w:sz w:val="24"/>
          <w:szCs w:val="24"/>
        </w:rPr>
        <w:t>The data extraction presented so far indicates that the theory of liberty based upon positive individual rights – what Skinner describes above as ‘liberty of action’ – slowly emerged during the eighteenth century, no doubt framed by practical political action resulting from the two large constitutional events of the second half of the century: the war with the colonies and the British reaction to the French revolution.</w:t>
      </w:r>
      <w:r>
        <w:rPr>
          <w:rStyle w:val="FootnoteReference"/>
          <w:rFonts w:ascii="Times New Roman" w:hAnsi="Times New Roman"/>
          <w:sz w:val="24"/>
          <w:szCs w:val="24"/>
        </w:rPr>
        <w:footnoteReference w:id="27"/>
      </w:r>
      <w:r>
        <w:rPr>
          <w:rFonts w:ascii="Times New Roman" w:hAnsi="Times New Roman"/>
          <w:sz w:val="24"/>
          <w:szCs w:val="24"/>
        </w:rPr>
        <w:t xml:space="preserve">   In broad brushstrokes these forces have generally been examined within a longer timeframe which observes a European shift in political conceptual sensibility, from roughly speaking a late seventeenth century formulation of republicanism to what Skinner takes to be a hegemonic modern concept of liberalism based on subjective rights.  The one, liberalism, replaced the other, republicanism: both are seen as opposed or antagonistic to each other. </w:t>
      </w:r>
      <w:r w:rsidR="00152BFB">
        <w:rPr>
          <w:rFonts w:ascii="Times New Roman" w:hAnsi="Times New Roman"/>
          <w:sz w:val="24"/>
          <w:szCs w:val="24"/>
        </w:rPr>
        <w:t xml:space="preserve"> As J.G.A Pocock notes the tradition of republicanism is based upon </w:t>
      </w:r>
      <w:r w:rsidR="00152BFB" w:rsidRPr="00152BFB">
        <w:rPr>
          <w:rFonts w:ascii="Times New Roman" w:hAnsi="Times New Roman"/>
          <w:sz w:val="24"/>
          <w:szCs w:val="24"/>
          <w:lang w:val="en-GB"/>
        </w:rPr>
        <w:t>a completely different set of principles and vocabulary from what emerged in the nineteenth century as the classic account of liberalism</w:t>
      </w:r>
      <w:r w:rsidR="00152BFB">
        <w:rPr>
          <w:rFonts w:ascii="Times New Roman" w:hAnsi="Times New Roman"/>
          <w:sz w:val="24"/>
          <w:szCs w:val="24"/>
          <w:lang w:val="en-GB"/>
        </w:rPr>
        <w:t>.</w:t>
      </w:r>
      <w:r w:rsidR="00152BFB">
        <w:rPr>
          <w:rFonts w:ascii="Times New Roman" w:hAnsi="Times New Roman"/>
          <w:sz w:val="24"/>
          <w:szCs w:val="24"/>
        </w:rPr>
        <w:t xml:space="preserve"> </w:t>
      </w:r>
      <w:r>
        <w:rPr>
          <w:rStyle w:val="FootnoteReference"/>
          <w:rFonts w:ascii="Times New Roman" w:hAnsi="Times New Roman"/>
          <w:sz w:val="24"/>
          <w:szCs w:val="24"/>
        </w:rPr>
        <w:footnoteReference w:id="28"/>
      </w:r>
      <w:r>
        <w:rPr>
          <w:rFonts w:ascii="Times New Roman" w:hAnsi="Times New Roman"/>
          <w:sz w:val="24"/>
          <w:szCs w:val="24"/>
        </w:rPr>
        <w:t xml:space="preserve">  Such a reading is no doubt supported by selective consideration of the major philosophical and political texts within this long period.  But when we take a more holistic view from the position of the aggregated archive another model for the establishment of modern liberalism becomes discernible.  This account sees liberalism as effectively the genetic mutation of liberty as it becomes infected by republicanism.  And contrary to the longer historical sweep of a pan-</w:t>
      </w:r>
      <w:r>
        <w:rPr>
          <w:rFonts w:ascii="Times New Roman" w:hAnsi="Times New Roman"/>
          <w:sz w:val="24"/>
          <w:szCs w:val="24"/>
        </w:rPr>
        <w:lastRenderedPageBreak/>
        <w:t>European tradition of republicanism our data analyses based on ECCO suggest a much narrower time scale in which something far more explosive and forceful occurred.  This began to happen in the 1770s and by the end of the century English language attempts to wrestle with or adapt and alter the concept of republicanism succeeded in transforming the idea of liberty.  Republicanism was, effectively the catalyst for liberalism.  The data, therefore, not only supports the revision to the Skinnerian account proposed by Andreas Kalyvas and Ira Katznelson, it also allows us to track with considerable granularity the decisive expansion of the lexical terrain at the core of the concept of liberty, essentially providing a window onto the infectious insertion of the idea of republicanism within liberty.  And this, we contend, provided the means for the rapid development of what has come to be one of the most consequential Western political concepts since the nineteenth century: liberalism.</w:t>
      </w:r>
      <w:r>
        <w:rPr>
          <w:rStyle w:val="FootnoteReference"/>
          <w:rFonts w:ascii="Times New Roman" w:hAnsi="Times New Roman"/>
          <w:sz w:val="24"/>
          <w:szCs w:val="24"/>
        </w:rPr>
        <w:footnoteReference w:id="29"/>
      </w:r>
      <w:r>
        <w:rPr>
          <w:rFonts w:ascii="Times New Roman" w:hAnsi="Times New Roman"/>
          <w:sz w:val="24"/>
          <w:szCs w:val="24"/>
        </w:rPr>
        <w:t xml:space="preserve">  </w:t>
      </w:r>
    </w:p>
    <w:p w14:paraId="38CA3AB7" w14:textId="68EA3C86" w:rsidR="00CE1349" w:rsidRDefault="00CE1349" w:rsidP="00CE1349">
      <w:pPr>
        <w:pStyle w:val="BodyA"/>
        <w:spacing w:line="480" w:lineRule="auto"/>
        <w:ind w:firstLine="720"/>
        <w:rPr>
          <w:rFonts w:ascii="Times New Roman" w:hAnsi="Times New Roman"/>
          <w:sz w:val="24"/>
          <w:szCs w:val="24"/>
        </w:rPr>
      </w:pPr>
      <w:r>
        <w:rPr>
          <w:rFonts w:ascii="Times New Roman" w:hAnsi="Times New Roman"/>
          <w:sz w:val="24"/>
          <w:szCs w:val="24"/>
        </w:rPr>
        <w:t xml:space="preserve">Using the same techniques for ascertaining distributional probability outlined in section 2 above we can create a conceptual signature we call a ‘core’.  This is determined by aggregating the co-associated lexis for a target term at three distances, ten, fifty and one hundred words away both before and after the focal term.  This concentrates the more populated networks within which a term operated at any time slice in the dataset so as to identify what persists, what lies at the heart of the concept.  As our analyses above have already indicated ‘liberty’ is a very stable term over the eighteenth century, and its core comprises the following five terms until the 1750s: slavery, volition, tyranny, freedom.  Some five more terms enter into the core before that decade and these are: servitude, toleration, free, government, licentiousness.  The story for ‘republican’ is very different as can be seen </w:t>
      </w:r>
      <w:r>
        <w:rPr>
          <w:rFonts w:ascii="Times New Roman" w:hAnsi="Times New Roman"/>
          <w:sz w:val="24"/>
          <w:szCs w:val="24"/>
        </w:rPr>
        <w:lastRenderedPageBreak/>
        <w:t>from the following chart which plots the core for ‘liberty’ against that for ‘republican’ with respect to the number of co-associated terms that are common across the three distances:</w:t>
      </w:r>
    </w:p>
    <w:p w14:paraId="7D20C7B4" w14:textId="50FE284C" w:rsidR="00E33C8C" w:rsidRDefault="00E33C8C" w:rsidP="00CE1349">
      <w:pPr>
        <w:pStyle w:val="BodyA"/>
        <w:spacing w:line="480" w:lineRule="auto"/>
        <w:ind w:firstLine="720"/>
        <w:rPr>
          <w:rFonts w:ascii="Times New Roman" w:hAnsi="Times New Roman"/>
          <w:sz w:val="24"/>
          <w:szCs w:val="24"/>
        </w:rPr>
      </w:pPr>
      <w:r>
        <w:rPr>
          <w:rFonts w:ascii="Times New Roman" w:hAnsi="Times New Roman"/>
          <w:sz w:val="24"/>
          <w:szCs w:val="24"/>
        </w:rPr>
        <w:t>Insert table 21</w:t>
      </w:r>
    </w:p>
    <w:p w14:paraId="413B4CC8" w14:textId="77777777" w:rsidR="00CE1349" w:rsidRDefault="00CE1349" w:rsidP="00CE1349">
      <w:pPr>
        <w:pStyle w:val="BodyA"/>
        <w:spacing w:line="480" w:lineRule="auto"/>
        <w:ind w:firstLine="720"/>
        <w:rPr>
          <w:rFonts w:ascii="Times New Roman" w:hAnsi="Times New Roman"/>
          <w:sz w:val="24"/>
          <w:szCs w:val="24"/>
        </w:rPr>
      </w:pPr>
    </w:p>
    <w:p w14:paraId="1AFD6761" w14:textId="77777777" w:rsidR="00CE1349" w:rsidRDefault="00CE1349" w:rsidP="00CE1349">
      <w:pPr>
        <w:pStyle w:val="BodyA"/>
        <w:spacing w:line="480" w:lineRule="auto"/>
        <w:ind w:firstLine="720"/>
        <w:rPr>
          <w:rFonts w:ascii="Times New Roman" w:hAnsi="Times New Roman"/>
          <w:sz w:val="24"/>
          <w:szCs w:val="24"/>
        </w:rPr>
      </w:pPr>
    </w:p>
    <w:p w14:paraId="0673BC19" w14:textId="77777777" w:rsidR="00CE1349" w:rsidRDefault="00CE1349" w:rsidP="00CE1349">
      <w:pPr>
        <w:pStyle w:val="BodyA"/>
        <w:spacing w:line="480" w:lineRule="auto"/>
        <w:ind w:firstLine="720"/>
        <w:rPr>
          <w:rFonts w:ascii="Times New Roman" w:hAnsi="Times New Roman"/>
          <w:sz w:val="24"/>
          <w:szCs w:val="24"/>
        </w:rPr>
      </w:pPr>
    </w:p>
    <w:p w14:paraId="2103C5FA" w14:textId="415CD3C3" w:rsidR="00CE1349" w:rsidRDefault="00CE1349" w:rsidP="00CE1349">
      <w:pPr>
        <w:pStyle w:val="BodyA"/>
        <w:spacing w:line="480" w:lineRule="auto"/>
        <w:ind w:firstLine="720"/>
        <w:rPr>
          <w:rFonts w:ascii="Times New Roman" w:hAnsi="Times New Roman"/>
          <w:sz w:val="24"/>
          <w:szCs w:val="24"/>
        </w:rPr>
      </w:pPr>
    </w:p>
    <w:p w14:paraId="28CED8D2" w14:textId="77777777" w:rsidR="00CE1349" w:rsidRDefault="00CE1349" w:rsidP="00CE1349">
      <w:pPr>
        <w:pStyle w:val="BodyA"/>
        <w:spacing w:line="480" w:lineRule="auto"/>
        <w:ind w:firstLine="720"/>
        <w:rPr>
          <w:rFonts w:ascii="Times New Roman" w:hAnsi="Times New Roman"/>
          <w:sz w:val="24"/>
          <w:szCs w:val="24"/>
        </w:rPr>
      </w:pPr>
    </w:p>
    <w:p w14:paraId="2260B154" w14:textId="77777777" w:rsidR="00CE1349" w:rsidRDefault="00CE1349" w:rsidP="00CE1349">
      <w:pPr>
        <w:pStyle w:val="BodyA"/>
        <w:spacing w:line="480" w:lineRule="auto"/>
        <w:ind w:firstLine="720"/>
        <w:rPr>
          <w:rFonts w:ascii="Times New Roman" w:hAnsi="Times New Roman"/>
          <w:sz w:val="24"/>
          <w:szCs w:val="24"/>
        </w:rPr>
      </w:pPr>
    </w:p>
    <w:p w14:paraId="727FB077" w14:textId="2134A5C0" w:rsidR="00CE1349" w:rsidRDefault="00CE1349" w:rsidP="00CE1349">
      <w:pPr>
        <w:pStyle w:val="BodyA"/>
        <w:spacing w:line="480" w:lineRule="auto"/>
        <w:ind w:firstLine="720"/>
        <w:rPr>
          <w:rFonts w:ascii="Times New Roman" w:hAnsi="Times New Roman"/>
          <w:sz w:val="24"/>
          <w:szCs w:val="24"/>
        </w:rPr>
      </w:pPr>
      <w:r>
        <w:rPr>
          <w:rFonts w:ascii="Times New Roman" w:hAnsi="Times New Roman"/>
          <w:sz w:val="24"/>
          <w:szCs w:val="24"/>
        </w:rPr>
        <w:t>But it is not simply the fact that the core of ‘liberty’ began to increase in the decade of the 1750s, it is the overlap in lexical terrain between the two conceptual cores of ‘republican’ and ‘liberty’ that provides insight in this process of infection.  Here is the table of common terms from 1750:</w:t>
      </w:r>
    </w:p>
    <w:p w14:paraId="7BC77C48" w14:textId="6FBA73F1" w:rsidR="00E33C8C" w:rsidRDefault="00E33C8C" w:rsidP="00CE1349">
      <w:pPr>
        <w:pStyle w:val="BodyA"/>
        <w:spacing w:line="480" w:lineRule="auto"/>
        <w:ind w:firstLine="720"/>
        <w:rPr>
          <w:rFonts w:ascii="Times New Roman" w:hAnsi="Times New Roman"/>
          <w:sz w:val="24"/>
          <w:szCs w:val="24"/>
        </w:rPr>
      </w:pPr>
      <w:r>
        <w:rPr>
          <w:rFonts w:ascii="Times New Roman" w:hAnsi="Times New Roman"/>
          <w:sz w:val="24"/>
          <w:szCs w:val="24"/>
        </w:rPr>
        <w:t>Insert table 22</w:t>
      </w:r>
    </w:p>
    <w:p w14:paraId="27A1B3FA" w14:textId="5EFED5C4" w:rsidR="00CE1349" w:rsidRDefault="00CE1349" w:rsidP="00CE1349">
      <w:pPr>
        <w:pStyle w:val="BodyA"/>
        <w:spacing w:line="480" w:lineRule="auto"/>
        <w:ind w:firstLine="720"/>
        <w:rPr>
          <w:rFonts w:ascii="Times New Roman" w:hAnsi="Times New Roman"/>
          <w:sz w:val="24"/>
          <w:szCs w:val="24"/>
        </w:rPr>
      </w:pPr>
    </w:p>
    <w:p w14:paraId="01824348" w14:textId="77777777" w:rsidR="00CE1349" w:rsidRPr="00335532" w:rsidRDefault="00CE1349" w:rsidP="00CE1349">
      <w:pPr>
        <w:pStyle w:val="BodyA"/>
        <w:spacing w:line="480" w:lineRule="auto"/>
        <w:ind w:firstLine="720"/>
        <w:rPr>
          <w:rFonts w:ascii="Times New Roman" w:hAnsi="Times New Roman"/>
          <w:sz w:val="24"/>
          <w:szCs w:val="24"/>
        </w:rPr>
      </w:pPr>
    </w:p>
    <w:p w14:paraId="7D5BE33D" w14:textId="77777777" w:rsidR="00CE1349" w:rsidRDefault="00CE1349" w:rsidP="00CE1349">
      <w:pPr>
        <w:pStyle w:val="BodyA"/>
        <w:spacing w:line="480" w:lineRule="auto"/>
        <w:rPr>
          <w:rFonts w:ascii="Times New Roman" w:hAnsi="Times New Roman"/>
          <w:sz w:val="24"/>
          <w:szCs w:val="24"/>
        </w:rPr>
      </w:pPr>
    </w:p>
    <w:p w14:paraId="4929A34E" w14:textId="505BC8A4" w:rsidR="00CE1349" w:rsidRDefault="00CE1349" w:rsidP="00CE1349">
      <w:pPr>
        <w:pStyle w:val="BodyA"/>
        <w:spacing w:line="480" w:lineRule="auto"/>
        <w:rPr>
          <w:rFonts w:ascii="Times New Roman" w:hAnsi="Times New Roman"/>
          <w:sz w:val="24"/>
          <w:szCs w:val="24"/>
          <w:lang w:val="en-GB"/>
        </w:rPr>
      </w:pPr>
      <w:r>
        <w:rPr>
          <w:rFonts w:ascii="Times New Roman" w:hAnsi="Times New Roman"/>
          <w:sz w:val="24"/>
          <w:szCs w:val="24"/>
        </w:rPr>
        <w:t xml:space="preserve">The data clearly indicate that from the 1770s on the idea of liberty, which for over a hundred years had remained stable and resistant to mutation, began to alter under pressure from the attempts within British political theory and debate to conceive of republicanism in a modern dress.  </w:t>
      </w:r>
      <w:r w:rsidR="00CF2747">
        <w:rPr>
          <w:rFonts w:ascii="Times New Roman" w:hAnsi="Times New Roman"/>
          <w:sz w:val="24"/>
          <w:szCs w:val="24"/>
        </w:rPr>
        <w:t xml:space="preserve">This is borne out by the fact that for the first half of the eighteenth century there is no common lexical core shared by ‘liberty’ and ‘republican’ at all (the one term in common by 1740 is ‘government’ which persists as the single term through the 1750s) and that by the end of the century fifty one percent of liberty’s core is held in common with republican’s.  </w:t>
      </w:r>
      <w:r>
        <w:rPr>
          <w:rFonts w:ascii="Times New Roman" w:hAnsi="Times New Roman"/>
          <w:sz w:val="24"/>
          <w:szCs w:val="24"/>
        </w:rPr>
        <w:t xml:space="preserve">The following map, based upon the same </w:t>
      </w:r>
      <w:r w:rsidRPr="00CD13A7">
        <w:rPr>
          <w:rFonts w:ascii="Times New Roman" w:hAnsi="Times New Roman"/>
          <w:i/>
          <w:sz w:val="24"/>
          <w:szCs w:val="24"/>
        </w:rPr>
        <w:t>dpf</w:t>
      </w:r>
      <w:r>
        <w:rPr>
          <w:rFonts w:ascii="Times New Roman" w:hAnsi="Times New Roman"/>
          <w:sz w:val="24"/>
          <w:szCs w:val="24"/>
        </w:rPr>
        <w:t xml:space="preserve"> information but now expressed within a network </w:t>
      </w:r>
      <w:r>
        <w:rPr>
          <w:rFonts w:ascii="Times New Roman" w:hAnsi="Times New Roman"/>
          <w:sz w:val="24"/>
          <w:szCs w:val="24"/>
        </w:rPr>
        <w:lastRenderedPageBreak/>
        <w:t xml:space="preserve">graph, indicates that this effort was in large part coincident with the attempts to understand or negotiate the concept of despotism, a word that first appears in English in 1708 but was hardly used for the first fifty years of the century, occurring </w:t>
      </w:r>
      <w:r w:rsidRPr="00266DB8">
        <w:rPr>
          <w:rFonts w:ascii="Times New Roman" w:hAnsi="Times New Roman"/>
          <w:sz w:val="24"/>
          <w:szCs w:val="24"/>
          <w:lang w:val="en-GB"/>
        </w:rPr>
        <w:t>only one hundred and eighty-nine times in all English printed text up until 1750.</w:t>
      </w:r>
      <w:r w:rsidRPr="00266DB8">
        <w:rPr>
          <w:rFonts w:ascii="Times New Roman" w:hAnsi="Times New Roman"/>
          <w:sz w:val="24"/>
          <w:szCs w:val="24"/>
          <w:vertAlign w:val="superscript"/>
          <w:lang w:val="en-GB"/>
        </w:rPr>
        <w:footnoteReference w:id="30"/>
      </w:r>
      <w:r w:rsidRPr="00266DB8">
        <w:rPr>
          <w:rFonts w:ascii="Times New Roman" w:hAnsi="Times New Roman"/>
          <w:sz w:val="24"/>
          <w:szCs w:val="24"/>
          <w:lang w:val="en-GB"/>
        </w:rPr>
        <w:t xml:space="preserve">  During the last decade of the century it appears over fourteen thousand times.  </w:t>
      </w:r>
    </w:p>
    <w:p w14:paraId="64D7CB25" w14:textId="0CF6F120" w:rsidR="00E33C8C" w:rsidRDefault="00E33C8C" w:rsidP="00CE1349">
      <w:pPr>
        <w:pStyle w:val="BodyA"/>
        <w:spacing w:line="480" w:lineRule="auto"/>
        <w:rPr>
          <w:rFonts w:ascii="Times New Roman" w:hAnsi="Times New Roman"/>
          <w:sz w:val="24"/>
          <w:szCs w:val="24"/>
        </w:rPr>
      </w:pPr>
      <w:r>
        <w:rPr>
          <w:rFonts w:ascii="Times New Roman" w:hAnsi="Times New Roman"/>
          <w:sz w:val="24"/>
          <w:szCs w:val="24"/>
        </w:rPr>
        <w:t>Insert table 23</w:t>
      </w:r>
    </w:p>
    <w:p w14:paraId="5D6ACE5C" w14:textId="77777777" w:rsidR="00CE1349" w:rsidRDefault="00CE1349" w:rsidP="00CE1349">
      <w:pPr>
        <w:pStyle w:val="BodyA"/>
        <w:spacing w:line="480" w:lineRule="auto"/>
        <w:rPr>
          <w:rFonts w:ascii="Times New Roman" w:hAnsi="Times New Roman"/>
          <w:sz w:val="24"/>
          <w:szCs w:val="24"/>
        </w:rPr>
      </w:pPr>
    </w:p>
    <w:p w14:paraId="657B9642" w14:textId="77777777" w:rsidR="00CE1349" w:rsidRDefault="00CE1349" w:rsidP="00CE1349">
      <w:pPr>
        <w:pStyle w:val="BodyA"/>
        <w:spacing w:line="480" w:lineRule="auto"/>
        <w:rPr>
          <w:rFonts w:ascii="Times New Roman" w:hAnsi="Times New Roman"/>
          <w:sz w:val="24"/>
          <w:szCs w:val="24"/>
        </w:rPr>
      </w:pPr>
    </w:p>
    <w:p w14:paraId="51403EF6" w14:textId="77777777" w:rsidR="00CE1349" w:rsidRDefault="00CE1349" w:rsidP="00CE1349">
      <w:pPr>
        <w:pStyle w:val="BodyA"/>
        <w:spacing w:line="480" w:lineRule="auto"/>
        <w:rPr>
          <w:rFonts w:ascii="Times New Roman" w:hAnsi="Times New Roman"/>
          <w:sz w:val="24"/>
          <w:szCs w:val="24"/>
        </w:rPr>
      </w:pPr>
    </w:p>
    <w:p w14:paraId="28BC4D2B" w14:textId="788D1A7C" w:rsidR="00CE1349" w:rsidRDefault="00CE1349" w:rsidP="00CE1349">
      <w:pPr>
        <w:pStyle w:val="BodyA"/>
        <w:spacing w:line="480" w:lineRule="auto"/>
        <w:rPr>
          <w:rFonts w:ascii="Times New Roman" w:hAnsi="Times New Roman"/>
          <w:sz w:val="24"/>
          <w:szCs w:val="24"/>
        </w:rPr>
      </w:pPr>
    </w:p>
    <w:p w14:paraId="5AE93061" w14:textId="77777777" w:rsidR="00CE1349" w:rsidRDefault="00CE1349" w:rsidP="00CE1349">
      <w:pPr>
        <w:pStyle w:val="BodyA"/>
        <w:spacing w:line="480" w:lineRule="auto"/>
        <w:rPr>
          <w:rFonts w:ascii="Times New Roman" w:hAnsi="Times New Roman"/>
          <w:sz w:val="24"/>
          <w:szCs w:val="24"/>
        </w:rPr>
      </w:pPr>
    </w:p>
    <w:p w14:paraId="3EF1D733" w14:textId="77777777" w:rsidR="00CE1349" w:rsidRDefault="00CE1349" w:rsidP="00CE1349">
      <w:pPr>
        <w:pStyle w:val="BodyA"/>
        <w:spacing w:line="480" w:lineRule="auto"/>
        <w:rPr>
          <w:rFonts w:ascii="Times New Roman" w:hAnsi="Times New Roman"/>
          <w:sz w:val="24"/>
          <w:szCs w:val="24"/>
        </w:rPr>
      </w:pPr>
      <w:r>
        <w:rPr>
          <w:rFonts w:ascii="Times New Roman" w:hAnsi="Times New Roman"/>
          <w:sz w:val="24"/>
          <w:szCs w:val="24"/>
        </w:rPr>
        <w:t xml:space="preserve">Here we see that route of the infection of idea of ‘liberty’ by that of ‘republican’ was through the agent ‘despotism’.  Seen from the other side, ‘liberty’ can be thought of as holding off  ‘republican’ by means of the antigen ‘despotism’.  In this way, we suggest, the modern conception of liberalism inoculated itself from republicanism and the conceptual history of these two ideas from the nineteenth century to the present day bears this out.  </w:t>
      </w:r>
    </w:p>
    <w:p w14:paraId="5ED990D3" w14:textId="31B0CCAF" w:rsidR="00CE1349" w:rsidRDefault="00CE1349" w:rsidP="00CE1349">
      <w:pPr>
        <w:pStyle w:val="BodyA"/>
        <w:spacing w:line="480" w:lineRule="auto"/>
        <w:rPr>
          <w:rFonts w:ascii="Times New Roman" w:hAnsi="Times New Roman"/>
          <w:sz w:val="24"/>
          <w:szCs w:val="24"/>
        </w:rPr>
      </w:pPr>
    </w:p>
    <w:p w14:paraId="5B95CB90" w14:textId="77777777" w:rsidR="00CE1349" w:rsidRDefault="00CE1349" w:rsidP="00CE1349">
      <w:pPr>
        <w:pStyle w:val="BodyA"/>
        <w:spacing w:line="480" w:lineRule="auto"/>
        <w:rPr>
          <w:rFonts w:ascii="Times New Roman" w:hAnsi="Times New Roman"/>
          <w:sz w:val="24"/>
          <w:szCs w:val="24"/>
        </w:rPr>
      </w:pPr>
    </w:p>
    <w:p w14:paraId="1CAF3625" w14:textId="77777777" w:rsidR="00CE1349" w:rsidRPr="00822127" w:rsidRDefault="00CE1349" w:rsidP="00CE1349">
      <w:pPr>
        <w:pStyle w:val="Body"/>
        <w:spacing w:line="480" w:lineRule="auto"/>
        <w:rPr>
          <w:rFonts w:ascii="Times New Roman" w:hAnsi="Times New Roman" w:cs="Times New Roman"/>
        </w:rPr>
      </w:pPr>
    </w:p>
    <w:p w14:paraId="08BCF353" w14:textId="77777777" w:rsidR="00CE1349" w:rsidRPr="00822127" w:rsidRDefault="00CE1349" w:rsidP="00CE1349">
      <w:pPr>
        <w:pStyle w:val="Body"/>
        <w:spacing w:line="480" w:lineRule="auto"/>
        <w:rPr>
          <w:rFonts w:ascii="Times New Roman" w:hAnsi="Times New Roman" w:cs="Times New Roman"/>
        </w:rPr>
      </w:pPr>
    </w:p>
    <w:p w14:paraId="53CF6E60" w14:textId="77777777" w:rsidR="00CE1349" w:rsidRPr="00822127" w:rsidRDefault="00CE1349" w:rsidP="00CE1349">
      <w:pPr>
        <w:pStyle w:val="Body"/>
        <w:spacing w:line="480" w:lineRule="auto"/>
        <w:rPr>
          <w:rFonts w:ascii="Times New Roman" w:hAnsi="Times New Roman" w:cs="Times New Roman"/>
        </w:rPr>
      </w:pPr>
    </w:p>
    <w:p w14:paraId="57CA2DB1" w14:textId="77777777" w:rsidR="00CE1349" w:rsidRPr="00822127" w:rsidRDefault="00CE1349" w:rsidP="00CE1349">
      <w:pPr>
        <w:pStyle w:val="Body"/>
        <w:spacing w:line="480" w:lineRule="auto"/>
        <w:rPr>
          <w:rFonts w:ascii="Times New Roman" w:hAnsi="Times New Roman" w:cs="Times New Roman"/>
        </w:rPr>
      </w:pPr>
    </w:p>
    <w:p w14:paraId="0247D0D2" w14:textId="77777777" w:rsidR="00CE1349" w:rsidRDefault="00CE1349" w:rsidP="00CE1349">
      <w:pPr>
        <w:pStyle w:val="BodyA"/>
        <w:spacing w:line="480" w:lineRule="auto"/>
        <w:rPr>
          <w:rFonts w:ascii="Times New Roman" w:hAnsi="Times New Roman" w:cs="Times New Roman"/>
          <w:sz w:val="24"/>
          <w:szCs w:val="24"/>
        </w:rPr>
      </w:pPr>
      <w:r>
        <w:rPr>
          <w:rFonts w:ascii="Times New Roman" w:hAnsi="Times New Roman"/>
          <w:sz w:val="24"/>
          <w:szCs w:val="24"/>
        </w:rPr>
        <w:tab/>
      </w:r>
    </w:p>
    <w:p w14:paraId="1822C2E3" w14:textId="77777777" w:rsidR="00CE1349" w:rsidRPr="00817D65" w:rsidRDefault="00CE1349" w:rsidP="00CE1349">
      <w:pPr>
        <w:spacing w:line="480" w:lineRule="auto"/>
      </w:pPr>
    </w:p>
    <w:p w14:paraId="195E7652" w14:textId="77777777" w:rsidR="00037F77" w:rsidRDefault="00037F77" w:rsidP="00CE1349"/>
    <w:sectPr w:rsidR="00037F77" w:rsidSect="008117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C916" w14:textId="77777777" w:rsidR="002838B8" w:rsidRDefault="002838B8" w:rsidP="00CE1349">
      <w:pPr>
        <w:spacing w:after="0" w:line="240" w:lineRule="auto"/>
      </w:pPr>
      <w:r>
        <w:separator/>
      </w:r>
    </w:p>
  </w:endnote>
  <w:endnote w:type="continuationSeparator" w:id="0">
    <w:p w14:paraId="3B484373" w14:textId="77777777" w:rsidR="002838B8" w:rsidRDefault="002838B8" w:rsidP="00CE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2F69" w14:textId="77777777" w:rsidR="008117EB" w:rsidRDefault="00811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A5AE" w14:textId="77777777" w:rsidR="008117EB" w:rsidRDefault="00811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8F4F" w14:textId="77777777" w:rsidR="008117EB" w:rsidRDefault="0081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93A65" w14:textId="77777777" w:rsidR="002838B8" w:rsidRDefault="002838B8" w:rsidP="00CE1349">
      <w:pPr>
        <w:spacing w:after="0" w:line="240" w:lineRule="auto"/>
      </w:pPr>
      <w:r>
        <w:separator/>
      </w:r>
    </w:p>
  </w:footnote>
  <w:footnote w:type="continuationSeparator" w:id="0">
    <w:p w14:paraId="63E31A68" w14:textId="77777777" w:rsidR="002838B8" w:rsidRDefault="002838B8" w:rsidP="00CE1349">
      <w:pPr>
        <w:spacing w:after="0" w:line="240" w:lineRule="auto"/>
      </w:pPr>
      <w:r>
        <w:continuationSeparator/>
      </w:r>
    </w:p>
  </w:footnote>
  <w:footnote w:id="1">
    <w:p w14:paraId="4AC4E3F1" w14:textId="77777777" w:rsidR="008117EB" w:rsidRPr="00040FC5" w:rsidRDefault="008117EB" w:rsidP="00CE1349">
      <w:pPr>
        <w:pStyle w:val="FootnoteText"/>
      </w:pPr>
      <w:r>
        <w:rPr>
          <w:rStyle w:val="FootnoteReference"/>
        </w:rPr>
        <w:footnoteRef/>
      </w:r>
      <w:r>
        <w:t xml:space="preserve"> This tradition is extensive but see </w:t>
      </w:r>
      <w:r w:rsidRPr="00040FC5">
        <w:rPr>
          <w:i/>
        </w:rPr>
        <w:t>inter alia</w:t>
      </w:r>
      <w:r>
        <w:rPr>
          <w:i/>
        </w:rPr>
        <w:t xml:space="preserve"> </w:t>
      </w:r>
      <w:r>
        <w:t xml:space="preserve">Quentin Skinner, </w:t>
      </w:r>
      <w:r w:rsidRPr="00040FC5">
        <w:rPr>
          <w:i/>
        </w:rPr>
        <w:t>The Foundatio</w:t>
      </w:r>
      <w:r>
        <w:rPr>
          <w:i/>
        </w:rPr>
        <w:t>ns</w:t>
      </w:r>
      <w:r w:rsidRPr="00040FC5">
        <w:rPr>
          <w:i/>
        </w:rPr>
        <w:t xml:space="preserve"> of  Modern Political Thought</w:t>
      </w:r>
      <w:r>
        <w:t xml:space="preserve">, 2 vols. (Cambridge: Cambridge University Press, 1978); J.G.A. Pocock, </w:t>
      </w:r>
      <w:r w:rsidRPr="00040FC5">
        <w:rPr>
          <w:i/>
        </w:rPr>
        <w:t>Virtue, Com</w:t>
      </w:r>
      <w:r>
        <w:rPr>
          <w:i/>
        </w:rPr>
        <w:t>merce and History: Essays on Po</w:t>
      </w:r>
      <w:r w:rsidRPr="00040FC5">
        <w:rPr>
          <w:i/>
        </w:rPr>
        <w:t>lit</w:t>
      </w:r>
      <w:r>
        <w:rPr>
          <w:i/>
        </w:rPr>
        <w:t>i</w:t>
      </w:r>
      <w:r w:rsidRPr="00040FC5">
        <w:rPr>
          <w:i/>
        </w:rPr>
        <w:t>cal Thought and History, Chiefly in the Eighteenth Century</w:t>
      </w:r>
      <w:r>
        <w:t xml:space="preserve"> (Cambridge: Cambridge University Press, 1985); C.B Macpherson, </w:t>
      </w:r>
      <w:r w:rsidRPr="00040FC5">
        <w:rPr>
          <w:i/>
        </w:rPr>
        <w:t>The Political Theory of Possessive Individualism</w:t>
      </w:r>
      <w:r>
        <w:t xml:space="preserve"> (Oxford: Oxford University Press, 1962); Alan Craig Houston</w:t>
      </w:r>
      <w:r w:rsidRPr="00040FC5">
        <w:rPr>
          <w:i/>
        </w:rPr>
        <w:t>, Algernon Sidney and the Republican Heritage in England and America</w:t>
      </w:r>
      <w:r>
        <w:t xml:space="preserve"> (Princeton: Princeton University Press, 1991); P Pettit, </w:t>
      </w:r>
      <w:r w:rsidRPr="00EB2544">
        <w:rPr>
          <w:i/>
        </w:rPr>
        <w:t>Republicanism: a Theory of Freedom and Government</w:t>
      </w:r>
      <w:r>
        <w:t xml:space="preserve"> (Oxford: Clarendon Press, 1997).</w:t>
      </w:r>
    </w:p>
  </w:footnote>
  <w:footnote w:id="2">
    <w:p w14:paraId="7E6968C4" w14:textId="77777777" w:rsidR="008117EB" w:rsidRDefault="008117EB" w:rsidP="00CE1349">
      <w:pPr>
        <w:pStyle w:val="FootnoteText"/>
      </w:pPr>
      <w:r>
        <w:rPr>
          <w:rStyle w:val="FootnoteReference"/>
        </w:rPr>
        <w:footnoteRef/>
      </w:r>
      <w:r>
        <w:t xml:space="preserve"> Among others see: Annabel Brett and James Tully, with Holly Hamilton-Bleakley, </w:t>
      </w:r>
      <w:r w:rsidRPr="009822C4">
        <w:rPr>
          <w:i/>
        </w:rPr>
        <w:t>Rethinking the Foundations of Modern Political Thought</w:t>
      </w:r>
      <w:r>
        <w:t xml:space="preserve"> (Cambridge: Cambridge University Press, 2006).</w:t>
      </w:r>
    </w:p>
  </w:footnote>
  <w:footnote w:id="3">
    <w:p w14:paraId="2CE52DB3" w14:textId="77777777" w:rsidR="008117EB" w:rsidRDefault="008117EB" w:rsidP="00CE1349">
      <w:pPr>
        <w:pStyle w:val="FootnoteText"/>
      </w:pPr>
      <w:r>
        <w:rPr>
          <w:rStyle w:val="FootnoteReference"/>
        </w:rPr>
        <w:footnoteRef/>
      </w:r>
      <w:r>
        <w:t xml:space="preserve"> </w:t>
      </w:r>
      <w:r w:rsidRPr="00967BAA">
        <w:t xml:space="preserve">Gale: Eighteenth Century Collections Online." Gale Cengage corporate website. 2018. Accessed July 6, 2018. </w:t>
      </w:r>
      <w:hyperlink r:id="rId1" w:history="1">
        <w:r w:rsidRPr="00967BAA">
          <w:rPr>
            <w:rStyle w:val="Hyperlink"/>
          </w:rPr>
          <w:t>https://www.gale.com/primary-sources/eighteenth-century-collections-online</w:t>
        </w:r>
      </w:hyperlink>
      <w:r w:rsidRPr="00967BAA">
        <w:t>.</w:t>
      </w:r>
    </w:p>
  </w:footnote>
  <w:footnote w:id="4">
    <w:p w14:paraId="6F1707A9" w14:textId="77777777" w:rsidR="008117EB" w:rsidRPr="00967BAA" w:rsidRDefault="008117EB" w:rsidP="00CE1349">
      <w:pPr>
        <w:pStyle w:val="FootnoteText"/>
        <w:rPr>
          <w:rFonts w:cs="Times New Roman"/>
          <w:szCs w:val="24"/>
        </w:rPr>
      </w:pPr>
      <w:r>
        <w:rPr>
          <w:rStyle w:val="FootnoteReference"/>
        </w:rPr>
        <w:footnoteRef/>
      </w:r>
      <w:r>
        <w:t xml:space="preserve"> </w:t>
      </w:r>
      <w:r w:rsidRPr="00967BAA">
        <w:rPr>
          <w:rFonts w:cs="Times New Roman"/>
          <w:szCs w:val="24"/>
        </w:rPr>
        <w:t xml:space="preserve">Mandell, Laura C., Matthew Christy, and Elizabeth Grumbach. </w:t>
      </w:r>
      <w:r w:rsidRPr="00967BAA">
        <w:rPr>
          <w:rFonts w:cs="Times New Roman"/>
          <w:i/>
          <w:iCs/>
          <w:szCs w:val="24"/>
        </w:rPr>
        <w:t>EMOP Mellon Final Report. Report.</w:t>
      </w:r>
      <w:r w:rsidRPr="00967BAA">
        <w:rPr>
          <w:rFonts w:cs="Times New Roman"/>
          <w:szCs w:val="24"/>
        </w:rPr>
        <w:t xml:space="preserve"> Initiative for Digital Humanities, Media, and Culture, Texas A&amp;M University. September 30, 2015. Accessed July 6, 2018. </w:t>
      </w:r>
      <w:hyperlink r:id="rId2" w:history="1">
        <w:r w:rsidRPr="00967BAA">
          <w:rPr>
            <w:rStyle w:val="Hyperlink"/>
            <w:rFonts w:cs="Times New Roman"/>
            <w:szCs w:val="24"/>
          </w:rPr>
          <w:t>http://emop.tamu.edu/news</w:t>
        </w:r>
      </w:hyperlink>
      <w:r>
        <w:rPr>
          <w:rFonts w:cs="Times New Roman"/>
          <w:szCs w:val="24"/>
        </w:rPr>
        <w:t xml:space="preserve">.   </w:t>
      </w:r>
      <w:r w:rsidRPr="00967BAA">
        <w:rPr>
          <w:rFonts w:cs="Times New Roman"/>
          <w:szCs w:val="24"/>
        </w:rPr>
        <w:t>Mandell, Laura C., Clemens Neudecker, Apostolos Antonacopoulos, Elizabeth Grumbach, Loretta Auvil, Matthew J. Christy, Jacob A. Heil, and Todd Samuelson. "Navigating the storm: IMPACT, eMOP, and agile steering standards." </w:t>
      </w:r>
      <w:r w:rsidRPr="00967BAA">
        <w:rPr>
          <w:rFonts w:cs="Times New Roman"/>
          <w:i/>
          <w:iCs/>
          <w:szCs w:val="24"/>
        </w:rPr>
        <w:t>Digital Scholarship in the Humanities</w:t>
      </w:r>
      <w:r w:rsidRPr="00967BAA">
        <w:rPr>
          <w:rFonts w:cs="Times New Roman"/>
          <w:szCs w:val="24"/>
        </w:rPr>
        <w:t> 32, no. 1 (2017): 189-194.</w:t>
      </w:r>
    </w:p>
    <w:p w14:paraId="618DE437" w14:textId="77777777" w:rsidR="008117EB" w:rsidRDefault="008117EB" w:rsidP="00CE1349">
      <w:pPr>
        <w:pStyle w:val="FootnoteText"/>
      </w:pPr>
    </w:p>
  </w:footnote>
  <w:footnote w:id="5">
    <w:p w14:paraId="1B78FBB5" w14:textId="77777777" w:rsidR="008117EB" w:rsidRDefault="008117EB" w:rsidP="00CE1349">
      <w:pPr>
        <w:pStyle w:val="FootnoteText"/>
      </w:pPr>
      <w:r>
        <w:rPr>
          <w:rStyle w:val="FootnoteReference"/>
        </w:rPr>
        <w:footnoteRef/>
      </w:r>
      <w:r>
        <w:t xml:space="preserve"> We have also applied a bespoke ‘clean up’ method in order to improve accuracy.  A full explanation of this method can be found at: http//..removed for blind review purposes.</w:t>
      </w:r>
    </w:p>
  </w:footnote>
  <w:footnote w:id="6">
    <w:p w14:paraId="0B5D0D8C" w14:textId="77777777" w:rsidR="008117EB" w:rsidRDefault="008117EB" w:rsidP="00CE1349">
      <w:pPr>
        <w:pStyle w:val="FootnoteText"/>
      </w:pPr>
      <w:r>
        <w:rPr>
          <w:rStyle w:val="FootnoteReference"/>
        </w:rPr>
        <w:footnoteRef/>
      </w:r>
      <w:r>
        <w:t xml:space="preserve"> See </w:t>
      </w:r>
      <w:hyperlink r:id="rId3" w:anchor="eebo" w:history="1">
        <w:r w:rsidRPr="000E19F5">
          <w:rPr>
            <w:rStyle w:val="Hyperlink"/>
          </w:rPr>
          <w:t>https://historicaltexts.jisc.ac.uk/collections#eebo</w:t>
        </w:r>
      </w:hyperlink>
    </w:p>
  </w:footnote>
  <w:footnote w:id="7">
    <w:p w14:paraId="0BDD6F95" w14:textId="77777777" w:rsidR="008117EB" w:rsidRDefault="008117EB" w:rsidP="00CE1349">
      <w:pPr>
        <w:pStyle w:val="FootnoteText"/>
      </w:pPr>
      <w:r>
        <w:rPr>
          <w:rStyle w:val="FootnoteReference"/>
        </w:rPr>
        <w:footnoteRef/>
      </w:r>
      <w:r>
        <w:t xml:space="preserve"> On the book trade in the period see James Raven, </w:t>
      </w:r>
      <w:r w:rsidRPr="00CD13A7">
        <w:rPr>
          <w:i/>
        </w:rPr>
        <w:t>The Business of Books: Booksellers and the English Book Trade 1450-1850</w:t>
      </w:r>
      <w:r>
        <w:t xml:space="preserve"> (New Haven: Yale University Press, 2007); James Raven</w:t>
      </w:r>
      <w:r w:rsidRPr="00CD13A7">
        <w:rPr>
          <w:i/>
        </w:rPr>
        <w:t>, Judging New Wealth: Popular Publishing and Responses to Commerce in England, 1750 -1800</w:t>
      </w:r>
      <w:r>
        <w:t xml:space="preserve"> (Oxford: Oxford University Press, 1992). </w:t>
      </w:r>
    </w:p>
  </w:footnote>
  <w:footnote w:id="8">
    <w:p w14:paraId="1545BDEA" w14:textId="09FB089F" w:rsidR="008117EB" w:rsidRDefault="008117EB">
      <w:pPr>
        <w:pStyle w:val="FootnoteText"/>
      </w:pPr>
      <w:r>
        <w:rPr>
          <w:rStyle w:val="FootnoteReference"/>
        </w:rPr>
        <w:footnoteRef/>
      </w:r>
      <w:r>
        <w:t xml:space="preserve"> </w:t>
      </w:r>
      <w:r w:rsidRPr="006416A0">
        <w:t xml:space="preserve">See Fitzmaurice, S., Robinson, J. A., Alexander, M., Hine, I. C., Mehl, S., &amp; Dallachy, F., ‘Linguistic DNA: investigating conceptual change in early modern English discourse.’ </w:t>
      </w:r>
      <w:r w:rsidRPr="006416A0">
        <w:rPr>
          <w:i/>
        </w:rPr>
        <w:t>Studia Neophilologica</w:t>
      </w:r>
      <w:r w:rsidRPr="006416A0">
        <w:t>, 89 (sup1), (2017): 21-38</w:t>
      </w:r>
    </w:p>
  </w:footnote>
  <w:footnote w:id="9">
    <w:p w14:paraId="21C9537D" w14:textId="1B8E726B" w:rsidR="008117EB" w:rsidRDefault="008117EB">
      <w:pPr>
        <w:pStyle w:val="FootnoteText"/>
      </w:pPr>
      <w:r>
        <w:rPr>
          <w:rStyle w:val="FootnoteReference"/>
        </w:rPr>
        <w:footnoteRef/>
      </w:r>
      <w:r>
        <w:t xml:space="preserve"> </w:t>
      </w:r>
      <w:r w:rsidRPr="006416A0">
        <w:t>See Eijnatten, Joris van, Toine Pieters, and Jaap Verheul. ‘Using Texcavator to Map Public Discourse’</w:t>
      </w:r>
      <w:r w:rsidRPr="006416A0">
        <w:rPr>
          <w:i/>
        </w:rPr>
        <w:t>.</w:t>
      </w:r>
      <w:r w:rsidRPr="006416A0">
        <w:t xml:space="preserve"> </w:t>
      </w:r>
      <w:r w:rsidRPr="006416A0">
        <w:rPr>
          <w:i/>
        </w:rPr>
        <w:t>Tijdschrift voor Tijdschriftstudies</w:t>
      </w:r>
      <w:r w:rsidRPr="006416A0">
        <w:t xml:space="preserve"> 35 (2014): 59-65.</w:t>
      </w:r>
    </w:p>
  </w:footnote>
  <w:footnote w:id="10">
    <w:p w14:paraId="09EFAF67" w14:textId="0A985FDC" w:rsidR="008117EB" w:rsidRDefault="008117EB">
      <w:pPr>
        <w:pStyle w:val="FootnoteText"/>
      </w:pPr>
      <w:r>
        <w:rPr>
          <w:rStyle w:val="FootnoteReference"/>
        </w:rPr>
        <w:footnoteRef/>
      </w:r>
      <w:r>
        <w:t xml:space="preserve"> </w:t>
      </w:r>
      <w:r w:rsidRPr="006416A0">
        <w:t xml:space="preserve">See Heylen, Kris, Thomas Wielfaert, and Dirk Speelman, ‘Tracking change in word meaning. A dynamic visualization of diachronic distributional semantic models.’ DGfS 2013-Workshop on the Visualization of Linguistic Patterns, University of Konstanz, Germany. Retrieved from </w:t>
      </w:r>
      <w:hyperlink r:id="rId4" w:history="1">
        <w:r w:rsidRPr="006416A0">
          <w:rPr>
            <w:rStyle w:val="Hyperlink"/>
          </w:rPr>
          <w:t>http://ling</w:t>
        </w:r>
      </w:hyperlink>
      <w:r w:rsidRPr="006416A0">
        <w:t xml:space="preserve">. unikonstanz. de/pages/home/hautli/LINGVIS/dgfs13_heylenetal_abstract. pdf, 2013.  </w:t>
      </w:r>
    </w:p>
  </w:footnote>
  <w:footnote w:id="11">
    <w:p w14:paraId="5CAAD829" w14:textId="77777777" w:rsidR="008117EB" w:rsidRPr="006416A0" w:rsidRDefault="008117EB" w:rsidP="006416A0">
      <w:pPr>
        <w:pStyle w:val="FootnoteText"/>
      </w:pPr>
      <w:r>
        <w:rPr>
          <w:rStyle w:val="FootnoteReference"/>
        </w:rPr>
        <w:footnoteRef/>
      </w:r>
      <w:r>
        <w:t xml:space="preserve"> </w:t>
      </w:r>
      <w:r w:rsidRPr="006416A0">
        <w:t>See Tolonen, Mikko, Leo Lahti, and Niko Ilomäki, ‘A quantitative study of history in the English short-title catalogue (ESTC), 1470-1800’</w:t>
      </w:r>
      <w:r w:rsidRPr="006416A0">
        <w:rPr>
          <w:i/>
        </w:rPr>
        <w:t>.</w:t>
      </w:r>
      <w:r w:rsidRPr="006416A0">
        <w:t xml:space="preserve"> </w:t>
      </w:r>
      <w:r w:rsidRPr="006416A0">
        <w:rPr>
          <w:i/>
        </w:rPr>
        <w:t>Liber quarterly</w:t>
      </w:r>
      <w:r w:rsidRPr="006416A0">
        <w:t xml:space="preserve"> (2015).</w:t>
      </w:r>
      <w:r>
        <w:t xml:space="preserve"> </w:t>
      </w:r>
      <w:r w:rsidRPr="006416A0">
        <w:t xml:space="preserve">Also at  </w:t>
      </w:r>
      <w:hyperlink r:id="rId5" w:history="1">
        <w:r w:rsidRPr="006416A0">
          <w:rPr>
            <w:rStyle w:val="Hyperlink"/>
          </w:rPr>
          <w:t>https://comhis.github.io/outputs/</w:t>
        </w:r>
      </w:hyperlink>
    </w:p>
    <w:p w14:paraId="553D3009" w14:textId="0F9FE6B0" w:rsidR="008117EB" w:rsidRDefault="008117EB">
      <w:pPr>
        <w:pStyle w:val="FootnoteText"/>
      </w:pPr>
    </w:p>
  </w:footnote>
  <w:footnote w:id="12">
    <w:p w14:paraId="4E604F03" w14:textId="494B773F" w:rsidR="00FD01E3" w:rsidRDefault="00FD01E3">
      <w:pPr>
        <w:pStyle w:val="FootnoteText"/>
      </w:pPr>
      <w:r>
        <w:rPr>
          <w:rStyle w:val="FootnoteReference"/>
        </w:rPr>
        <w:footnoteRef/>
      </w:r>
      <w:r>
        <w:t xml:space="preserve"> See for example Philip Pettit, </w:t>
      </w:r>
      <w:r w:rsidRPr="00FD01E3">
        <w:rPr>
          <w:i/>
        </w:rPr>
        <w:t>Republicanism: A Theory of Freedom and Government</w:t>
      </w:r>
      <w:r>
        <w:t xml:space="preserve"> (Oxford: Oxford Univeristy Press, 1999), pp. 41-50.</w:t>
      </w:r>
    </w:p>
  </w:footnote>
  <w:footnote w:id="13">
    <w:p w14:paraId="771026AF" w14:textId="0F46A7A4" w:rsidR="00EB12DF" w:rsidRDefault="00EB12DF">
      <w:pPr>
        <w:pStyle w:val="FootnoteText"/>
      </w:pPr>
      <w:r>
        <w:rPr>
          <w:rStyle w:val="FootnoteReference"/>
        </w:rPr>
        <w:footnoteRef/>
      </w:r>
      <w:r>
        <w:t xml:space="preserve"> See Quentin Skinner, </w:t>
      </w:r>
      <w:r w:rsidR="00183AE6" w:rsidRPr="00183AE6">
        <w:rPr>
          <w:i/>
        </w:rPr>
        <w:t>Liberty before Liberalism</w:t>
      </w:r>
      <w:r w:rsidR="00183AE6">
        <w:t xml:space="preserve"> (Cambridge: Cambridge University Press, 1998).</w:t>
      </w:r>
    </w:p>
  </w:footnote>
  <w:footnote w:id="14">
    <w:p w14:paraId="530090A2" w14:textId="77777777" w:rsidR="008117EB" w:rsidRDefault="008117EB" w:rsidP="00CE1349">
      <w:pPr>
        <w:pStyle w:val="FootnoteText"/>
      </w:pPr>
      <w:r>
        <w:rPr>
          <w:rStyle w:val="FootnoteReference"/>
        </w:rPr>
        <w:footnoteRef/>
      </w:r>
      <w:r>
        <w:t xml:space="preserve"> See Sinclair, J., Jones, S., Daley, R. and Krishnamurthy, R. </w:t>
      </w:r>
      <w:r w:rsidRPr="00E71A93">
        <w:rPr>
          <w:i/>
        </w:rPr>
        <w:t>English Collocational Studies: The OSTI Report</w:t>
      </w:r>
      <w:r>
        <w:t xml:space="preserve"> (London: Continuum, 2004); Hoey, M., Mahlberg, M., Stubbs, M. and Teubert, W, </w:t>
      </w:r>
      <w:r w:rsidRPr="00E71A93">
        <w:rPr>
          <w:i/>
        </w:rPr>
        <w:t>Text, Discourse and Corpora: Theory and Analysis</w:t>
      </w:r>
      <w:r>
        <w:t xml:space="preserve"> (London: Continuum, 2007); and for a review of the field see Tony McEnery and Andrew Hardie, </w:t>
      </w:r>
      <w:r w:rsidRPr="00E71A93">
        <w:rPr>
          <w:i/>
        </w:rPr>
        <w:t>Corpus Linguistics: Method, Theory and Practice</w:t>
      </w:r>
      <w:r>
        <w:t xml:space="preserve"> (Cambridge: Cambridge University Press, 2012).</w:t>
      </w:r>
    </w:p>
  </w:footnote>
  <w:footnote w:id="15">
    <w:p w14:paraId="57B97F00" w14:textId="30547A94" w:rsidR="008117EB" w:rsidRDefault="008117EB" w:rsidP="00CE1349">
      <w:pPr>
        <w:pStyle w:val="FootnoteText"/>
      </w:pPr>
      <w:r>
        <w:rPr>
          <w:rStyle w:val="FootnoteReference"/>
        </w:rPr>
        <w:footnoteRef/>
      </w:r>
      <w:r>
        <w:t xml:space="preserve"> </w:t>
      </w:r>
      <w:r w:rsidR="00ED557B">
        <w:t xml:space="preserve">See J. R. firth, ‘The Technique of Semantics’, </w:t>
      </w:r>
      <w:r w:rsidR="00ED557B" w:rsidRPr="009566BF">
        <w:rPr>
          <w:i/>
        </w:rPr>
        <w:t>Transactions of the Philological Society</w:t>
      </w:r>
      <w:r w:rsidR="00ED557B">
        <w:t xml:space="preserve"> </w:t>
      </w:r>
      <w:r w:rsidR="009566BF">
        <w:t xml:space="preserve">34 (1): 36-73; J. Sinclair, </w:t>
      </w:r>
      <w:r w:rsidR="009566BF" w:rsidRPr="009566BF">
        <w:rPr>
          <w:i/>
        </w:rPr>
        <w:t>Corpus, Concordance, Collocation</w:t>
      </w:r>
      <w:r w:rsidR="009566BF">
        <w:t xml:space="preserve"> (Oxford: Oxford University Press, 1991); and f</w:t>
      </w:r>
      <w:r>
        <w:t xml:space="preserve">or a good overview of historical semantics see Christian Kay and Katheryn L. Allan, </w:t>
      </w:r>
      <w:r w:rsidRPr="00E71A93">
        <w:rPr>
          <w:i/>
        </w:rPr>
        <w:t>English Historical Semantics</w:t>
      </w:r>
      <w:r>
        <w:t xml:space="preserve"> (Edinburgh: Edinburgh University Press, 2015).</w:t>
      </w:r>
    </w:p>
  </w:footnote>
  <w:footnote w:id="16">
    <w:p w14:paraId="024A0F47" w14:textId="77777777" w:rsidR="008117EB" w:rsidRDefault="008117EB" w:rsidP="00CE1349">
      <w:pPr>
        <w:pStyle w:val="FootnoteText"/>
      </w:pPr>
      <w:r>
        <w:rPr>
          <w:rStyle w:val="FootnoteReference"/>
        </w:rPr>
        <w:footnoteRef/>
      </w:r>
      <w:r>
        <w:t xml:space="preserve"> As Quentin Skinner notes, Hobbes was the first thinker to effect this change by constructing the state as a particular kind of person.  See Quentin Skinner, </w:t>
      </w:r>
      <w:r w:rsidRPr="00953BA2">
        <w:rPr>
          <w:i/>
        </w:rPr>
        <w:t>Liberty Before Liberalism</w:t>
      </w:r>
      <w:r>
        <w:t xml:space="preserve"> (Cambridge: Cambridge University Press, 1998), p. 4-5.</w:t>
      </w:r>
    </w:p>
  </w:footnote>
  <w:footnote w:id="17">
    <w:p w14:paraId="6E38B5F6" w14:textId="77777777" w:rsidR="008117EB" w:rsidRDefault="008117EB" w:rsidP="00CE1349">
      <w:pPr>
        <w:pStyle w:val="FootnoteText"/>
      </w:pPr>
      <w:r>
        <w:rPr>
          <w:rStyle w:val="FootnoteReference"/>
        </w:rPr>
        <w:footnoteRef/>
      </w:r>
      <w:r>
        <w:t xml:space="preserve"> The best account of the development of Skinner’s thought at this time is Marco Guena, ‘Skinner, pre-humanist rhetorical culture and Machiavelli’, in Annabel Brett and James Tully, with Holly Hamilton-Bleakley, </w:t>
      </w:r>
      <w:r w:rsidRPr="009822C4">
        <w:rPr>
          <w:i/>
        </w:rPr>
        <w:t>Rethinking the Foundations of Modern Political Thought</w:t>
      </w:r>
      <w:r>
        <w:t xml:space="preserve"> (Cambridge: Cambridge University Press, 2006), 50 – 72, esp. pp. 64-69.</w:t>
      </w:r>
    </w:p>
  </w:footnote>
  <w:footnote w:id="18">
    <w:p w14:paraId="10A98DCB" w14:textId="77777777" w:rsidR="008117EB" w:rsidRDefault="008117EB" w:rsidP="00CE1349">
      <w:pPr>
        <w:pStyle w:val="FootnoteText"/>
      </w:pPr>
      <w:r>
        <w:rPr>
          <w:rStyle w:val="FootnoteReference"/>
        </w:rPr>
        <w:footnoteRef/>
      </w:r>
      <w:r>
        <w:t xml:space="preserve">Thomas Hobbes, </w:t>
      </w:r>
      <w:r w:rsidRPr="00E71A93">
        <w:rPr>
          <w:i/>
        </w:rPr>
        <w:t>The Clarendon Edition of the Works of Thomas Hobbes</w:t>
      </w:r>
      <w:r>
        <w:t>, Vol. 4</w:t>
      </w:r>
      <w:r w:rsidRPr="00E71A93">
        <w:rPr>
          <w:i/>
        </w:rPr>
        <w:t>: Leviathan: The English and Latin Texts</w:t>
      </w:r>
      <w:r>
        <w:t>, ed. Noel Malcolm, (Oxford: Clarendon Press, 2012), p. 324.</w:t>
      </w:r>
    </w:p>
  </w:footnote>
  <w:footnote w:id="19">
    <w:p w14:paraId="53B14CAF" w14:textId="77777777" w:rsidR="008117EB" w:rsidRPr="00D35DFC" w:rsidRDefault="008117EB" w:rsidP="00CE1349">
      <w:pPr>
        <w:pStyle w:val="FootnoteText"/>
      </w:pPr>
      <w:r w:rsidRPr="00D35DFC">
        <w:rPr>
          <w:rStyle w:val="FootnoteReference"/>
        </w:rPr>
        <w:footnoteRef/>
      </w:r>
      <w:r w:rsidRPr="00D35DFC">
        <w:t xml:space="preserve"> See C. Taylor, </w:t>
      </w:r>
      <w:r w:rsidRPr="00D35DFC">
        <w:rPr>
          <w:i/>
        </w:rPr>
        <w:t>Philosophy and the Human Sciences: Philosophical Papers</w:t>
      </w:r>
      <w:r w:rsidRPr="00D35DFC">
        <w:t>, vol. 2 (Cambridge: Cambridge University Press, 1985).</w:t>
      </w:r>
    </w:p>
  </w:footnote>
  <w:footnote w:id="20">
    <w:p w14:paraId="53D7A84B" w14:textId="77777777" w:rsidR="008117EB" w:rsidRPr="00D35DFC" w:rsidRDefault="008117EB" w:rsidP="00CE1349">
      <w:pPr>
        <w:pStyle w:val="FootnoteText"/>
      </w:pPr>
      <w:r w:rsidRPr="00D35DFC">
        <w:rPr>
          <w:rStyle w:val="FootnoteReference"/>
        </w:rPr>
        <w:footnoteRef/>
      </w:r>
      <w:r w:rsidRPr="00D35DFC">
        <w:t xml:space="preserve"> The classic account of this distinction remains Isaiah Berlin, </w:t>
      </w:r>
      <w:r w:rsidRPr="00D35DFC">
        <w:rPr>
          <w:i/>
        </w:rPr>
        <w:t>Two Concepts of Liberty</w:t>
      </w:r>
      <w:r w:rsidRPr="00D35DFC">
        <w:t xml:space="preserve"> (Oxford: Oxford University Press, 1958)</w:t>
      </w:r>
    </w:p>
  </w:footnote>
  <w:footnote w:id="21">
    <w:p w14:paraId="13603378" w14:textId="77777777" w:rsidR="008117EB" w:rsidRPr="00D35DFC" w:rsidRDefault="008117EB" w:rsidP="00CE1349">
      <w:pPr>
        <w:pStyle w:val="Footnote"/>
        <w:rPr>
          <w:sz w:val="20"/>
          <w:szCs w:val="20"/>
        </w:rPr>
      </w:pPr>
      <w:r>
        <w:rPr>
          <w:rFonts w:ascii="Times New Roman" w:eastAsia="Times New Roman" w:hAnsi="Times New Roman" w:cs="Times New Roman"/>
          <w:sz w:val="24"/>
          <w:szCs w:val="24"/>
          <w:vertAlign w:val="superscript"/>
        </w:rPr>
        <w:footnoteRef/>
      </w:r>
      <w:r w:rsidRPr="00D35DFC">
        <w:rPr>
          <w:rFonts w:ascii="Times New Roman" w:hAnsi="Times New Roman" w:cs="Times New Roman"/>
          <w:sz w:val="20"/>
          <w:szCs w:val="20"/>
        </w:rPr>
        <w:t>Quentin Skinner, “The idea of negative liberty”, in</w:t>
      </w:r>
      <w:r w:rsidRPr="00D35DFC">
        <w:rPr>
          <w:rFonts w:ascii="Times New Roman" w:hAnsi="Times New Roman" w:cs="Times New Roman"/>
          <w:i/>
          <w:iCs/>
          <w:sz w:val="20"/>
          <w:szCs w:val="20"/>
        </w:rPr>
        <w:t xml:space="preserve"> Philosophy in History: Essays on the Historiography of Philosophy,</w:t>
      </w:r>
      <w:r w:rsidRPr="00D35DFC">
        <w:rPr>
          <w:rFonts w:ascii="Times New Roman" w:hAnsi="Times New Roman" w:cs="Times New Roman"/>
          <w:sz w:val="20"/>
          <w:szCs w:val="20"/>
        </w:rPr>
        <w:t xml:space="preserve"> ed. Richard Rorty, J.B. Schneewind and Quentin Skinner (Cambridge: Cambridge University Press, 1984), p. 197.</w:t>
      </w:r>
    </w:p>
  </w:footnote>
  <w:footnote w:id="22">
    <w:p w14:paraId="6CA33D7C" w14:textId="77777777" w:rsidR="008117EB" w:rsidRPr="00D35DFC" w:rsidRDefault="008117EB" w:rsidP="00CE1349">
      <w:pPr>
        <w:pStyle w:val="FootnoteText"/>
      </w:pPr>
      <w:r w:rsidRPr="00D35DFC">
        <w:rPr>
          <w:rStyle w:val="FootnoteReference"/>
        </w:rPr>
        <w:footnoteRef/>
      </w:r>
      <w:r w:rsidRPr="00D35DFC">
        <w:t xml:space="preserve"> Quentin Skinner, </w:t>
      </w:r>
      <w:r w:rsidRPr="00D35DFC">
        <w:rPr>
          <w:i/>
        </w:rPr>
        <w:t>Liberty Before Liberalism</w:t>
      </w:r>
      <w:r w:rsidRPr="00D35DFC">
        <w:t xml:space="preserve"> (Cambridge: Cambridge University Press, 1994).  The topic has, of course, been deeply embedded in much of Skinner’s work.  See, for example, Q</w:t>
      </w:r>
      <w:r>
        <w:t>uentin</w:t>
      </w:r>
      <w:r w:rsidRPr="00D35DFC">
        <w:t xml:space="preserve"> Skinner, </w:t>
      </w:r>
      <w:r w:rsidRPr="00D35DFC">
        <w:rPr>
          <w:i/>
        </w:rPr>
        <w:t>The Foundations of Modern Political Thought</w:t>
      </w:r>
      <w:r w:rsidRPr="00D35DFC">
        <w:t xml:space="preserve"> (Cambridge: Cambridge University Press, 1978); Q</w:t>
      </w:r>
      <w:r>
        <w:t>uentin</w:t>
      </w:r>
      <w:r w:rsidRPr="00D35DFC">
        <w:t xml:space="preserve"> Skinner, “Machiavelli on the Maintenance of Liberty,” </w:t>
      </w:r>
      <w:r w:rsidRPr="00D35DFC">
        <w:rPr>
          <w:i/>
        </w:rPr>
        <w:t xml:space="preserve">Politics </w:t>
      </w:r>
      <w:r w:rsidRPr="00D35DFC">
        <w:t>18 (1983): 3-15; Q</w:t>
      </w:r>
      <w:r>
        <w:t>uentin</w:t>
      </w:r>
      <w:r w:rsidRPr="00D35DFC">
        <w:t xml:space="preserve"> Skinner, “The Paradoxes of Political Liberty,” in </w:t>
      </w:r>
      <w:r w:rsidRPr="00D35DFC">
        <w:rPr>
          <w:i/>
        </w:rPr>
        <w:t>The Tanner Lectures on Human Values</w:t>
      </w:r>
      <w:r w:rsidRPr="00D35DFC">
        <w:t xml:space="preserve"> (Cambridge: Cambridge University Press, 1985), 227-50; Q</w:t>
      </w:r>
      <w:r>
        <w:t>uentin</w:t>
      </w:r>
      <w:r w:rsidRPr="00D35DFC">
        <w:t xml:space="preserve"> Skinner, “Pre-humanist Origins of Republican Ideas,” in </w:t>
      </w:r>
      <w:r w:rsidRPr="00D35DFC">
        <w:rPr>
          <w:i/>
        </w:rPr>
        <w:t>Machiavelli and Republicanism</w:t>
      </w:r>
      <w:r w:rsidRPr="00D35DFC">
        <w:t>, ed. G. Bock, Q. Skinner, and M. Viroli (Cambridge: Cambridge University Press, 1990); Q</w:t>
      </w:r>
      <w:r>
        <w:t>uentin</w:t>
      </w:r>
      <w:r w:rsidRPr="00D35DFC">
        <w:t xml:space="preserve"> Skinner, “The Republican Ideal of Political Liberty,” in </w:t>
      </w:r>
      <w:r w:rsidRPr="00D35DFC">
        <w:rPr>
          <w:i/>
        </w:rPr>
        <w:t>Machiavelli and Republicanism</w:t>
      </w:r>
      <w:r w:rsidRPr="00D35DFC">
        <w:t>, ed. G. Bock, Q. Skinner, and M. Viroli (Cambridge: Cambridge University Press, 1990); Q</w:t>
      </w:r>
      <w:r>
        <w:t>uentin</w:t>
      </w:r>
      <w:r w:rsidRPr="00D35DFC">
        <w:t xml:space="preserve"> Skinner, “Thomas Hobbes on the Proper Signification of Liberty,” </w:t>
      </w:r>
      <w:r w:rsidRPr="00D35DFC">
        <w:rPr>
          <w:i/>
        </w:rPr>
        <w:t>Transactions of the Royal Historical Society</w:t>
      </w:r>
      <w:r w:rsidRPr="00D35DFC">
        <w:t xml:space="preserve"> 40 (1990): 121-51; Q</w:t>
      </w:r>
      <w:r>
        <w:t>uentin</w:t>
      </w:r>
      <w:r w:rsidRPr="00D35DFC">
        <w:t xml:space="preserve"> Skinner, </w:t>
      </w:r>
      <w:r w:rsidRPr="00D35DFC">
        <w:rPr>
          <w:i/>
        </w:rPr>
        <w:t>Reason and Rhetoric in the Philosophy of Hobbes</w:t>
      </w:r>
      <w:r w:rsidRPr="00D35DFC">
        <w:t xml:space="preserve"> (Cambridge: Cam</w:t>
      </w:r>
      <w:r>
        <w:t>bridge University Press, 1996).</w:t>
      </w:r>
    </w:p>
  </w:footnote>
  <w:footnote w:id="23">
    <w:p w14:paraId="760E64D0" w14:textId="4603C777" w:rsidR="008117EB" w:rsidRPr="00031612" w:rsidRDefault="008117EB" w:rsidP="00E30663">
      <w:pPr>
        <w:shd w:val="clear" w:color="auto" w:fill="FFFFFF"/>
        <w:spacing w:before="100" w:beforeAutospacing="1" w:after="120" w:line="240" w:lineRule="auto"/>
        <w:rPr>
          <w:szCs w:val="24"/>
        </w:rPr>
      </w:pPr>
      <w:r>
        <w:rPr>
          <w:rStyle w:val="FootnoteReference"/>
        </w:rPr>
        <w:footnoteRef/>
      </w:r>
      <w:r w:rsidRPr="00D35DFC">
        <w:rPr>
          <w:sz w:val="20"/>
          <w:szCs w:val="20"/>
        </w:rPr>
        <w:t xml:space="preserve">Skinner returned to this theme in his London Review of Books lecture ‘A Third Concept of Liberty’, subsequently published in </w:t>
      </w:r>
      <w:r w:rsidRPr="00D35DFC">
        <w:rPr>
          <w:i/>
          <w:sz w:val="20"/>
          <w:szCs w:val="20"/>
        </w:rPr>
        <w:t>London Review of Books</w:t>
      </w:r>
      <w:r w:rsidRPr="00D35DFC">
        <w:rPr>
          <w:sz w:val="20"/>
          <w:szCs w:val="20"/>
        </w:rPr>
        <w:t>, Vol. 24, No. 7, 4 April, 2002.  There is also a large literature that engages with his argument.  See, among others, Phillip Pet</w:t>
      </w:r>
      <w:r>
        <w:rPr>
          <w:sz w:val="20"/>
          <w:szCs w:val="20"/>
        </w:rPr>
        <w:t>t</w:t>
      </w:r>
      <w:r w:rsidRPr="00D35DFC">
        <w:rPr>
          <w:sz w:val="20"/>
          <w:szCs w:val="20"/>
        </w:rPr>
        <w:t xml:space="preserve">it, </w:t>
      </w:r>
      <w:r w:rsidRPr="00D35DFC">
        <w:rPr>
          <w:i/>
          <w:sz w:val="20"/>
          <w:szCs w:val="20"/>
        </w:rPr>
        <w:t>Republicanism: A Theory of Freedom and Government</w:t>
      </w:r>
      <w:r w:rsidRPr="00D35DFC">
        <w:rPr>
          <w:sz w:val="20"/>
          <w:szCs w:val="20"/>
        </w:rPr>
        <w:t xml:space="preserve"> (Oxford: Oxford University Press, 1997); P. Van Parijs</w:t>
      </w:r>
      <w:r w:rsidRPr="00D35DFC">
        <w:rPr>
          <w:i/>
          <w:sz w:val="20"/>
          <w:szCs w:val="20"/>
        </w:rPr>
        <w:t>, Real Freedom for All</w:t>
      </w:r>
      <w:r w:rsidRPr="00D35DFC">
        <w:rPr>
          <w:sz w:val="20"/>
          <w:szCs w:val="20"/>
        </w:rPr>
        <w:t xml:space="preserve"> (Oxford: Oxford University Press, 1995);</w:t>
      </w:r>
      <w:r>
        <w:rPr>
          <w:sz w:val="20"/>
          <w:szCs w:val="20"/>
        </w:rPr>
        <w:t xml:space="preserve"> </w:t>
      </w:r>
      <w:r w:rsidRPr="00D35DFC">
        <w:rPr>
          <w:rFonts w:eastAsia="Times New Roman"/>
          <w:i/>
          <w:iCs/>
          <w:color w:val="1A1A1A"/>
          <w:sz w:val="20"/>
          <w:szCs w:val="20"/>
          <w:lang w:eastAsia="en-GB"/>
        </w:rPr>
        <w:t>Republicanism: History, Theory and Practice</w:t>
      </w:r>
      <w:r w:rsidRPr="00D35DFC">
        <w:rPr>
          <w:rFonts w:eastAsia="Times New Roman"/>
          <w:color w:val="1A1A1A"/>
          <w:sz w:val="20"/>
          <w:szCs w:val="20"/>
          <w:lang w:eastAsia="en-GB"/>
        </w:rPr>
        <w:t>, ed.</w:t>
      </w:r>
      <w:r w:rsidRPr="00D35DFC">
        <w:rPr>
          <w:sz w:val="20"/>
          <w:szCs w:val="20"/>
        </w:rPr>
        <w:t xml:space="preserve"> D. </w:t>
      </w:r>
      <w:r w:rsidRPr="00D35DFC">
        <w:rPr>
          <w:rFonts w:eastAsia="Times New Roman"/>
          <w:color w:val="1A1A1A"/>
          <w:sz w:val="20"/>
          <w:szCs w:val="20"/>
          <w:lang w:eastAsia="en-GB"/>
        </w:rPr>
        <w:t>Weinstock and C. Nadeau (London: Frank Cass, 2004);</w:t>
      </w:r>
      <w:r>
        <w:rPr>
          <w:rFonts w:eastAsia="Times New Roman"/>
          <w:color w:val="1A1A1A"/>
          <w:sz w:val="20"/>
          <w:szCs w:val="20"/>
          <w:lang w:eastAsia="en-GB"/>
        </w:rPr>
        <w:t xml:space="preserve"> </w:t>
      </w:r>
      <w:r w:rsidRPr="00D35DFC">
        <w:rPr>
          <w:rFonts w:eastAsia="Times New Roman"/>
          <w:i/>
          <w:iCs/>
          <w:color w:val="1A1A1A"/>
          <w:sz w:val="20"/>
          <w:szCs w:val="20"/>
          <w:lang w:eastAsia="en-GB"/>
        </w:rPr>
        <w:t>Republicanism and Political Theory</w:t>
      </w:r>
      <w:r w:rsidRPr="00D35DFC">
        <w:rPr>
          <w:rFonts w:eastAsia="Times New Roman"/>
          <w:color w:val="1A1A1A"/>
          <w:sz w:val="20"/>
          <w:szCs w:val="20"/>
          <w:lang w:eastAsia="en-GB"/>
        </w:rPr>
        <w:t xml:space="preserve">, ed. C. Laborde and J. Maynor,  (Oxford: Blackwell, 2008); C. Larmore, ‘Liberal and Republican Conceptions of Freedom’, in </w:t>
      </w:r>
      <w:r w:rsidRPr="00D35DFC">
        <w:rPr>
          <w:rFonts w:eastAsia="Times New Roman"/>
          <w:i/>
          <w:iCs/>
          <w:color w:val="1A1A1A"/>
          <w:sz w:val="20"/>
          <w:szCs w:val="20"/>
          <w:lang w:eastAsia="en-GB"/>
        </w:rPr>
        <w:t>Republicanism: History, Theory and Practice</w:t>
      </w:r>
      <w:r w:rsidRPr="00D35DFC">
        <w:rPr>
          <w:rFonts w:eastAsia="Times New Roman"/>
          <w:color w:val="1A1A1A"/>
          <w:sz w:val="20"/>
          <w:szCs w:val="20"/>
          <w:lang w:eastAsia="en-GB"/>
        </w:rPr>
        <w:t xml:space="preserve">, ed. </w:t>
      </w:r>
      <w:r w:rsidRPr="00D35DFC">
        <w:rPr>
          <w:sz w:val="20"/>
          <w:szCs w:val="20"/>
        </w:rPr>
        <w:t xml:space="preserve">D. </w:t>
      </w:r>
      <w:r w:rsidRPr="00D35DFC">
        <w:rPr>
          <w:rFonts w:eastAsia="Times New Roman"/>
          <w:color w:val="1A1A1A"/>
          <w:sz w:val="20"/>
          <w:szCs w:val="20"/>
          <w:lang w:eastAsia="en-GB"/>
        </w:rPr>
        <w:t>Weinstock and C. Nadeau (London: Frank Cass, 2004).</w:t>
      </w:r>
    </w:p>
  </w:footnote>
  <w:footnote w:id="24">
    <w:p w14:paraId="213E6B9C" w14:textId="77777777" w:rsidR="008117EB" w:rsidRDefault="008117EB" w:rsidP="00CE1349">
      <w:pPr>
        <w:pStyle w:val="FootnoteText"/>
      </w:pPr>
      <w:r>
        <w:rPr>
          <w:rStyle w:val="FootnoteReference"/>
        </w:rPr>
        <w:footnoteRef/>
      </w:r>
      <w:r>
        <w:t xml:space="preserve"> The numbers in brackets indicate the total number of terms that are common to both </w:t>
      </w:r>
      <w:r w:rsidRPr="00903E46">
        <w:rPr>
          <w:i/>
        </w:rPr>
        <w:t xml:space="preserve">dpf </w:t>
      </w:r>
      <w:r>
        <w:t>rank lists.</w:t>
      </w:r>
    </w:p>
  </w:footnote>
  <w:footnote w:id="25">
    <w:p w14:paraId="5B7F0CEB" w14:textId="77777777" w:rsidR="008117EB" w:rsidRDefault="008117EB" w:rsidP="00CE1349">
      <w:pPr>
        <w:pStyle w:val="Footnote"/>
      </w:pPr>
      <w:r>
        <w:rPr>
          <w:rStyle w:val="FootnoteReference"/>
        </w:rPr>
        <w:footnoteRef/>
      </w:r>
      <w:r>
        <w:t xml:space="preserve"> </w:t>
      </w:r>
      <w:bookmarkStart w:id="3" w:name="_Hlk519695818"/>
      <w:r w:rsidRPr="00D35DFC">
        <w:rPr>
          <w:rFonts w:ascii="Times New Roman" w:hAnsi="Times New Roman" w:cs="Times New Roman"/>
          <w:sz w:val="20"/>
          <w:szCs w:val="20"/>
        </w:rPr>
        <w:t>Quentin Skinner, “The idea of negative liberty”, in</w:t>
      </w:r>
      <w:r w:rsidRPr="00D35DFC">
        <w:rPr>
          <w:rFonts w:ascii="Times New Roman" w:hAnsi="Times New Roman" w:cs="Times New Roman"/>
          <w:i/>
          <w:iCs/>
          <w:sz w:val="20"/>
          <w:szCs w:val="20"/>
        </w:rPr>
        <w:t xml:space="preserve"> Philosophy in History: Essays on the Historiography of Philosophy,</w:t>
      </w:r>
      <w:r w:rsidRPr="00D35DFC">
        <w:rPr>
          <w:rFonts w:ascii="Times New Roman" w:hAnsi="Times New Roman" w:cs="Times New Roman"/>
          <w:sz w:val="20"/>
          <w:szCs w:val="20"/>
        </w:rPr>
        <w:t xml:space="preserve"> ed. Richard Rorty, J.B. Schneewind and Quentin Skinner (Cambridge: Cambridge </w:t>
      </w:r>
      <w:r>
        <w:rPr>
          <w:rFonts w:ascii="Times New Roman" w:hAnsi="Times New Roman" w:cs="Times New Roman"/>
          <w:sz w:val="20"/>
          <w:szCs w:val="20"/>
        </w:rPr>
        <w:t>University Press, 1984), p. 218.</w:t>
      </w:r>
    </w:p>
    <w:bookmarkEnd w:id="3"/>
  </w:footnote>
  <w:footnote w:id="26">
    <w:p w14:paraId="341F67D1" w14:textId="77777777" w:rsidR="008117EB" w:rsidRDefault="008117EB" w:rsidP="00CE1349">
      <w:pPr>
        <w:pStyle w:val="FootnoteText"/>
      </w:pPr>
      <w:r>
        <w:rPr>
          <w:rStyle w:val="FootnoteReference"/>
        </w:rPr>
        <w:footnoteRef/>
      </w:r>
      <w:r>
        <w:t xml:space="preserve"> Skinner, ibid, p. 218.</w:t>
      </w:r>
    </w:p>
  </w:footnote>
  <w:footnote w:id="27">
    <w:p w14:paraId="33DE8B9A" w14:textId="71C75D0D" w:rsidR="008117EB" w:rsidRDefault="008117EB" w:rsidP="00CE1349">
      <w:pPr>
        <w:pStyle w:val="FootnoteText"/>
      </w:pPr>
      <w:r>
        <w:rPr>
          <w:rStyle w:val="FootnoteReference"/>
        </w:rPr>
        <w:footnoteRef/>
      </w:r>
      <w:r>
        <w:t xml:space="preserve"> </w:t>
      </w:r>
      <w:r w:rsidR="000F1E95">
        <w:t xml:space="preserve">See in particular in the vast literature on these topics J.C.D. Clark, </w:t>
      </w:r>
      <w:r w:rsidR="000F1E95" w:rsidRPr="000F1E95">
        <w:rPr>
          <w:i/>
        </w:rPr>
        <w:t>The Language of Liberty 1660-1832: Political Discourse and Social Dynamics in the Anglo-American World</w:t>
      </w:r>
      <w:r w:rsidR="000F1E95">
        <w:t xml:space="preserve"> (Cambridge: Cambridge University Press, 1994); Michael Zuckert, </w:t>
      </w:r>
      <w:r w:rsidR="000F1E95" w:rsidRPr="000F1E95">
        <w:rPr>
          <w:i/>
        </w:rPr>
        <w:t>The Natural Rights Republic: Studies in the Foundation of the American Political Tradition</w:t>
      </w:r>
      <w:r w:rsidR="000F1E95">
        <w:t xml:space="preserve"> (Notre Dame, Ind.: University of Notre Dame Press, 1996); Craig Yirush, </w:t>
      </w:r>
      <w:r w:rsidR="000F1E95" w:rsidRPr="000F1E95">
        <w:rPr>
          <w:i/>
        </w:rPr>
        <w:t>Settlers, Liberty, and Empire: The Roots of Early American Political Theory, 1675-1775</w:t>
      </w:r>
      <w:r w:rsidR="000F1E95">
        <w:t xml:space="preserve"> (Cambridge: Cambridge University Press, 2011)</w:t>
      </w:r>
      <w:r w:rsidR="00152BFB">
        <w:t xml:space="preserve">; Pamela Clemit, ed., </w:t>
      </w:r>
      <w:r w:rsidR="00152BFB" w:rsidRPr="00152BFB">
        <w:rPr>
          <w:i/>
        </w:rPr>
        <w:t>The Cambridge Companion to British Literature of the French Revolution in the 1790s</w:t>
      </w:r>
      <w:r w:rsidR="00152BFB">
        <w:t xml:space="preserve"> (Cambridge: Cambridge University Press, 20110.</w:t>
      </w:r>
    </w:p>
  </w:footnote>
  <w:footnote w:id="28">
    <w:p w14:paraId="7B9E6224" w14:textId="275975D3" w:rsidR="008117EB" w:rsidRDefault="008117EB" w:rsidP="00CE1349">
      <w:pPr>
        <w:pStyle w:val="FootnoteText"/>
      </w:pPr>
      <w:r>
        <w:rPr>
          <w:rStyle w:val="FootnoteReference"/>
        </w:rPr>
        <w:footnoteRef/>
      </w:r>
      <w:r>
        <w:t xml:space="preserve"> J.G.A Pocock, “Virtues, Rights, and Manners: A Model for Historians of Political Thought,” in </w:t>
      </w:r>
      <w:r w:rsidRPr="00CD13A7">
        <w:rPr>
          <w:i/>
        </w:rPr>
        <w:t>Virtue, Commerce, History</w:t>
      </w:r>
      <w:r>
        <w:t xml:space="preserve"> (Cambridge: Cambridge University Press, 1985.</w:t>
      </w:r>
    </w:p>
  </w:footnote>
  <w:footnote w:id="29">
    <w:p w14:paraId="0627FF0F" w14:textId="77777777" w:rsidR="008117EB" w:rsidRDefault="008117EB" w:rsidP="00CE1349">
      <w:pPr>
        <w:pStyle w:val="FootnoteText"/>
      </w:pPr>
      <w:r>
        <w:rPr>
          <w:rStyle w:val="FootnoteReference"/>
        </w:rPr>
        <w:footnoteRef/>
      </w:r>
      <w:r>
        <w:t xml:space="preserve"> See Andreas Kalyvas and Ira Katznelson, </w:t>
      </w:r>
      <w:r w:rsidRPr="00CD13A7">
        <w:rPr>
          <w:i/>
        </w:rPr>
        <w:t>Liberal Beginnings: Making a Republic for the Moderns</w:t>
      </w:r>
      <w:r>
        <w:t>, (Cambridge: Cambridge University Press, 2008), esp pp. 5-17.</w:t>
      </w:r>
    </w:p>
  </w:footnote>
  <w:footnote w:id="30">
    <w:p w14:paraId="47709F37" w14:textId="77777777" w:rsidR="008117EB" w:rsidRDefault="008117EB" w:rsidP="00CE1349">
      <w:pPr>
        <w:pStyle w:val="FootnoteText"/>
      </w:pPr>
      <w:r>
        <w:rPr>
          <w:rStyle w:val="FootnoteReference"/>
        </w:rPr>
        <w:footnoteRef/>
      </w:r>
      <w:r>
        <w:t xml:space="preserve"> This observation is based on the ECCO dataset which does not capture </w:t>
      </w:r>
      <w:r w:rsidRPr="00BB2B4E">
        <w:rPr>
          <w:i/>
        </w:rPr>
        <w:t>all</w:t>
      </w:r>
      <w:r>
        <w:t xml:space="preserve"> lexical use across the Anglophone eighteenth century, so to this extent the claim is subject to qualification.  For the first use see Rev Thomas Cooke, </w:t>
      </w:r>
      <w:r w:rsidRPr="005B6C29">
        <w:rPr>
          <w:i/>
        </w:rPr>
        <w:t>The Universal Letter-Writer; or, New Art of Polite Correspondence</w:t>
      </w:r>
      <w:r>
        <w:t>, (London: A Millar, W. Law and R. Cater, 1708), p.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E6BC" w14:textId="77777777" w:rsidR="008117EB" w:rsidRDefault="00811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24801"/>
      <w:docPartObj>
        <w:docPartGallery w:val="Page Numbers (Top of Page)"/>
        <w:docPartUnique/>
      </w:docPartObj>
    </w:sdtPr>
    <w:sdtEndPr>
      <w:rPr>
        <w:noProof/>
      </w:rPr>
    </w:sdtEndPr>
    <w:sdtContent>
      <w:p w14:paraId="77CF2A5E" w14:textId="77777777" w:rsidR="008117EB" w:rsidRDefault="008117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9961F1" w14:textId="77777777" w:rsidR="008117EB" w:rsidRDefault="00811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899B" w14:textId="77777777" w:rsidR="008117EB" w:rsidRDefault="0081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C2"/>
    <w:multiLevelType w:val="hybridMultilevel"/>
    <w:tmpl w:val="457A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12539"/>
    <w:multiLevelType w:val="hybridMultilevel"/>
    <w:tmpl w:val="FF10A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2231A"/>
    <w:multiLevelType w:val="hybridMultilevel"/>
    <w:tmpl w:val="88547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080DFD"/>
    <w:multiLevelType w:val="hybridMultilevel"/>
    <w:tmpl w:val="2DE2A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45A0F"/>
    <w:multiLevelType w:val="hybridMultilevel"/>
    <w:tmpl w:val="88F0E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504FC2"/>
    <w:multiLevelType w:val="hybridMultilevel"/>
    <w:tmpl w:val="C0E0F222"/>
    <w:lvl w:ilvl="0" w:tplc="527A6E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49"/>
    <w:rsid w:val="00037F77"/>
    <w:rsid w:val="00055040"/>
    <w:rsid w:val="000C2203"/>
    <w:rsid w:val="000C55AC"/>
    <w:rsid w:val="000F1E95"/>
    <w:rsid w:val="0013488B"/>
    <w:rsid w:val="00152BFB"/>
    <w:rsid w:val="00183AE6"/>
    <w:rsid w:val="001B3C97"/>
    <w:rsid w:val="001E7891"/>
    <w:rsid w:val="002838B8"/>
    <w:rsid w:val="00317184"/>
    <w:rsid w:val="00333372"/>
    <w:rsid w:val="00346648"/>
    <w:rsid w:val="00357591"/>
    <w:rsid w:val="003F55C2"/>
    <w:rsid w:val="00475194"/>
    <w:rsid w:val="004B65A4"/>
    <w:rsid w:val="004E51F1"/>
    <w:rsid w:val="0055600F"/>
    <w:rsid w:val="00620978"/>
    <w:rsid w:val="00620A35"/>
    <w:rsid w:val="00633F9F"/>
    <w:rsid w:val="00634241"/>
    <w:rsid w:val="006416A0"/>
    <w:rsid w:val="00641F2B"/>
    <w:rsid w:val="00664A0A"/>
    <w:rsid w:val="006913F0"/>
    <w:rsid w:val="007A2B00"/>
    <w:rsid w:val="008117EB"/>
    <w:rsid w:val="00826D81"/>
    <w:rsid w:val="00894129"/>
    <w:rsid w:val="008A3B69"/>
    <w:rsid w:val="008A4766"/>
    <w:rsid w:val="00914300"/>
    <w:rsid w:val="009566BF"/>
    <w:rsid w:val="00990DAE"/>
    <w:rsid w:val="009A259A"/>
    <w:rsid w:val="009D361E"/>
    <w:rsid w:val="00A357CB"/>
    <w:rsid w:val="00A52084"/>
    <w:rsid w:val="00AB468D"/>
    <w:rsid w:val="00B316E7"/>
    <w:rsid w:val="00B57627"/>
    <w:rsid w:val="00B57E47"/>
    <w:rsid w:val="00B84098"/>
    <w:rsid w:val="00BB49E1"/>
    <w:rsid w:val="00BC46FC"/>
    <w:rsid w:val="00C13726"/>
    <w:rsid w:val="00C969C1"/>
    <w:rsid w:val="00CE1349"/>
    <w:rsid w:val="00CF2747"/>
    <w:rsid w:val="00D2338D"/>
    <w:rsid w:val="00D767CA"/>
    <w:rsid w:val="00D81517"/>
    <w:rsid w:val="00DD0A66"/>
    <w:rsid w:val="00DD1371"/>
    <w:rsid w:val="00E30663"/>
    <w:rsid w:val="00E33C8C"/>
    <w:rsid w:val="00EB12DF"/>
    <w:rsid w:val="00EB3F1E"/>
    <w:rsid w:val="00ED557B"/>
    <w:rsid w:val="00FD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5226"/>
  <w15:chartTrackingRefBased/>
  <w15:docId w15:val="{3FAEFC14-CDF4-45FF-8BD3-7BB0FB78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before="100" w:beforeAutospacing="1"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349"/>
    <w:pPr>
      <w:spacing w:before="0" w:beforeAutospacing="0" w:after="200" w:line="276"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E1349"/>
    <w:pPr>
      <w:pBdr>
        <w:top w:val="nil"/>
        <w:left w:val="nil"/>
        <w:bottom w:val="nil"/>
        <w:right w:val="nil"/>
        <w:between w:val="nil"/>
        <w:bar w:val="nil"/>
      </w:pBdr>
      <w:spacing w:before="0" w:beforeAutospacing="0" w:after="0" w:line="240" w:lineRule="auto"/>
    </w:pPr>
    <w:rPr>
      <w:rFonts w:ascii="Helvetica" w:eastAsia="Arial Unicode MS" w:hAnsi="Helvetica" w:cs="Arial Unicode MS"/>
      <w:color w:val="000000"/>
      <w:sz w:val="22"/>
      <w:u w:color="000000"/>
      <w:bdr w:val="nil"/>
      <w:lang w:val="en-US" w:eastAsia="en-GB"/>
    </w:rPr>
  </w:style>
  <w:style w:type="paragraph" w:styleId="FootnoteText">
    <w:name w:val="footnote text"/>
    <w:basedOn w:val="Normal"/>
    <w:link w:val="FootnoteTextChar"/>
    <w:uiPriority w:val="99"/>
    <w:semiHidden/>
    <w:unhideWhenUsed/>
    <w:rsid w:val="00CE1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349"/>
    <w:rPr>
      <w:rFonts w:cstheme="minorBidi"/>
      <w:sz w:val="20"/>
      <w:szCs w:val="20"/>
    </w:rPr>
  </w:style>
  <w:style w:type="character" w:styleId="FootnoteReference">
    <w:name w:val="footnote reference"/>
    <w:basedOn w:val="DefaultParagraphFont"/>
    <w:uiPriority w:val="99"/>
    <w:semiHidden/>
    <w:unhideWhenUsed/>
    <w:rsid w:val="00CE1349"/>
    <w:rPr>
      <w:vertAlign w:val="superscript"/>
    </w:rPr>
  </w:style>
  <w:style w:type="paragraph" w:styleId="NoSpacing">
    <w:name w:val="No Spacing"/>
    <w:uiPriority w:val="1"/>
    <w:qFormat/>
    <w:rsid w:val="00CE1349"/>
    <w:pPr>
      <w:spacing w:before="0" w:beforeAutospacing="0" w:after="0" w:line="240" w:lineRule="auto"/>
    </w:pPr>
    <w:rPr>
      <w:rFonts w:cstheme="minorBidi"/>
    </w:rPr>
  </w:style>
  <w:style w:type="paragraph" w:customStyle="1" w:styleId="Body">
    <w:name w:val="Body"/>
    <w:rsid w:val="00CE1349"/>
    <w:pPr>
      <w:pBdr>
        <w:top w:val="nil"/>
        <w:left w:val="nil"/>
        <w:bottom w:val="nil"/>
        <w:right w:val="nil"/>
        <w:between w:val="nil"/>
        <w:bar w:val="nil"/>
      </w:pBdr>
      <w:spacing w:before="0" w:beforeAutospacing="0" w:after="0" w:line="240" w:lineRule="auto"/>
    </w:pPr>
    <w:rPr>
      <w:rFonts w:ascii="Helvetica" w:eastAsia="Arial Unicode MS" w:hAnsi="Helvetica" w:cs="Arial Unicode MS"/>
      <w:color w:val="000000"/>
      <w:sz w:val="22"/>
      <w:bdr w:val="nil"/>
      <w:lang w:val="en-US" w:eastAsia="en-GB"/>
    </w:rPr>
  </w:style>
  <w:style w:type="paragraph" w:customStyle="1" w:styleId="Default">
    <w:name w:val="Default"/>
    <w:rsid w:val="00CE1349"/>
    <w:pPr>
      <w:pBdr>
        <w:top w:val="nil"/>
        <w:left w:val="nil"/>
        <w:bottom w:val="nil"/>
        <w:right w:val="nil"/>
        <w:between w:val="nil"/>
        <w:bar w:val="nil"/>
      </w:pBdr>
      <w:spacing w:before="0" w:beforeAutospacing="0" w:after="0" w:line="240" w:lineRule="auto"/>
    </w:pPr>
    <w:rPr>
      <w:rFonts w:ascii="Helvetica" w:eastAsia="Arial Unicode MS" w:hAnsi="Helvetica" w:cs="Arial Unicode MS"/>
      <w:color w:val="000000"/>
      <w:sz w:val="22"/>
      <w:bdr w:val="nil"/>
      <w:lang w:val="en-US" w:eastAsia="en-GB"/>
    </w:rPr>
  </w:style>
  <w:style w:type="paragraph" w:styleId="BalloonText">
    <w:name w:val="Balloon Text"/>
    <w:basedOn w:val="Normal"/>
    <w:link w:val="BalloonTextChar"/>
    <w:uiPriority w:val="99"/>
    <w:semiHidden/>
    <w:unhideWhenUsed/>
    <w:rsid w:val="00CE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49"/>
    <w:rPr>
      <w:rFonts w:ascii="Tahoma" w:hAnsi="Tahoma" w:cs="Tahoma"/>
      <w:sz w:val="16"/>
      <w:szCs w:val="16"/>
    </w:rPr>
  </w:style>
  <w:style w:type="table" w:styleId="TableGrid">
    <w:name w:val="Table Grid"/>
    <w:basedOn w:val="TableNormal"/>
    <w:uiPriority w:val="59"/>
    <w:rsid w:val="00CE1349"/>
    <w:pPr>
      <w:spacing w:before="0" w:beforeAutospacing="0"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1349"/>
    <w:pPr>
      <w:ind w:left="720"/>
      <w:contextualSpacing/>
    </w:pPr>
  </w:style>
  <w:style w:type="paragraph" w:customStyle="1" w:styleId="Footnote">
    <w:name w:val="Footnote"/>
    <w:rsid w:val="00CE1349"/>
    <w:pPr>
      <w:pBdr>
        <w:top w:val="nil"/>
        <w:left w:val="nil"/>
        <w:bottom w:val="nil"/>
        <w:right w:val="nil"/>
        <w:between w:val="nil"/>
        <w:bar w:val="nil"/>
      </w:pBdr>
      <w:spacing w:before="0" w:beforeAutospacing="0" w:after="0" w:line="240" w:lineRule="auto"/>
    </w:pPr>
    <w:rPr>
      <w:rFonts w:ascii="Helvetica" w:eastAsia="Helvetica" w:hAnsi="Helvetica" w:cs="Helvetica"/>
      <w:color w:val="000000"/>
      <w:sz w:val="22"/>
      <w:u w:color="000000"/>
      <w:bdr w:val="nil"/>
      <w:lang w:val="en-US" w:eastAsia="en-GB"/>
    </w:rPr>
  </w:style>
  <w:style w:type="character" w:styleId="Hyperlink">
    <w:name w:val="Hyperlink"/>
    <w:basedOn w:val="DefaultParagraphFont"/>
    <w:uiPriority w:val="99"/>
    <w:unhideWhenUsed/>
    <w:rsid w:val="00CE1349"/>
    <w:rPr>
      <w:color w:val="0563C1" w:themeColor="hyperlink"/>
      <w:u w:val="single"/>
    </w:rPr>
  </w:style>
  <w:style w:type="character" w:customStyle="1" w:styleId="UnresolvedMention1">
    <w:name w:val="Unresolved Mention1"/>
    <w:basedOn w:val="DefaultParagraphFont"/>
    <w:uiPriority w:val="99"/>
    <w:semiHidden/>
    <w:unhideWhenUsed/>
    <w:rsid w:val="00CE1349"/>
    <w:rPr>
      <w:color w:val="808080"/>
      <w:shd w:val="clear" w:color="auto" w:fill="E6E6E6"/>
    </w:rPr>
  </w:style>
  <w:style w:type="paragraph" w:styleId="Header">
    <w:name w:val="header"/>
    <w:basedOn w:val="Normal"/>
    <w:link w:val="HeaderChar"/>
    <w:uiPriority w:val="99"/>
    <w:unhideWhenUsed/>
    <w:rsid w:val="00CE1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349"/>
    <w:rPr>
      <w:rFonts w:cstheme="minorBidi"/>
    </w:rPr>
  </w:style>
  <w:style w:type="paragraph" w:styleId="Footer">
    <w:name w:val="footer"/>
    <w:basedOn w:val="Normal"/>
    <w:link w:val="FooterChar"/>
    <w:uiPriority w:val="99"/>
    <w:unhideWhenUsed/>
    <w:rsid w:val="00CE1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349"/>
    <w:rPr>
      <w:rFonts w:cstheme="minorBidi"/>
    </w:rPr>
  </w:style>
  <w:style w:type="character" w:styleId="UnresolvedMention">
    <w:name w:val="Unresolved Mention"/>
    <w:basedOn w:val="DefaultParagraphFont"/>
    <w:uiPriority w:val="99"/>
    <w:semiHidden/>
    <w:unhideWhenUsed/>
    <w:rsid w:val="00641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thconnec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historicaltexts.jisc.ac.uk/collections" TargetMode="External"/><Relationship Id="rId2" Type="http://schemas.openxmlformats.org/officeDocument/2006/relationships/hyperlink" Target="http://emop.tamu.edu/news" TargetMode="External"/><Relationship Id="rId1" Type="http://schemas.openxmlformats.org/officeDocument/2006/relationships/hyperlink" Target="https://www.gale.com/primary-sources/eighteenth-century-collections-online" TargetMode="External"/><Relationship Id="rId5" Type="http://schemas.openxmlformats.org/officeDocument/2006/relationships/hyperlink" Target="https://comhis.github.io/outputs/" TargetMode="External"/><Relationship Id="rId4" Type="http://schemas.openxmlformats.org/officeDocument/2006/relationships/hyperlink" Target="htt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DC80-544A-6B48-8E02-EB1029FE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6954</Words>
  <Characters>39643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Microsoft Office User</cp:lastModifiedBy>
  <cp:revision>2</cp:revision>
  <dcterms:created xsi:type="dcterms:W3CDTF">2018-12-18T11:51:00Z</dcterms:created>
  <dcterms:modified xsi:type="dcterms:W3CDTF">2018-12-18T11:51:00Z</dcterms:modified>
</cp:coreProperties>
</file>