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AF03" w14:textId="7463E84E" w:rsidR="00E81339" w:rsidRPr="00640AE1" w:rsidRDefault="00BF6903">
      <w:pPr>
        <w:pStyle w:val="Body"/>
        <w:spacing w:line="480" w:lineRule="auto"/>
        <w:rPr>
          <w:b/>
          <w:bCs/>
          <w:sz w:val="24"/>
          <w:szCs w:val="24"/>
          <w:lang w:val="en-GB"/>
        </w:rPr>
      </w:pPr>
      <w:r w:rsidRPr="00640AE1">
        <w:rPr>
          <w:b/>
          <w:bCs/>
          <w:sz w:val="24"/>
          <w:szCs w:val="24"/>
          <w:lang w:val="en-GB"/>
        </w:rPr>
        <w:t>Abstract</w:t>
      </w:r>
    </w:p>
    <w:p w14:paraId="4589F6EF" w14:textId="6FFBD7CE" w:rsidR="00E81339" w:rsidRPr="00640AE1" w:rsidRDefault="00BF6903">
      <w:pPr>
        <w:pStyle w:val="Body"/>
        <w:spacing w:line="480" w:lineRule="auto"/>
        <w:rPr>
          <w:sz w:val="24"/>
          <w:szCs w:val="24"/>
          <w:lang w:val="en-GB"/>
        </w:rPr>
      </w:pPr>
      <w:r w:rsidRPr="00640AE1">
        <w:rPr>
          <w:b/>
          <w:bCs/>
          <w:sz w:val="24"/>
          <w:szCs w:val="24"/>
          <w:lang w:val="en-GB"/>
        </w:rPr>
        <w:t xml:space="preserve">Introduction: </w:t>
      </w:r>
      <w:r w:rsidR="00935911" w:rsidRPr="00640AE1">
        <w:rPr>
          <w:sz w:val="24"/>
          <w:szCs w:val="24"/>
          <w:lang w:val="en-GB"/>
        </w:rPr>
        <w:t xml:space="preserve">The current study aims to explore </w:t>
      </w:r>
      <w:r w:rsidR="00B52AA6" w:rsidRPr="00640AE1">
        <w:rPr>
          <w:sz w:val="24"/>
          <w:szCs w:val="24"/>
          <w:lang w:val="en-GB"/>
        </w:rPr>
        <w:t>the</w:t>
      </w:r>
      <w:r w:rsidR="00935911" w:rsidRPr="00640AE1">
        <w:rPr>
          <w:sz w:val="24"/>
          <w:szCs w:val="24"/>
          <w:lang w:val="en-GB"/>
        </w:rPr>
        <w:t xml:space="preserve"> relationships</w:t>
      </w:r>
      <w:r w:rsidR="00B52AA6" w:rsidRPr="00640AE1">
        <w:rPr>
          <w:sz w:val="24"/>
          <w:szCs w:val="24"/>
          <w:lang w:val="en-GB"/>
        </w:rPr>
        <w:t xml:space="preserve"> between beliefs about emotions, emotional suppression, distress and global impact (i.e. the extent to which a patient’s symptoms impact their life)</w:t>
      </w:r>
      <w:r w:rsidR="00935911" w:rsidRPr="00640AE1">
        <w:rPr>
          <w:sz w:val="24"/>
          <w:szCs w:val="24"/>
          <w:lang w:val="en-GB"/>
        </w:rPr>
        <w:t xml:space="preserve"> </w:t>
      </w:r>
      <w:r w:rsidR="00DB4B3D" w:rsidRPr="00640AE1">
        <w:rPr>
          <w:sz w:val="24"/>
          <w:szCs w:val="24"/>
          <w:lang w:val="en-GB"/>
        </w:rPr>
        <w:t xml:space="preserve">in a longitudinal design </w:t>
      </w:r>
      <w:r w:rsidR="00935911" w:rsidRPr="00640AE1">
        <w:rPr>
          <w:sz w:val="24"/>
          <w:szCs w:val="24"/>
          <w:lang w:val="en-GB"/>
        </w:rPr>
        <w:t>with patients who are taking part in a pain management programme.</w:t>
      </w:r>
      <w:r w:rsidR="00306BE4" w:rsidRPr="00640AE1">
        <w:rPr>
          <w:sz w:val="24"/>
          <w:szCs w:val="24"/>
          <w:lang w:val="en-GB"/>
        </w:rPr>
        <w:t xml:space="preserve"> </w:t>
      </w:r>
      <w:r w:rsidRPr="00640AE1">
        <w:rPr>
          <w:sz w:val="24"/>
          <w:szCs w:val="24"/>
          <w:lang w:val="en-GB"/>
        </w:rPr>
        <w:t xml:space="preserve"> </w:t>
      </w:r>
      <w:r w:rsidRPr="00640AE1">
        <w:rPr>
          <w:b/>
          <w:bCs/>
          <w:sz w:val="24"/>
          <w:szCs w:val="24"/>
          <w:lang w:val="en-GB"/>
        </w:rPr>
        <w:t xml:space="preserve">Method: </w:t>
      </w:r>
      <w:r w:rsidRPr="00640AE1">
        <w:rPr>
          <w:sz w:val="24"/>
          <w:szCs w:val="24"/>
          <w:lang w:val="en-GB"/>
        </w:rPr>
        <w:t>Forty participants with fibromyalgia</w:t>
      </w:r>
      <w:r w:rsidR="00306BE4" w:rsidRPr="00640AE1">
        <w:rPr>
          <w:sz w:val="24"/>
          <w:szCs w:val="24"/>
          <w:lang w:val="en-GB"/>
        </w:rPr>
        <w:t xml:space="preserve"> took part in</w:t>
      </w:r>
      <w:r w:rsidRPr="00640AE1">
        <w:rPr>
          <w:sz w:val="24"/>
          <w:szCs w:val="24"/>
          <w:lang w:val="en-GB"/>
        </w:rPr>
        <w:t xml:space="preserve"> pain management programme</w:t>
      </w:r>
      <w:r w:rsidR="00306BE4" w:rsidRPr="00640AE1">
        <w:rPr>
          <w:sz w:val="24"/>
          <w:szCs w:val="24"/>
          <w:lang w:val="en-GB"/>
        </w:rPr>
        <w:t>s</w:t>
      </w:r>
      <w:r w:rsidR="00DB4B3D" w:rsidRPr="00640AE1">
        <w:rPr>
          <w:sz w:val="24"/>
          <w:szCs w:val="24"/>
          <w:lang w:val="en-GB"/>
        </w:rPr>
        <w:t xml:space="preserve"> at multiple sites</w:t>
      </w:r>
      <w:r w:rsidRPr="00640AE1">
        <w:rPr>
          <w:sz w:val="24"/>
          <w:szCs w:val="24"/>
          <w:lang w:val="en-GB"/>
        </w:rPr>
        <w:t xml:space="preserve"> as part of their usual care in the National Health Service. Measures of beliefs about the unacceptability of experiencing and expressing emotions, emotional suppression, distress and global impact</w:t>
      </w:r>
      <w:r w:rsidR="00DB4B3D" w:rsidRPr="00640AE1">
        <w:rPr>
          <w:sz w:val="24"/>
          <w:szCs w:val="24"/>
          <w:lang w:val="en-GB"/>
        </w:rPr>
        <w:t xml:space="preserve"> </w:t>
      </w:r>
      <w:r w:rsidRPr="00640AE1">
        <w:rPr>
          <w:sz w:val="24"/>
          <w:szCs w:val="24"/>
          <w:lang w:val="en-GB"/>
        </w:rPr>
        <w:t xml:space="preserve">were </w:t>
      </w:r>
      <w:r w:rsidR="00625268" w:rsidRPr="00640AE1">
        <w:rPr>
          <w:sz w:val="24"/>
          <w:szCs w:val="24"/>
          <w:lang w:val="en-GB"/>
        </w:rPr>
        <w:t xml:space="preserve">completed </w:t>
      </w:r>
      <w:r w:rsidRPr="00640AE1">
        <w:rPr>
          <w:sz w:val="24"/>
          <w:szCs w:val="24"/>
          <w:lang w:val="en-GB"/>
        </w:rPr>
        <w:t xml:space="preserve">before and after </w:t>
      </w:r>
      <w:r w:rsidR="00184E7C" w:rsidRPr="00640AE1">
        <w:rPr>
          <w:sz w:val="24"/>
          <w:szCs w:val="24"/>
          <w:lang w:val="en-GB"/>
        </w:rPr>
        <w:t>the programmes</w:t>
      </w:r>
      <w:r w:rsidRPr="00640AE1">
        <w:rPr>
          <w:sz w:val="24"/>
          <w:szCs w:val="24"/>
          <w:lang w:val="en-GB"/>
        </w:rPr>
        <w:t xml:space="preserve">. </w:t>
      </w:r>
      <w:r w:rsidRPr="00640AE1">
        <w:rPr>
          <w:b/>
          <w:bCs/>
          <w:sz w:val="24"/>
          <w:szCs w:val="24"/>
          <w:lang w:val="en-GB"/>
        </w:rPr>
        <w:t xml:space="preserve">Results: </w:t>
      </w:r>
      <w:r w:rsidRPr="00640AE1">
        <w:rPr>
          <w:sz w:val="24"/>
          <w:szCs w:val="24"/>
          <w:lang w:val="en-GB"/>
        </w:rPr>
        <w:t xml:space="preserve">Beliefs about emotions significantly reduced following treatment, but emotional suppression did not. Changes in beliefs about emotion correlated with changes in emotional suppression. Changes in distress were related to changes in suppression and </w:t>
      </w:r>
      <w:r w:rsidR="008560A3" w:rsidRPr="00640AE1">
        <w:rPr>
          <w:sz w:val="24"/>
          <w:szCs w:val="24"/>
          <w:lang w:val="en-GB"/>
        </w:rPr>
        <w:t>the relationship between global impact and beliefs about emotions was approaching significance</w:t>
      </w:r>
      <w:r w:rsidRPr="00640AE1">
        <w:rPr>
          <w:sz w:val="24"/>
          <w:szCs w:val="24"/>
          <w:lang w:val="en-GB"/>
        </w:rPr>
        <w:t xml:space="preserve">. </w:t>
      </w:r>
      <w:r w:rsidRPr="00640AE1">
        <w:rPr>
          <w:b/>
          <w:bCs/>
          <w:sz w:val="24"/>
          <w:szCs w:val="24"/>
          <w:lang w:val="en-GB"/>
        </w:rPr>
        <w:t xml:space="preserve">Conclusions: </w:t>
      </w:r>
      <w:r w:rsidRPr="00640AE1">
        <w:rPr>
          <w:sz w:val="24"/>
          <w:szCs w:val="24"/>
          <w:lang w:val="en-GB"/>
        </w:rPr>
        <w:t>Emotional suppression and beliefs about emotions may play a role in the improvement in distress following treatment. However future research should examine these variables as mediators of the effect of treatment compared to waitlist controls in a larger sample.</w:t>
      </w:r>
    </w:p>
    <w:p w14:paraId="58D2F76E" w14:textId="77777777" w:rsidR="00E81339" w:rsidRPr="00640AE1" w:rsidRDefault="00E81339">
      <w:pPr>
        <w:pStyle w:val="Body"/>
        <w:spacing w:line="480" w:lineRule="auto"/>
        <w:rPr>
          <w:sz w:val="24"/>
          <w:szCs w:val="24"/>
          <w:lang w:val="en-GB"/>
        </w:rPr>
      </w:pPr>
    </w:p>
    <w:p w14:paraId="306B112D" w14:textId="77777777" w:rsidR="00E81339" w:rsidRPr="00640AE1" w:rsidRDefault="00BF6903">
      <w:pPr>
        <w:pStyle w:val="Body"/>
        <w:rPr>
          <w:sz w:val="24"/>
          <w:szCs w:val="24"/>
          <w:lang w:val="en-GB"/>
        </w:rPr>
      </w:pPr>
      <w:r w:rsidRPr="00640AE1">
        <w:rPr>
          <w:b/>
          <w:bCs/>
          <w:sz w:val="24"/>
          <w:szCs w:val="24"/>
          <w:lang w:val="en-GB"/>
        </w:rPr>
        <w:t xml:space="preserve">Keywords: </w:t>
      </w:r>
      <w:r w:rsidRPr="00640AE1">
        <w:rPr>
          <w:sz w:val="24"/>
          <w:szCs w:val="24"/>
          <w:lang w:val="en-GB"/>
        </w:rPr>
        <w:t>fibromyalgia, pain management, beliefs about emotions, distress</w:t>
      </w:r>
    </w:p>
    <w:p w14:paraId="167EB980" w14:textId="77777777" w:rsidR="00E81339" w:rsidRPr="00640AE1" w:rsidRDefault="00BF6903">
      <w:pPr>
        <w:pStyle w:val="Body"/>
        <w:rPr>
          <w:lang w:val="en-GB"/>
        </w:rPr>
      </w:pPr>
      <w:r w:rsidRPr="00640AE1">
        <w:rPr>
          <w:sz w:val="24"/>
          <w:szCs w:val="24"/>
          <w:lang w:val="en-GB"/>
        </w:rPr>
        <w:br w:type="page"/>
      </w:r>
    </w:p>
    <w:p w14:paraId="169F2849" w14:textId="77777777" w:rsidR="005E03AB" w:rsidRPr="00640AE1" w:rsidRDefault="005E03AB">
      <w:pPr>
        <w:pStyle w:val="Body"/>
        <w:spacing w:line="480" w:lineRule="auto"/>
        <w:ind w:firstLine="720"/>
        <w:jc w:val="both"/>
        <w:rPr>
          <w:b/>
          <w:sz w:val="24"/>
          <w:szCs w:val="24"/>
          <w:lang w:val="en-GB"/>
        </w:rPr>
      </w:pPr>
      <w:r w:rsidRPr="00640AE1">
        <w:rPr>
          <w:b/>
          <w:sz w:val="24"/>
          <w:szCs w:val="24"/>
          <w:lang w:val="en-GB"/>
        </w:rPr>
        <w:lastRenderedPageBreak/>
        <w:t>Introduction</w:t>
      </w:r>
    </w:p>
    <w:p w14:paraId="29BFFC75" w14:textId="14D45239" w:rsidR="00391930" w:rsidRPr="00640AE1" w:rsidRDefault="00BF6903" w:rsidP="00306BE4">
      <w:pPr>
        <w:pStyle w:val="Body"/>
        <w:spacing w:line="480" w:lineRule="auto"/>
        <w:ind w:firstLine="720"/>
        <w:jc w:val="both"/>
        <w:rPr>
          <w:sz w:val="24"/>
          <w:szCs w:val="24"/>
          <w:lang w:val="en-GB"/>
        </w:rPr>
      </w:pPr>
      <w:r w:rsidRPr="00640AE1">
        <w:rPr>
          <w:sz w:val="24"/>
          <w:szCs w:val="24"/>
          <w:lang w:val="en-GB"/>
        </w:rPr>
        <w:t xml:space="preserve">Fibromyalgia is a condition consisting of widespread pain, fatigue and cognitive and sleep impairments </w:t>
      </w:r>
      <w:r w:rsidR="003E246C" w:rsidRPr="00640AE1">
        <w:rPr>
          <w:sz w:val="24"/>
          <w:szCs w:val="24"/>
          <w:lang w:val="en-GB"/>
        </w:rPr>
        <w:fldChar w:fldCharType="begin" w:fldLock="1"/>
      </w:r>
      <w:r w:rsidR="00D63EE9" w:rsidRPr="00640AE1">
        <w:rPr>
          <w:sz w:val="24"/>
          <w:szCs w:val="24"/>
          <w:lang w:val="en-GB"/>
        </w:rPr>
        <w:instrText>ADDIN CSL_CITATION {"citationItems":[{"id":"ITEM-1","itemData":{"DOI":"10.1002/acr.20140","ISBN":"2151-4658 (Electronic)\\n2151-464X (Linking)","ISSN":"21514658","PMID":"20461783","abstract":"To develop simple, practical criteria for clinical diagnosis of fibromyalgia that are suitable for use in primary and specialty care and that do not require a tender point examination, and to provide a severity scale for characteristic fibromyalgia symptoms.","author":[{"dropping-particle":"","family":"Wolfe","given":"Frederick","non-dropping-particle":"","parse-names":false,"suffix":""},{"dropping-particle":"","family":"Clauw","given":"Daniel J.","non-dropping-particle":"","parse-names":false,"suffix":""},{"dropping-particle":"","family":"Fitzcharles","given":"Mary Ann","non-dropping-particle":"","parse-names":false,"suffix":""},{"dropping-particle":"","family":"Goldenberg","given":"Don L.","non-dropping-particle":"","parse-names":false,"suffix":""},{"dropping-particle":"","family":"Katz","given":"Robert S.","non-dropping-particle":"","parse-names":false,"suffix":""},{"dropping-particle":"","family":"Mease","given":"Philip","non-dropping-particle":"","parse-names":false,"suffix":""},{"dropping-particle":"","family":"Russell","given":"Anthony S.","non-dropping-particle":"","parse-names":false,"suffix":""},{"dropping-particle":"","family":"Russell","given":"I. Jon","non-dropping-particle":"","parse-names":false,"suffix":""},{"dropping-particle":"","family":"Winfield","given":"John B.","non-dropping-particle":"","parse-names":false,"suffix":""},{"dropping-particle":"","family":"Yunus","given":"Muhammad B.","non-dropping-particle":"","parse-names":false,"suffix":""}],"container-title":"Arthritis Care and Research","id":"ITEM-1","issue":"5","issued":{"date-parts":[["2010"]]},"page":"600-610","title":"The American College of Rheumatology preliminary diagnostic criteria for fibromyalgia and measurement of symptom severity","type":"article-journal","volume":"62"},"uris":["http://www.mendeley.com/documents/?uuid=fb2caf47-6e29-4793-af30-d46118cd66c3"]}],"mendeley":{"formattedCitation":"(1)","plainTextFormattedCitation":"(1)","previouslyFormattedCitation":"(1)"},"properties":{"noteIndex":0},"schema":"https://github.com/citation-style-language/schema/raw/master/csl-citation.json"}</w:instrText>
      </w:r>
      <w:r w:rsidR="003E246C" w:rsidRPr="00640AE1">
        <w:rPr>
          <w:sz w:val="24"/>
          <w:szCs w:val="24"/>
          <w:lang w:val="en-GB"/>
        </w:rPr>
        <w:fldChar w:fldCharType="separate"/>
      </w:r>
      <w:r w:rsidR="003E246C" w:rsidRPr="00640AE1">
        <w:rPr>
          <w:noProof/>
          <w:sz w:val="24"/>
          <w:szCs w:val="24"/>
          <w:lang w:val="en-GB"/>
        </w:rPr>
        <w:t>(1)</w:t>
      </w:r>
      <w:r w:rsidR="003E246C" w:rsidRPr="00640AE1">
        <w:rPr>
          <w:sz w:val="24"/>
          <w:szCs w:val="24"/>
          <w:lang w:val="en-GB"/>
        </w:rPr>
        <w:fldChar w:fldCharType="end"/>
      </w:r>
      <w:r w:rsidR="003E246C" w:rsidRPr="00640AE1">
        <w:rPr>
          <w:sz w:val="24"/>
          <w:szCs w:val="24"/>
          <w:lang w:val="en-GB"/>
        </w:rPr>
        <w:t xml:space="preserve">. </w:t>
      </w:r>
      <w:r w:rsidR="00391930" w:rsidRPr="00640AE1">
        <w:rPr>
          <w:sz w:val="24"/>
          <w:szCs w:val="24"/>
          <w:lang w:val="en-GB"/>
        </w:rPr>
        <w:t xml:space="preserve">There is extensive research aiming to understand the pathophysiology of the condition as well as the role of psychological factors. Biomedical </w:t>
      </w:r>
      <w:r w:rsidR="006C08E5" w:rsidRPr="00640AE1">
        <w:rPr>
          <w:sz w:val="24"/>
          <w:szCs w:val="24"/>
          <w:lang w:val="en-GB"/>
        </w:rPr>
        <w:t xml:space="preserve">explanations </w:t>
      </w:r>
      <w:r w:rsidR="00391930" w:rsidRPr="00640AE1">
        <w:rPr>
          <w:sz w:val="24"/>
          <w:szCs w:val="24"/>
          <w:lang w:val="en-GB"/>
        </w:rPr>
        <w:t xml:space="preserve">have argued that the disorder is caused by physiological impairments, such as reduced pressure pain thresholds as a result of central sensitisation and a dysfunction in endogenous pain inhibition </w:t>
      </w:r>
      <w:r w:rsidR="00391930" w:rsidRPr="00640AE1">
        <w:rPr>
          <w:sz w:val="24"/>
          <w:szCs w:val="24"/>
          <w:lang w:val="en-GB"/>
        </w:rPr>
        <w:fldChar w:fldCharType="begin" w:fldLock="1"/>
      </w:r>
      <w:r w:rsidR="00D63EE9" w:rsidRPr="00640AE1">
        <w:rPr>
          <w:sz w:val="24"/>
          <w:szCs w:val="24"/>
          <w:lang w:val="en-GB"/>
        </w:rPr>
        <w:instrText>ADDIN CSL_CITATION {"citationItems":[{"id":"ITEM-1","itemData":{"DOI":"10.1186/ar3306","ISBN":"1478-6362 (Electronic)\\r1478-6354 (Linking)","ISSN":"1478-6354","PMID":"21542893","abstract":"Pain is a key component of most rheumatologic diseases. In fibromyalgia, the importance of central nervous system pain mechanisms (for example, loss of descending analgesic activity and central sensitization) is well documented. A few studies have also noted alterations in central pain processing in osteoarthritis, and some data, including the observation of widespread pain sensitivity, suggest that central pain-processing defects may alter the pain response in rheumatoid arthritis patients. When central pain is identified, different classes of analgesics (for example, serotonin-norepinephrine reuptake inhibitors, α2δ ligands) may be more effective than drugs that treat peripheral or nociceptive pain (for example, nonsteroidal anti-inflammatory drugs and opioids).","author":[{"dropping-particle":"","family":"Lee","given":"Yvonne C","non-dropping-particle":"","parse-names":false,"suffix":""},{"dropping-particle":"","family":"Nassikas","given":"Nicholas J","non-dropping-particle":"","parse-names":false,"suffix":""},{"dropping-particle":"","family":"Clauw","given":"Daniel J","non-dropping-particle":"","parse-names":false,"suffix":""}],"container-title":"Arthritis Research &amp; Therapy","id":"ITEM-1","issued":{"date-parts":[["2011"]]},"page":"211","title":"The role of the central nervous system in the generation and maintenance of chronic pain in rheumatoid arthritis, osteoarthritis and fibromyalgia","type":"article-journal","volume":"13"},"uris":["http://www.mendeley.com/documents/?uuid=0f2a54d6-54d4-4759-adc8-892bdf5bf868"]},{"id":"ITEM-2","itemData":{"DOI":"10.1016/j.pain.2010.06.021","ISSN":"0304-3959","author":[{"dropping-particle":"","family":"Lannersten","given":"Lisa","non-dropping-particle":"","parse-names":false,"suffix":""},{"dropping-particle":"","family":"Kosek","given":"Eva","non-dropping-particle":"","parse-names":false,"suffix":""}],"container-title":"Pain","id":"ITEM-2","issue":"1","issued":{"date-parts":[["2010","10"]]},"page":"77-86","title":"Dysfunction of endogenous pain inhibition during exercise with painful muscles in patients with shoulder myalgia and fibromyalgia","type":"article-journal","volume":"151"},"uris":["http://www.mendeley.com/documents/?uuid=6952f9b5-00a5-3967-a72a-16d87d33debe"]}],"mendeley":{"formattedCitation":"(2,3)","plainTextFormattedCitation":"(2,3)","previouslyFormattedCitation":"(2,3)"},"properties":{"noteIndex":0},"schema":"https://github.com/citation-style-language/schema/raw/master/csl-citation.json"}</w:instrText>
      </w:r>
      <w:r w:rsidR="00391930" w:rsidRPr="00640AE1">
        <w:rPr>
          <w:sz w:val="24"/>
          <w:szCs w:val="24"/>
          <w:lang w:val="en-GB"/>
        </w:rPr>
        <w:fldChar w:fldCharType="separate"/>
      </w:r>
      <w:r w:rsidR="003E246C" w:rsidRPr="00640AE1">
        <w:rPr>
          <w:noProof/>
          <w:sz w:val="24"/>
          <w:szCs w:val="24"/>
          <w:lang w:val="en-GB"/>
        </w:rPr>
        <w:t>(2,3)</w:t>
      </w:r>
      <w:r w:rsidR="00391930" w:rsidRPr="00640AE1">
        <w:rPr>
          <w:sz w:val="24"/>
          <w:szCs w:val="24"/>
          <w:lang w:val="en-GB"/>
        </w:rPr>
        <w:fldChar w:fldCharType="end"/>
      </w:r>
      <w:r w:rsidR="00391930" w:rsidRPr="00640AE1">
        <w:rPr>
          <w:sz w:val="24"/>
          <w:szCs w:val="24"/>
          <w:lang w:val="en-GB"/>
        </w:rPr>
        <w:t xml:space="preserve">. Biopsychosocial explanations however, in addition to accounting for neurobiological triggers, acknowledge the important role of cognitions, behaviour and social interactions in maintaining </w:t>
      </w:r>
      <w:r w:rsidR="00625268" w:rsidRPr="00640AE1">
        <w:rPr>
          <w:sz w:val="24"/>
          <w:szCs w:val="24"/>
          <w:lang w:val="en-GB"/>
        </w:rPr>
        <w:t xml:space="preserve">symptoms of </w:t>
      </w:r>
      <w:r w:rsidR="00391930" w:rsidRPr="00640AE1">
        <w:rPr>
          <w:sz w:val="24"/>
          <w:szCs w:val="24"/>
          <w:lang w:val="en-GB"/>
        </w:rPr>
        <w:t xml:space="preserve">fibromyalgia </w:t>
      </w:r>
      <w:r w:rsidR="00391930" w:rsidRPr="00640AE1">
        <w:rPr>
          <w:sz w:val="24"/>
          <w:szCs w:val="24"/>
          <w:lang w:val="en-GB"/>
        </w:rPr>
        <w:fldChar w:fldCharType="begin" w:fldLock="1"/>
      </w:r>
      <w:r w:rsidR="00D63EE9" w:rsidRPr="00640AE1">
        <w:rPr>
          <w:sz w:val="24"/>
          <w:szCs w:val="24"/>
          <w:lang w:val="en-GB"/>
        </w:rPr>
        <w:instrText>ADDIN CSL_CITATION {"citationItems":[{"id":"ITEM-1","itemData":{"DOI":"10.1016/j.cpr.2007.07.002","ISSN":"0272-7358","PMID":"17822818","abstract":"The article is a narrative review of the theoretical standing and empirical evidence for the cognitive behavioural model of medically unexplained symptoms (MUS) in general and for chronic fatigue syndrome (CFS) and irritable bowel syndrome (IBS) in particular. A literature search of Medline and Psychinfo from 1966 to the present day was conducted using MUS and related terms as search terms. All relevant articles were reviewed. The search was then limited in stages, by cognitive behavioural therapy (CBT), condition, treatment and type of trial. Evidence was found for genetic, neurological, psychophysiological, immunological, personality, attentional, attributional, affective, behavioural, social and inter-personal factors in the onset and maintenance of MUS. The evidence for the contribution of individual factors, and their autopoietic interaction in MUS (as hypothesised by the cognitive behavioural model) is examined. The evidence from the treatment trials of cognitive behavioural therapy for MUS, CFS and IBS is reviewed as an experimental test of the cognitive behavioural models. We conclude that a broadly conceptualized cognitive behavioural model of MUS suggests a novel and plausible mechanism of symptom generation and has heuristic value. We offer suggestions for further research.","author":[{"dropping-particle":"","family":"Deary","given":"V","non-dropping-particle":"","parse-names":false,"suffix":""},{"dropping-particle":"","family":"Chalder","given":"T","non-dropping-particle":"","parse-names":false,"suffix":""},{"dropping-particle":"","family":"Sharpe","given":"M","non-dropping-particle":"","parse-names":false,"suffix":""}],"container-title":"Clinical Psychology Review","id":"ITEM-1","issue":"7","issued":{"date-parts":[["2007","10"]]},"page":"781-97","title":"The cognitive behavioural model of medically unexplained symptoms: A theoretical and empirical review.","type":"article-journal","volume":"27"},"uris":["http://www.mendeley.com/documents/?uuid=175c953c-26a2-443c-bb05-2317cc93881b"]},{"id":"ITEM-2","itemData":{"author":[{"dropping-particle":"","family":"Salkovskis","given":"P","non-dropping-particle":"","parse-names":false,"suffix":""},{"dropping-particle":"","family":"Gregory","given":"J","non-dropping-particle":"","parse-names":false,"suffix":""},{"dropping-particle":"","family":"Sedgwick-Taylor","given":"A","non-dropping-particle":"","parse-names":false,"suffix":""},{"dropping-particle":"","family":"White","given":"J","non-dropping-particle":"","parse-names":false,"suffix":""},{"dropping-particle":"","family":"Opher","given":"S","non-dropping-particle":"","parse-names":false,"suffix":""},{"dropping-particle":"","family":"Olafsdottir","given":"S","non-dropping-particle":"","parse-names":false,"suffix":""}],"id":"ITEM-2","issued":{"date-parts":[["2016"]]},"title":"Extending Cognitive-Behavioural Theory and Therapy to medically unexplained symptoms and long-term physical conditions: A hybrid transdiagnostic/problem specific approach","type":"article"},"uris":["http://www.mendeley.com/documents/?uuid=671550b6-f049-48a4-b80b-48a9d30e1083"]}],"mendeley":{"formattedCitation":"(4,5)","plainTextFormattedCitation":"(4,5)","previouslyFormattedCitation":"(4,5)"},"properties":{"noteIndex":0},"schema":"https://github.com/citation-style-language/schema/raw/master/csl-citation.json"}</w:instrText>
      </w:r>
      <w:r w:rsidR="00391930" w:rsidRPr="00640AE1">
        <w:rPr>
          <w:sz w:val="24"/>
          <w:szCs w:val="24"/>
          <w:lang w:val="en-GB"/>
        </w:rPr>
        <w:fldChar w:fldCharType="separate"/>
      </w:r>
      <w:r w:rsidR="003E246C" w:rsidRPr="00640AE1">
        <w:rPr>
          <w:noProof/>
          <w:sz w:val="24"/>
          <w:szCs w:val="24"/>
          <w:lang w:val="en-GB"/>
        </w:rPr>
        <w:t>(4,5)</w:t>
      </w:r>
      <w:r w:rsidR="00391930" w:rsidRPr="00640AE1">
        <w:rPr>
          <w:sz w:val="24"/>
          <w:szCs w:val="24"/>
          <w:lang w:val="en-GB"/>
        </w:rPr>
        <w:fldChar w:fldCharType="end"/>
      </w:r>
      <w:r w:rsidR="00391930" w:rsidRPr="00640AE1">
        <w:rPr>
          <w:sz w:val="24"/>
          <w:szCs w:val="24"/>
          <w:lang w:val="en-GB"/>
        </w:rPr>
        <w:t>.</w:t>
      </w:r>
    </w:p>
    <w:p w14:paraId="5BCBB796" w14:textId="25BC42B3" w:rsidR="00D05FF1" w:rsidRPr="00640AE1" w:rsidRDefault="007879CC" w:rsidP="00D05FF1">
      <w:pPr>
        <w:pStyle w:val="Body"/>
        <w:spacing w:line="480" w:lineRule="auto"/>
        <w:ind w:firstLine="720"/>
        <w:jc w:val="both"/>
        <w:rPr>
          <w:sz w:val="24"/>
          <w:szCs w:val="24"/>
          <w:lang w:val="en-GB"/>
        </w:rPr>
      </w:pPr>
      <w:r w:rsidRPr="00640AE1">
        <w:rPr>
          <w:sz w:val="24"/>
          <w:szCs w:val="24"/>
          <w:lang w:val="en-GB"/>
        </w:rPr>
        <w:t>A recent systematic review explore</w:t>
      </w:r>
      <w:r w:rsidR="00445847" w:rsidRPr="00640AE1">
        <w:rPr>
          <w:sz w:val="24"/>
          <w:szCs w:val="24"/>
          <w:lang w:val="en-GB"/>
        </w:rPr>
        <w:t>d</w:t>
      </w:r>
      <w:r w:rsidRPr="00640AE1">
        <w:rPr>
          <w:sz w:val="24"/>
          <w:szCs w:val="24"/>
          <w:lang w:val="en-GB"/>
        </w:rPr>
        <w:t xml:space="preserve"> the role of emotion regulation in chronic pain and its relation to outcomes across 15 studies </w:t>
      </w:r>
      <w:r w:rsidRPr="00640AE1">
        <w:fldChar w:fldCharType="begin" w:fldLock="1"/>
      </w:r>
      <w:r w:rsidR="00D63EE9" w:rsidRPr="00640AE1">
        <w:rPr>
          <w:sz w:val="24"/>
          <w:szCs w:val="24"/>
          <w:lang w:val="en-GB"/>
        </w:rPr>
        <w:instrText>ADDIN CSL_CITATION {"citationItems":[{"id":"ITEM-1","itemData":{"DOI":"10.1016/j.jpsychores.2018.02.002","ISSN":"18791360","PMID":"29502762","abstract":"Objective: Emotion regulation (ER) includes a set of cognitive and attentional processes used to change or maintain emotional state. A small but growing body of research suggests that maladaptive ER might be a risk factor for the development of chronic pain. This review aims to summarize existing literature on the association between ER and chronic pain, and to determine whether the construct of ER may further enhance our understanding of the risk and protective factors that may contribute to the onset and maintenance of chronic pain. Methods: A systematic search was conducted using the search terms “chronic pain” and “emotion regulation.” Studies that measured both constructs across all age groups were included. Results: We found 15 studies that met our inclusion criteria. Nine studies were completed within the last five years, suggesting that the evaluation of ER as it relates to pain is a new line of research. Studies that measured “response-focused” ER found associations between maladaptive ER and pain. Studies that measured “antecedent-focused” ER strategies were less likely to show a direct association with pain. Conclusion: Maladaptive response-focused ER may be an important risk factor in the development and maintenance of chronic pain, as it is associated with pain and psychological comorbidities. Adding ER to chronic pain investigations may help to further explain individual differences in the risk and protective mechanisms that are known to influence chronic pain. Importantly, this line of research has potential to directly inform future interventions for patients with chronic pain.","author":[{"dropping-particle":"","family":"Koechlin","given":"Helen","non-dropping-particle":"","parse-names":false,"suffix":""},{"dropping-particle":"","family":"Coakley","given":"Rachael","non-dropping-particle":"","parse-names":false,"suffix":""},{"dropping-particle":"","family":"Schechter","given":"Neil","non-dropping-particle":"","parse-names":false,"suffix":""},{"dropping-particle":"","family":"Werner","given":"Christoph","non-dropping-particle":"","parse-names":false,"suffix":""},{"dropping-particle":"","family":"Kossowsky","given":"Joe","non-dropping-particle":"","parse-names":false,"suffix":""}],"container-title":"Journal of Psychosomatic Research","id":"ITEM-1","issue":"August 2017","issued":{"date-parts":[["2018"]]},"page":"38-45","publisher":"Elsevier","title":"The role of emotion regulation in chronic pain: A systematic literature review","type":"article-journal","volume":"107"},"uris":["http://www.mendeley.com/documents/?uuid=c9b7ff35-2f8d-49a8-94ff-bf560a4d8ced"]}],"mendeley":{"formattedCitation":"(6)","plainTextFormattedCitation":"(6)","previouslyFormattedCitation":"(6)"},"properties":{"noteIndex":0},"schema":"https://github.com/citation-style-language/schema/raw/master/csl-citation.json"}</w:instrText>
      </w:r>
      <w:r w:rsidRPr="00640AE1">
        <w:fldChar w:fldCharType="separate"/>
      </w:r>
      <w:r w:rsidR="003E246C" w:rsidRPr="00640AE1">
        <w:rPr>
          <w:noProof/>
          <w:sz w:val="24"/>
          <w:szCs w:val="24"/>
          <w:lang w:val="en-GB"/>
        </w:rPr>
        <w:t>(6)</w:t>
      </w:r>
      <w:r w:rsidRPr="00640AE1">
        <w:fldChar w:fldCharType="end"/>
      </w:r>
      <w:r w:rsidRPr="00640AE1">
        <w:rPr>
          <w:sz w:val="24"/>
          <w:szCs w:val="24"/>
          <w:lang w:val="en-GB"/>
        </w:rPr>
        <w:t xml:space="preserve">. Emotion regulation strategies were described as either antecedent-focused (i.e. strategies employed before the emotion is fully developed) or response-focused (i.e. strategies used in response to the experience of an emotion). Strategies such as avoiding situations and cognitive re-appraisal are therefore antecedent-focused, while emotional suppression is response-focused </w:t>
      </w:r>
      <w:r w:rsidRPr="00640AE1">
        <w:fldChar w:fldCharType="begin" w:fldLock="1"/>
      </w:r>
      <w:r w:rsidR="00D63EE9" w:rsidRPr="00640AE1">
        <w:rPr>
          <w:sz w:val="24"/>
          <w:szCs w:val="24"/>
          <w:lang w:val="en-GB"/>
        </w:rPr>
        <w:instrText>ADDIN CSL_CITATION {"citationItems":[{"id":"ITEM-1","itemData":{"author":[{"dropping-particle":"","family":"Gross","given":"J. J.","non-dropping-particle":"","parse-names":false,"suffix":""},{"dropping-particle":"","family":"Levenson","given":"R. W.","non-dropping-particle":"","parse-names":false,"suffix":""}],"container-title":"Journal of Personality and Social Psychology","id":"ITEM-1","issue":"6","issued":{"date-parts":[["1993"]]},"page":"970-986","title":"Emotional suppression: Physiology, self-report, and expressive behavior","type":"article-journal","volume":"64"},"uris":["http://www.mendeley.com/documents/?uuid=3078b2cc-7cae-4da6-b7a4-56d3e82d0f2d"]}],"mendeley":{"formattedCitation":"(7)","plainTextFormattedCitation":"(7)","previouslyFormattedCitation":"(7)"},"properties":{"noteIndex":0},"schema":"https://github.com/citation-style-language/schema/raw/master/csl-citation.json"}</w:instrText>
      </w:r>
      <w:r w:rsidRPr="00640AE1">
        <w:fldChar w:fldCharType="separate"/>
      </w:r>
      <w:r w:rsidR="003E246C" w:rsidRPr="00640AE1">
        <w:rPr>
          <w:noProof/>
          <w:sz w:val="24"/>
          <w:szCs w:val="24"/>
          <w:lang w:val="en-GB"/>
        </w:rPr>
        <w:t>(7)</w:t>
      </w:r>
      <w:r w:rsidRPr="00640AE1">
        <w:fldChar w:fldCharType="end"/>
      </w:r>
      <w:r w:rsidRPr="00640AE1">
        <w:rPr>
          <w:sz w:val="24"/>
          <w:szCs w:val="24"/>
          <w:lang w:val="en-GB"/>
        </w:rPr>
        <w:t xml:space="preserve">. </w:t>
      </w:r>
      <w:r w:rsidR="006A4FD9" w:rsidRPr="00640AE1">
        <w:rPr>
          <w:sz w:val="24"/>
          <w:szCs w:val="24"/>
          <w:lang w:val="en-GB"/>
        </w:rPr>
        <w:t xml:space="preserve">The review found that antecedent-focused strategies </w:t>
      </w:r>
      <w:r w:rsidR="00D05FF1" w:rsidRPr="00640AE1">
        <w:rPr>
          <w:sz w:val="24"/>
          <w:szCs w:val="24"/>
          <w:lang w:val="en-GB"/>
        </w:rPr>
        <w:t xml:space="preserve">(such as cognitive reappraisal) </w:t>
      </w:r>
      <w:r w:rsidR="006A4FD9" w:rsidRPr="00640AE1">
        <w:rPr>
          <w:sz w:val="24"/>
          <w:szCs w:val="24"/>
          <w:lang w:val="en-GB"/>
        </w:rPr>
        <w:t>are more adaptive than response-focused strategies</w:t>
      </w:r>
      <w:r w:rsidR="00D05FF1" w:rsidRPr="00640AE1">
        <w:rPr>
          <w:sz w:val="24"/>
          <w:szCs w:val="24"/>
          <w:lang w:val="en-GB"/>
        </w:rPr>
        <w:t xml:space="preserve"> (such as emotional suppression)</w:t>
      </w:r>
      <w:r w:rsidR="006A4FD9" w:rsidRPr="00640AE1">
        <w:rPr>
          <w:sz w:val="24"/>
          <w:szCs w:val="24"/>
          <w:lang w:val="en-GB"/>
        </w:rPr>
        <w:t xml:space="preserve"> in chronic pain. </w:t>
      </w:r>
      <w:r w:rsidRPr="00640AE1">
        <w:rPr>
          <w:sz w:val="24"/>
          <w:szCs w:val="24"/>
          <w:lang w:val="en-GB"/>
        </w:rPr>
        <w:t xml:space="preserve">  </w:t>
      </w:r>
      <w:r w:rsidR="006A4FD9" w:rsidRPr="00640AE1">
        <w:rPr>
          <w:sz w:val="24"/>
          <w:szCs w:val="24"/>
          <w:lang w:val="en-GB"/>
        </w:rPr>
        <w:t xml:space="preserve">They argue that living with chronic pain results in increased emotional difficulties. These emotional difficulties may then make it more difficult to employ adaptive emotion regulation strategies </w:t>
      </w:r>
      <w:r w:rsidR="006A4FD9" w:rsidRPr="00640AE1">
        <w:fldChar w:fldCharType="begin" w:fldLock="1"/>
      </w:r>
      <w:r w:rsidR="00D63EE9" w:rsidRPr="00640AE1">
        <w:rPr>
          <w:sz w:val="24"/>
          <w:szCs w:val="24"/>
          <w:lang w:val="en-GB"/>
        </w:rPr>
        <w:instrText>ADDIN CSL_CITATION {"citationItems":[{"id":"ITEM-1","itemData":{"DOI":"10.1016/j.jpsychores.2018.02.002","ISSN":"18791360","PMID":"29502762","abstract":"Objective: Emotion regulation (ER) includes a set of cognitive and attentional processes used to change or maintain emotional state. A small but growing body of research suggests that maladaptive ER might be a risk factor for the development of chronic pain. This review aims to summarize existing literature on the association between ER and chronic pain, and to determine whether the construct of ER may further enhance our understanding of the risk and protective factors that may contribute to the onset and maintenance of chronic pain. Methods: A systematic search was conducted using the search terms “chronic pain” and “emotion regulation.” Studies that measured both constructs across all age groups were included. Results: We found 15 studies that met our inclusion criteria. Nine studies were completed within the last five years, suggesting that the evaluation of ER as it relates to pain is a new line of research. Studies that measured “response-focused” ER found associations between maladaptive ER and pain. Studies that measured “antecedent-focused” ER strategies were less likely to show a direct association with pain. Conclusion: Maladaptive response-focused ER may be an important risk factor in the development and maintenance of chronic pain, as it is associated with pain and psychological comorbidities. Adding ER to chronic pain investigations may help to further explain individual differences in the risk and protective mechanisms that are known to influence chronic pain. Importantly, this line of research has potential to directly inform future interventions for patients with chronic pain.","author":[{"dropping-particle":"","family":"Koechlin","given":"Helen","non-dropping-particle":"","parse-names":false,"suffix":""},{"dropping-particle":"","family":"Coakley","given":"Rachael","non-dropping-particle":"","parse-names":false,"suffix":""},{"dropping-particle":"","family":"Schechter","given":"Neil","non-dropping-particle":"","parse-names":false,"suffix":""},{"dropping-particle":"","family":"Werner","given":"Christoph","non-dropping-particle":"","parse-names":false,"suffix":""},{"dropping-particle":"","family":"Kossowsky","given":"Joe","non-dropping-particle":"","parse-names":false,"suffix":""}],"container-title":"Journal of Psychosomatic Research","id":"ITEM-1","issue":"August 2017","issued":{"date-parts":[["2018"]]},"page":"38-45","publisher":"Elsevier","title":"The role of emotion regulation in chronic pain: A systematic literature review","type":"article-journal","volume":"107"},"uris":["http://www.mendeley.com/documents/?uuid=c9b7ff35-2f8d-49a8-94ff-bf560a4d8ced"]}],"mendeley":{"formattedCitation":"(6)","plainTextFormattedCitation":"(6)","previouslyFormattedCitation":"(6)"},"properties":{"noteIndex":0},"schema":"https://github.com/citation-style-language/schema/raw/master/csl-citation.json"}</w:instrText>
      </w:r>
      <w:r w:rsidR="006A4FD9" w:rsidRPr="00640AE1">
        <w:fldChar w:fldCharType="separate"/>
      </w:r>
      <w:r w:rsidR="003E246C" w:rsidRPr="00640AE1">
        <w:rPr>
          <w:noProof/>
          <w:sz w:val="24"/>
          <w:szCs w:val="24"/>
          <w:lang w:val="en-GB"/>
        </w:rPr>
        <w:t>(6)</w:t>
      </w:r>
      <w:r w:rsidR="006A4FD9" w:rsidRPr="00640AE1">
        <w:fldChar w:fldCharType="end"/>
      </w:r>
      <w:r w:rsidR="006A4FD9" w:rsidRPr="00640AE1">
        <w:rPr>
          <w:sz w:val="24"/>
          <w:szCs w:val="24"/>
          <w:lang w:val="en-GB"/>
        </w:rPr>
        <w:t>. While few studies demo</w:t>
      </w:r>
      <w:r w:rsidR="00D05FF1" w:rsidRPr="00640AE1">
        <w:rPr>
          <w:sz w:val="24"/>
          <w:szCs w:val="24"/>
          <w:lang w:val="en-GB"/>
        </w:rPr>
        <w:t>n</w:t>
      </w:r>
      <w:r w:rsidR="006A4FD9" w:rsidRPr="00640AE1">
        <w:rPr>
          <w:sz w:val="24"/>
          <w:szCs w:val="24"/>
          <w:lang w:val="en-GB"/>
        </w:rPr>
        <w:t xml:space="preserve">strated a direct relationship between emotion regulation strategies and pain intensity and disability, there was evidence that emotion regulation is related to well-being, functioning, depression, anxiety and stress, suggesting an indirect relationship between emotion regulation and pain- and disability-related outcomes in chronic pain </w:t>
      </w:r>
      <w:r w:rsidR="006A4FD9" w:rsidRPr="00640AE1">
        <w:rPr>
          <w:sz w:val="24"/>
          <w:szCs w:val="24"/>
          <w:lang w:val="en-GB"/>
        </w:rPr>
        <w:fldChar w:fldCharType="begin" w:fldLock="1"/>
      </w:r>
      <w:r w:rsidR="00D63EE9" w:rsidRPr="00640AE1">
        <w:rPr>
          <w:sz w:val="24"/>
          <w:szCs w:val="24"/>
          <w:lang w:val="en-GB"/>
        </w:rPr>
        <w:instrText>ADDIN CSL_CITATION {"citationItems":[{"id":"ITEM-1","itemData":{"DOI":"10.1016/j.jpsychores.2018.02.002","ISSN":"18791360","PMID":"29502762","abstract":"Objective: Emotion regulation (ER) includes a set of cognitive and attentional processes used to change or maintain emotional state. A small but growing body of research suggests that maladaptive ER might be a risk factor for the development of chronic pain. This review aims to summarize existing literature on the association between ER and chronic pain, and to determine whether the construct of ER may further enhance our understanding of the risk and protective factors that may contribute to the onset and maintenance of chronic pain. Methods: A systematic search was conducted using the search terms “chronic pain” and “emotion regulation.” Studies that measured both constructs across all age groups were included. Results: We found 15 studies that met our inclusion criteria. Nine studies were completed within the last five years, suggesting that the evaluation of ER as it relates to pain is a new line of research. Studies that measured “response-focused” ER found associations between maladaptive ER and pain. Studies that measured “antecedent-focused” ER strategies were less likely to show a direct association with pain. Conclusion: Maladaptive response-focused ER may be an important risk factor in the development and maintenance of chronic pain, as it is associated with pain and psychological comorbidities. Adding ER to chronic pain investigations may help to further explain individual differences in the risk and protective mechanisms that are known to influence chronic pain. Importantly, this line of research has potential to directly inform future interventions for patients with chronic pain.","author":[{"dropping-particle":"","family":"Koechlin","given":"Helen","non-dropping-particle":"","parse-names":false,"suffix":""},{"dropping-particle":"","family":"Coakley","given":"Rachael","non-dropping-particle":"","parse-names":false,"suffix":""},{"dropping-particle":"","family":"Schechter","given":"Neil","non-dropping-particle":"","parse-names":false,"suffix":""},{"dropping-particle":"","family":"Werner","given":"Christoph","non-dropping-particle":"","parse-names":false,"suffix":""},{"dropping-particle":"","family":"Kossowsky","given":"Joe","non-dropping-particle":"","parse-names":false,"suffix":""}],"container-title":"Journal of Psychosomatic Research","id":"ITEM-1","issue":"August 2017","issued":{"date-parts":[["2018"]]},"page":"38-45","publisher":"Elsevier","title":"The role of emotion regulation in chronic pain: A systematic literature review","type":"article-journal","volume":"107"},"uris":["http://www.mendeley.com/documents/?uuid=c9b7ff35-2f8d-49a8-94ff-bf560a4d8ced"]}],"mendeley":{"formattedCitation":"(6)","plainTextFormattedCitation":"(6)","previouslyFormattedCitation":"(6)"},"properties":{"noteIndex":0},"schema":"https://github.com/citation-style-language/schema/raw/master/csl-citation.json"}</w:instrText>
      </w:r>
      <w:r w:rsidR="006A4FD9" w:rsidRPr="00640AE1">
        <w:rPr>
          <w:sz w:val="24"/>
          <w:szCs w:val="24"/>
          <w:lang w:val="en-GB"/>
        </w:rPr>
        <w:fldChar w:fldCharType="separate"/>
      </w:r>
      <w:r w:rsidR="003E246C" w:rsidRPr="00640AE1">
        <w:rPr>
          <w:noProof/>
          <w:sz w:val="24"/>
          <w:szCs w:val="24"/>
          <w:lang w:val="en-GB"/>
        </w:rPr>
        <w:t>(6)</w:t>
      </w:r>
      <w:r w:rsidR="006A4FD9" w:rsidRPr="00640AE1">
        <w:rPr>
          <w:sz w:val="24"/>
          <w:szCs w:val="24"/>
          <w:lang w:val="en-GB"/>
        </w:rPr>
        <w:fldChar w:fldCharType="end"/>
      </w:r>
      <w:r w:rsidR="006A4FD9" w:rsidRPr="00640AE1">
        <w:rPr>
          <w:sz w:val="24"/>
          <w:szCs w:val="24"/>
          <w:lang w:val="en-GB"/>
        </w:rPr>
        <w:t>.</w:t>
      </w:r>
      <w:r w:rsidR="00D05FF1" w:rsidRPr="00640AE1">
        <w:rPr>
          <w:sz w:val="24"/>
          <w:szCs w:val="24"/>
          <w:lang w:val="en-GB"/>
        </w:rPr>
        <w:t xml:space="preserve"> </w:t>
      </w:r>
      <w:r w:rsidR="00D05FF1" w:rsidRPr="00640AE1">
        <w:rPr>
          <w:sz w:val="24"/>
          <w:szCs w:val="24"/>
          <w:lang w:val="en-GB"/>
        </w:rPr>
        <w:lastRenderedPageBreak/>
        <w:t xml:space="preserve">The review therefore argues that emotion regulation could be a useful target in psychological therapies. </w:t>
      </w:r>
    </w:p>
    <w:p w14:paraId="1D0548F5" w14:textId="5DBCDEB5" w:rsidR="00D05FF1" w:rsidRPr="00640AE1" w:rsidRDefault="00D05FF1" w:rsidP="00D05FF1">
      <w:pPr>
        <w:pStyle w:val="Body"/>
        <w:spacing w:line="480" w:lineRule="auto"/>
        <w:ind w:firstLine="720"/>
        <w:jc w:val="both"/>
        <w:rPr>
          <w:sz w:val="24"/>
          <w:szCs w:val="24"/>
          <w:lang w:val="en-GB"/>
        </w:rPr>
      </w:pPr>
      <w:r w:rsidRPr="00640AE1">
        <w:rPr>
          <w:sz w:val="24"/>
          <w:szCs w:val="24"/>
          <w:lang w:val="en-GB"/>
        </w:rPr>
        <w:t>Research exploring beliefs about experiencing and expressing emotions has found indirect relationships</w:t>
      </w:r>
      <w:r w:rsidR="006C08E5" w:rsidRPr="00640AE1">
        <w:rPr>
          <w:sz w:val="24"/>
          <w:szCs w:val="24"/>
          <w:lang w:val="en-GB"/>
        </w:rPr>
        <w:t xml:space="preserve"> between these beliefs and quality of life, distress and physical symptoms</w:t>
      </w:r>
      <w:r w:rsidRPr="00640AE1">
        <w:rPr>
          <w:sz w:val="24"/>
          <w:szCs w:val="24"/>
          <w:lang w:val="en-GB"/>
        </w:rPr>
        <w:t xml:space="preserve">. In healthy participants, the relationships between beliefs about the unacceptability of emotions and fatigue, depression and anxiety were mediated by emotional avoidance and self-compassion </w:t>
      </w:r>
      <w:r w:rsidRPr="00640AE1">
        <w:rPr>
          <w:sz w:val="24"/>
          <w:szCs w:val="24"/>
          <w:lang w:val="en-GB"/>
        </w:rPr>
        <w:fldChar w:fldCharType="begin" w:fldLock="1"/>
      </w:r>
      <w:r w:rsidR="00D63EE9" w:rsidRPr="00640AE1">
        <w:rPr>
          <w:sz w:val="24"/>
          <w:szCs w:val="24"/>
          <w:lang w:val="en-GB"/>
        </w:rPr>
        <w:instrText>ADDIN CSL_CITATION {"citationItems":[{"id":"ITEM-1","itemData":{"DOI":"10.1017/S1352465816000199","ISSN":"1469-1833","PMID":"27585982","abstract":"BACKGROUND Beliefs that it is unacceptable to experience or express negative emotions have been found to be associated with various clinical problems. It is unclear how such beliefs, which could be viewed as a form of unhelpful perfectionism about emotions, may contribute to symptomatology. AIMS This study investigated two hypotheses: a) greater endorsement of beliefs about the unacceptability of negative emotions will be associated with greater emotional avoidance and lower levels of support-seeking and self-compassion; b) these beliefs about emotions will be associated with higher levels of symptoms of depression, anxiety and fatigue and that this relationship will be mediated by social support-seeking, emotional avoidance and self-compassion. METHOD Online questionnaires were completed by 451 community participants. Mediational analyses were undertaken to investigate emotional avoidance, social support-seeking and self-compassion as mediators of the relationship between beliefs about emotions and symptoms of depression, anxiety and fatigue. RESULTS Beliefs about the unacceptability of negative emotions were significantly associated with more emotional avoidance and less self-compassion and support-seeking. The relationships between beliefs about emotions and depression, anxiety and fatigue were significantly mediated by self-compassion and emotional avoidance but not social support-seeking. CONCLUSIONS Future research should investigate whether interventions that pay particular attention to emotional avoidance and self-compassion, such as mindfulness-based therapy or modified forms of CBT, may be beneficial in reducing distress and fatigue associated with beliefs about the unacceptability of negative emotions.","author":[{"dropping-particle":"","family":"Sydenham","given":"Mia","non-dropping-particle":"","parse-names":false,"suffix":""},{"dropping-particle":"","family":"Beardwood","given":"Jennifer","non-dropping-particle":"","parse-names":false,"suffix":""},{"dropping-particle":"","family":"Rimes","given":"Katharine A","non-dropping-particle":"","parse-names":false,"suffix":""}],"container-title":"Behavioural and cognitive psychotherapy","id":"ITEM-1","issued":{"date-parts":[["2016"]]},"page":"1-6","title":"Beliefs about Emotions, Depression, Anxiety and Fatigue: A Mediational Analysis.","type":"article-journal"},"uris":["http://www.mendeley.com/documents/?uuid=e0d6a429-c3e3-4135-a2ee-91cd9984b007"]}],"mendeley":{"formattedCitation":"(8)","plainTextFormattedCitation":"(8)","previouslyFormattedCitation":"(8)"},"properties":{"noteIndex":0},"schema":"https://github.com/citation-style-language/schema/raw/master/csl-citation.json"}</w:instrText>
      </w:r>
      <w:r w:rsidRPr="00640AE1">
        <w:rPr>
          <w:sz w:val="24"/>
          <w:szCs w:val="24"/>
          <w:lang w:val="en-GB"/>
        </w:rPr>
        <w:fldChar w:fldCharType="separate"/>
      </w:r>
      <w:r w:rsidR="003E246C" w:rsidRPr="00640AE1">
        <w:rPr>
          <w:noProof/>
          <w:sz w:val="24"/>
          <w:szCs w:val="24"/>
          <w:lang w:val="en-GB"/>
        </w:rPr>
        <w:t>(8)</w:t>
      </w:r>
      <w:r w:rsidRPr="00640AE1">
        <w:rPr>
          <w:sz w:val="24"/>
          <w:szCs w:val="24"/>
          <w:lang w:val="en-GB"/>
        </w:rPr>
        <w:fldChar w:fldCharType="end"/>
      </w:r>
      <w:r w:rsidRPr="00640AE1">
        <w:rPr>
          <w:sz w:val="24"/>
          <w:szCs w:val="24"/>
          <w:lang w:val="en-GB"/>
        </w:rPr>
        <w:t>.</w:t>
      </w:r>
      <w:r w:rsidR="00AB7542" w:rsidRPr="00640AE1">
        <w:rPr>
          <w:sz w:val="24"/>
          <w:szCs w:val="24"/>
          <w:lang w:val="en-GB"/>
        </w:rPr>
        <w:t xml:space="preserve"> </w:t>
      </w:r>
      <w:r w:rsidR="006C08E5" w:rsidRPr="00640AE1">
        <w:rPr>
          <w:sz w:val="24"/>
          <w:szCs w:val="24"/>
          <w:lang w:val="en-GB"/>
        </w:rPr>
        <w:t xml:space="preserve">A cross-sectional study of 182 participants with fibromyalgia found that the relationship between beliefs about emotions and global impact </w:t>
      </w:r>
      <w:r w:rsidR="00B121C3" w:rsidRPr="00640AE1">
        <w:rPr>
          <w:sz w:val="24"/>
          <w:szCs w:val="24"/>
          <w:lang w:val="en-GB"/>
        </w:rPr>
        <w:t xml:space="preserve">(i.e. the extent to which a patient is impacted by their symptoms) </w:t>
      </w:r>
      <w:r w:rsidR="006C08E5" w:rsidRPr="00640AE1">
        <w:rPr>
          <w:sz w:val="24"/>
          <w:szCs w:val="24"/>
          <w:lang w:val="en-GB"/>
        </w:rPr>
        <w:t xml:space="preserve">was serially mediated by emotional suppression and distress </w:t>
      </w:r>
      <w:r w:rsidR="006C08E5" w:rsidRPr="00640AE1">
        <w:rPr>
          <w:sz w:val="24"/>
          <w:szCs w:val="24"/>
          <w:lang w:val="en-GB"/>
        </w:rPr>
        <w:fldChar w:fldCharType="begin" w:fldLock="1"/>
      </w:r>
      <w:r w:rsidR="00D63EE9" w:rsidRPr="00640AE1">
        <w:rPr>
          <w:sz w:val="24"/>
          <w:szCs w:val="24"/>
          <w:lang w:val="en-GB"/>
        </w:rPr>
        <w:instrText>ADDIN CSL_CITATION {"citationItems":[{"id":"ITEM-1","itemData":{"DOI":"10.1007/s10067-017-3590-0","ISSN":"14349949","abstract":"© 2017, The Author(s). Beliefs about the unacceptability of experiencing and expressing emotions have been found to be related to worse outcomes in people with persistent physical symptoms. The current study tested mediation models regarding emotional suppression, beliefs about emotions, support-seeking and global impact in fibromyalgia. One hundred eighty-two participants took part in an online questionnaire testing potential mechanisms of this relationship using mediation analysis. The model tested emotional suppression and affective distress as serial mediators of the relationship between beliefs about emotions and global impact. In parallel paths, two forms of support-seeking were tested (personal/emotional and symptom-related support-seeking) as mediators. Emotional suppression and affective distress significantly serially mediated the relationship between beliefs about emotions and global impact. Neither support-seeking variable significantly mediated this relationship. Results indicate a potential mechanism through which beliefs about emotions and global impact might relate which might provide a theoretical basis for future research on treatments for fibromyalgia.","author":[{"dropping-particle":"","family":"Bowers","given":"H.","non-dropping-particle":"","parse-names":false,"suffix":""},{"dropping-particle":"","family":"Wroe","given":"A.L.","non-dropping-particle":"","parse-names":false,"suffix":""},{"dropping-particle":"","family":"Pincus","given":"T.","non-dropping-particle":"","parse-names":false,"suffix":""}],"container-title":"Clinical Rheumatology","id":"ITEM-1","issue":"5","issued":{"date-parts":[["2017"]]},"title":"‘Isn’t it ironic?’ Beliefs about the unacceptability of emotions and emotional suppression relate to worse outcomes in fibromyalgia","type":"article-journal","volume":"36"},"uris":["http://www.mendeley.com/documents/?uuid=79685536-99c5-3164-869f-284272ef5d3d"]}],"mendeley":{"formattedCitation":"(9)","plainTextFormattedCitation":"(9)","previouslyFormattedCitation":"(9)"},"properties":{"noteIndex":0},"schema":"https://github.com/citation-style-language/schema/raw/master/csl-citation.json"}</w:instrText>
      </w:r>
      <w:r w:rsidR="006C08E5" w:rsidRPr="00640AE1">
        <w:rPr>
          <w:sz w:val="24"/>
          <w:szCs w:val="24"/>
          <w:lang w:val="en-GB"/>
        </w:rPr>
        <w:fldChar w:fldCharType="separate"/>
      </w:r>
      <w:r w:rsidR="003E246C" w:rsidRPr="00640AE1">
        <w:rPr>
          <w:noProof/>
          <w:sz w:val="24"/>
          <w:szCs w:val="24"/>
          <w:lang w:val="en-GB"/>
        </w:rPr>
        <w:t>(9)</w:t>
      </w:r>
      <w:r w:rsidR="006C08E5" w:rsidRPr="00640AE1">
        <w:rPr>
          <w:sz w:val="24"/>
          <w:szCs w:val="24"/>
          <w:lang w:val="en-GB"/>
        </w:rPr>
        <w:fldChar w:fldCharType="end"/>
      </w:r>
      <w:r w:rsidR="006C08E5" w:rsidRPr="00640AE1">
        <w:rPr>
          <w:sz w:val="24"/>
          <w:szCs w:val="24"/>
          <w:lang w:val="en-GB"/>
        </w:rPr>
        <w:t xml:space="preserve">. It was argued that believing it is unacceptable to express emotions would result in increased emotional suppression. Increased emotional suppression may then lead to an increase in distress through ironic processing effects </w:t>
      </w:r>
      <w:r w:rsidR="006C08E5" w:rsidRPr="00640AE1">
        <w:rPr>
          <w:sz w:val="24"/>
          <w:szCs w:val="24"/>
          <w:lang w:val="en-GB"/>
        </w:rPr>
        <w:fldChar w:fldCharType="begin" w:fldLock="1"/>
      </w:r>
      <w:r w:rsidR="00D63EE9" w:rsidRPr="00640AE1">
        <w:rPr>
          <w:sz w:val="24"/>
          <w:szCs w:val="24"/>
          <w:lang w:val="en-GB"/>
        </w:rPr>
        <w:instrText>ADDIN CSL_CITATION {"citationItems":[{"id":"ITEM-1","itemData":{"DOI":"10.1146/annurev.psych.51.1.59","ISSN":"0066-4308","PMID":"10751965","abstract":"Although thought suppression is a popular form of mental control, research has indicated that it can be counterproductive, helping assure the very state of mind one had hoped to avoid. This chapter reviews the research on suppression, which spans a wide range of domains, including emotions, memory, interpersonal processes, psychophysiological reactions, and psychopathology. The chapter considers the relevant methodological and theoretical issues and suggests directions for future research.","author":[{"dropping-particle":"","family":"Wenzlaff","given":"R M","non-dropping-particle":"","parse-names":false,"suffix":""},{"dropping-particle":"","family":"Wegner","given":"D M","non-dropping-particle":"","parse-names":false,"suffix":""}],"container-title":"Annual Review of Psychology","id":"ITEM-1","issued":{"date-parts":[["2000","1"]]},"page":"59-91","title":"Thought suppression.","type":"article-journal","volume":"51"},"uris":["http://www.mendeley.com/documents/?uuid=45531b66-820a-47f4-a3dd-3fbcdfc34d1e"]},{"id":"ITEM-2","itemData":{"ISSN":"0022-3514","PMID":"8295117","abstract":"The mental control of mood and mood-related thought was investigated. In Experiment 1, Ss reminiscing about a happy or sad event were asked to make their mood positive, were given no instructions, or were asked to make their mood negative. Ss attempting mood control without an imposed cognitive load were successful, whereas those who attempted control while rehearsing a 9-digit number not only failed to control their moods but also showed self-reported mood change opposite the mood they intended to create. In Experiment 2, Ss attempting to control mood-related thoughts under cognitive load showed increased accessibility of those thoughts contrary to the direction of intended control in a Stroop-type color-naming task.","author":[{"dropping-particle":"","family":"Wegner","given":"D M","non-dropping-particle":"","parse-names":false,"suffix":""},{"dropping-particle":"","family":"Erber","given":"R","non-dropping-particle":"","parse-names":false,"suffix":""},{"dropping-particle":"","family":"Zanakos","given":"S","non-dropping-particle":"","parse-names":false,"suffix":""}],"container-title":"Journal of personality and social psychology","id":"ITEM-2","issue":"6","issued":{"date-parts":[["1993","12"]]},"page":"1093-104","title":"Ironic processes in the mental control of mood and mood-related thought.","type":"article-journal","volume":"65"},"uris":["http://www.mendeley.com/documents/?uuid=6094695e-00e0-4cee-bfe7-94607664ee77"]}],"mendeley":{"formattedCitation":"(10,11)","plainTextFormattedCitation":"(10,11)","previouslyFormattedCitation":"(10,11)"},"properties":{"noteIndex":0},"schema":"https://github.com/citation-style-language/schema/raw/master/csl-citation.json"}</w:instrText>
      </w:r>
      <w:r w:rsidR="006C08E5" w:rsidRPr="00640AE1">
        <w:rPr>
          <w:sz w:val="24"/>
          <w:szCs w:val="24"/>
          <w:lang w:val="en-GB"/>
        </w:rPr>
        <w:fldChar w:fldCharType="separate"/>
      </w:r>
      <w:r w:rsidR="003E246C" w:rsidRPr="00640AE1">
        <w:rPr>
          <w:noProof/>
          <w:sz w:val="24"/>
          <w:szCs w:val="24"/>
          <w:lang w:val="en-GB"/>
        </w:rPr>
        <w:t>(10,11)</w:t>
      </w:r>
      <w:r w:rsidR="006C08E5" w:rsidRPr="00640AE1">
        <w:rPr>
          <w:sz w:val="24"/>
          <w:szCs w:val="24"/>
          <w:lang w:val="en-GB"/>
        </w:rPr>
        <w:fldChar w:fldCharType="end"/>
      </w:r>
      <w:r w:rsidR="006C08E5" w:rsidRPr="00640AE1">
        <w:rPr>
          <w:sz w:val="24"/>
          <w:szCs w:val="24"/>
          <w:lang w:val="en-GB"/>
        </w:rPr>
        <w:t>. Ironic processing theory arg</w:t>
      </w:r>
      <w:r w:rsidR="00050CBC" w:rsidRPr="00640AE1">
        <w:rPr>
          <w:sz w:val="24"/>
          <w:szCs w:val="24"/>
          <w:lang w:val="en-GB"/>
        </w:rPr>
        <w:t>ues that attempts to suppress</w:t>
      </w:r>
      <w:r w:rsidR="006C08E5" w:rsidRPr="00640AE1">
        <w:rPr>
          <w:sz w:val="24"/>
          <w:szCs w:val="24"/>
          <w:lang w:val="en-GB"/>
        </w:rPr>
        <w:t xml:space="preserve"> an emotion may result in an ‘ironic’ increase in that emotion due to failures of cognitive mechanisms to effectively supress emotions when under high cognitive load (such as experiencing high levels of negative affect). </w:t>
      </w:r>
      <w:r w:rsidR="00A03B52" w:rsidRPr="00640AE1">
        <w:rPr>
          <w:sz w:val="24"/>
          <w:szCs w:val="24"/>
          <w:lang w:val="en-GB"/>
        </w:rPr>
        <w:t xml:space="preserve">The distress that results from attempts to supress one’s emotions may lead to further impact on their ability to </w:t>
      </w:r>
      <w:r w:rsidR="00050CBC" w:rsidRPr="00640AE1">
        <w:rPr>
          <w:sz w:val="24"/>
          <w:szCs w:val="24"/>
          <w:lang w:val="en-GB"/>
        </w:rPr>
        <w:t xml:space="preserve">live with the condition, as distress </w:t>
      </w:r>
      <w:r w:rsidR="00A03B52" w:rsidRPr="00640AE1">
        <w:rPr>
          <w:sz w:val="24"/>
          <w:szCs w:val="24"/>
          <w:lang w:val="en-GB"/>
        </w:rPr>
        <w:t xml:space="preserve">has consistently demonstrated a strong relationship with pain and disability </w:t>
      </w:r>
      <w:r w:rsidR="00A03B52" w:rsidRPr="00640AE1">
        <w:rPr>
          <w:sz w:val="24"/>
          <w:szCs w:val="24"/>
          <w:lang w:val="en-GB"/>
        </w:rPr>
        <w:fldChar w:fldCharType="begin" w:fldLock="1"/>
      </w:r>
      <w:r w:rsidR="00D63EE9" w:rsidRPr="00640AE1">
        <w:rPr>
          <w:sz w:val="24"/>
          <w:szCs w:val="24"/>
          <w:lang w:val="en-GB"/>
        </w:rPr>
        <w:instrText>ADDIN CSL_CITATION {"citationItems":[{"id":"ITEM-1","itemData":{"DOI":"10.1016/J.SJPAIN.2011.01.005","ISSN":"1877-8860","abstract":"BACKGROUND AND AIMS\nPatients seeking care for a pain problem very often also report symptoms of depression. In fact, depression is associated with the development of chronic pain as well as poor treatment results. Yet, the mechanisms by which depression and pain impact upon one another are not clear. This paper provides a critical review of the literature with the aim of shedding light on the relationship between pain and depression. Further, we introduce the Örebro Behavioral Emotion Regulation Model which may stimulate understanding in addition to research. \n\nMETHOD\nData bases (MedLine and PsychINFO) were searched as well as reference lists to locate relevant articles, especially previous reviews, published since 2000. We located 244 articles including 6 reviews. \n\nRESULTS\nWe found that while depression is strongly linked to pain, there is little understanding of how this link works or how it might be utilized in clinical settings. It is not clear whether one of the symptoms precedes the other, but when both are present prognosis is significantly affected. Clinicians often fail to assess both depression and pain resulting in probable “under” treatment of one or both problems. There is little evidence that treating the pain will result in the disappearance of the depression. Indeed, early improvements in depression are associated with overall treatment gains for patients with musculoskeletal pain. Therefore, treatment outcomes might be substantially enhanced by addressing both the pain and the depression. Moreover, directly addressing the depression early in treatment may be especially valuable. While pharmacological treatments of depression are often pursued for pain patients, the results for depression, pain and function are not impressive. Although there are effective cognitive-behavioral techniques for depression, these have not been properly evaluated in patients with co-morbid pain and depression. We found two likely mechanisms that can help to explain the link between depression and pain. First, catastrophizing plays a central role in models of both pain and depression and hence might form an important link between them. Second, emotion regulation is important in both depression and pain since they both can be viewed as significant emotional stressors. We offer a model which focuses on the recurrent nature of pain and depression. It hypothesizes that flare-ups trigger catastrophic worry which in turn strains the individual's emotion regulation s…","author":[{"dropping-particle":"","family":"Linton","given":"Steven J.","non-dropping-particle":"","parse-names":false,"suffix":""},{"dropping-particle":"","family":"Bergbom","given":"Sofia","non-dropping-particle":"","parse-names":false,"suffix":""}],"container-title":"Scandinavian Journal of Pain","id":"ITEM-1","issue":"2","issued":{"date-parts":[["2011","4","1"]]},"page":"47-54","publisher":"No longer published by Elsevier","title":"Understanding the link between depression and pain","type":"article-journal","volume":"2"},"uris":["http://www.mendeley.com/documents/?uuid=1cd03524-e262-32e7-aaf5-a3d13a0f19fc"]}],"mendeley":{"formattedCitation":"(12)","plainTextFormattedCitation":"(12)","previouslyFormattedCitation":"(12)"},"properties":{"noteIndex":0},"schema":"https://github.com/citation-style-language/schema/raw/master/csl-citation.json"}</w:instrText>
      </w:r>
      <w:r w:rsidR="00A03B52" w:rsidRPr="00640AE1">
        <w:rPr>
          <w:sz w:val="24"/>
          <w:szCs w:val="24"/>
          <w:lang w:val="en-GB"/>
        </w:rPr>
        <w:fldChar w:fldCharType="separate"/>
      </w:r>
      <w:r w:rsidR="003E246C" w:rsidRPr="00640AE1">
        <w:rPr>
          <w:noProof/>
          <w:sz w:val="24"/>
          <w:szCs w:val="24"/>
          <w:lang w:val="en-GB"/>
        </w:rPr>
        <w:t>(12)</w:t>
      </w:r>
      <w:r w:rsidR="00A03B52" w:rsidRPr="00640AE1">
        <w:rPr>
          <w:sz w:val="24"/>
          <w:szCs w:val="24"/>
          <w:lang w:val="en-GB"/>
        </w:rPr>
        <w:fldChar w:fldCharType="end"/>
      </w:r>
      <w:r w:rsidR="00A03B52" w:rsidRPr="00640AE1">
        <w:rPr>
          <w:sz w:val="24"/>
          <w:szCs w:val="24"/>
          <w:lang w:val="en-GB"/>
        </w:rPr>
        <w:t xml:space="preserve">. </w:t>
      </w:r>
    </w:p>
    <w:p w14:paraId="6379AC07" w14:textId="7FE35C6F" w:rsidR="00A03B52" w:rsidRPr="00640AE1" w:rsidRDefault="00A03B52" w:rsidP="00A03B52">
      <w:pPr>
        <w:pStyle w:val="Body"/>
        <w:spacing w:line="480" w:lineRule="auto"/>
        <w:ind w:firstLine="720"/>
        <w:jc w:val="both"/>
        <w:rPr>
          <w:sz w:val="24"/>
          <w:szCs w:val="24"/>
          <w:lang w:val="en-GB"/>
        </w:rPr>
      </w:pPr>
      <w:r w:rsidRPr="00640AE1">
        <w:rPr>
          <w:sz w:val="24"/>
          <w:szCs w:val="24"/>
          <w:lang w:val="en-GB"/>
        </w:rPr>
        <w:t xml:space="preserve">An uncontrolled trial of an intervention </w:t>
      </w:r>
      <w:r w:rsidR="00AF51F1" w:rsidRPr="00640AE1">
        <w:rPr>
          <w:sz w:val="24"/>
          <w:szCs w:val="24"/>
          <w:lang w:val="en-GB"/>
        </w:rPr>
        <w:t xml:space="preserve">targeting emotional awareness, emotional expression and psychological attribution </w:t>
      </w:r>
      <w:r w:rsidRPr="00640AE1">
        <w:rPr>
          <w:sz w:val="24"/>
          <w:szCs w:val="24"/>
          <w:lang w:val="en-GB"/>
        </w:rPr>
        <w:t>for</w:t>
      </w:r>
      <w:r w:rsidR="00AF51F1" w:rsidRPr="00640AE1">
        <w:rPr>
          <w:sz w:val="24"/>
          <w:szCs w:val="24"/>
          <w:lang w:val="en-GB"/>
        </w:rPr>
        <w:t xml:space="preserve"> individuals with</w:t>
      </w:r>
      <w:r w:rsidRPr="00640AE1">
        <w:rPr>
          <w:sz w:val="24"/>
          <w:szCs w:val="24"/>
          <w:lang w:val="en-GB"/>
        </w:rPr>
        <w:t xml:space="preserve"> musculoskeletal pain found that emotional awareness, emotional approach coping and alexithymia changed significantly following the intervention </w:t>
      </w:r>
      <w:r w:rsidRPr="00640AE1">
        <w:rPr>
          <w:sz w:val="24"/>
          <w:szCs w:val="24"/>
          <w:lang w:val="en-GB"/>
        </w:rPr>
        <w:fldChar w:fldCharType="begin" w:fldLock="1"/>
      </w:r>
      <w:r w:rsidR="00D63EE9" w:rsidRPr="00640AE1">
        <w:rPr>
          <w:sz w:val="24"/>
          <w:szCs w:val="24"/>
          <w:lang w:val="en-GB"/>
        </w:rPr>
        <w:instrText>ADDIN CSL_CITATION {"citationItems":[{"id":"ITEM-1","itemData":{"DOI":"10.1016/j.jpsychores.2015.12.003","ISSN":"00223999","abstract":"OBJECTIVE\nCurrent psychological and behavioral therapies for chronic musculoskeletal pain only modestly reduce pain, disability, and distress. These limited effects may be due to the failure of current therapies: a) to help patients learn that their pain is influenced primarily by central nervous system psychological processes; and b) to enhance awareness and expression of emotions related to psychological trauma or conflict. Methods: We developed and conducted a preliminary, uncontrolled test of a novel psychological attribution and emotional awareness and expression therapy that involves an initial individual consultation followed by 4 group sessions. A series of 72 patients with chronic musculoskeletal pain had the intervention and were assessed at baseline, post-treatment, and 6-month follow-up. \n\nRESULTS\nParticipation and satisfaction were high and attrition was low. Intent-to-treat analyses found significant improvements in hypothesized change processes: psychological attributions for pain, emotional awareness, emotional approach coping, and alexithymia. Pain, interference, depression, and distress showed large effect size improvements at post-treatment, which were maintained or even enhanced at 6 months. Approximately two-thirds of the patients improved at least 30% in pain and other outcomes, and one-third of the patients improved 70%. Changes in attribution and emotional processes predicted outcomes. Higher baseline depressive symptoms predicted greater improvements, and outcomes were comparable for patients with widespread vs. localized pain. Conclusion: This novel intervention may lead to greater benefits than available psychological interventions for patients with chronic musculoskeletal pain, but needs controlled testing.","author":[{"dropping-particle":"","family":"Burger","given":"Amanda J.","non-dropping-particle":"","parse-names":false,"suffix":""},{"dropping-particle":"","family":"Lumley","given":"Mark A.","non-dropping-particle":"","parse-names":false,"suffix":""},{"dropping-particle":"","family":"Carty","given":"Jennifer N.","non-dropping-particle":"","parse-names":false,"suffix":""},{"dropping-particle":"V.","family":"Latsch","given":"Deborah","non-dropping-particle":"","parse-names":false,"suffix":""},{"dropping-particle":"","family":"Thakur","given":"Elyse R.","non-dropping-particle":"","parse-names":false,"suffix":""},{"dropping-particle":"","family":"Hyde-Nolan","given":"Maren E.","non-dropping-particle":"","parse-names":false,"suffix":""},{"dropping-particle":"","family":"Hijazi","given":"Alaa M.","non-dropping-particle":"","parse-names":false,"suffix":""},{"dropping-particle":"","family":"Schubiner","given":"Howard","non-dropping-particle":"","parse-names":false,"suffix":""}],"container-title":"Journal of Psychosomatic Research","id":"ITEM-1","issued":{"date-parts":[["2016"]]},"page":"1-8","title":"The effects of a novel psychological attribution and emotional awareness and expression therapy for chronic musculoskeletal pain: A preliminary, uncontrolled trial","type":"article-journal","volume":"81"},"uris":["http://www.mendeley.com/documents/?uuid=8261c48c-0824-37ad-822f-cbb6772eb918"]}],"mendeley":{"formattedCitation":"(13)","plainTextFormattedCitation":"(13)","previouslyFormattedCitation":"(13)"},"properties":{"noteIndex":0},"schema":"https://github.com/citation-style-language/schema/raw/master/csl-citation.json"}</w:instrText>
      </w:r>
      <w:r w:rsidRPr="00640AE1">
        <w:rPr>
          <w:sz w:val="24"/>
          <w:szCs w:val="24"/>
          <w:lang w:val="en-GB"/>
        </w:rPr>
        <w:fldChar w:fldCharType="separate"/>
      </w:r>
      <w:r w:rsidR="003E246C" w:rsidRPr="00640AE1">
        <w:rPr>
          <w:noProof/>
          <w:sz w:val="24"/>
          <w:szCs w:val="24"/>
          <w:lang w:val="en-GB"/>
        </w:rPr>
        <w:t>(13)</w:t>
      </w:r>
      <w:r w:rsidRPr="00640AE1">
        <w:rPr>
          <w:sz w:val="24"/>
          <w:szCs w:val="24"/>
          <w:lang w:val="en-GB"/>
        </w:rPr>
        <w:fldChar w:fldCharType="end"/>
      </w:r>
      <w:r w:rsidRPr="00640AE1">
        <w:rPr>
          <w:sz w:val="24"/>
          <w:szCs w:val="24"/>
          <w:lang w:val="en-GB"/>
        </w:rPr>
        <w:t xml:space="preserve">. While there were significant improvements in pain intensity and pain interference, relationships between changes in emotion processing and changes in </w:t>
      </w:r>
      <w:r w:rsidRPr="00640AE1">
        <w:rPr>
          <w:sz w:val="24"/>
          <w:szCs w:val="24"/>
          <w:lang w:val="en-GB"/>
        </w:rPr>
        <w:lastRenderedPageBreak/>
        <w:t>outcomes were not explored. Given that there was no comparison with other interventions, it is possible that emotion processing may also be affected in existing group therapies for fibromyalgia.</w:t>
      </w:r>
    </w:p>
    <w:p w14:paraId="109088AB" w14:textId="54043B26" w:rsidR="00A842EF" w:rsidRPr="00640AE1" w:rsidRDefault="00A842EF" w:rsidP="007202C0">
      <w:pPr>
        <w:pStyle w:val="Body"/>
        <w:spacing w:line="480" w:lineRule="auto"/>
        <w:ind w:firstLine="720"/>
        <w:jc w:val="both"/>
        <w:rPr>
          <w:sz w:val="24"/>
          <w:szCs w:val="24"/>
          <w:lang w:val="en-US"/>
        </w:rPr>
      </w:pPr>
      <w:r w:rsidRPr="00640AE1">
        <w:rPr>
          <w:sz w:val="24"/>
          <w:szCs w:val="24"/>
          <w:lang w:val="en-GB"/>
        </w:rPr>
        <w:t>Previous research has demonstrated an association between beliefs about emotions and emotional expression in a cross-sectional study</w:t>
      </w:r>
      <w:r w:rsidR="00B121C3" w:rsidRPr="00640AE1">
        <w:rPr>
          <w:sz w:val="24"/>
          <w:szCs w:val="24"/>
          <w:lang w:val="en-GB"/>
        </w:rPr>
        <w:t xml:space="preserve"> in a community sample of individuals with fibromyalgia</w:t>
      </w:r>
      <w:r w:rsidR="00B7203C" w:rsidRPr="00640AE1">
        <w:rPr>
          <w:sz w:val="24"/>
          <w:szCs w:val="24"/>
          <w:lang w:val="en-GB"/>
        </w:rPr>
        <w:t xml:space="preserve"> </w:t>
      </w:r>
      <w:r w:rsidR="00B121C3" w:rsidRPr="00640AE1">
        <w:fldChar w:fldCharType="begin" w:fldLock="1"/>
      </w:r>
      <w:r w:rsidR="00D63EE9" w:rsidRPr="00640AE1">
        <w:instrText>ADDIN CSL_CITATION {"citationItems":[{"id":"ITEM-1","itemData":{"DOI":"10.1007/s10067-017-3590-0","ISSN":"14349949","abstract":"© 2017, The Author(s). Beliefs about the unacceptability of experiencing and expressing emotions have been found to be related to worse outcomes in people with persistent physical symptoms. The current study tested mediation models regarding emotional suppression, beliefs about emotions, support-seeking and global impact in fibromyalgia. One hundred eighty-two participants took part in an online questionnaire testing potential mechanisms of this relationship using mediation analysis. The model tested emotional suppression and affective distress as serial mediators of the relationship between beliefs about emotions and global impact. In parallel paths, two forms of support-seeking were tested (personal/emotional and symptom-related support-seeking) as mediators. Emotional suppression and affective distress significantly serially mediated the relationship between beliefs about emotions and global impact. Neither support-seeking variable significantly mediated this relationship. Results indicate a potential mechanism through which beliefs about emotions and global impact might relate which might provide a theoretical basis for future research on treatments for fibromyalgia.","author":[{"dropping-particle":"","family":"Bowers","given":"H.","non-dropping-particle":"","parse-names":false,"suffix":""},{"dropping-particle":"","family":"Wroe","given":"A.L.","non-dropping-particle":"","parse-names":false,"suffix":""},{"dropping-particle":"","family":"Pincus","given":"T.","non-dropping-particle":"","parse-names":false,"suffix":""}],"container-title":"Clinical Rheumatology","id":"ITEM-1","issue":"5","issued":{"date-parts":[["2017"]]},"title":"‘Isn’t it ironic?’ Beliefs about the unacceptability of emotions and emotional suppression relate to worse outcomes in fibromyalgia","type":"article-journal","volume":"36"},"uris":["http://www.mendeley.com/documents/?uuid=79685536-99c5-3164-869f-284272ef5d3d"]}],"mendeley":{"formattedCitation":"(9)","plainTextFormattedCitation":"(9)","previouslyFormattedCitation":"(9)"},"properties":{"noteIndex":0},"schema":"https://github.com/citation-style-language/schema/raw/master/csl-citation.json"}</w:instrText>
      </w:r>
      <w:r w:rsidR="00B121C3" w:rsidRPr="00640AE1">
        <w:fldChar w:fldCharType="separate"/>
      </w:r>
      <w:r w:rsidR="003E246C" w:rsidRPr="00640AE1">
        <w:rPr>
          <w:noProof/>
        </w:rPr>
        <w:t>(9)</w:t>
      </w:r>
      <w:r w:rsidR="00B121C3" w:rsidRPr="00640AE1">
        <w:fldChar w:fldCharType="end"/>
      </w:r>
      <w:r w:rsidRPr="00640AE1">
        <w:rPr>
          <w:sz w:val="24"/>
          <w:szCs w:val="24"/>
          <w:lang w:val="en-GB"/>
        </w:rPr>
        <w:t xml:space="preserve">. </w:t>
      </w:r>
      <w:r w:rsidR="00050CBC" w:rsidRPr="00640AE1">
        <w:rPr>
          <w:sz w:val="24"/>
          <w:szCs w:val="24"/>
          <w:lang w:val="en-GB"/>
        </w:rPr>
        <w:t>The aim of the current research is to investigate the association between beliefs about emotions, emotional suppression, distress and global impact of fibromyalgia over time</w:t>
      </w:r>
      <w:r w:rsidR="007202C0" w:rsidRPr="00640AE1">
        <w:rPr>
          <w:sz w:val="24"/>
          <w:szCs w:val="24"/>
          <w:lang w:val="en-GB"/>
        </w:rPr>
        <w:t>. In order to measure relationship</w:t>
      </w:r>
      <w:r w:rsidR="00AF51F1" w:rsidRPr="00640AE1">
        <w:rPr>
          <w:sz w:val="24"/>
          <w:szCs w:val="24"/>
          <w:lang w:val="en-GB"/>
        </w:rPr>
        <w:t>s</w:t>
      </w:r>
      <w:r w:rsidR="007202C0" w:rsidRPr="00640AE1">
        <w:rPr>
          <w:sz w:val="24"/>
          <w:szCs w:val="24"/>
          <w:lang w:val="en-GB"/>
        </w:rPr>
        <w:t xml:space="preserve"> between changes in beliefs and behaviours around emotions, and changes in </w:t>
      </w:r>
      <w:r w:rsidR="00AF51F1" w:rsidRPr="00640AE1">
        <w:rPr>
          <w:sz w:val="24"/>
          <w:szCs w:val="24"/>
          <w:lang w:val="en-GB"/>
        </w:rPr>
        <w:t xml:space="preserve">distress and global impact </w:t>
      </w:r>
      <w:r w:rsidR="00B85A0B" w:rsidRPr="00640AE1">
        <w:rPr>
          <w:sz w:val="24"/>
          <w:szCs w:val="24"/>
          <w:lang w:val="en-GB"/>
        </w:rPr>
        <w:t>in a longitudinal design</w:t>
      </w:r>
      <w:r w:rsidR="007202C0" w:rsidRPr="00640AE1">
        <w:rPr>
          <w:sz w:val="24"/>
          <w:szCs w:val="24"/>
          <w:lang w:val="en-GB"/>
        </w:rPr>
        <w:t>, participants were p</w:t>
      </w:r>
      <w:r w:rsidRPr="00640AE1">
        <w:rPr>
          <w:sz w:val="24"/>
          <w:szCs w:val="24"/>
          <w:lang w:val="en-GB"/>
        </w:rPr>
        <w:t>atients taking part in pain management programmes</w:t>
      </w:r>
      <w:r w:rsidR="007202C0" w:rsidRPr="00640AE1">
        <w:rPr>
          <w:sz w:val="24"/>
          <w:szCs w:val="24"/>
          <w:lang w:val="en-GB"/>
        </w:rPr>
        <w:t xml:space="preserve">. This was chosen because </w:t>
      </w:r>
      <w:r w:rsidRPr="00640AE1">
        <w:rPr>
          <w:sz w:val="24"/>
          <w:szCs w:val="24"/>
          <w:lang w:val="en-GB"/>
        </w:rPr>
        <w:t>beliefs about emotions and emotional suppression would be expected to change through psychological intervention using second and third wave CBT techniques.</w:t>
      </w:r>
      <w:r w:rsidR="007202C0" w:rsidRPr="00640AE1">
        <w:rPr>
          <w:sz w:val="24"/>
          <w:szCs w:val="24"/>
        </w:rPr>
        <w:t xml:space="preserve">; arguably, second and third wave CBT approaches involve the encouragement of sharing thoughts and feelings as part of the therapeutic relationship and therefore may elicit changes in emotional expression and in beliefs about the unacceptability of emotions. In particular, the interventions included in the current study took an integrative approach and included work on acceptance of, and working with, pain and emotions. </w:t>
      </w:r>
      <w:r w:rsidRPr="00640AE1">
        <w:rPr>
          <w:sz w:val="24"/>
          <w:szCs w:val="24"/>
          <w:lang w:val="en-GB"/>
        </w:rPr>
        <w:t xml:space="preserve">It is predicted that changes </w:t>
      </w:r>
      <w:r w:rsidR="00AF51F1" w:rsidRPr="00640AE1">
        <w:rPr>
          <w:sz w:val="24"/>
          <w:szCs w:val="24"/>
          <w:lang w:val="en-GB"/>
        </w:rPr>
        <w:t xml:space="preserve">in beliefs about emotions and emotional suppression </w:t>
      </w:r>
      <w:r w:rsidRPr="00640AE1">
        <w:rPr>
          <w:sz w:val="24"/>
          <w:szCs w:val="24"/>
          <w:lang w:val="en-GB"/>
        </w:rPr>
        <w:t>will be associated with improvements in distress and global impact.</w:t>
      </w:r>
      <w:r w:rsidR="00184E7C" w:rsidRPr="00640AE1">
        <w:rPr>
          <w:sz w:val="24"/>
          <w:szCs w:val="24"/>
          <w:lang w:val="en-GB"/>
        </w:rPr>
        <w:t xml:space="preserve"> The current study aims to generate new knowledge about the relationships between these variables within the context of treatment, but does not aim to judge the quality of the service </w:t>
      </w:r>
      <w:r w:rsidR="00184E7C" w:rsidRPr="00640AE1">
        <w:rPr>
          <w:sz w:val="24"/>
          <w:szCs w:val="24"/>
          <w:lang w:val="en-GB"/>
        </w:rPr>
        <w:fldChar w:fldCharType="begin" w:fldLock="1"/>
      </w:r>
      <w:r w:rsidR="00D63EE9" w:rsidRPr="00640AE1">
        <w:rPr>
          <w:sz w:val="24"/>
          <w:szCs w:val="24"/>
          <w:lang w:val="en-GB"/>
        </w:rPr>
        <w:instrText>ADDIN CSL_CITATION {"citationItems":[{"id":"ITEM-1","itemData":{"DOI":"10.1136/eb-2014-101871","ISSN":"1468-9618","PMID":"24829302","abstract":"Knowing the difference between health service evaluation, audit and research can be tricky especially for the novice researcher. Put simply, nursing research involves finding the answers to questions about “what nurses should do to help patients,” audit examines “whether nurses are doing this , and if not, why not,”1 and service evaluation asks about “the effect of nursing care on patient experiences and outcomes .” In this paper, we aim to provide some tips to help guide you through the decision-making process as you begin to plan your evaluation, audit or research project. As a starting point box 1 provides key definitions for each type of project.\n\n### Box 1 Definitions of service evaluation, audit and research\n\n</w:instrText>
      </w:r>
      <w:r w:rsidR="00D63EE9" w:rsidRPr="00640AE1">
        <w:rPr>
          <w:rFonts w:ascii="Cambria" w:hAnsi="Cambria" w:cs="Cambria"/>
          <w:sz w:val="24"/>
          <w:szCs w:val="24"/>
          <w:lang w:val="en-GB"/>
        </w:rPr>
        <w:instrText>▸</w:instrText>
      </w:r>
      <w:r w:rsidR="00D63EE9" w:rsidRPr="00640AE1">
        <w:rPr>
          <w:sz w:val="24"/>
          <w:szCs w:val="24"/>
          <w:lang w:val="en-GB"/>
        </w:rPr>
        <w:instrText>  What is service evaluation? \n\nService evaluation seeks to assess how well a service is achieving its intended aims. It is undertaken to benefit the people using a particular healthcare service and is designed and conducted with the sole purpose of defining or judging the current service.2\n\nThe results of service evaluations are mostly used to generate information that can be used to inform local decision-making.\n\n</w:instrText>
      </w:r>
      <w:r w:rsidR="00D63EE9" w:rsidRPr="00640AE1">
        <w:rPr>
          <w:rFonts w:ascii="Cambria" w:hAnsi="Cambria" w:cs="Cambria"/>
          <w:sz w:val="24"/>
          <w:szCs w:val="24"/>
          <w:lang w:val="en-GB"/>
        </w:rPr>
        <w:instrText>▸</w:instrText>
      </w:r>
      <w:r w:rsidR="00D63EE9" w:rsidRPr="00640AE1">
        <w:rPr>
          <w:sz w:val="24"/>
          <w:szCs w:val="24"/>
          <w:lang w:val="en-GB"/>
        </w:rPr>
        <w:instrText>  What is (clinical) audit? \n\nThe English Department of Health3 states …","author":[{"dropping-particle":"","family":"Twycross","given":"Alison","non-dropping-particle":"","parse-names":false,"suffix":""},{"dropping-particle":"","family":"Shorten","given":"Allison","non-dropping-particle":"","parse-names":false,"suffix":""}],"container-title":"Evidence-based nursing","id":"ITEM-1","issue":"3","issued":{"date-parts":[["2014","7","1"]]},"page":"65-6","publisher":"Royal College of Nursing","title":"Service evaluation, audit and research: what is the difference?","type":"article-journal","volume":"17"},"uris":["http://www.mendeley.com/documents/?uuid=4745cc9e-4b22-3cba-acbe-0c77064fc7e2"]}],"mendeley":{"formattedCitation":"(14)","plainTextFormattedCitation":"(14)","previouslyFormattedCitation":"(14)"},"properties":{"noteIndex":0},"schema":"https://github.com/citation-style-language/schema/raw/master/csl-citation.json"}</w:instrText>
      </w:r>
      <w:r w:rsidR="00184E7C" w:rsidRPr="00640AE1">
        <w:rPr>
          <w:sz w:val="24"/>
          <w:szCs w:val="24"/>
          <w:lang w:val="en-GB"/>
        </w:rPr>
        <w:fldChar w:fldCharType="separate"/>
      </w:r>
      <w:r w:rsidR="003E246C" w:rsidRPr="00640AE1">
        <w:rPr>
          <w:noProof/>
          <w:sz w:val="24"/>
          <w:szCs w:val="24"/>
          <w:lang w:val="en-GB"/>
        </w:rPr>
        <w:t>(14)</w:t>
      </w:r>
      <w:r w:rsidR="00184E7C" w:rsidRPr="00640AE1">
        <w:rPr>
          <w:sz w:val="24"/>
          <w:szCs w:val="24"/>
          <w:lang w:val="en-GB"/>
        </w:rPr>
        <w:fldChar w:fldCharType="end"/>
      </w:r>
      <w:r w:rsidR="00184E7C" w:rsidRPr="00640AE1">
        <w:rPr>
          <w:sz w:val="24"/>
          <w:szCs w:val="24"/>
          <w:lang w:val="en-GB"/>
        </w:rPr>
        <w:t>.</w:t>
      </w:r>
    </w:p>
    <w:p w14:paraId="4D64D815" w14:textId="77777777" w:rsidR="003835CB" w:rsidRPr="00640AE1" w:rsidRDefault="003835CB" w:rsidP="003835CB">
      <w:pPr>
        <w:pStyle w:val="Body"/>
        <w:spacing w:line="480" w:lineRule="auto"/>
        <w:ind w:firstLine="720"/>
        <w:jc w:val="both"/>
        <w:rPr>
          <w:sz w:val="24"/>
          <w:szCs w:val="24"/>
          <w:lang w:val="en-GB"/>
        </w:rPr>
      </w:pPr>
    </w:p>
    <w:p w14:paraId="5BA2CA56" w14:textId="0A31FCA0" w:rsidR="00E81339" w:rsidRPr="00640AE1" w:rsidRDefault="0051418B">
      <w:pPr>
        <w:pStyle w:val="Body"/>
        <w:spacing w:line="480" w:lineRule="auto"/>
        <w:jc w:val="both"/>
        <w:rPr>
          <w:b/>
          <w:bCs/>
          <w:sz w:val="24"/>
          <w:szCs w:val="24"/>
          <w:lang w:val="en-GB"/>
        </w:rPr>
      </w:pPr>
      <w:r w:rsidRPr="00640AE1">
        <w:rPr>
          <w:b/>
          <w:bCs/>
          <w:sz w:val="24"/>
          <w:szCs w:val="24"/>
          <w:lang w:val="en-GB"/>
        </w:rPr>
        <w:t>Methods</w:t>
      </w:r>
    </w:p>
    <w:p w14:paraId="67E2FDDD" w14:textId="5804BCDF" w:rsidR="0051418B" w:rsidRPr="00640AE1" w:rsidRDefault="0051418B">
      <w:pPr>
        <w:pStyle w:val="Body"/>
        <w:spacing w:line="480" w:lineRule="auto"/>
        <w:jc w:val="both"/>
        <w:rPr>
          <w:b/>
          <w:bCs/>
          <w:sz w:val="24"/>
          <w:szCs w:val="24"/>
          <w:lang w:val="en-GB"/>
        </w:rPr>
      </w:pPr>
      <w:r w:rsidRPr="00640AE1">
        <w:rPr>
          <w:b/>
          <w:bCs/>
          <w:sz w:val="24"/>
          <w:szCs w:val="24"/>
          <w:lang w:val="en-GB"/>
        </w:rPr>
        <w:lastRenderedPageBreak/>
        <w:t>Participants</w:t>
      </w:r>
    </w:p>
    <w:p w14:paraId="0F393F27" w14:textId="076A759E" w:rsidR="00E81339" w:rsidRPr="00640AE1" w:rsidRDefault="00BF6903">
      <w:pPr>
        <w:pStyle w:val="Body"/>
        <w:spacing w:line="480" w:lineRule="auto"/>
        <w:ind w:firstLine="720"/>
        <w:jc w:val="both"/>
        <w:rPr>
          <w:sz w:val="24"/>
          <w:szCs w:val="24"/>
          <w:lang w:val="en-GB"/>
        </w:rPr>
      </w:pPr>
      <w:r w:rsidRPr="00640AE1">
        <w:rPr>
          <w:sz w:val="24"/>
          <w:szCs w:val="24"/>
          <w:lang w:val="en-GB"/>
        </w:rPr>
        <w:t>Seventy-one participants were recruited from National Health Service</w:t>
      </w:r>
      <w:r w:rsidR="0051418B" w:rsidRPr="00640AE1">
        <w:rPr>
          <w:sz w:val="24"/>
          <w:szCs w:val="24"/>
          <w:lang w:val="en-GB"/>
        </w:rPr>
        <w:t xml:space="preserve"> (NHS)</w:t>
      </w:r>
      <w:r w:rsidRPr="00640AE1">
        <w:rPr>
          <w:sz w:val="24"/>
          <w:szCs w:val="24"/>
          <w:lang w:val="en-GB"/>
        </w:rPr>
        <w:t xml:space="preserve"> trusts in the </w:t>
      </w:r>
      <w:r w:rsidR="000619B3" w:rsidRPr="00640AE1">
        <w:rPr>
          <w:sz w:val="24"/>
          <w:szCs w:val="24"/>
          <w:lang w:val="en-GB"/>
        </w:rPr>
        <w:t>S</w:t>
      </w:r>
      <w:r w:rsidRPr="00640AE1">
        <w:rPr>
          <w:sz w:val="24"/>
          <w:szCs w:val="24"/>
          <w:lang w:val="en-GB"/>
        </w:rPr>
        <w:t xml:space="preserve">outh of England. </w:t>
      </w:r>
      <w:r w:rsidR="00B32BFA" w:rsidRPr="00640AE1">
        <w:rPr>
          <w:sz w:val="24"/>
          <w:szCs w:val="24"/>
          <w:lang w:val="en-GB"/>
        </w:rPr>
        <w:t>Participants were patients referred to a pain management programme for people with fibromyalgia</w:t>
      </w:r>
      <w:r w:rsidR="00B93EFC" w:rsidRPr="00640AE1">
        <w:rPr>
          <w:sz w:val="24"/>
          <w:szCs w:val="24"/>
          <w:lang w:val="en-GB"/>
        </w:rPr>
        <w:t>, as a routine part of their care</w:t>
      </w:r>
      <w:r w:rsidR="00B32BFA" w:rsidRPr="00640AE1">
        <w:rPr>
          <w:sz w:val="24"/>
          <w:szCs w:val="24"/>
          <w:lang w:val="en-GB"/>
        </w:rPr>
        <w:t xml:space="preserve">. </w:t>
      </w:r>
      <w:r w:rsidR="0051418B" w:rsidRPr="00640AE1">
        <w:rPr>
          <w:sz w:val="24"/>
          <w:szCs w:val="24"/>
          <w:lang w:val="en-GB"/>
        </w:rPr>
        <w:t xml:space="preserve">They were </w:t>
      </w:r>
      <w:r w:rsidR="00B93EFC" w:rsidRPr="00640AE1">
        <w:rPr>
          <w:sz w:val="24"/>
          <w:szCs w:val="24"/>
          <w:lang w:val="en-GB"/>
        </w:rPr>
        <w:t xml:space="preserve">then </w:t>
      </w:r>
      <w:r w:rsidR="0051418B" w:rsidRPr="00640AE1">
        <w:rPr>
          <w:sz w:val="24"/>
          <w:szCs w:val="24"/>
          <w:lang w:val="en-GB"/>
        </w:rPr>
        <w:t xml:space="preserve">invited to take part </w:t>
      </w:r>
      <w:r w:rsidR="00B93EFC" w:rsidRPr="00640AE1">
        <w:rPr>
          <w:sz w:val="24"/>
          <w:szCs w:val="24"/>
          <w:lang w:val="en-GB"/>
        </w:rPr>
        <w:t xml:space="preserve">in the research </w:t>
      </w:r>
      <w:r w:rsidR="0051418B" w:rsidRPr="00640AE1">
        <w:rPr>
          <w:sz w:val="24"/>
          <w:szCs w:val="24"/>
          <w:lang w:val="en-GB"/>
        </w:rPr>
        <w:t xml:space="preserve">by letter in advance of the first session of their pain management programme. </w:t>
      </w:r>
    </w:p>
    <w:p w14:paraId="341A2FA4" w14:textId="1A2ED2AB" w:rsidR="0051418B" w:rsidRPr="00640AE1" w:rsidRDefault="0051418B">
      <w:pPr>
        <w:pStyle w:val="Body"/>
        <w:spacing w:line="480" w:lineRule="auto"/>
        <w:ind w:firstLine="720"/>
        <w:jc w:val="both"/>
        <w:rPr>
          <w:sz w:val="24"/>
          <w:szCs w:val="24"/>
          <w:lang w:val="en-GB"/>
        </w:rPr>
      </w:pPr>
      <w:r w:rsidRPr="00640AE1">
        <w:rPr>
          <w:sz w:val="24"/>
          <w:szCs w:val="24"/>
          <w:lang w:val="en-GB"/>
        </w:rPr>
        <w:t>Participants were informed of their right to withdraw and that doing so would have no impact on their treatment with the service.</w:t>
      </w:r>
      <w:r w:rsidRPr="00640AE1">
        <w:rPr>
          <w:sz w:val="24"/>
          <w:szCs w:val="24"/>
        </w:rPr>
        <w:t xml:space="preserve"> </w:t>
      </w:r>
      <w:r w:rsidR="00BF6903" w:rsidRPr="00640AE1">
        <w:rPr>
          <w:sz w:val="24"/>
          <w:szCs w:val="24"/>
          <w:lang w:val="en-GB"/>
        </w:rPr>
        <w:t xml:space="preserve">This </w:t>
      </w:r>
      <w:r w:rsidR="000619B3" w:rsidRPr="00640AE1">
        <w:rPr>
          <w:sz w:val="24"/>
          <w:szCs w:val="24"/>
          <w:lang w:val="en-GB"/>
        </w:rPr>
        <w:t xml:space="preserve">study </w:t>
      </w:r>
      <w:r w:rsidR="00BF6903" w:rsidRPr="00640AE1">
        <w:rPr>
          <w:sz w:val="24"/>
          <w:szCs w:val="24"/>
          <w:lang w:val="en-GB"/>
        </w:rPr>
        <w:t>received ethical approval from the university</w:t>
      </w:r>
      <w:r w:rsidRPr="00640AE1">
        <w:rPr>
          <w:sz w:val="24"/>
          <w:szCs w:val="24"/>
          <w:lang w:val="en-GB"/>
        </w:rPr>
        <w:t>’s</w:t>
      </w:r>
      <w:r w:rsidR="00BF6903" w:rsidRPr="00640AE1">
        <w:rPr>
          <w:sz w:val="24"/>
          <w:szCs w:val="24"/>
          <w:lang w:val="en-GB"/>
        </w:rPr>
        <w:t xml:space="preserve"> psychology departmental ethics committee and from the National Health Service Research Ethics Committee </w:t>
      </w:r>
      <w:r w:rsidR="00BF6903" w:rsidRPr="00640AE1">
        <w:rPr>
          <w:lang w:val="en-GB"/>
        </w:rPr>
        <w:t>(REC ref: 14/WM/1003).</w:t>
      </w:r>
      <w:r w:rsidRPr="00640AE1">
        <w:rPr>
          <w:sz w:val="24"/>
          <w:szCs w:val="24"/>
          <w:lang w:val="en-GB"/>
        </w:rPr>
        <w:t xml:space="preserve"> </w:t>
      </w:r>
    </w:p>
    <w:p w14:paraId="223882F4" w14:textId="5C5BC2E5" w:rsidR="00E81339" w:rsidRPr="00640AE1" w:rsidRDefault="00ED1594">
      <w:pPr>
        <w:pStyle w:val="Body"/>
        <w:spacing w:line="480" w:lineRule="auto"/>
        <w:ind w:firstLine="720"/>
        <w:jc w:val="both"/>
        <w:rPr>
          <w:sz w:val="24"/>
          <w:szCs w:val="24"/>
          <w:lang w:val="en-GB"/>
        </w:rPr>
      </w:pPr>
      <w:r w:rsidRPr="00640AE1">
        <w:rPr>
          <w:sz w:val="24"/>
          <w:szCs w:val="24"/>
          <w:lang w:val="en-GB"/>
        </w:rPr>
        <w:t>While 70</w:t>
      </w:r>
      <w:r w:rsidR="0051418B" w:rsidRPr="00640AE1">
        <w:rPr>
          <w:sz w:val="24"/>
          <w:szCs w:val="24"/>
          <w:lang w:val="en-GB"/>
        </w:rPr>
        <w:t xml:space="preserve"> participants took part, due to </w:t>
      </w:r>
      <w:r w:rsidR="00877886" w:rsidRPr="00640AE1">
        <w:rPr>
          <w:sz w:val="24"/>
          <w:szCs w:val="24"/>
          <w:lang w:val="en-GB"/>
        </w:rPr>
        <w:t>low questionnaire response</w:t>
      </w:r>
      <w:r w:rsidR="0051418B" w:rsidRPr="00640AE1">
        <w:rPr>
          <w:sz w:val="24"/>
          <w:szCs w:val="24"/>
          <w:lang w:val="en-GB"/>
        </w:rPr>
        <w:t xml:space="preserve"> rates only participants who completed the questionnaires at the first and second time points (out of three possible time points) were included in the current study resulting in a final sample of 40 participants.</w:t>
      </w:r>
      <w:r w:rsidR="0003676B" w:rsidRPr="00640AE1">
        <w:rPr>
          <w:sz w:val="24"/>
          <w:szCs w:val="24"/>
          <w:lang w:val="en-GB"/>
        </w:rPr>
        <w:t xml:space="preserve"> </w:t>
      </w:r>
      <w:r w:rsidR="00877886" w:rsidRPr="00640AE1">
        <w:rPr>
          <w:sz w:val="24"/>
          <w:szCs w:val="24"/>
          <w:lang w:val="en-GB"/>
        </w:rPr>
        <w:t>Response</w:t>
      </w:r>
      <w:r w:rsidR="0003676B" w:rsidRPr="00640AE1">
        <w:rPr>
          <w:sz w:val="24"/>
          <w:szCs w:val="24"/>
          <w:lang w:val="en-GB"/>
        </w:rPr>
        <w:t xml:space="preserve"> rates reflect those who did not complete the questionnaires and does not reflect programme attendance</w:t>
      </w:r>
      <w:r w:rsidR="000A1FD0" w:rsidRPr="00640AE1">
        <w:rPr>
          <w:sz w:val="24"/>
          <w:szCs w:val="24"/>
          <w:lang w:val="en-GB"/>
        </w:rPr>
        <w:t xml:space="preserve"> or treatment adherence</w:t>
      </w:r>
      <w:r w:rsidR="0003676B" w:rsidRPr="00640AE1">
        <w:rPr>
          <w:sz w:val="24"/>
          <w:szCs w:val="24"/>
          <w:lang w:val="en-GB"/>
        </w:rPr>
        <w:t xml:space="preserve">. </w:t>
      </w:r>
    </w:p>
    <w:p w14:paraId="6D047E90" w14:textId="77777777" w:rsidR="00E81339" w:rsidRPr="00640AE1" w:rsidRDefault="00BF6903">
      <w:pPr>
        <w:pStyle w:val="Body"/>
        <w:spacing w:line="480" w:lineRule="auto"/>
        <w:jc w:val="both"/>
        <w:rPr>
          <w:b/>
          <w:bCs/>
          <w:sz w:val="24"/>
          <w:szCs w:val="24"/>
          <w:lang w:val="en-GB"/>
        </w:rPr>
      </w:pPr>
      <w:r w:rsidRPr="00640AE1">
        <w:rPr>
          <w:b/>
          <w:bCs/>
          <w:sz w:val="24"/>
          <w:szCs w:val="24"/>
          <w:lang w:val="en-GB"/>
        </w:rPr>
        <w:t>Procedure</w:t>
      </w:r>
    </w:p>
    <w:p w14:paraId="607855CB" w14:textId="17D49040" w:rsidR="00E81339" w:rsidRPr="00640AE1" w:rsidRDefault="00BF6903">
      <w:pPr>
        <w:pStyle w:val="Body"/>
        <w:spacing w:line="480" w:lineRule="auto"/>
        <w:ind w:firstLine="720"/>
        <w:jc w:val="both"/>
        <w:rPr>
          <w:sz w:val="24"/>
          <w:szCs w:val="24"/>
          <w:lang w:val="en-GB"/>
        </w:rPr>
      </w:pPr>
      <w:r w:rsidRPr="00640AE1">
        <w:rPr>
          <w:sz w:val="24"/>
          <w:szCs w:val="24"/>
          <w:lang w:val="en-GB"/>
        </w:rPr>
        <w:t>Participants were given a questionnaire pack by their therapist or a researcher before their first session of the intervention, at</w:t>
      </w:r>
      <w:r w:rsidR="003F5135" w:rsidRPr="00640AE1">
        <w:rPr>
          <w:sz w:val="24"/>
          <w:szCs w:val="24"/>
          <w:lang w:val="en-GB"/>
        </w:rPr>
        <w:t xml:space="preserve"> or after</w:t>
      </w:r>
      <w:r w:rsidRPr="00640AE1">
        <w:rPr>
          <w:sz w:val="24"/>
          <w:szCs w:val="24"/>
          <w:lang w:val="en-GB"/>
        </w:rPr>
        <w:t xml:space="preserve"> the final session of the intervention and then again 12 weeks after the intervention either at a follow-up meeting, by post or online.</w:t>
      </w:r>
      <w:r w:rsidR="003F5135" w:rsidRPr="00640AE1">
        <w:rPr>
          <w:sz w:val="24"/>
          <w:szCs w:val="24"/>
          <w:lang w:val="en-GB"/>
        </w:rPr>
        <w:t xml:space="preserve"> Therapists were given flexibility with regards to the mode of collecting data for the second and third time point</w:t>
      </w:r>
      <w:r w:rsidR="00877886" w:rsidRPr="00640AE1">
        <w:rPr>
          <w:sz w:val="24"/>
          <w:szCs w:val="24"/>
          <w:lang w:val="en-GB"/>
        </w:rPr>
        <w:t xml:space="preserve"> and with how they would contact patients who did not respond</w:t>
      </w:r>
      <w:r w:rsidR="003F5135" w:rsidRPr="00640AE1">
        <w:rPr>
          <w:sz w:val="24"/>
          <w:szCs w:val="24"/>
          <w:lang w:val="en-GB"/>
        </w:rPr>
        <w:t>.</w:t>
      </w:r>
      <w:r w:rsidRPr="00640AE1">
        <w:rPr>
          <w:sz w:val="24"/>
          <w:szCs w:val="24"/>
          <w:lang w:val="en-GB"/>
        </w:rPr>
        <w:t xml:space="preserve"> However </w:t>
      </w:r>
      <w:r w:rsidRPr="00640AE1">
        <w:rPr>
          <w:sz w:val="24"/>
          <w:szCs w:val="24"/>
          <w:lang w:val="en-GB"/>
        </w:rPr>
        <w:lastRenderedPageBreak/>
        <w:t>questionnaires completed at the third time point were excluded from analyses due to loss at follow-up resulting in too small a sample size (n=21).</w:t>
      </w:r>
    </w:p>
    <w:p w14:paraId="038033C7" w14:textId="77777777" w:rsidR="00E81339" w:rsidRPr="00640AE1" w:rsidRDefault="00BF6903">
      <w:pPr>
        <w:pStyle w:val="Body"/>
        <w:spacing w:line="480" w:lineRule="auto"/>
        <w:jc w:val="both"/>
        <w:rPr>
          <w:sz w:val="24"/>
          <w:szCs w:val="24"/>
          <w:lang w:val="en-GB"/>
        </w:rPr>
      </w:pPr>
      <w:r w:rsidRPr="00640AE1">
        <w:rPr>
          <w:sz w:val="24"/>
          <w:szCs w:val="24"/>
          <w:lang w:val="en-GB"/>
        </w:rPr>
        <w:t xml:space="preserve"> </w:t>
      </w:r>
      <w:r w:rsidRPr="00640AE1">
        <w:rPr>
          <w:sz w:val="24"/>
          <w:szCs w:val="24"/>
          <w:lang w:val="en-GB"/>
        </w:rPr>
        <w:tab/>
        <w:t xml:space="preserve">The questionnaire pack included an information sheet and consent form. Beliefs about the unacceptability of emotions, emotional suppression, distress and quality of life were also measured. Participants were asked demographic questions regarding sex, age, nationality, education level, employment status and ethnicity.  </w:t>
      </w:r>
    </w:p>
    <w:p w14:paraId="4D97D568" w14:textId="77777777" w:rsidR="00E81339" w:rsidRPr="00640AE1" w:rsidRDefault="00BF6903">
      <w:pPr>
        <w:pStyle w:val="Body"/>
        <w:spacing w:line="480" w:lineRule="auto"/>
        <w:jc w:val="both"/>
        <w:rPr>
          <w:b/>
          <w:bCs/>
          <w:sz w:val="24"/>
          <w:szCs w:val="24"/>
          <w:lang w:val="en-GB"/>
        </w:rPr>
      </w:pPr>
      <w:r w:rsidRPr="00640AE1">
        <w:rPr>
          <w:b/>
          <w:bCs/>
          <w:sz w:val="24"/>
          <w:szCs w:val="24"/>
          <w:lang w:val="en-GB"/>
        </w:rPr>
        <w:t>Measures</w:t>
      </w:r>
    </w:p>
    <w:p w14:paraId="54E2C814" w14:textId="3674F91A" w:rsidR="00E81339" w:rsidRPr="00640AE1" w:rsidRDefault="00BF6903">
      <w:pPr>
        <w:pStyle w:val="Body"/>
        <w:spacing w:line="480" w:lineRule="auto"/>
        <w:ind w:firstLine="720"/>
        <w:jc w:val="both"/>
        <w:rPr>
          <w:sz w:val="24"/>
          <w:szCs w:val="24"/>
          <w:lang w:val="en-GB"/>
        </w:rPr>
      </w:pPr>
      <w:r w:rsidRPr="00640AE1">
        <w:rPr>
          <w:sz w:val="24"/>
          <w:szCs w:val="24"/>
          <w:lang w:val="en-GB"/>
        </w:rPr>
        <w:t xml:space="preserve">Beliefs about the unacceptability of experiencing and expressing emotions was measured using the Beliefs about Emotions Scale (BES) </w:t>
      </w:r>
      <w:r w:rsidR="00D16D51" w:rsidRPr="00640AE1">
        <w:rPr>
          <w:sz w:val="24"/>
          <w:szCs w:val="24"/>
          <w:lang w:val="en-GB"/>
        </w:rPr>
        <w:fldChar w:fldCharType="begin" w:fldLock="1"/>
      </w:r>
      <w:r w:rsidR="00D63EE9" w:rsidRPr="00640AE1">
        <w:rPr>
          <w:sz w:val="24"/>
          <w:szCs w:val="24"/>
          <w:lang w:val="en-GB"/>
        </w:rPr>
        <w:instrText>ADDIN CSL_CITATION {"citationItems":[{"id":"ITEM-1","itemData":{"DOI":"10.1016/j.jpsychores.2009.09.014","ISSN":"1879-1360","PMID":"20159215","abstract":"OBJECTIVE: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change.","author":[{"dropping-particle":"","family":"Rimes","given":"Katharine a","non-dropping-particle":"","parse-names":false,"suffix":""},{"dropping-particle":"","family":"Chalder","given":"Trudie","non-dropping-particle":"","parse-names":false,"suffix":""}],"container-title":"Journal of Psychosomatic Research","id":"ITEM-1","issue":"3","issued":{"date-parts":[["2010","3"]]},"page":"285-92","publisher":"Elsevier Inc.","title":"The Beliefs about Emotions Scale: validity, reliability and sensitivity to change.","type":"article-journal","volume":"68"},"uris":["http://www.mendeley.com/documents/?uuid=62630f5f-4cce-43f9-9ee4-bf5f87fa2cb1"]}],"mendeley":{"formattedCitation":"(15)","plainTextFormattedCitation":"(15)","previouslyFormattedCitation":"(15)"},"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(15)</w:t>
      </w:r>
      <w:r w:rsidR="00D16D51" w:rsidRPr="00640AE1">
        <w:rPr>
          <w:sz w:val="24"/>
          <w:szCs w:val="24"/>
          <w:lang w:val="en-GB"/>
        </w:rPr>
        <w:fldChar w:fldCharType="end"/>
      </w:r>
      <w:r w:rsidR="00D16D51" w:rsidRPr="00640AE1">
        <w:rPr>
          <w:sz w:val="24"/>
          <w:szCs w:val="24"/>
          <w:lang w:val="en-GB"/>
        </w:rPr>
        <w:t xml:space="preserve">. </w:t>
      </w:r>
      <w:r w:rsidRPr="00640AE1">
        <w:rPr>
          <w:sz w:val="24"/>
          <w:szCs w:val="24"/>
          <w:lang w:val="en-GB"/>
        </w:rPr>
        <w:t>Participants rated on a seven-point scale their agreement with 12 items</w:t>
      </w:r>
      <w:r w:rsidR="00B32BFA" w:rsidRPr="00640AE1">
        <w:rPr>
          <w:sz w:val="24"/>
          <w:szCs w:val="24"/>
          <w:lang w:val="en-GB"/>
        </w:rPr>
        <w:t xml:space="preserve">. </w:t>
      </w:r>
      <w:r w:rsidRPr="00640AE1">
        <w:rPr>
          <w:sz w:val="24"/>
          <w:szCs w:val="24"/>
          <w:lang w:val="en-GB"/>
        </w:rPr>
        <w:t xml:space="preserve">High scores demonstrate more strongly believing that expressing and experiencing emotions is unacceptable, with a maximum possible score of 72. The measure has been validated in participants with CFS and was found to be internally consistent (Cronbach’s alpha=.91) </w:t>
      </w:r>
      <w:r w:rsidR="00D16D51" w:rsidRPr="00640AE1">
        <w:rPr>
          <w:sz w:val="24"/>
          <w:szCs w:val="24"/>
          <w:lang w:val="en-GB"/>
        </w:rPr>
        <w:fldChar w:fldCharType="begin" w:fldLock="1"/>
      </w:r>
      <w:r w:rsidR="00D63EE9" w:rsidRPr="00640AE1">
        <w:rPr>
          <w:sz w:val="24"/>
          <w:szCs w:val="24"/>
          <w:lang w:val="en-GB"/>
        </w:rPr>
        <w:instrText>ADDIN CSL_CITATION {"citationItems":[{"id":"ITEM-1","itemData":{"DOI":"10.1016/j.jpsychores.2009.09.014","ISSN":"1879-1360","PMID":"20159215","abstract":"OBJECTIVE: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change.","author":[{"dropping-particle":"","family":"Rimes","given":"Katharine a","non-dropping-particle":"","parse-names":false,"suffix":""},{"dropping-particle":"","family":"Chalder","given":"Trudie","non-dropping-particle":"","parse-names":false,"suffix":""}],"container-title":"Journal of Psychosomatic Research","id":"ITEM-1","issue":"3","issued":{"date-parts":[["2010","3"]]},"page":"285-92","publisher":"Elsevier Inc.","title":"The Beliefs about Emotions Scale: validity, reliability and sensitivity to change.","type":"article-journal","volume":"68"},"uris":["http://www.mendeley.com/documents/?uuid=62630f5f-4cce-43f9-9ee4-bf5f87fa2cb1"]}],"mendeley":{"formattedCitation":"(15)","plainTextFormattedCitation":"(15)","previouslyFormattedCitation":"(15)"},"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(15)</w:t>
      </w:r>
      <w:r w:rsidR="00D16D51" w:rsidRPr="00640AE1">
        <w:rPr>
          <w:sz w:val="24"/>
          <w:szCs w:val="24"/>
          <w:lang w:val="en-GB"/>
        </w:rPr>
        <w:fldChar w:fldCharType="end"/>
      </w:r>
      <w:r w:rsidR="00D16D51" w:rsidRPr="00640AE1">
        <w:rPr>
          <w:sz w:val="24"/>
          <w:szCs w:val="24"/>
          <w:lang w:val="en-GB"/>
        </w:rPr>
        <w:t>.</w:t>
      </w:r>
    </w:p>
    <w:p w14:paraId="1B22842E" w14:textId="42725A91" w:rsidR="00E81339" w:rsidRPr="00640AE1" w:rsidRDefault="00BF6903">
      <w:pPr>
        <w:pStyle w:val="Body"/>
        <w:spacing w:line="480" w:lineRule="auto"/>
        <w:ind w:firstLine="720"/>
        <w:jc w:val="both"/>
        <w:rPr>
          <w:sz w:val="24"/>
          <w:szCs w:val="24"/>
          <w:lang w:val="en-GB"/>
        </w:rPr>
      </w:pPr>
      <w:r w:rsidRPr="00640AE1">
        <w:rPr>
          <w:sz w:val="24"/>
          <w:szCs w:val="24"/>
          <w:lang w:val="en-GB"/>
        </w:rPr>
        <w:t xml:space="preserve">Emotional suppression was measured using the Courtauld Emotional Control Scale (CECS), which measures to what extent individuals control feelings of anger, sadness and anxiety </w:t>
      </w:r>
      <w:r w:rsidR="00D16D51" w:rsidRPr="00640AE1">
        <w:rPr>
          <w:sz w:val="24"/>
          <w:szCs w:val="24"/>
          <w:lang w:val="en-GB"/>
        </w:rPr>
        <w:fldChar w:fldCharType="begin" w:fldLock="1"/>
      </w:r>
      <w:r w:rsidR="00D63EE9" w:rsidRPr="00640AE1">
        <w:rPr>
          <w:sz w:val="24"/>
          <w:szCs w:val="24"/>
          <w:lang w:val="en-GB"/>
        </w:rPr>
        <w:instrText>ADDIN CSL_CITATION {"citationItems":[{"id":"ITEM-1","itemData":{"author":[{"dropping-particle":"","family":"Watson","given":"M","non-dropping-particle":"","parse-names":false,"suffix":""},{"dropping-particle":"","family":"Greer","given":"S","non-dropping-particle":"","parse-names":false,"suffix":""}],"container-title":"Journal of Psychosomatic Research","id":"ITEM-1","issue":"4","issued":{"date-parts":[["1983"]]},"page":"299-305","title":"Development of a questionnaire measure of emotional control","type":"article-journal","volume":"27"},"uris":["http://www.mendeley.com/documents/?uuid=52462c6a-9a31-475a-921f-0a948051a546"]}],"mendeley":{"formattedCitation":"(16)","plainTextFormattedCitation":"(16)","previouslyFormattedCitation":"(16)"},"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(16)</w:t>
      </w:r>
      <w:r w:rsidR="00D16D51" w:rsidRPr="00640AE1">
        <w:rPr>
          <w:sz w:val="24"/>
          <w:szCs w:val="24"/>
          <w:lang w:val="en-GB"/>
        </w:rPr>
        <w:fldChar w:fldCharType="end"/>
      </w:r>
      <w:r w:rsidR="00D16D51" w:rsidRPr="00640AE1">
        <w:rPr>
          <w:sz w:val="24"/>
          <w:szCs w:val="24"/>
          <w:lang w:val="en-GB"/>
        </w:rPr>
        <w:t xml:space="preserve">. </w:t>
      </w:r>
      <w:r w:rsidRPr="00640AE1">
        <w:rPr>
          <w:sz w:val="24"/>
          <w:szCs w:val="24"/>
          <w:lang w:val="en-GB"/>
        </w:rPr>
        <w:t>Agreement with 21 items (seven per emotion) is rated on a four-point scale. Total scores result in a maximum possible score of 84, where high scores indicate more emotional suppression. The CECS has been found to be valid and reliable</w:t>
      </w:r>
      <w:r w:rsidR="004441FB" w:rsidRPr="00640AE1">
        <w:rPr>
          <w:sz w:val="24"/>
          <w:szCs w:val="24"/>
          <w:lang w:val="en-GB"/>
        </w:rPr>
        <w:t xml:space="preserve"> in patients with breast cancer</w:t>
      </w:r>
      <w:r w:rsidRPr="00640AE1">
        <w:rPr>
          <w:sz w:val="24"/>
          <w:szCs w:val="24"/>
          <w:lang w:val="en-GB"/>
        </w:rPr>
        <w:t xml:space="preserve"> (Cronbach’s alpha= .88) </w:t>
      </w:r>
      <w:r w:rsidR="00D16D51" w:rsidRPr="00640AE1">
        <w:rPr>
          <w:sz w:val="24"/>
          <w:szCs w:val="24"/>
          <w:lang w:val="en-GB"/>
        </w:rPr>
        <w:fldChar w:fldCharType="begin" w:fldLock="1"/>
      </w:r>
      <w:r w:rsidR="00D63EE9" w:rsidRPr="00640AE1">
        <w:rPr>
          <w:sz w:val="24"/>
          <w:szCs w:val="24"/>
          <w:lang w:val="en-GB"/>
        </w:rPr>
        <w:instrText>ADDIN CSL_CITATION {"citationItems":[{"id":"ITEM-1","itemData":{"author":[{"dropping-particle":"","family":"Watson","given":"M","non-dropping-particle":"","parse-names":false,"suffix":""},{"dropping-particle":"","family":"Greer","given":"S","non-dropping-particle":"","parse-names":false,"suffix":""}],"container-title":"Journal of Psychosomatic Research","id":"ITEM-1","issue":"4","issued":{"date-parts":[["1983"]]},"page":"299-305","title":"Development of a questionnaire measure of emotional control","type":"article-journal","volume":"27"},"uris":["http://www.mendeley.com/documents/?uuid=52462c6a-9a31-475a-921f-0a948051a546"]}],"mendeley":{"formattedCitation":"(16)","plainTextFormattedCitation":"(16)","previouslyFormattedCitation":"(16)"},"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(16)</w:t>
      </w:r>
      <w:r w:rsidR="00D16D51" w:rsidRPr="00640AE1">
        <w:rPr>
          <w:sz w:val="24"/>
          <w:szCs w:val="24"/>
          <w:lang w:val="en-GB"/>
        </w:rPr>
        <w:fldChar w:fldCharType="end"/>
      </w:r>
      <w:r w:rsidR="00D16D51" w:rsidRPr="00640AE1">
        <w:rPr>
          <w:sz w:val="24"/>
          <w:szCs w:val="24"/>
          <w:lang w:val="en-GB"/>
        </w:rPr>
        <w:t>.</w:t>
      </w:r>
      <w:r w:rsidR="004441FB" w:rsidRPr="00640AE1">
        <w:rPr>
          <w:sz w:val="24"/>
          <w:szCs w:val="24"/>
          <w:lang w:val="en-GB"/>
        </w:rPr>
        <w:t xml:space="preserve"> In patients with fibromyalgia, the scale has been found to have excellent internal consistency (Cronbach’s alpha=.948) </w:t>
      </w:r>
      <w:r w:rsidR="004441FB" w:rsidRPr="00640AE1">
        <w:rPr>
          <w:sz w:val="24"/>
          <w:szCs w:val="24"/>
          <w:lang w:val="en-GB"/>
        </w:rPr>
        <w:fldChar w:fldCharType="begin" w:fldLock="1"/>
      </w:r>
      <w:r w:rsidR="00D63EE9" w:rsidRPr="00640AE1">
        <w:rPr>
          <w:sz w:val="24"/>
          <w:szCs w:val="24"/>
          <w:lang w:val="en-GB"/>
        </w:rPr>
        <w:instrText>ADDIN CSL_CITATION {"citationItems":[{"id":"ITEM-1","itemData":{"author":[{"dropping-particle":"","family":"Bowers","given":"H","non-dropping-particle":"","parse-names":false,"suffix":""}],"id":"ITEM-1","issued":{"date-parts":[["2017"]]},"publisher":"Royal Holloway University of London","title":"Exploring beliefs about emotions, emotional expression and support-seeking in persistent physical symptoms - Research - Royal Holloway, University of London","type":"thesis"},"uris":["http://www.mendeley.com/documents/?uuid=42833e87-eed4-3465-9bd7-75be4876dde2"]}],"mendeley":{"formattedCitation":"(17)","plainTextFormattedCitation":"(17)","previouslyFormattedCitation":"(17)"},"properties":{"noteIndex":0},"schema":"https://github.com/citation-style-language/schema/raw/master/csl-citation.json"}</w:instrText>
      </w:r>
      <w:r w:rsidR="004441FB" w:rsidRPr="00640AE1">
        <w:rPr>
          <w:sz w:val="24"/>
          <w:szCs w:val="24"/>
          <w:lang w:val="en-GB"/>
        </w:rPr>
        <w:fldChar w:fldCharType="separate"/>
      </w:r>
      <w:r w:rsidR="003E246C" w:rsidRPr="00640AE1">
        <w:rPr>
          <w:noProof/>
          <w:sz w:val="24"/>
          <w:szCs w:val="24"/>
          <w:lang w:val="en-GB"/>
        </w:rPr>
        <w:t>(17)</w:t>
      </w:r>
      <w:r w:rsidR="004441FB" w:rsidRPr="00640AE1">
        <w:rPr>
          <w:sz w:val="24"/>
          <w:szCs w:val="24"/>
          <w:lang w:val="en-GB"/>
        </w:rPr>
        <w:fldChar w:fldCharType="end"/>
      </w:r>
      <w:r w:rsidR="004441FB" w:rsidRPr="00640AE1">
        <w:rPr>
          <w:sz w:val="24"/>
          <w:szCs w:val="24"/>
          <w:lang w:val="en-GB"/>
        </w:rPr>
        <w:t xml:space="preserve">. This measure was selected as the current study aimed to explore beliefs about emotions as a separate construct from behaviours around emotional expression. It was therefore necessary to use a scale </w:t>
      </w:r>
      <w:r w:rsidR="004441FB" w:rsidRPr="00640AE1">
        <w:rPr>
          <w:sz w:val="24"/>
          <w:szCs w:val="24"/>
          <w:lang w:val="en-GB"/>
        </w:rPr>
        <w:lastRenderedPageBreak/>
        <w:t xml:space="preserve">where items were focused solely on emotional </w:t>
      </w:r>
      <w:r w:rsidR="000A1FD0" w:rsidRPr="00640AE1">
        <w:rPr>
          <w:sz w:val="24"/>
          <w:szCs w:val="24"/>
          <w:lang w:val="en-GB"/>
        </w:rPr>
        <w:t>suppression</w:t>
      </w:r>
      <w:r w:rsidR="004441FB" w:rsidRPr="00640AE1">
        <w:rPr>
          <w:sz w:val="24"/>
          <w:szCs w:val="24"/>
          <w:lang w:val="en-GB"/>
        </w:rPr>
        <w:t xml:space="preserve"> and not on beliefs about emotion</w:t>
      </w:r>
      <w:r w:rsidR="000A1FD0" w:rsidRPr="00640AE1">
        <w:rPr>
          <w:sz w:val="24"/>
          <w:szCs w:val="24"/>
          <w:lang w:val="en-GB"/>
        </w:rPr>
        <w:t>al suppression</w:t>
      </w:r>
      <w:r w:rsidR="004441FB" w:rsidRPr="00640AE1">
        <w:rPr>
          <w:sz w:val="24"/>
          <w:szCs w:val="24"/>
          <w:lang w:val="en-GB"/>
        </w:rPr>
        <w:t>.</w:t>
      </w:r>
    </w:p>
    <w:p w14:paraId="1635952E" w14:textId="770E2599" w:rsidR="00E81339" w:rsidRPr="00640AE1" w:rsidRDefault="00BF6903">
      <w:pPr>
        <w:pStyle w:val="Body"/>
        <w:spacing w:line="480" w:lineRule="auto"/>
        <w:ind w:firstLine="720"/>
        <w:jc w:val="both"/>
        <w:rPr>
          <w:sz w:val="24"/>
          <w:szCs w:val="24"/>
          <w:lang w:val="en-GB"/>
        </w:rPr>
      </w:pPr>
      <w:r w:rsidRPr="00640AE1">
        <w:rPr>
          <w:sz w:val="24"/>
          <w:szCs w:val="24"/>
          <w:lang w:val="en-GB"/>
        </w:rPr>
        <w:t xml:space="preserve">The Hospital Anxiety and Depression Scale </w:t>
      </w:r>
      <w:r w:rsidR="00D16D51" w:rsidRPr="00640AE1">
        <w:rPr>
          <w:sz w:val="24"/>
          <w:szCs w:val="24"/>
          <w:lang w:val="en-GB"/>
        </w:rPr>
        <w:fldChar w:fldCharType="begin" w:fldLock="1"/>
      </w:r>
      <w:r w:rsidR="00D63EE9" w:rsidRPr="00640AE1">
        <w:rPr>
          <w:sz w:val="24"/>
          <w:szCs w:val="24"/>
          <w:lang w:val="en-GB"/>
        </w:rPr>
        <w:instrText>ADDIN CSL_CITATION {"citationItems":[{"id":"ITEM-1","itemData":{"DOI":"10.1111/j.1600-0447.1983.tb09716.x","ISSN":"0001-690X","author":[{"dropping-particle":"","family":"Zigmond","given":"A. S.","non-dropping-particle":"","parse-names":false,"suffix":""},{"dropping-particle":"","family":"Snaith","given":"R. P.","non-dropping-particle":"","parse-names":false,"suffix":""},{"dropping-particle":"","family":"Malterud","given":"Kirsti","non-dropping-particle":"","parse-names":false,"suffix":""},{"dropping-particle":"","family":"Lysens","given":"Roeland","non-dropping-particle":"","parse-names":false,"suffix":""},{"dropping-particle":"","family":"Vertommen","given":"Hans","non-dropping-particle":"","parse-names":false,"suffix":""},{"dropping-particle":"","family":"Miike","given":"Teruhisa","non-dropping-particle":"","parse-names":false,"suffix":""},{"dropping-particle":"","family":"Watanabe","given":"Yasuyoshi","non-dropping-particle":"","parse-names":false,"suffix":""}],"container-title":"Acta Psychiatrica Scandinavica","id":"ITEM-1","issue":"6","issued":{"date-parts":[["1983","6"]]},"note":"NULL","page":"361-370","publisher":"Cambridge University Press","title":"The Hospital Anxiety and Depression Scale","type":"article-journal","volume":"67"},"uris":["http://www.mendeley.com/documents/?uuid=696b1c14-ed98-3f86-9888-52879ce8811b"]}],"mendeley":{"formattedCitation":"(18)","plainTextFormattedCitation":"(18)","previouslyFormattedCitation":"(18)"},"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(18)</w:t>
      </w:r>
      <w:r w:rsidR="00D16D51" w:rsidRPr="00640AE1">
        <w:rPr>
          <w:sz w:val="24"/>
          <w:szCs w:val="24"/>
          <w:lang w:val="en-GB"/>
        </w:rPr>
        <w:fldChar w:fldCharType="end"/>
      </w:r>
      <w:r w:rsidR="00D16D51" w:rsidRPr="00640AE1">
        <w:rPr>
          <w:sz w:val="24"/>
          <w:szCs w:val="24"/>
          <w:lang w:val="en-GB"/>
        </w:rPr>
        <w:t xml:space="preserve"> </w:t>
      </w:r>
      <w:r w:rsidRPr="00640AE1">
        <w:rPr>
          <w:sz w:val="24"/>
          <w:szCs w:val="24"/>
          <w:lang w:val="en-GB"/>
        </w:rPr>
        <w:t xml:space="preserve">was used to measure distress. Fourteen items ask participants to rate on varying four-point scales their level of depression and anxiety symptoms. Seven items address each affect. </w:t>
      </w:r>
      <w:r w:rsidR="004441FB" w:rsidRPr="00640AE1">
        <w:rPr>
          <w:sz w:val="24"/>
          <w:szCs w:val="24"/>
          <w:lang w:val="en-GB"/>
        </w:rPr>
        <w:t xml:space="preserve">This measure was selected as it has been used reliably to detect anxiety and depression in participants with physical symptoms due to its lack of reference to somatic features of depression and anxiety compared with other measures such as the Patient Health Questionnaire-9 and Beck’s Depression Inventory </w:t>
      </w:r>
      <w:r w:rsidR="004441FB" w:rsidRPr="00640AE1">
        <w:rPr>
          <w:sz w:val="24"/>
          <w:szCs w:val="24"/>
          <w:lang w:val="en-GB"/>
        </w:rPr>
        <w:fldChar w:fldCharType="begin" w:fldLock="1"/>
      </w:r>
      <w:r w:rsidR="00D63EE9" w:rsidRPr="00640AE1">
        <w:rPr>
          <w:sz w:val="24"/>
          <w:szCs w:val="24"/>
          <w:lang w:val="en-GB"/>
        </w:rPr>
        <w:instrText>ADDIN CSL_CITATION {"citationItems":[{"id":"ITEM-1","itemData":{"DOI":"10.1016/S0022-3999(01)00296-3","ISSN":"0022-3999","PMID":"11832252","abstract":"To review the literature of the validity of the Hospital Anxiety and Depression Scale (HADS).","author":[{"dropping-particle":"","family":"Bjelland","given":"Ingvar","non-dropping-particle":"","parse-names":false,"suffix":""},{"dropping-particle":"","family":"Dahl","given":"Alv a","non-dropping-particle":"","parse-names":false,"suffix":""},{"dropping-particle":"","family":"Haug","given":"Tone Tangen","non-dropping-particle":"","parse-names":false,"suffix":""},{"dropping-particle":"","family":"Neckelmann","given":"Dag","non-dropping-particle":"","parse-names":false,"suffix":""}],"container-title":"J Psychosom Res","id":"ITEM-1","issue":"2","issued":{"date-parts":[["2002"]]},"page":"69-77","title":"The validity of the Hospital Anxiety and Depression Scale. An updated literature review.","type":"article-journal","volume":"52"},"uris":["http://www.mendeley.com/documents/?uuid=ce5e2946-6c2d-4c48-871a-d6507ae3d030"]},{"id":"ITEM-2","itemData":{"DOI":"10.1002/acr.20556","ISBN":"2151-4658 (Electronic)\\n2151-464X (Linking)","ISSN":"21514658","PMID":"22588766","abstract":"Smarr, K. L., &amp; Keefer, A. L. (2011). Measures of depression and depressive symptoms: Beck Depression Inventory-II (BDI-II), Center for Epidemiologic Studies Depression Scale (CES-D), Geriatric Depression Scale (GDS), Hospital Anxiety and Depression Scale (HADS), and Patient Health Questionna. Arthritis Care &amp; Research, 63(11), 454–466. doi:10.1002/acr.20556","author":[{"dropping-particle":"","family":"Smarr","given":"Karen L.","non-dropping-particle":"","parse-names":false,"suffix":""},{"dropping-particle":"","family":"Keefer","given":"Autumn L.","non-dropping-particle":"","parse-names":false,"suffix":""}],"container-title":"Arthritis Care and Research","id":"ITEM-2","issue":"SUPPL. 11","issued":{"date-parts":[["2011"]]},"page":"454-466","title":"Measures of depression and depressive symptoms: Beck Depression Inventory-II (BDI-II), Center for Epidemiologic Studies Depression Scale (CES-D), Geriatric Depression Scale (GDS), Hospital Anxiety and Depression Scale (HADS), and Patient Health Questionna","type":"article-journal","volume":"63"},"uris":["http://www.mendeley.com/documents/?uuid=7a4872fb-1b0d-425c-bfa8-59d3b6594b9c"]}],"mendeley":{"formattedCitation":"(19,20)","plainTextFormattedCitation":"(19,20)","previouslyFormattedCitation":"(19,20)"},"properties":{"noteIndex":0},"schema":"https://github.com/citation-style-language/schema/raw/master/csl-citation.json"}</w:instrText>
      </w:r>
      <w:r w:rsidR="004441FB" w:rsidRPr="00640AE1">
        <w:rPr>
          <w:sz w:val="24"/>
          <w:szCs w:val="24"/>
          <w:lang w:val="en-GB"/>
        </w:rPr>
        <w:fldChar w:fldCharType="separate"/>
      </w:r>
      <w:r w:rsidR="003E246C" w:rsidRPr="00640AE1">
        <w:rPr>
          <w:noProof/>
          <w:sz w:val="24"/>
          <w:szCs w:val="24"/>
          <w:lang w:val="en-GB"/>
        </w:rPr>
        <w:t>(19,20)</w:t>
      </w:r>
      <w:r w:rsidR="004441FB" w:rsidRPr="00640AE1">
        <w:rPr>
          <w:sz w:val="24"/>
          <w:szCs w:val="24"/>
          <w:lang w:val="en-GB"/>
        </w:rPr>
        <w:fldChar w:fldCharType="end"/>
      </w:r>
      <w:r w:rsidR="004441FB" w:rsidRPr="00640AE1">
        <w:rPr>
          <w:sz w:val="24"/>
          <w:szCs w:val="24"/>
          <w:lang w:val="en-GB"/>
        </w:rPr>
        <w:t xml:space="preserve">. </w:t>
      </w:r>
      <w:r w:rsidRPr="00640AE1">
        <w:rPr>
          <w:sz w:val="24"/>
          <w:szCs w:val="24"/>
          <w:lang w:val="en-GB"/>
        </w:rPr>
        <w:t xml:space="preserve">Scores were summed across both depression and anxiety items to create one overall distress score with a maximum of 42 (Cronbach’s alphas=.82-90) </w:t>
      </w:r>
      <w:r w:rsidR="00D16D51" w:rsidRPr="00640AE1">
        <w:rPr>
          <w:sz w:val="24"/>
          <w:szCs w:val="24"/>
          <w:lang w:val="en-GB"/>
        </w:rPr>
        <w:fldChar w:fldCharType="begin" w:fldLock="1"/>
      </w:r>
      <w:r w:rsidR="00D63EE9" w:rsidRPr="00640AE1">
        <w:rPr>
          <w:sz w:val="24"/>
          <w:szCs w:val="24"/>
          <w:lang w:val="en-GB"/>
        </w:rPr>
        <w:instrText>ADDIN CSL_CITATION {"citationItems":[{"id":"ITEM-1","itemData":{"DOI":"10.1002/acr.20556","ISBN":"2151-4658 (Electronic)\\n2151-464X (Linking)","ISSN":"21514658","PMID":"22588766","abstract":"Smarr, K. L., &amp; Keefer, A. L. (2011). Measures of depression and depressive symptoms: Beck Depression Inventory-II (BDI-II), Center for Epidemiologic Studies Depression Scale (CES-D), Geriatric Depression Scale (GDS), Hospital Anxiety and Depression Scale (HADS), and Patient Health Questionna. Arthritis Care &amp; Research, 63(11), 454–466. doi:10.1002/acr.20556","author":[{"dropping-particle":"","family":"Smarr","given":"Karen L.","non-dropping-particle":"","parse-names":false,"suffix":""},{"dropping-particle":"","family":"Keefer","given":"Autumn L.","non-dropping-particle":"","parse-names":false,"suffix":""}],"container-title":"Arthritis Care and Research","id":"ITEM-1","issue":"SUPPL. 11","issued":{"date-parts":[["2011"]]},"page":"454-466","title":"Measures of depression and depressive symptoms: Beck Depression Inventory-II (BDI-II), Center for Epidemiologic Studies Depression Scale (CES-D), Geriatric Depression Scale (GDS), Hospital Anxiety and Depression Scale (HADS), and Patient Health Questionna","type":"article-journal","volume":"63"},"uris":["http://www.mendeley.com/documents/?uuid=7a4872fb-1b0d-425c-bfa8-59d3b6594b9c"]}],"mendeley":{"formattedCitation":"(20)","plainTextFormattedCitation":"(20)","previouslyFormattedCitation":"(20)"},"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(20)</w:t>
      </w:r>
      <w:r w:rsidR="00D16D51" w:rsidRPr="00640AE1">
        <w:rPr>
          <w:sz w:val="24"/>
          <w:szCs w:val="24"/>
          <w:lang w:val="en-GB"/>
        </w:rPr>
        <w:fldChar w:fldCharType="end"/>
      </w:r>
      <w:r w:rsidR="00D16D51" w:rsidRPr="00640AE1">
        <w:rPr>
          <w:sz w:val="24"/>
          <w:szCs w:val="24"/>
          <w:lang w:val="en-GB"/>
        </w:rPr>
        <w:t xml:space="preserve">. </w:t>
      </w:r>
      <w:r w:rsidRPr="00640AE1">
        <w:rPr>
          <w:sz w:val="24"/>
          <w:szCs w:val="24"/>
          <w:lang w:val="en-GB"/>
        </w:rPr>
        <w:t>Overall HADS scores across the two subscales have been used in a range of samples including those in primary care</w:t>
      </w:r>
      <w:r w:rsidR="00D16D51" w:rsidRPr="00640AE1">
        <w:rPr>
          <w:sz w:val="24"/>
          <w:szCs w:val="24"/>
          <w:lang w:val="en-GB"/>
        </w:rPr>
        <w:t xml:space="preserve"> </w:t>
      </w:r>
      <w:r w:rsidR="00D16D51" w:rsidRPr="00640AE1">
        <w:rPr>
          <w:sz w:val="24"/>
          <w:szCs w:val="24"/>
          <w:lang w:val="en-GB"/>
        </w:rPr>
        <w:fldChar w:fldCharType="begin" w:fldLock="1"/>
      </w:r>
      <w:r w:rsidR="00D63EE9" w:rsidRPr="00640AE1">
        <w:rPr>
          <w:sz w:val="24"/>
          <w:szCs w:val="24"/>
          <w:lang w:val="en-GB"/>
        </w:rPr>
        <w:instrText>ADDIN CSL_CITATION {"citationItems":[{"id":"ITEM-1","itemData":{"DOI":"10.1348/014466506X96931","ISBN":"0144-6657 (Print)\r0144-6657 (Linking)","ISSN":"0144-6657","PMID":"17472198","abstract":"OBJECTIVES: To demonstrate the use of Rasch analysis by assessing the appropriateness of utilizing the Hospital Anxiety and Depression Scale (HADS) total score (HADS-14) as a measure of psychological distress. DESIGN: Cross-sectional, using Rasch analysis. METHODS: The HADS was administered to 296 patients attending an out-patient musculoskeletal rehabilitation program. Rasch analysis was conducted using RUMM2020 software to assess the overall fit of the model, the response scale used, individual item fit, differential item functioning (DIF) and person separation. RESULTS: Rasch analysis supported the viability of the HADS-14 as a measure of psychological distress. It showed good person separation, little disordering of the thresholds and no evidence of DIE One anxiety item (item 11) showed some misfit to the model. The residuals patterned into the two subscales (anxiety and depression), but the person estimate derived from these two subscales was not statistically different to that derived from all items taken together, supporting the assumption of unidimensionality. A cut-point of 12 on the HADS-14 identified all cases that were classified as both anxious and depressed on the original individual HADS subscales. CONCLUSIONS: The results of Rasch analysis support the use of the HADS-14 as a global measure of psychological distress. The study demonstrates the usefulness of Rasch analysis in assessing the psychometric properties of a scale and suggests that further use of this technique to assess the HADS-14 in other clinical groups is warranted.","author":[{"dropping-particle":"","family":"Pallant","given":"Julie F","non-dropping-particle":"","parse-names":false,"suffix":""},{"dropping-particle":"","family":"Tennant","given":"Alan","non-dropping-particle":"","parse-names":false,"suffix":""}],"container-title":"The British journal of clinical psychology / the British Psychological Society","id":"ITEM-1","issue":"Pt 1","issued":{"date-parts":[["2007"]]},"page":"1-18","title":"An introduction to the Rasch measurement model: an example using the Hospital Anxiety and Depression Scale (HADS).","type":"article-journal","volume":"46"},"uris":["http://www.mendeley.com/documents/?uuid=0cfd7dc7-128f-4046-90fa-6f88b9194d9b"]}],"mendeley":{"formattedCitation":"(21)","plainTextFormattedCitation":"(21)","previouslyFormattedCitation":"(21)"},"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(21)</w:t>
      </w:r>
      <w:r w:rsidR="00D16D51" w:rsidRPr="00640AE1">
        <w:rPr>
          <w:sz w:val="24"/>
          <w:szCs w:val="24"/>
          <w:lang w:val="en-GB"/>
        </w:rPr>
        <w:fldChar w:fldCharType="end"/>
      </w:r>
      <w:r w:rsidR="00D16D51" w:rsidRPr="00640AE1">
        <w:rPr>
          <w:sz w:val="24"/>
          <w:szCs w:val="24"/>
          <w:lang w:val="en-GB"/>
        </w:rPr>
        <w:t xml:space="preserve"> </w:t>
      </w:r>
      <w:r w:rsidRPr="00640AE1">
        <w:rPr>
          <w:sz w:val="24"/>
          <w:szCs w:val="24"/>
          <w:lang w:val="en-GB"/>
        </w:rPr>
        <w:t xml:space="preserve">and those with musculoskeletal pain </w:t>
      </w:r>
      <w:r w:rsidR="00D16D51" w:rsidRPr="00640AE1">
        <w:rPr>
          <w:sz w:val="24"/>
          <w:szCs w:val="24"/>
          <w:lang w:val="en-GB"/>
        </w:rPr>
        <w:fldChar w:fldCharType="begin" w:fldLock="1"/>
      </w:r>
      <w:r w:rsidR="00D63EE9" w:rsidRPr="00640AE1">
        <w:rPr>
          <w:sz w:val="24"/>
          <w:szCs w:val="24"/>
          <w:lang w:val="en-GB"/>
        </w:rPr>
        <w:instrText>ADDIN CSL_CITATION {"citationItems":[{"id":"ITEM-1","itemData":{"DOI":"10.1016/j.jad.2012.10.029","ISBN":"1573-2517 (Electronic)\\n0165-0327 (Linking)","ISSN":"01650327","PMID":"23218249","abstract":"Background: The aims of this study were to: (1) evaluate the psychometric properties of a French Canadian version of the Hospital Anxiety and Depression Scale (HADS-FC) in a large population of primary care patients in Quebec, Canada; (2) conduct a transcultural validation of the original HADS in a subsample of English-speaking patients; (3) explore HADS properties in subgroups with or without multimorbidity. Methods: A sample of 14,833 adults recruited in 64 primary care clinics completed the HADS, including 3,382 patients at elevated risk of mental disorders that also completed the Composite International Diagnostic Interview-Simplified (CIDIS). The HADS' internal consistency and discriminant validity were assessed, its factor structure was evaluated, and receiver operating characteristic (ROC) analyses were undertaken to evaluate its case finding abilities. Results: The HADS-FC had good reliability (Cronbach's alphas ranging from 0.79 to 0.89 depending on language version and subscales) and discriminant validity, and a two-factor structure reflecting anxiety and depression factors. Results were similar in patient subgroups with or without multimorbidity. Optimal cut-off values were calculated: HADS: ≥16 (sensitivity 62%, specificity 77%), HADS-A: ≥10 (sensitivity 66%, specificity 73%) and HADS-D:≥7 (sensitivity 65%, specificity 75%). Limitations: Our cohort selection process and use of the CIDIS as a gold standard may have contributed to the limited case-finding performance of the HADS-FC. Conclusions: The HADS-FC and English HADS presented good psychometric properties in primary care patients, including patients with and without multimorbidity. However, its performance as a screening instrument in these settings with patients of varying clinical profiles requires more scrutiny. © 2012 Elsevier B.V. All rights reserved.","author":[{"dropping-particle":"","family":"Roberge","given":"Pasquale","non-dropping-particle":"","parse-names":false,"suffix":""},{"dropping-particle":"","family":"Doré","given":"Isabelle","non-dropping-particle":"","parse-names":false,"suffix":""},{"dropping-particle":"","family":"Menear","given":"Matthew","non-dropping-particle":"","parse-names":false,"suffix":""},{"dropping-particle":"","family":"Chartrand","given":"Élise","non-dropping-particle":"","parse-names":false,"suffix":""},{"dropping-particle":"","family":"Ciampi","given":"Antonio","non-dropping-particle":"","parse-names":false,"suffix":""},{"dropping-particle":"","family":"Duhoux","given":"Arnaud","non-dropping-particle":"","parse-names":false,"suffix":""},{"dropping-particle":"","family":"Fournier","given":"Louise","non-dropping-particle":"","parse-names":false,"suffix":""}],"container-title":"Journal of Affective Disorders","id":"ITEM-1","issue":"1-3","issued":{"date-parts":[["2013"]]},"page":"171-179","title":"A psychometric evaluation of the French Canadian version of the Hospital Anxiety and Depression Scale in a large primary care population","type":"article-journal","volume":"147"},"uris":["http://www.mendeley.com/documents/?uuid=e100b809-71a5-44cd-b130-327380f2dcf5"]}],"mendeley":{"formattedCitation":"(22)","plainTextFormattedCitation":"(22)","previouslyFormattedCitation":"(22)"},"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(22)</w:t>
      </w:r>
      <w:r w:rsidR="00D16D51" w:rsidRPr="00640AE1">
        <w:rPr>
          <w:sz w:val="24"/>
          <w:szCs w:val="24"/>
          <w:lang w:val="en-GB"/>
        </w:rPr>
        <w:fldChar w:fldCharType="end"/>
      </w:r>
      <w:r w:rsidR="004441FB" w:rsidRPr="00640AE1">
        <w:rPr>
          <w:sz w:val="24"/>
          <w:szCs w:val="24"/>
          <w:lang w:val="en-GB"/>
        </w:rPr>
        <w:t xml:space="preserve"> and fibromyalgia </w:t>
      </w:r>
      <w:r w:rsidR="004441FB" w:rsidRPr="00640AE1">
        <w:rPr>
          <w:sz w:val="24"/>
          <w:szCs w:val="24"/>
          <w:lang w:val="en-GB"/>
        </w:rPr>
        <w:fldChar w:fldCharType="begin" w:fldLock="1"/>
      </w:r>
      <w:r w:rsidR="00D63EE9" w:rsidRPr="00640AE1">
        <w:rPr>
          <w:sz w:val="24"/>
          <w:szCs w:val="24"/>
          <w:lang w:val="en-GB"/>
        </w:rPr>
        <w:instrText>ADDIN CSL_CITATION {"citationItems":[{"id":"ITEM-1","itemData":{"DOI":"10.1007/s10067-017-3590-0","ISSN":"14349949","abstract":"© 2017, The Author(s). Beliefs about the unacceptability of experiencing and expressing emotions have been found to be related to worse outcomes in people with persistent physical symptoms. The current study tested mediation models regarding emotional suppression, beliefs about emotions, support-seeking and global impact in fibromyalgia. One hundred eighty-two participants took part in an online questionnaire testing potential mechanisms of this relationship using mediation analysis. The model tested emotional suppression and affective distress as serial mediators of the relationship between beliefs about emotions and global impact. In parallel paths, two forms of support-seeking were tested (personal/emotional and symptom-related support-seeking) as mediators. Emotional suppression and affective distress significantly serially mediated the relationship between beliefs about emotions and global impact. Neither support-seeking variable significantly mediated this relationship. Results indicate a potential mechanism through which beliefs about emotions and global impact might relate which might provide a theoretical basis for future research on treatments for fibromyalgia.","author":[{"dropping-particle":"","family":"Bowers","given":"H.","non-dropping-particle":"","parse-names":false,"suffix":""},{"dropping-particle":"","family":"Wroe","given":"A.L.","non-dropping-particle":"","parse-names":false,"suffix":""},{"dropping-particle":"","family":"Pincus","given":"T.","non-dropping-particle":"","parse-names":false,"suffix":""}],"container-title":"Clinical Rheumatology","id":"ITEM-1","issue":"5","issued":{"date-parts":[["2017"]]},"title":"‘Isn’t it ironic?’ Beliefs about the unacceptability of emotions and emotional suppression relate to worse outcomes in fibromyalgia","type":"article-journal","volume":"36"},"uris":["http://www.mendeley.com/documents/?uuid=79685536-99c5-3164-869f-284272ef5d3d"]}],"mendeley":{"formattedCitation":"(9)","plainTextFormattedCitation":"(9)","previouslyFormattedCitation":"(9)"},"properties":{"noteIndex":0},"schema":"https://github.com/citation-style-language/schema/raw/master/csl-citation.json"}</w:instrText>
      </w:r>
      <w:r w:rsidR="004441FB" w:rsidRPr="00640AE1">
        <w:rPr>
          <w:sz w:val="24"/>
          <w:szCs w:val="24"/>
          <w:lang w:val="en-GB"/>
        </w:rPr>
        <w:fldChar w:fldCharType="separate"/>
      </w:r>
      <w:r w:rsidR="003E246C" w:rsidRPr="00640AE1">
        <w:rPr>
          <w:noProof/>
          <w:sz w:val="24"/>
          <w:szCs w:val="24"/>
          <w:lang w:val="en-GB"/>
        </w:rPr>
        <w:t>(9)</w:t>
      </w:r>
      <w:r w:rsidR="004441FB" w:rsidRPr="00640AE1">
        <w:rPr>
          <w:sz w:val="24"/>
          <w:szCs w:val="24"/>
          <w:lang w:val="en-GB"/>
        </w:rPr>
        <w:fldChar w:fldCharType="end"/>
      </w:r>
      <w:r w:rsidR="00D16D51" w:rsidRPr="00640AE1">
        <w:rPr>
          <w:sz w:val="24"/>
          <w:szCs w:val="24"/>
          <w:lang w:val="en-GB"/>
        </w:rPr>
        <w:t>.</w:t>
      </w:r>
      <w:r w:rsidR="004441FB" w:rsidRPr="00640AE1">
        <w:rPr>
          <w:sz w:val="24"/>
          <w:szCs w:val="24"/>
          <w:lang w:val="en-GB"/>
        </w:rPr>
        <w:t xml:space="preserve"> </w:t>
      </w:r>
    </w:p>
    <w:p w14:paraId="20A8CF98" w14:textId="281EB027" w:rsidR="00E81339" w:rsidRPr="00640AE1" w:rsidRDefault="00BF6903">
      <w:pPr>
        <w:pStyle w:val="Body"/>
        <w:spacing w:line="480" w:lineRule="auto"/>
        <w:ind w:firstLine="720"/>
        <w:jc w:val="both"/>
        <w:rPr>
          <w:sz w:val="24"/>
          <w:szCs w:val="24"/>
          <w:lang w:val="en-GB"/>
        </w:rPr>
      </w:pPr>
      <w:r w:rsidRPr="00640AE1">
        <w:rPr>
          <w:sz w:val="24"/>
          <w:szCs w:val="24"/>
          <w:lang w:val="en-GB"/>
        </w:rPr>
        <w:t xml:space="preserve">To measure outcomes specific to fibromyalgia, the revised Fibromyalgia Impact Questionnaire (FIQr) was used (Cronbach’s alpha=.95) </w:t>
      </w:r>
      <w:r w:rsidR="00D16D51" w:rsidRPr="00640AE1">
        <w:rPr>
          <w:sz w:val="24"/>
          <w:szCs w:val="24"/>
          <w:lang w:val="en-GB"/>
        </w:rPr>
        <w:fldChar w:fldCharType="begin" w:fldLock="1"/>
      </w:r>
      <w:r w:rsidR="00D63EE9" w:rsidRPr="00640AE1">
        <w:rPr>
          <w:sz w:val="24"/>
          <w:szCs w:val="24"/>
          <w:lang w:val="en-GB"/>
        </w:rPr>
        <w:instrText>ADDIN CSL_CITATION {"citationItems":[{"id":"ITEM-1","itemData":{"DOI":"10.1186/ar2783","ISSN":"1478-6362","PMID":"19664287","abstract":"INTRODUCTION: The Fibromyalgia Impact Questionnaire (FIQ) is a commonly used instrument in the evaluation of fibromyalgia (FM) patients. Over the last 18 years, since the publication of the original FIQ, several deficiencies have become apparent and the cumbersome scoring algorithm has been a barrier to widespread clinical use. The aim of this paper is to describe and validate a revised version of the FIQ: the FIQR. METHODS: The FIQR was developed in response to known deficiencies of the FIQ with the help of a patient focus group. The FIQR has the same 3 domains as the FIQ (that is, function, overall impact and symptoms). It differs from the FIQ in having modified function questions and the inclusion of questions on memory, tenderness, balance and environmental sensitivity. All questions are graded on a 0-10 numeric scale. The FIQR was administered online and the results were compared to the same patient's online responses to the 36-Item Short Form Health Survey (SF-36) and the original FIQ. RESULTS: The FIQR was completed online by 202 FM patients, 51 rheumatoid arthritis (RA) or systemic lupus erythematosus (SLE) patients (31 RA and 20 SLE), 11 patients with major depressive disorder (MDD) and 213 healthy controls (HC). The mean total FIQR score was 56.6 +/- 19.9 compared to a total FIQ score of 60.6 +/- 17.8 (P &lt; 0.03). The total scores of the FIQR and FIQ were closely correlated (r = 0.88, P &lt; 0.001). Each of the 3 domains of the FIQR correlated well with the 3 related FIQ domains (r = 0.69 to 0.88, P &lt; 0.01). The FIQR showed good correlation with comparable domains in the SF-36, with a multiple regression analysis showing that the three FIQR domain scores predicted the 8 SF-36 subscale scores. The FIQR had good discriminant ability between FM and the 3 other groups; total FIQR scores were HC (12.1 +/- 11.6), RA/SLE (28.6 +/- 21.2) and MDD (17.3 +/- 11.8). The patient completion time was 1.3 minutes; scoring took about 1 minute. CONCLUSIONS: The FIQR is an updated version of the FIQ that has good psychometric properties, can be completed in less than 2 minutes and is easy to score. It has scoring characteristics comparable to the original FIQ, making it possible to compare past FIQ results with future FIQR results.","author":[{"dropping-particle":"","family":"Bennett","given":"Robert M","non-dropping-particle":"","parse-names":false,"suffix":""},{"dropping-particle":"","family":"Friend","given":"Ronald","non-dropping-particle":"","parse-names":false,"suffix":""},{"dropping-particle":"","family":"Jones","given":"Kim D","non-dropping-particle":"","parse-names":false,"suffix":""},{"dropping-particle":"","family":"Ward","given":"Rachel","non-dropping-particle":"","parse-names":false,"suffix":""},{"dropping-particle":"","family":"Han","given":"Bobby K","non-dropping-particle":"","parse-names":false,"suffix":""},{"dropping-particle":"","family":"Ross","given":"Rebecca L","non-dropping-particle":"","parse-names":false,"suffix":""}],"container-title":"Arthritis Research &amp; Therapy","id":"ITEM-1","issue":"4","issued":{"date-parts":[["2009","1"]]},"page":"R120","title":"The Revised Fibromyalgia Impact Questionnaire (FIQR): Validation and psychometric properties.","type":"article-journal","volume":"11"},"uris":["http://www.mendeley.com/documents/?uuid=9e6cd6a7-50b3-494e-981d-0272799682c1"]}],"mendeley":{"formattedCitation":"(23)","plainTextFormattedCitation":"(23)","previouslyFormattedCitation":"(23)"},"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(23)</w:t>
      </w:r>
      <w:r w:rsidR="00D16D51" w:rsidRPr="00640AE1">
        <w:rPr>
          <w:sz w:val="24"/>
          <w:szCs w:val="24"/>
          <w:lang w:val="en-GB"/>
        </w:rPr>
        <w:fldChar w:fldCharType="end"/>
      </w:r>
      <w:r w:rsidR="00D16D51" w:rsidRPr="00640AE1">
        <w:rPr>
          <w:sz w:val="24"/>
          <w:szCs w:val="24"/>
          <w:lang w:val="en-GB"/>
        </w:rPr>
        <w:t xml:space="preserve">. </w:t>
      </w:r>
      <w:r w:rsidRPr="00640AE1">
        <w:rPr>
          <w:sz w:val="24"/>
          <w:szCs w:val="24"/>
          <w:lang w:val="en-GB"/>
        </w:rPr>
        <w:t xml:space="preserve">The questionnaire measures the impact of fibromyalgia across three domains: function, overall impact and symptoms. Items ask participants to respond on varying 11-point scales about their symptoms and functioning. Scores are summed and converted to scores out of 100 where high scores indicate greater impact of the disorder on the person’s life. </w:t>
      </w:r>
    </w:p>
    <w:p w14:paraId="0BE0994A" w14:textId="7BB879EE" w:rsidR="0051418B" w:rsidRPr="00640AE1" w:rsidRDefault="00B93EFC" w:rsidP="0051418B">
      <w:pPr>
        <w:pStyle w:val="Body"/>
        <w:spacing w:line="480" w:lineRule="auto"/>
        <w:jc w:val="both"/>
        <w:rPr>
          <w:b/>
          <w:bCs/>
          <w:sz w:val="24"/>
          <w:szCs w:val="24"/>
          <w:lang w:val="en-GB"/>
        </w:rPr>
      </w:pPr>
      <w:r w:rsidRPr="00640AE1">
        <w:rPr>
          <w:b/>
          <w:bCs/>
          <w:sz w:val="24"/>
          <w:szCs w:val="24"/>
          <w:lang w:val="en-GB"/>
        </w:rPr>
        <w:t>Pain Management Programme</w:t>
      </w:r>
    </w:p>
    <w:p w14:paraId="426556F7" w14:textId="2A5E0FE8" w:rsidR="0051418B" w:rsidRPr="00640AE1" w:rsidRDefault="00B93EFC" w:rsidP="0051418B">
      <w:pPr>
        <w:pStyle w:val="Body"/>
        <w:spacing w:line="480" w:lineRule="auto"/>
        <w:ind w:firstLine="720"/>
        <w:jc w:val="both"/>
        <w:rPr>
          <w:sz w:val="24"/>
          <w:szCs w:val="24"/>
          <w:lang w:val="en-GB"/>
        </w:rPr>
      </w:pPr>
      <w:r w:rsidRPr="00640AE1">
        <w:rPr>
          <w:sz w:val="24"/>
          <w:szCs w:val="24"/>
          <w:lang w:val="en-GB"/>
        </w:rPr>
        <w:t>The setting for this research was pre and post measures around a pain management programme, which was offered</w:t>
      </w:r>
      <w:r w:rsidR="0051418B" w:rsidRPr="00640AE1">
        <w:rPr>
          <w:sz w:val="24"/>
          <w:szCs w:val="24"/>
          <w:lang w:val="en-GB"/>
        </w:rPr>
        <w:t xml:space="preserve"> as </w:t>
      </w:r>
      <w:r w:rsidRPr="00640AE1">
        <w:rPr>
          <w:sz w:val="24"/>
          <w:szCs w:val="24"/>
          <w:lang w:val="en-GB"/>
        </w:rPr>
        <w:t xml:space="preserve">routine </w:t>
      </w:r>
      <w:r w:rsidR="0051418B" w:rsidRPr="00640AE1">
        <w:rPr>
          <w:sz w:val="24"/>
          <w:szCs w:val="24"/>
          <w:lang w:val="en-GB"/>
        </w:rPr>
        <w:t>part of their standard care</w:t>
      </w:r>
      <w:r w:rsidR="00F1475B" w:rsidRPr="00640AE1">
        <w:rPr>
          <w:sz w:val="24"/>
          <w:szCs w:val="24"/>
          <w:lang w:val="en-GB"/>
        </w:rPr>
        <w:t xml:space="preserve"> in NHS trusts in the South of England</w:t>
      </w:r>
      <w:r w:rsidR="0051418B" w:rsidRPr="00640AE1">
        <w:rPr>
          <w:sz w:val="24"/>
          <w:szCs w:val="24"/>
          <w:lang w:val="en-GB"/>
        </w:rPr>
        <w:t>. The specific content of the programmes varied slightly across sites</w:t>
      </w:r>
      <w:r w:rsidR="00F33E0A" w:rsidRPr="00640AE1">
        <w:rPr>
          <w:sz w:val="24"/>
          <w:szCs w:val="24"/>
          <w:lang w:val="en-GB"/>
        </w:rPr>
        <w:t>. T</w:t>
      </w:r>
      <w:r w:rsidR="0051418B" w:rsidRPr="00640AE1">
        <w:rPr>
          <w:sz w:val="24"/>
          <w:szCs w:val="24"/>
          <w:lang w:val="en-GB"/>
        </w:rPr>
        <w:t xml:space="preserve">he details of the psychological elements of the intervention were determined by the clinical </w:t>
      </w:r>
      <w:r w:rsidR="0051418B" w:rsidRPr="00640AE1">
        <w:rPr>
          <w:sz w:val="24"/>
          <w:szCs w:val="24"/>
          <w:lang w:val="en-GB"/>
        </w:rPr>
        <w:lastRenderedPageBreak/>
        <w:t xml:space="preserve">psychologist using current evidence-base. This allowed for evaluation of the </w:t>
      </w:r>
      <w:r w:rsidR="003F7282" w:rsidRPr="00640AE1">
        <w:rPr>
          <w:sz w:val="24"/>
          <w:szCs w:val="24"/>
          <w:lang w:val="en-GB"/>
        </w:rPr>
        <w:t xml:space="preserve">variables of interest </w:t>
      </w:r>
      <w:r w:rsidR="0051418B" w:rsidRPr="00640AE1">
        <w:rPr>
          <w:sz w:val="24"/>
          <w:szCs w:val="24"/>
          <w:lang w:val="en-GB"/>
        </w:rPr>
        <w:t>without evaluating the effectiveness of any particular element of the intervention.</w:t>
      </w:r>
    </w:p>
    <w:p w14:paraId="44C62C94" w14:textId="03851FB9" w:rsidR="0051418B" w:rsidRPr="00640AE1" w:rsidRDefault="00F33E0A" w:rsidP="0051418B">
      <w:pPr>
        <w:pStyle w:val="Body"/>
        <w:spacing w:line="480" w:lineRule="auto"/>
        <w:ind w:firstLine="720"/>
        <w:jc w:val="both"/>
        <w:rPr>
          <w:sz w:val="24"/>
          <w:szCs w:val="24"/>
          <w:lang w:val="en-GB"/>
        </w:rPr>
      </w:pPr>
      <w:r w:rsidRPr="00640AE1">
        <w:rPr>
          <w:sz w:val="24"/>
          <w:szCs w:val="24"/>
          <w:lang w:val="en-GB"/>
        </w:rPr>
        <w:t>G</w:t>
      </w:r>
      <w:r w:rsidR="0051418B" w:rsidRPr="00640AE1">
        <w:rPr>
          <w:sz w:val="24"/>
          <w:szCs w:val="24"/>
          <w:lang w:val="en-GB"/>
        </w:rPr>
        <w:t>roups were run by a clinical psychologist and</w:t>
      </w:r>
      <w:r w:rsidRPr="00640AE1">
        <w:rPr>
          <w:sz w:val="24"/>
          <w:szCs w:val="24"/>
          <w:lang w:val="en-GB"/>
        </w:rPr>
        <w:t xml:space="preserve"> three groups were jointly run with a</w:t>
      </w:r>
      <w:r w:rsidR="0051418B" w:rsidRPr="00640AE1">
        <w:rPr>
          <w:sz w:val="24"/>
          <w:szCs w:val="24"/>
          <w:lang w:val="en-GB"/>
        </w:rPr>
        <w:t xml:space="preserve"> pain physiotherapist</w:t>
      </w:r>
      <w:r w:rsidRPr="00640AE1">
        <w:rPr>
          <w:sz w:val="24"/>
          <w:szCs w:val="24"/>
          <w:lang w:val="en-GB"/>
        </w:rPr>
        <w:t xml:space="preserve">. </w:t>
      </w:r>
      <w:r w:rsidR="003068CE" w:rsidRPr="00640AE1">
        <w:rPr>
          <w:sz w:val="24"/>
          <w:szCs w:val="24"/>
          <w:lang w:val="en-GB"/>
        </w:rPr>
        <w:t xml:space="preserve">Physiotherapy elements included mindful movement and chair-based movements. </w:t>
      </w:r>
      <w:r w:rsidRPr="00640AE1">
        <w:rPr>
          <w:sz w:val="24"/>
          <w:szCs w:val="24"/>
          <w:lang w:val="en-GB"/>
        </w:rPr>
        <w:t xml:space="preserve">Programmes </w:t>
      </w:r>
      <w:r w:rsidR="0051418B" w:rsidRPr="00640AE1">
        <w:rPr>
          <w:sz w:val="24"/>
          <w:szCs w:val="24"/>
          <w:lang w:val="en-GB"/>
        </w:rPr>
        <w:t>were conducted in a group setting using second and third wave CBT approaches. Two of the programmes were specific to fibromyalgia while the other two groups were mixed groups of patients with a range of chronic pain conditions (only individuals with fibromyalgia were included in this study). The number of sessions ranged from six to nine and lasted between two and three hours</w:t>
      </w:r>
      <w:r w:rsidR="0088344A" w:rsidRPr="00640AE1">
        <w:rPr>
          <w:sz w:val="24"/>
          <w:szCs w:val="24"/>
          <w:lang w:val="en-GB"/>
        </w:rPr>
        <w:t>. They were all conducted weekly</w:t>
      </w:r>
      <w:r w:rsidR="0051418B" w:rsidRPr="00640AE1">
        <w:rPr>
          <w:sz w:val="24"/>
          <w:szCs w:val="24"/>
          <w:lang w:val="en-GB"/>
        </w:rPr>
        <w:t>. Group sizes ranged from four to ten.</w:t>
      </w:r>
      <w:r w:rsidRPr="00640AE1">
        <w:rPr>
          <w:sz w:val="24"/>
          <w:szCs w:val="24"/>
          <w:lang w:val="en-GB"/>
        </w:rPr>
        <w:t xml:space="preserve"> Details of each programme can be found in </w:t>
      </w:r>
      <w:r w:rsidR="004B7E77" w:rsidRPr="00640AE1">
        <w:rPr>
          <w:sz w:val="24"/>
          <w:szCs w:val="24"/>
          <w:lang w:val="en-GB"/>
        </w:rPr>
        <w:t>T</w:t>
      </w:r>
      <w:r w:rsidRPr="00640AE1">
        <w:rPr>
          <w:sz w:val="24"/>
          <w:szCs w:val="24"/>
          <w:lang w:val="en-GB"/>
        </w:rPr>
        <w:t>able 1.</w:t>
      </w:r>
    </w:p>
    <w:tbl>
      <w:tblPr>
        <w:tblStyle w:val="ListTable7Colorful"/>
        <w:tblW w:w="9209" w:type="dxa"/>
        <w:tblLayout w:type="fixed"/>
        <w:tblLook w:val="04A0" w:firstRow="1" w:lastRow="0" w:firstColumn="1" w:lastColumn="0" w:noHBand="0" w:noVBand="1"/>
      </w:tblPr>
      <w:tblGrid>
        <w:gridCol w:w="704"/>
        <w:gridCol w:w="1276"/>
        <w:gridCol w:w="1559"/>
        <w:gridCol w:w="1139"/>
        <w:gridCol w:w="1134"/>
        <w:gridCol w:w="3397"/>
      </w:tblGrid>
      <w:tr w:rsidR="00F33E0A" w:rsidRPr="00640AE1" w14:paraId="31A12860" w14:textId="77777777" w:rsidTr="00ED15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Borders>
              <w:bottom w:val="single" w:sz="4" w:space="0" w:color="auto"/>
            </w:tcBorders>
            <w:shd w:val="clear" w:color="auto" w:fill="auto"/>
          </w:tcPr>
          <w:p w14:paraId="2BBABD2B" w14:textId="07765B9B" w:rsidR="00F33E0A" w:rsidRPr="00640AE1" w:rsidRDefault="00F33E0A" w:rsidP="00F33E0A">
            <w:pPr>
              <w:rPr>
                <w:rFonts w:ascii="Arial" w:hAnsi="Arial" w:cs="Arial"/>
                <w:b/>
                <w:sz w:val="20"/>
                <w:szCs w:val="20"/>
              </w:rPr>
            </w:pPr>
            <w:r w:rsidRPr="00640AE1">
              <w:rPr>
                <w:rFonts w:ascii="Arial" w:hAnsi="Arial" w:cs="Arial"/>
                <w:b/>
                <w:sz w:val="20"/>
                <w:szCs w:val="20"/>
              </w:rPr>
              <w:t>PMP</w:t>
            </w:r>
          </w:p>
        </w:tc>
        <w:tc>
          <w:tcPr>
            <w:tcW w:w="1276" w:type="dxa"/>
            <w:tcBorders>
              <w:bottom w:val="single" w:sz="4" w:space="0" w:color="auto"/>
            </w:tcBorders>
            <w:shd w:val="clear" w:color="auto" w:fill="auto"/>
          </w:tcPr>
          <w:p w14:paraId="35F7F5F6" w14:textId="77777777" w:rsidR="00F33E0A" w:rsidRPr="00640AE1" w:rsidRDefault="00F33E0A" w:rsidP="00D70421">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40AE1">
              <w:rPr>
                <w:rFonts w:ascii="Arial" w:hAnsi="Arial" w:cs="Arial"/>
                <w:b/>
                <w:sz w:val="20"/>
                <w:szCs w:val="20"/>
              </w:rPr>
              <w:t>Approach</w:t>
            </w:r>
          </w:p>
        </w:tc>
        <w:tc>
          <w:tcPr>
            <w:tcW w:w="1559" w:type="dxa"/>
            <w:shd w:val="clear" w:color="auto" w:fill="auto"/>
          </w:tcPr>
          <w:p w14:paraId="04A3A1F5" w14:textId="77777777" w:rsidR="00F33E0A" w:rsidRPr="00640AE1" w:rsidRDefault="00F33E0A" w:rsidP="00D70421">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40AE1">
              <w:rPr>
                <w:rFonts w:ascii="Arial" w:hAnsi="Arial" w:cs="Arial"/>
                <w:b/>
                <w:sz w:val="20"/>
                <w:szCs w:val="20"/>
              </w:rPr>
              <w:t>Group composition</w:t>
            </w:r>
          </w:p>
        </w:tc>
        <w:tc>
          <w:tcPr>
            <w:tcW w:w="1139" w:type="dxa"/>
            <w:shd w:val="clear" w:color="auto" w:fill="auto"/>
          </w:tcPr>
          <w:p w14:paraId="1488E157" w14:textId="462B0476" w:rsidR="00F33E0A" w:rsidRPr="00640AE1" w:rsidRDefault="000B3DF7" w:rsidP="00D7042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b/>
                <w:sz w:val="20"/>
                <w:szCs w:val="20"/>
              </w:rPr>
              <w:t xml:space="preserve">n </w:t>
            </w:r>
            <w:r w:rsidRPr="00640AE1">
              <w:rPr>
                <w:rFonts w:ascii="Arial" w:hAnsi="Arial" w:cs="Arial"/>
                <w:i w:val="0"/>
                <w:sz w:val="20"/>
                <w:szCs w:val="20"/>
              </w:rPr>
              <w:t>(number who took part)</w:t>
            </w:r>
          </w:p>
        </w:tc>
        <w:tc>
          <w:tcPr>
            <w:tcW w:w="1134" w:type="dxa"/>
            <w:shd w:val="clear" w:color="auto" w:fill="auto"/>
          </w:tcPr>
          <w:p w14:paraId="623975F5" w14:textId="77777777" w:rsidR="00F33E0A" w:rsidRPr="00640AE1" w:rsidRDefault="00F33E0A" w:rsidP="00D70421">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40AE1">
              <w:rPr>
                <w:rFonts w:ascii="Arial" w:hAnsi="Arial" w:cs="Arial"/>
                <w:b/>
                <w:sz w:val="20"/>
                <w:szCs w:val="20"/>
              </w:rPr>
              <w:t>Number of sessions</w:t>
            </w:r>
          </w:p>
        </w:tc>
        <w:tc>
          <w:tcPr>
            <w:tcW w:w="3397" w:type="dxa"/>
            <w:shd w:val="clear" w:color="auto" w:fill="auto"/>
          </w:tcPr>
          <w:p w14:paraId="516F306A" w14:textId="77777777" w:rsidR="00F33E0A" w:rsidRPr="00640AE1" w:rsidRDefault="00F33E0A" w:rsidP="00D70421">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40AE1">
              <w:rPr>
                <w:rFonts w:ascii="Arial" w:hAnsi="Arial" w:cs="Arial"/>
                <w:b/>
                <w:sz w:val="20"/>
                <w:szCs w:val="20"/>
              </w:rPr>
              <w:t>Description</w:t>
            </w:r>
          </w:p>
        </w:tc>
      </w:tr>
      <w:tr w:rsidR="00F33E0A" w:rsidRPr="00640AE1" w14:paraId="48882D30" w14:textId="77777777" w:rsidTr="00ED1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right w:val="none" w:sz="0" w:space="0" w:color="auto"/>
            </w:tcBorders>
            <w:shd w:val="clear" w:color="auto" w:fill="auto"/>
          </w:tcPr>
          <w:p w14:paraId="0E96CADD" w14:textId="77777777" w:rsidR="00F33E0A" w:rsidRPr="00640AE1" w:rsidRDefault="00F33E0A" w:rsidP="00ED1594">
            <w:pPr>
              <w:jc w:val="center"/>
              <w:rPr>
                <w:rFonts w:ascii="Arial" w:hAnsi="Arial" w:cs="Arial"/>
                <w:sz w:val="20"/>
                <w:szCs w:val="20"/>
              </w:rPr>
            </w:pPr>
            <w:r w:rsidRPr="00640AE1">
              <w:rPr>
                <w:rFonts w:ascii="Arial" w:hAnsi="Arial" w:cs="Arial"/>
                <w:sz w:val="20"/>
                <w:szCs w:val="20"/>
              </w:rPr>
              <w:t>1</w:t>
            </w:r>
          </w:p>
        </w:tc>
        <w:tc>
          <w:tcPr>
            <w:tcW w:w="1276" w:type="dxa"/>
            <w:tcBorders>
              <w:top w:val="single" w:sz="4" w:space="0" w:color="auto"/>
              <w:left w:val="nil"/>
            </w:tcBorders>
            <w:shd w:val="clear" w:color="auto" w:fill="auto"/>
          </w:tcPr>
          <w:p w14:paraId="49F1278C"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Integrative CBT/ACT/CFT/systemic</w:t>
            </w:r>
          </w:p>
        </w:tc>
        <w:tc>
          <w:tcPr>
            <w:tcW w:w="1559" w:type="dxa"/>
            <w:shd w:val="clear" w:color="auto" w:fill="auto"/>
          </w:tcPr>
          <w:p w14:paraId="43870698"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Group (fibromyalgia)</w:t>
            </w:r>
          </w:p>
        </w:tc>
        <w:tc>
          <w:tcPr>
            <w:tcW w:w="1139" w:type="dxa"/>
            <w:shd w:val="clear" w:color="auto" w:fill="auto"/>
          </w:tcPr>
          <w:p w14:paraId="2E14BBCD" w14:textId="625C9648" w:rsidR="00F33E0A" w:rsidRPr="00640AE1" w:rsidRDefault="00F33E0A" w:rsidP="000B3D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17</w:t>
            </w:r>
            <w:r w:rsidR="00F534A7" w:rsidRPr="00640AE1">
              <w:rPr>
                <w:rFonts w:ascii="Arial" w:hAnsi="Arial" w:cs="Arial"/>
                <w:sz w:val="20"/>
                <w:szCs w:val="20"/>
              </w:rPr>
              <w:t xml:space="preserve"> (2</w:t>
            </w:r>
            <w:r w:rsidR="000B3DF7" w:rsidRPr="00640AE1">
              <w:rPr>
                <w:rFonts w:ascii="Arial" w:hAnsi="Arial" w:cs="Arial"/>
                <w:sz w:val="20"/>
                <w:szCs w:val="20"/>
              </w:rPr>
              <w:t>3</w:t>
            </w:r>
            <w:r w:rsidR="00F534A7" w:rsidRPr="00640AE1">
              <w:rPr>
                <w:rFonts w:ascii="Arial" w:hAnsi="Arial" w:cs="Arial"/>
                <w:sz w:val="20"/>
                <w:szCs w:val="20"/>
              </w:rPr>
              <w:t>)</w:t>
            </w:r>
          </w:p>
        </w:tc>
        <w:tc>
          <w:tcPr>
            <w:tcW w:w="1134" w:type="dxa"/>
            <w:shd w:val="clear" w:color="auto" w:fill="auto"/>
          </w:tcPr>
          <w:p w14:paraId="6C75855B"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6 X 3 hours weekly</w:t>
            </w:r>
          </w:p>
        </w:tc>
        <w:tc>
          <w:tcPr>
            <w:tcW w:w="3397" w:type="dxa"/>
            <w:shd w:val="clear" w:color="auto" w:fill="auto"/>
          </w:tcPr>
          <w:p w14:paraId="7389E4BF"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Joint run by Clinical Health psychologist and specialist pain physiotherapist.</w:t>
            </w:r>
          </w:p>
          <w:p w14:paraId="0C197AC9"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Sessions covered ‘Explain Pain’ (how the body works re pain); coping strategies, shared understanding of difficulties and maintain cycles, fight/flight response; value/goals; acceptance; boom and bust; why we exercise; managing/evaluating thoughts; self-compassion; mindfulness; communication; sleep; and relapse prevention.</w:t>
            </w:r>
          </w:p>
        </w:tc>
      </w:tr>
      <w:tr w:rsidR="00F33E0A" w:rsidRPr="00640AE1" w14:paraId="69F8B7E7" w14:textId="77777777" w:rsidTr="00ED1594">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shd w:val="clear" w:color="auto" w:fill="auto"/>
          </w:tcPr>
          <w:p w14:paraId="2B3A5ECF" w14:textId="77777777" w:rsidR="00F33E0A" w:rsidRPr="00640AE1" w:rsidRDefault="00F33E0A" w:rsidP="00ED1594">
            <w:pPr>
              <w:jc w:val="center"/>
              <w:rPr>
                <w:rFonts w:ascii="Arial" w:hAnsi="Arial" w:cs="Arial"/>
                <w:sz w:val="20"/>
                <w:szCs w:val="20"/>
              </w:rPr>
            </w:pPr>
            <w:r w:rsidRPr="00640AE1">
              <w:rPr>
                <w:rFonts w:ascii="Arial" w:hAnsi="Arial" w:cs="Arial"/>
                <w:sz w:val="20"/>
                <w:szCs w:val="20"/>
              </w:rPr>
              <w:t>2</w:t>
            </w:r>
          </w:p>
        </w:tc>
        <w:tc>
          <w:tcPr>
            <w:tcW w:w="1276" w:type="dxa"/>
            <w:tcBorders>
              <w:left w:val="nil"/>
            </w:tcBorders>
            <w:shd w:val="clear" w:color="auto" w:fill="auto"/>
          </w:tcPr>
          <w:p w14:paraId="7953F2E7" w14:textId="77777777" w:rsidR="00F33E0A" w:rsidRPr="00640AE1" w:rsidRDefault="00F33E0A"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Mindfulness-based cognitive therapy</w:t>
            </w:r>
          </w:p>
        </w:tc>
        <w:tc>
          <w:tcPr>
            <w:tcW w:w="1559" w:type="dxa"/>
            <w:shd w:val="clear" w:color="auto" w:fill="auto"/>
          </w:tcPr>
          <w:p w14:paraId="249A819A" w14:textId="77777777" w:rsidR="00F33E0A" w:rsidRPr="00640AE1" w:rsidRDefault="00F33E0A"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Group (chronic pain)</w:t>
            </w:r>
          </w:p>
        </w:tc>
        <w:tc>
          <w:tcPr>
            <w:tcW w:w="1139" w:type="dxa"/>
            <w:shd w:val="clear" w:color="auto" w:fill="auto"/>
          </w:tcPr>
          <w:p w14:paraId="566ACA2F" w14:textId="130A81D9" w:rsidR="00F33E0A" w:rsidRPr="00640AE1" w:rsidRDefault="00F33E0A" w:rsidP="000B3D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8</w:t>
            </w:r>
            <w:r w:rsidR="000B3DF7" w:rsidRPr="00640AE1">
              <w:rPr>
                <w:rFonts w:ascii="Arial" w:hAnsi="Arial" w:cs="Arial"/>
                <w:sz w:val="20"/>
                <w:szCs w:val="20"/>
              </w:rPr>
              <w:t xml:space="preserve"> (19</w:t>
            </w:r>
            <w:r w:rsidR="00F534A7" w:rsidRPr="00640AE1">
              <w:rPr>
                <w:rFonts w:ascii="Arial" w:hAnsi="Arial" w:cs="Arial"/>
                <w:sz w:val="20"/>
                <w:szCs w:val="20"/>
              </w:rPr>
              <w:t>)</w:t>
            </w:r>
          </w:p>
        </w:tc>
        <w:tc>
          <w:tcPr>
            <w:tcW w:w="1134" w:type="dxa"/>
            <w:shd w:val="clear" w:color="auto" w:fill="auto"/>
          </w:tcPr>
          <w:p w14:paraId="59DB53BA" w14:textId="7B154C12" w:rsidR="00F33E0A" w:rsidRPr="00640AE1" w:rsidRDefault="00F534A7"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 xml:space="preserve">10 X </w:t>
            </w:r>
            <w:r w:rsidR="00F33E0A" w:rsidRPr="00640AE1">
              <w:rPr>
                <w:rFonts w:ascii="Arial" w:hAnsi="Arial" w:cs="Arial"/>
                <w:sz w:val="20"/>
                <w:szCs w:val="20"/>
              </w:rPr>
              <w:t>2 hours weekly</w:t>
            </w:r>
          </w:p>
        </w:tc>
        <w:tc>
          <w:tcPr>
            <w:tcW w:w="3397" w:type="dxa"/>
            <w:shd w:val="clear" w:color="auto" w:fill="auto"/>
          </w:tcPr>
          <w:p w14:paraId="4E27DA90" w14:textId="4C7A4EE5" w:rsidR="00F33E0A" w:rsidRPr="00640AE1" w:rsidRDefault="00F33E0A"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 xml:space="preserve">Run by Clinical Psychologist following the Breathworks Mindfulness for Health programme </w:t>
            </w:r>
            <w:r w:rsidRPr="00640AE1">
              <w:rPr>
                <w:rFonts w:ascii="Arial" w:hAnsi="Arial" w:cs="Arial"/>
                <w:sz w:val="20"/>
                <w:szCs w:val="20"/>
              </w:rPr>
              <w:fldChar w:fldCharType="begin" w:fldLock="1"/>
            </w:r>
            <w:r w:rsidR="00D63EE9" w:rsidRPr="00640AE1">
              <w:rPr>
                <w:rFonts w:ascii="Arial" w:hAnsi="Arial" w:cs="Arial"/>
                <w:sz w:val="20"/>
                <w:szCs w:val="20"/>
              </w:rPr>
              <w:instrText>ADDIN CSL_CITATION {"citationItems":[{"id":"ITEM-1","itemData":{"ISBN":"9781405522519","abstract":"CD of guided meditations included with text. 'Mindfulness for Health' reveals a series of simple practices that you can incorporate into your daily life to significantly reduce pain, suffering and exhaustion. Clinical trials show that mindfulness is at least as effective as the most commonly prescribed painkillers such as Tramadol and codeine. A recent study demonstrated that it is more effective than morphine. This book shares the secrets of the mindfulness-based approaches to pain and illness therapy. Every moment is a new chance -- What you resist persists -- Introducing the mindfulness programme -- Week one: wild horses -- Week two: you are not your thoughts -- Week three: learning to respond, rather than react -- Week four: watching your suffering and stress dissolve -- Week five: the pleasure of small things -- Week six: the tender gravity of kindness -- Week seven: you are not alone -- Week eight: life lives through you.","author":[{"dropping-particle":"","family":"Burch","given":"Vidyamala","non-dropping-particle":"","parse-names":false,"suffix":""},{"dropping-particle":"","family":"Penman","given":"Danny","non-dropping-particle":"","parse-names":false,"suffix":""}],"id":"ITEM-1","issued":{"date-parts":[["2013"]]},"publisher":"Piatkus","title":"Mindfulness for health : a practical guide to relieving pain, reducing stress and restoring wellbeing","type":"book"},"uris":["http://www.mendeley.com/documents/?uuid=41a6b4db-e662-39d2-b368-e2fdc223c17f"]}],"mendeley":{"formattedCitation":"(24)","plainTextFormattedCitation":"(24)","previouslyFormattedCitation":"(24)"},"properties":{"noteIndex":0},"schema":"https://github.com/citation-style-language/schema/raw/master/csl-citation.json"}</w:instrText>
            </w:r>
            <w:r w:rsidRPr="00640AE1">
              <w:rPr>
                <w:rFonts w:ascii="Arial" w:hAnsi="Arial" w:cs="Arial"/>
                <w:sz w:val="20"/>
                <w:szCs w:val="20"/>
              </w:rPr>
              <w:fldChar w:fldCharType="separate"/>
            </w:r>
            <w:r w:rsidR="003E246C" w:rsidRPr="00640AE1">
              <w:rPr>
                <w:rFonts w:ascii="Arial" w:hAnsi="Arial" w:cs="Arial"/>
                <w:noProof/>
                <w:sz w:val="20"/>
                <w:szCs w:val="20"/>
              </w:rPr>
              <w:t>(24)</w:t>
            </w:r>
            <w:r w:rsidRPr="00640AE1">
              <w:rPr>
                <w:rFonts w:ascii="Arial" w:hAnsi="Arial" w:cs="Arial"/>
                <w:sz w:val="20"/>
                <w:szCs w:val="20"/>
              </w:rPr>
              <w:fldChar w:fldCharType="end"/>
            </w:r>
            <w:r w:rsidRPr="00640AE1">
              <w:rPr>
                <w:rFonts w:ascii="Arial" w:hAnsi="Arial" w:cs="Arial"/>
                <w:sz w:val="20"/>
                <w:szCs w:val="20"/>
              </w:rPr>
              <w:t>. Sessions covered increasing awareness of thoughts, sensations and behaviours; understanding primary and secondary suffering; acceptance; self-compassion; and mindful movement. Mindfulness exercises were completed in session and as homework.</w:t>
            </w:r>
          </w:p>
        </w:tc>
      </w:tr>
      <w:tr w:rsidR="00F33E0A" w:rsidRPr="00640AE1" w14:paraId="09AA7A62" w14:textId="77777777" w:rsidTr="00ED1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shd w:val="clear" w:color="auto" w:fill="auto"/>
          </w:tcPr>
          <w:p w14:paraId="05B400D9" w14:textId="77777777" w:rsidR="00F33E0A" w:rsidRPr="00640AE1" w:rsidRDefault="00F33E0A" w:rsidP="00ED1594">
            <w:pPr>
              <w:jc w:val="center"/>
              <w:rPr>
                <w:rFonts w:ascii="Arial" w:hAnsi="Arial" w:cs="Arial"/>
                <w:sz w:val="20"/>
                <w:szCs w:val="20"/>
              </w:rPr>
            </w:pPr>
            <w:r w:rsidRPr="00640AE1">
              <w:rPr>
                <w:rFonts w:ascii="Arial" w:hAnsi="Arial" w:cs="Arial"/>
                <w:sz w:val="20"/>
                <w:szCs w:val="20"/>
              </w:rPr>
              <w:t>3</w:t>
            </w:r>
          </w:p>
        </w:tc>
        <w:tc>
          <w:tcPr>
            <w:tcW w:w="1276" w:type="dxa"/>
            <w:tcBorders>
              <w:left w:val="nil"/>
            </w:tcBorders>
            <w:shd w:val="clear" w:color="auto" w:fill="auto"/>
          </w:tcPr>
          <w:p w14:paraId="659135D5"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 xml:space="preserve">ACT </w:t>
            </w:r>
          </w:p>
        </w:tc>
        <w:tc>
          <w:tcPr>
            <w:tcW w:w="1559" w:type="dxa"/>
            <w:shd w:val="clear" w:color="auto" w:fill="auto"/>
          </w:tcPr>
          <w:p w14:paraId="0ECB24A4"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Group (fibromyalgia)</w:t>
            </w:r>
          </w:p>
        </w:tc>
        <w:tc>
          <w:tcPr>
            <w:tcW w:w="1139" w:type="dxa"/>
            <w:shd w:val="clear" w:color="auto" w:fill="auto"/>
          </w:tcPr>
          <w:p w14:paraId="22496F83" w14:textId="15E53CA5" w:rsidR="00F33E0A" w:rsidRPr="00640AE1" w:rsidRDefault="00F33E0A" w:rsidP="000B3DF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1</w:t>
            </w:r>
            <w:r w:rsidR="00F534A7" w:rsidRPr="00640AE1">
              <w:rPr>
                <w:rFonts w:ascii="Arial" w:hAnsi="Arial" w:cs="Arial"/>
                <w:sz w:val="20"/>
                <w:szCs w:val="20"/>
              </w:rPr>
              <w:t xml:space="preserve"> (</w:t>
            </w:r>
            <w:r w:rsidR="000B3DF7" w:rsidRPr="00640AE1">
              <w:rPr>
                <w:rFonts w:ascii="Arial" w:hAnsi="Arial" w:cs="Arial"/>
                <w:sz w:val="20"/>
                <w:szCs w:val="20"/>
              </w:rPr>
              <w:t>7</w:t>
            </w:r>
            <w:r w:rsidR="00F534A7" w:rsidRPr="00640AE1">
              <w:rPr>
                <w:rFonts w:ascii="Arial" w:hAnsi="Arial" w:cs="Arial"/>
                <w:sz w:val="20"/>
                <w:szCs w:val="20"/>
              </w:rPr>
              <w:t>)</w:t>
            </w:r>
          </w:p>
        </w:tc>
        <w:tc>
          <w:tcPr>
            <w:tcW w:w="1134" w:type="dxa"/>
            <w:shd w:val="clear" w:color="auto" w:fill="auto"/>
          </w:tcPr>
          <w:p w14:paraId="7647B673" w14:textId="3D7639DB" w:rsidR="00F33E0A" w:rsidRPr="00640AE1" w:rsidRDefault="00F534A7"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 xml:space="preserve">8 X </w:t>
            </w:r>
            <w:r w:rsidR="00F33E0A" w:rsidRPr="00640AE1">
              <w:rPr>
                <w:rFonts w:ascii="Arial" w:hAnsi="Arial" w:cs="Arial"/>
                <w:sz w:val="20"/>
                <w:szCs w:val="20"/>
              </w:rPr>
              <w:t>1 hour weekly</w:t>
            </w:r>
          </w:p>
        </w:tc>
        <w:tc>
          <w:tcPr>
            <w:tcW w:w="3397" w:type="dxa"/>
            <w:shd w:val="clear" w:color="auto" w:fill="auto"/>
          </w:tcPr>
          <w:p w14:paraId="382F4D05"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 xml:space="preserve">Run by a Clinical Psychologist, sessions covered understanding pain; the impact of mood and emotions on pain; the role of stress and how it can be managed;; </w:t>
            </w:r>
            <w:r w:rsidRPr="00640AE1">
              <w:rPr>
                <w:rFonts w:ascii="Arial" w:hAnsi="Arial" w:cs="Arial"/>
                <w:sz w:val="20"/>
                <w:szCs w:val="20"/>
              </w:rPr>
              <w:lastRenderedPageBreak/>
              <w:t>mindfulness, identifying and working towards values; and patients were given a hand-out of ‘sit and fit’ exercises to be conducted at home in between sessions.</w:t>
            </w:r>
          </w:p>
        </w:tc>
      </w:tr>
      <w:tr w:rsidR="00F33E0A" w:rsidRPr="00640AE1" w14:paraId="0E4659AD" w14:textId="77777777" w:rsidTr="00ED1594">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shd w:val="clear" w:color="auto" w:fill="auto"/>
          </w:tcPr>
          <w:p w14:paraId="6C25B29A" w14:textId="77777777" w:rsidR="00F33E0A" w:rsidRPr="00640AE1" w:rsidRDefault="00F33E0A" w:rsidP="00ED1594">
            <w:pPr>
              <w:jc w:val="center"/>
              <w:rPr>
                <w:rFonts w:ascii="Arial" w:hAnsi="Arial" w:cs="Arial"/>
                <w:sz w:val="20"/>
                <w:szCs w:val="20"/>
              </w:rPr>
            </w:pPr>
            <w:r w:rsidRPr="00640AE1">
              <w:rPr>
                <w:rFonts w:ascii="Arial" w:hAnsi="Arial" w:cs="Arial"/>
                <w:sz w:val="20"/>
                <w:szCs w:val="20"/>
              </w:rPr>
              <w:lastRenderedPageBreak/>
              <w:t>4</w:t>
            </w:r>
          </w:p>
        </w:tc>
        <w:tc>
          <w:tcPr>
            <w:tcW w:w="1276" w:type="dxa"/>
            <w:tcBorders>
              <w:left w:val="nil"/>
            </w:tcBorders>
            <w:shd w:val="clear" w:color="auto" w:fill="auto"/>
          </w:tcPr>
          <w:p w14:paraId="7D41B634" w14:textId="77777777" w:rsidR="00F33E0A" w:rsidRPr="00640AE1" w:rsidRDefault="00F33E0A"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 xml:space="preserve">CBT </w:t>
            </w:r>
          </w:p>
        </w:tc>
        <w:tc>
          <w:tcPr>
            <w:tcW w:w="1559" w:type="dxa"/>
            <w:shd w:val="clear" w:color="auto" w:fill="auto"/>
          </w:tcPr>
          <w:p w14:paraId="5CF7D742" w14:textId="77777777" w:rsidR="00F33E0A" w:rsidRPr="00640AE1" w:rsidRDefault="00F33E0A"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Group (fibromyalgia)</w:t>
            </w:r>
          </w:p>
        </w:tc>
        <w:tc>
          <w:tcPr>
            <w:tcW w:w="1139" w:type="dxa"/>
            <w:shd w:val="clear" w:color="auto" w:fill="auto"/>
          </w:tcPr>
          <w:p w14:paraId="2B09EE3F" w14:textId="60612A67" w:rsidR="00F33E0A" w:rsidRPr="00640AE1" w:rsidRDefault="00F33E0A"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5</w:t>
            </w:r>
            <w:r w:rsidR="000B3DF7" w:rsidRPr="00640AE1">
              <w:rPr>
                <w:rFonts w:ascii="Arial" w:hAnsi="Arial" w:cs="Arial"/>
                <w:sz w:val="20"/>
                <w:szCs w:val="20"/>
              </w:rPr>
              <w:t xml:space="preserve"> (12)</w:t>
            </w:r>
          </w:p>
        </w:tc>
        <w:tc>
          <w:tcPr>
            <w:tcW w:w="1134" w:type="dxa"/>
            <w:shd w:val="clear" w:color="auto" w:fill="auto"/>
          </w:tcPr>
          <w:p w14:paraId="3705B69C" w14:textId="77777777" w:rsidR="00F33E0A" w:rsidRPr="00640AE1" w:rsidRDefault="00F33E0A"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9 x 3 hours weekly</w:t>
            </w:r>
          </w:p>
        </w:tc>
        <w:tc>
          <w:tcPr>
            <w:tcW w:w="3397" w:type="dxa"/>
            <w:shd w:val="clear" w:color="auto" w:fill="auto"/>
          </w:tcPr>
          <w:p w14:paraId="713B62B3" w14:textId="77777777" w:rsidR="00F33E0A" w:rsidRPr="00640AE1" w:rsidRDefault="00F33E0A" w:rsidP="00D704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0AE1">
              <w:rPr>
                <w:rFonts w:ascii="Arial" w:hAnsi="Arial" w:cs="Arial"/>
                <w:sz w:val="20"/>
                <w:szCs w:val="20"/>
              </w:rPr>
              <w:t>Joint run by physiotherapist and clinical psychologist.  Sessions include: Physiology of FM – reconceptualising pain; boom-bust and pacing;  values &amp; goal setting;  benefits of exercise; managing unhelpful thoughts; sleep; mindfulness; nurse-led medication information; flare-up planning; family and friends session; and communication.</w:t>
            </w:r>
          </w:p>
        </w:tc>
      </w:tr>
      <w:tr w:rsidR="00F33E0A" w:rsidRPr="00640AE1" w14:paraId="411A8BA0" w14:textId="77777777" w:rsidTr="00ED1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shd w:val="clear" w:color="auto" w:fill="auto"/>
          </w:tcPr>
          <w:p w14:paraId="3BEB0403" w14:textId="77777777" w:rsidR="00F33E0A" w:rsidRPr="00640AE1" w:rsidRDefault="00F33E0A" w:rsidP="00ED1594">
            <w:pPr>
              <w:jc w:val="center"/>
              <w:rPr>
                <w:rFonts w:ascii="Arial" w:hAnsi="Arial" w:cs="Arial"/>
                <w:sz w:val="20"/>
                <w:szCs w:val="20"/>
              </w:rPr>
            </w:pPr>
            <w:r w:rsidRPr="00640AE1">
              <w:rPr>
                <w:rFonts w:ascii="Arial" w:hAnsi="Arial" w:cs="Arial"/>
                <w:sz w:val="20"/>
                <w:szCs w:val="20"/>
              </w:rPr>
              <w:t>5</w:t>
            </w:r>
          </w:p>
        </w:tc>
        <w:tc>
          <w:tcPr>
            <w:tcW w:w="1276" w:type="dxa"/>
            <w:tcBorders>
              <w:left w:val="nil"/>
            </w:tcBorders>
            <w:shd w:val="clear" w:color="auto" w:fill="auto"/>
          </w:tcPr>
          <w:p w14:paraId="4205A97A"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CBT</w:t>
            </w:r>
          </w:p>
        </w:tc>
        <w:tc>
          <w:tcPr>
            <w:tcW w:w="1559" w:type="dxa"/>
            <w:shd w:val="clear" w:color="auto" w:fill="auto"/>
          </w:tcPr>
          <w:p w14:paraId="6E43849C"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Group (chronic pain)</w:t>
            </w:r>
          </w:p>
        </w:tc>
        <w:tc>
          <w:tcPr>
            <w:tcW w:w="1139" w:type="dxa"/>
            <w:shd w:val="clear" w:color="auto" w:fill="auto"/>
          </w:tcPr>
          <w:p w14:paraId="2F4345F7" w14:textId="22B31AD1"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9</w:t>
            </w:r>
            <w:r w:rsidR="000B3DF7" w:rsidRPr="00640AE1">
              <w:rPr>
                <w:rFonts w:ascii="Arial" w:hAnsi="Arial" w:cs="Arial"/>
                <w:sz w:val="20"/>
                <w:szCs w:val="20"/>
              </w:rPr>
              <w:t xml:space="preserve"> (9)</w:t>
            </w:r>
          </w:p>
        </w:tc>
        <w:tc>
          <w:tcPr>
            <w:tcW w:w="1134" w:type="dxa"/>
            <w:shd w:val="clear" w:color="auto" w:fill="auto"/>
          </w:tcPr>
          <w:p w14:paraId="42DFE0C8"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9 X 2 hours weekly</w:t>
            </w:r>
          </w:p>
        </w:tc>
        <w:tc>
          <w:tcPr>
            <w:tcW w:w="3397" w:type="dxa"/>
            <w:shd w:val="clear" w:color="auto" w:fill="auto"/>
          </w:tcPr>
          <w:p w14:paraId="21BF4082" w14:textId="77777777" w:rsidR="00F33E0A" w:rsidRPr="00640AE1" w:rsidRDefault="00F33E0A" w:rsidP="00D704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0AE1">
              <w:rPr>
                <w:rFonts w:ascii="Arial" w:hAnsi="Arial" w:cs="Arial"/>
                <w:sz w:val="20"/>
                <w:szCs w:val="20"/>
              </w:rPr>
              <w:t>Joint run by Clinical Health psychologist and specialist pain physiotherapist. Topics covered include: Education about chronic pain; a</w:t>
            </w:r>
            <w:r w:rsidRPr="00640AE1">
              <w:rPr>
                <w:rFonts w:ascii="Arial" w:eastAsia="Calibri" w:hAnsi="Arial" w:cs="Arial"/>
                <w:sz w:val="20"/>
                <w:szCs w:val="20"/>
              </w:rPr>
              <w:t>dvice on exercise; p</w:t>
            </w:r>
            <w:r w:rsidRPr="00640AE1">
              <w:rPr>
                <w:rFonts w:ascii="Arial" w:hAnsi="Arial" w:cs="Arial"/>
                <w:sz w:val="20"/>
                <w:szCs w:val="20"/>
              </w:rPr>
              <w:t>acing; e</w:t>
            </w:r>
            <w:r w:rsidRPr="00640AE1">
              <w:rPr>
                <w:rFonts w:ascii="Arial" w:eastAsia="Calibri" w:hAnsi="Arial" w:cs="Arial"/>
                <w:sz w:val="20"/>
                <w:szCs w:val="20"/>
              </w:rPr>
              <w:t>motional implications of living with chronic pain; v</w:t>
            </w:r>
            <w:r w:rsidRPr="00640AE1">
              <w:rPr>
                <w:rFonts w:ascii="Arial" w:hAnsi="Arial" w:cs="Arial"/>
                <w:sz w:val="20"/>
                <w:szCs w:val="20"/>
              </w:rPr>
              <w:t>alue-driven goal setting; managing distressing emotions and unhelpful thoughts; mindfulness; medication; family and friends session; sleep Management; and planning for flare-ups.</w:t>
            </w:r>
          </w:p>
        </w:tc>
      </w:tr>
    </w:tbl>
    <w:p w14:paraId="4B800930" w14:textId="77777777" w:rsidR="004B7E77" w:rsidRPr="00640AE1" w:rsidRDefault="004B7E77" w:rsidP="004B7E77">
      <w:pPr>
        <w:pStyle w:val="Body"/>
        <w:spacing w:line="480" w:lineRule="auto"/>
        <w:jc w:val="both"/>
        <w:rPr>
          <w:sz w:val="24"/>
          <w:szCs w:val="24"/>
          <w:lang w:val="en-GB"/>
        </w:rPr>
      </w:pPr>
    </w:p>
    <w:p w14:paraId="15524361" w14:textId="39899D97" w:rsidR="00F33E0A" w:rsidRPr="00640AE1" w:rsidRDefault="004B7E77" w:rsidP="004B7E77">
      <w:pPr>
        <w:pStyle w:val="Body"/>
        <w:spacing w:line="480" w:lineRule="auto"/>
        <w:jc w:val="both"/>
        <w:rPr>
          <w:sz w:val="24"/>
          <w:szCs w:val="24"/>
          <w:lang w:val="en-GB"/>
        </w:rPr>
      </w:pPr>
      <w:r w:rsidRPr="00640AE1">
        <w:rPr>
          <w:b/>
          <w:sz w:val="24"/>
          <w:szCs w:val="24"/>
          <w:lang w:val="en-GB"/>
        </w:rPr>
        <w:t xml:space="preserve">Table 1 </w:t>
      </w:r>
      <w:r w:rsidR="00F33E0A" w:rsidRPr="00640AE1">
        <w:rPr>
          <w:sz w:val="24"/>
          <w:szCs w:val="24"/>
          <w:lang w:val="en-GB"/>
        </w:rPr>
        <w:t>Description of Pain Management Programmes (PMP).</w:t>
      </w:r>
    </w:p>
    <w:p w14:paraId="263FE5BD" w14:textId="77777777" w:rsidR="00F33E0A" w:rsidRPr="00640AE1" w:rsidRDefault="00F33E0A" w:rsidP="0051418B">
      <w:pPr>
        <w:pStyle w:val="Body"/>
        <w:spacing w:line="480" w:lineRule="auto"/>
        <w:ind w:firstLine="720"/>
        <w:jc w:val="both"/>
        <w:rPr>
          <w:sz w:val="24"/>
          <w:szCs w:val="24"/>
          <w:lang w:val="en-GB"/>
        </w:rPr>
      </w:pPr>
    </w:p>
    <w:p w14:paraId="01A9045C" w14:textId="423E45C2" w:rsidR="0051418B" w:rsidRPr="00640AE1" w:rsidRDefault="0051418B" w:rsidP="0051418B">
      <w:pPr>
        <w:pStyle w:val="Body"/>
        <w:spacing w:line="480" w:lineRule="auto"/>
        <w:ind w:firstLine="720"/>
        <w:jc w:val="both"/>
        <w:rPr>
          <w:sz w:val="24"/>
          <w:szCs w:val="24"/>
          <w:lang w:val="en-GB"/>
        </w:rPr>
      </w:pPr>
      <w:r w:rsidRPr="00640AE1">
        <w:rPr>
          <w:sz w:val="24"/>
          <w:szCs w:val="24"/>
          <w:lang w:val="en-GB"/>
        </w:rPr>
        <w:t xml:space="preserve">All four programmes discussed goal-setting, values, </w:t>
      </w:r>
      <w:r w:rsidR="00E512FE" w:rsidRPr="00640AE1">
        <w:rPr>
          <w:sz w:val="24"/>
          <w:szCs w:val="24"/>
          <w:lang w:val="en-GB"/>
        </w:rPr>
        <w:t>activity pacing</w:t>
      </w:r>
      <w:r w:rsidRPr="00640AE1">
        <w:rPr>
          <w:sz w:val="24"/>
          <w:szCs w:val="24"/>
          <w:lang w:val="en-GB"/>
        </w:rPr>
        <w:t xml:space="preserve">, education about pain and </w:t>
      </w:r>
      <w:r w:rsidR="00E512FE" w:rsidRPr="00640AE1">
        <w:rPr>
          <w:sz w:val="24"/>
          <w:szCs w:val="24"/>
          <w:lang w:val="en-GB"/>
        </w:rPr>
        <w:t>its associated neurophysiological processes</w:t>
      </w:r>
      <w:r w:rsidRPr="00640AE1">
        <w:rPr>
          <w:sz w:val="24"/>
          <w:szCs w:val="24"/>
          <w:lang w:val="en-GB"/>
        </w:rPr>
        <w:t xml:space="preserve">, managing unhelpful thoughts, acceptance, mindfulness, and advice on exercise and sleep. One group also covered communication and self-compassion. Another group had discussions about medication with a </w:t>
      </w:r>
      <w:r w:rsidR="00B93EFC" w:rsidRPr="00640AE1">
        <w:rPr>
          <w:sz w:val="24"/>
          <w:szCs w:val="24"/>
          <w:lang w:val="en-GB"/>
        </w:rPr>
        <w:t>medical consultant in pain</w:t>
      </w:r>
      <w:r w:rsidRPr="00640AE1">
        <w:rPr>
          <w:sz w:val="24"/>
          <w:szCs w:val="24"/>
          <w:lang w:val="en-GB"/>
        </w:rPr>
        <w:t>.</w:t>
      </w:r>
    </w:p>
    <w:p w14:paraId="169FCF4E" w14:textId="77777777" w:rsidR="0051418B" w:rsidRPr="00640AE1" w:rsidRDefault="0051418B">
      <w:pPr>
        <w:pStyle w:val="Body"/>
        <w:spacing w:line="480" w:lineRule="auto"/>
        <w:ind w:firstLine="720"/>
        <w:jc w:val="both"/>
        <w:rPr>
          <w:sz w:val="24"/>
          <w:szCs w:val="24"/>
          <w:lang w:val="en-GB"/>
        </w:rPr>
      </w:pPr>
    </w:p>
    <w:p w14:paraId="0730B172" w14:textId="77777777" w:rsidR="00E81339" w:rsidRPr="00640AE1" w:rsidRDefault="00BF6903">
      <w:pPr>
        <w:pStyle w:val="Body"/>
        <w:spacing w:line="480" w:lineRule="auto"/>
        <w:jc w:val="both"/>
        <w:rPr>
          <w:b/>
          <w:bCs/>
          <w:sz w:val="24"/>
          <w:szCs w:val="24"/>
          <w:lang w:val="en-GB"/>
        </w:rPr>
      </w:pPr>
      <w:r w:rsidRPr="00640AE1">
        <w:rPr>
          <w:b/>
          <w:bCs/>
          <w:sz w:val="24"/>
          <w:szCs w:val="24"/>
          <w:lang w:val="en-GB"/>
        </w:rPr>
        <w:t>Design and Analysis</w:t>
      </w:r>
    </w:p>
    <w:p w14:paraId="721410DE" w14:textId="2A66E827" w:rsidR="00E81339" w:rsidRPr="00640AE1" w:rsidRDefault="00BF6903">
      <w:pPr>
        <w:pStyle w:val="Body"/>
        <w:spacing w:line="480" w:lineRule="auto"/>
        <w:ind w:firstLine="720"/>
        <w:jc w:val="both"/>
        <w:rPr>
          <w:sz w:val="24"/>
          <w:szCs w:val="24"/>
          <w:lang w:val="en-GB"/>
        </w:rPr>
      </w:pPr>
      <w:r w:rsidRPr="00640AE1">
        <w:rPr>
          <w:sz w:val="24"/>
          <w:szCs w:val="24"/>
          <w:lang w:val="en-GB"/>
        </w:rPr>
        <w:lastRenderedPageBreak/>
        <w:t xml:space="preserve">This was a repeated measures longitudinal design. To test whether there were significant changes in beliefs about emotions and emotional suppression, t tests were used comparing scores before treatment with scores after treatment. </w:t>
      </w:r>
    </w:p>
    <w:p w14:paraId="06D8062B" w14:textId="259F8392" w:rsidR="00E81339" w:rsidRPr="00640AE1" w:rsidRDefault="00BF6903">
      <w:pPr>
        <w:pStyle w:val="Body"/>
        <w:spacing w:line="480" w:lineRule="auto"/>
        <w:ind w:firstLine="720"/>
        <w:jc w:val="both"/>
        <w:rPr>
          <w:sz w:val="24"/>
          <w:szCs w:val="24"/>
          <w:lang w:val="en-GB"/>
        </w:rPr>
      </w:pPr>
      <w:r w:rsidRPr="00640AE1">
        <w:rPr>
          <w:sz w:val="24"/>
          <w:szCs w:val="24"/>
          <w:lang w:val="en-GB"/>
        </w:rPr>
        <w:t xml:space="preserve">Change scores were calculated and correlations between variables were examined using Pearson’s correlations. </w:t>
      </w:r>
      <w:r w:rsidR="003F7282" w:rsidRPr="00640AE1">
        <w:rPr>
          <w:sz w:val="24"/>
          <w:szCs w:val="24"/>
          <w:lang w:val="en-GB"/>
        </w:rPr>
        <w:t>All tests were conducted in SPSS with p values below .05 considered statistically significant.</w:t>
      </w:r>
    </w:p>
    <w:p w14:paraId="21856C7E" w14:textId="77777777" w:rsidR="0051418B" w:rsidRPr="00640AE1" w:rsidRDefault="0051418B">
      <w:pPr>
        <w:pStyle w:val="Body"/>
        <w:spacing w:line="480" w:lineRule="auto"/>
        <w:ind w:firstLine="720"/>
        <w:jc w:val="both"/>
        <w:rPr>
          <w:b/>
          <w:bCs/>
          <w:sz w:val="24"/>
          <w:szCs w:val="24"/>
          <w:lang w:val="en-GB"/>
        </w:rPr>
      </w:pPr>
    </w:p>
    <w:p w14:paraId="28715A4B" w14:textId="77777777" w:rsidR="00E81339" w:rsidRPr="00640AE1" w:rsidRDefault="00BF6903">
      <w:pPr>
        <w:pStyle w:val="Body"/>
        <w:spacing w:line="480" w:lineRule="auto"/>
        <w:jc w:val="both"/>
        <w:rPr>
          <w:b/>
          <w:bCs/>
          <w:sz w:val="24"/>
          <w:szCs w:val="24"/>
          <w:lang w:val="en-GB"/>
        </w:rPr>
      </w:pPr>
      <w:r w:rsidRPr="00640AE1">
        <w:rPr>
          <w:b/>
          <w:bCs/>
          <w:sz w:val="24"/>
          <w:szCs w:val="24"/>
          <w:lang w:val="en-GB"/>
        </w:rPr>
        <w:t>Results</w:t>
      </w:r>
    </w:p>
    <w:p w14:paraId="60AD4CC8" w14:textId="73678B57" w:rsidR="00EA2987" w:rsidRPr="00640AE1" w:rsidRDefault="00EA2987">
      <w:pPr>
        <w:pStyle w:val="Body"/>
        <w:spacing w:line="480" w:lineRule="auto"/>
        <w:jc w:val="both"/>
        <w:rPr>
          <w:b/>
          <w:bCs/>
          <w:sz w:val="24"/>
          <w:szCs w:val="24"/>
          <w:lang w:val="en-GB"/>
        </w:rPr>
      </w:pPr>
      <w:r w:rsidRPr="00640AE1">
        <w:rPr>
          <w:b/>
          <w:bCs/>
          <w:sz w:val="24"/>
          <w:szCs w:val="24"/>
          <w:lang w:val="en-GB"/>
        </w:rPr>
        <w:t>Participant characteristics</w:t>
      </w:r>
    </w:p>
    <w:p w14:paraId="1FA1AB57" w14:textId="67509074" w:rsidR="00E81339" w:rsidRPr="00640AE1" w:rsidRDefault="00BF6903">
      <w:pPr>
        <w:pStyle w:val="Body"/>
        <w:spacing w:line="480" w:lineRule="auto"/>
        <w:ind w:firstLine="720"/>
        <w:jc w:val="both"/>
        <w:rPr>
          <w:sz w:val="24"/>
          <w:szCs w:val="24"/>
          <w:lang w:val="en-GB"/>
        </w:rPr>
      </w:pPr>
      <w:r w:rsidRPr="00640AE1">
        <w:rPr>
          <w:sz w:val="24"/>
          <w:szCs w:val="24"/>
          <w:lang w:val="en-GB"/>
        </w:rPr>
        <w:t xml:space="preserve">Demographic information was analysed for the sample </w:t>
      </w:r>
      <w:r w:rsidR="00FE5C89" w:rsidRPr="00640AE1">
        <w:rPr>
          <w:sz w:val="24"/>
          <w:szCs w:val="24"/>
          <w:lang w:val="en-GB"/>
        </w:rPr>
        <w:t>(mean age=48.03, SD= 11.305)</w:t>
      </w:r>
      <w:r w:rsidRPr="00640AE1">
        <w:rPr>
          <w:sz w:val="24"/>
          <w:szCs w:val="24"/>
          <w:lang w:val="en-GB"/>
        </w:rPr>
        <w:t>. Participant charact</w:t>
      </w:r>
      <w:r w:rsidR="004B7E77" w:rsidRPr="00640AE1">
        <w:rPr>
          <w:sz w:val="24"/>
          <w:szCs w:val="24"/>
          <w:lang w:val="en-GB"/>
        </w:rPr>
        <w:t>eristics can be found in Table 2</w:t>
      </w:r>
      <w:r w:rsidRPr="00640AE1">
        <w:rPr>
          <w:sz w:val="24"/>
          <w:szCs w:val="24"/>
          <w:lang w:val="en-GB"/>
        </w:rPr>
        <w:t>.</w:t>
      </w:r>
      <w:r w:rsidR="0051418B" w:rsidRPr="00640AE1">
        <w:rPr>
          <w:sz w:val="24"/>
          <w:szCs w:val="24"/>
          <w:lang w:val="en-GB"/>
        </w:rPr>
        <w:t xml:space="preserve"> </w:t>
      </w:r>
      <w:r w:rsidR="00F33E0A" w:rsidRPr="00640AE1">
        <w:rPr>
          <w:sz w:val="24"/>
          <w:szCs w:val="24"/>
          <w:lang w:val="en-GB"/>
        </w:rPr>
        <w:t xml:space="preserve">Participants who took part were compared with participants who did not complete the second time point. There were no differences in any demographic features or measured variables. </w:t>
      </w:r>
      <w:r w:rsidR="00DA68D4" w:rsidRPr="00640AE1">
        <w:rPr>
          <w:sz w:val="24"/>
          <w:szCs w:val="24"/>
          <w:lang w:val="en-GB"/>
        </w:rPr>
        <w:t>However q</w:t>
      </w:r>
      <w:r w:rsidR="00F534A7" w:rsidRPr="00640AE1">
        <w:rPr>
          <w:sz w:val="24"/>
          <w:szCs w:val="24"/>
          <w:lang w:val="en-GB"/>
        </w:rPr>
        <w:t>uestionnaire non-completion did vary between the different programmes</w:t>
      </w:r>
      <w:r w:rsidR="00F33E0A" w:rsidRPr="00640AE1">
        <w:rPr>
          <w:sz w:val="24"/>
          <w:szCs w:val="24"/>
          <w:lang w:val="en-GB"/>
        </w:rPr>
        <w:t>, with fewer participants completing questionnaires in groups 2 and 3</w:t>
      </w:r>
      <w:r w:rsidR="004B7E77" w:rsidRPr="00640AE1">
        <w:rPr>
          <w:sz w:val="24"/>
          <w:szCs w:val="24"/>
          <w:lang w:val="en-GB"/>
        </w:rPr>
        <w:t xml:space="preserve"> (χ2=</w:t>
      </w:r>
      <w:r w:rsidR="00D70421" w:rsidRPr="00640AE1">
        <w:rPr>
          <w:sz w:val="24"/>
          <w:szCs w:val="24"/>
          <w:lang w:val="en-GB"/>
        </w:rPr>
        <w:t>17.569</w:t>
      </w:r>
      <w:r w:rsidR="004B7E77" w:rsidRPr="00640AE1">
        <w:rPr>
          <w:sz w:val="24"/>
          <w:szCs w:val="24"/>
          <w:lang w:val="en-GB"/>
        </w:rPr>
        <w:t>, df=4, p</w:t>
      </w:r>
      <w:r w:rsidR="00D70421" w:rsidRPr="00640AE1">
        <w:rPr>
          <w:sz w:val="24"/>
          <w:szCs w:val="24"/>
          <w:lang w:val="en-GB"/>
        </w:rPr>
        <w:t>=</w:t>
      </w:r>
      <w:r w:rsidR="004B7E77" w:rsidRPr="00640AE1">
        <w:rPr>
          <w:sz w:val="24"/>
          <w:szCs w:val="24"/>
          <w:lang w:val="en-GB"/>
        </w:rPr>
        <w:t>.001)</w:t>
      </w:r>
      <w:r w:rsidR="00F534A7" w:rsidRPr="00640AE1">
        <w:rPr>
          <w:sz w:val="24"/>
          <w:szCs w:val="24"/>
          <w:lang w:val="en-GB"/>
        </w:rPr>
        <w:t xml:space="preserve"> (see Table 1)</w:t>
      </w:r>
      <w:r w:rsidR="00F33E0A" w:rsidRPr="00640AE1">
        <w:rPr>
          <w:sz w:val="24"/>
          <w:szCs w:val="24"/>
          <w:lang w:val="en-GB"/>
        </w:rPr>
        <w:t>.</w:t>
      </w:r>
      <w:r w:rsidR="00877886" w:rsidRPr="00640AE1">
        <w:rPr>
          <w:sz w:val="24"/>
          <w:szCs w:val="24"/>
          <w:lang w:val="en-GB"/>
        </w:rPr>
        <w:t xml:space="preserve"> Participation and response to questionnaires is recorded in Figure 1.</w:t>
      </w:r>
    </w:p>
    <w:tbl>
      <w:tblPr>
        <w:tblW w:w="6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850"/>
        <w:gridCol w:w="709"/>
      </w:tblGrid>
      <w:tr w:rsidR="00E81339" w:rsidRPr="00640AE1" w14:paraId="01A3562C" w14:textId="77777777" w:rsidTr="003F7282">
        <w:trPr>
          <w:trHeight w:val="285"/>
        </w:trPr>
        <w:tc>
          <w:tcPr>
            <w:tcW w:w="4928" w:type="dxa"/>
            <w:tcBorders>
              <w:top w:val="nil"/>
              <w:left w:val="nil"/>
              <w:bottom w:val="single" w:sz="4" w:space="0" w:color="auto"/>
              <w:right w:val="nil"/>
            </w:tcBorders>
            <w:shd w:val="clear" w:color="auto" w:fill="auto"/>
            <w:tcMar>
              <w:top w:w="80" w:type="dxa"/>
              <w:left w:w="80" w:type="dxa"/>
              <w:bottom w:w="80" w:type="dxa"/>
              <w:right w:w="80" w:type="dxa"/>
            </w:tcMar>
          </w:tcPr>
          <w:p w14:paraId="1836F602" w14:textId="77777777" w:rsidR="00E81339" w:rsidRPr="00640AE1" w:rsidRDefault="00E81339"/>
        </w:tc>
        <w:tc>
          <w:tcPr>
            <w:tcW w:w="850" w:type="dxa"/>
            <w:tcBorders>
              <w:top w:val="nil"/>
              <w:left w:val="nil"/>
              <w:bottom w:val="single" w:sz="4" w:space="0" w:color="auto"/>
              <w:right w:val="nil"/>
            </w:tcBorders>
            <w:shd w:val="clear" w:color="auto" w:fill="auto"/>
            <w:tcMar>
              <w:top w:w="80" w:type="dxa"/>
              <w:left w:w="80" w:type="dxa"/>
              <w:bottom w:w="80" w:type="dxa"/>
              <w:right w:w="80" w:type="dxa"/>
            </w:tcMar>
          </w:tcPr>
          <w:p w14:paraId="0F88768F" w14:textId="77777777" w:rsidR="00E81339" w:rsidRPr="00640AE1" w:rsidRDefault="00BF6903">
            <w:pPr>
              <w:pStyle w:val="Body"/>
              <w:spacing w:after="0" w:line="360" w:lineRule="auto"/>
              <w:jc w:val="right"/>
              <w:rPr>
                <w:lang w:val="en-GB"/>
              </w:rPr>
            </w:pPr>
            <w:r w:rsidRPr="00640AE1">
              <w:rPr>
                <w:b/>
                <w:bCs/>
                <w:sz w:val="24"/>
                <w:szCs w:val="24"/>
                <w:lang w:val="en-GB"/>
              </w:rPr>
              <w:t>n</w:t>
            </w:r>
          </w:p>
        </w:tc>
        <w:tc>
          <w:tcPr>
            <w:tcW w:w="709" w:type="dxa"/>
            <w:tcBorders>
              <w:top w:val="nil"/>
              <w:left w:val="nil"/>
              <w:bottom w:val="single" w:sz="4" w:space="0" w:color="auto"/>
              <w:right w:val="nil"/>
            </w:tcBorders>
            <w:shd w:val="clear" w:color="auto" w:fill="auto"/>
            <w:tcMar>
              <w:top w:w="80" w:type="dxa"/>
              <w:left w:w="80" w:type="dxa"/>
              <w:bottom w:w="80" w:type="dxa"/>
              <w:right w:w="80" w:type="dxa"/>
            </w:tcMar>
          </w:tcPr>
          <w:p w14:paraId="0138F889" w14:textId="77777777" w:rsidR="00E81339" w:rsidRPr="00640AE1" w:rsidRDefault="00BF6903">
            <w:pPr>
              <w:pStyle w:val="Body"/>
              <w:spacing w:after="0" w:line="360" w:lineRule="auto"/>
              <w:jc w:val="right"/>
              <w:rPr>
                <w:lang w:val="en-GB"/>
              </w:rPr>
            </w:pPr>
            <w:r w:rsidRPr="00640AE1">
              <w:rPr>
                <w:b/>
                <w:bCs/>
                <w:sz w:val="24"/>
                <w:szCs w:val="24"/>
                <w:lang w:val="en-GB"/>
              </w:rPr>
              <w:t>%</w:t>
            </w:r>
          </w:p>
        </w:tc>
      </w:tr>
      <w:tr w:rsidR="003F7282" w:rsidRPr="00640AE1" w14:paraId="6CC54431" w14:textId="77777777" w:rsidTr="003F7282">
        <w:trPr>
          <w:trHeight w:val="285"/>
        </w:trPr>
        <w:tc>
          <w:tcPr>
            <w:tcW w:w="4928" w:type="dxa"/>
            <w:tcBorders>
              <w:top w:val="single" w:sz="4" w:space="0" w:color="auto"/>
              <w:left w:val="nil"/>
              <w:bottom w:val="nil"/>
              <w:right w:val="nil"/>
            </w:tcBorders>
            <w:shd w:val="clear" w:color="auto" w:fill="auto"/>
            <w:tcMar>
              <w:top w:w="80" w:type="dxa"/>
              <w:left w:w="80" w:type="dxa"/>
              <w:bottom w:w="80" w:type="dxa"/>
              <w:right w:w="80" w:type="dxa"/>
            </w:tcMar>
          </w:tcPr>
          <w:p w14:paraId="0F7B2E97" w14:textId="2973D6EA" w:rsidR="003F7282" w:rsidRPr="00640AE1" w:rsidRDefault="003F7282" w:rsidP="003F7282">
            <w:pPr>
              <w:rPr>
                <w:rFonts w:ascii="Calibri" w:hAnsi="Calibri"/>
                <w:b/>
              </w:rPr>
            </w:pPr>
            <w:r w:rsidRPr="00640AE1">
              <w:rPr>
                <w:rFonts w:ascii="Calibri" w:hAnsi="Calibri"/>
                <w:b/>
              </w:rPr>
              <w:t>Sex</w:t>
            </w:r>
            <w:r w:rsidR="00E512FE" w:rsidRPr="00640AE1">
              <w:rPr>
                <w:rFonts w:ascii="Calibri" w:hAnsi="Calibri"/>
                <w:b/>
              </w:rPr>
              <w:t xml:space="preserve"> (female)</w:t>
            </w:r>
          </w:p>
        </w:tc>
        <w:tc>
          <w:tcPr>
            <w:tcW w:w="850" w:type="dxa"/>
            <w:tcBorders>
              <w:top w:val="single" w:sz="4" w:space="0" w:color="auto"/>
              <w:left w:val="nil"/>
              <w:bottom w:val="nil"/>
              <w:right w:val="nil"/>
            </w:tcBorders>
            <w:shd w:val="clear" w:color="auto" w:fill="auto"/>
            <w:tcMar>
              <w:top w:w="80" w:type="dxa"/>
              <w:left w:w="80" w:type="dxa"/>
              <w:bottom w:w="80" w:type="dxa"/>
              <w:right w:w="80" w:type="dxa"/>
            </w:tcMar>
          </w:tcPr>
          <w:p w14:paraId="03B7101B" w14:textId="396CB895" w:rsidR="003F7282" w:rsidRPr="00640AE1" w:rsidRDefault="003F7282">
            <w:pPr>
              <w:pStyle w:val="Body"/>
              <w:spacing w:after="0" w:line="360" w:lineRule="auto"/>
              <w:jc w:val="right"/>
              <w:rPr>
                <w:bCs/>
                <w:sz w:val="24"/>
                <w:szCs w:val="24"/>
                <w:lang w:val="en-GB"/>
              </w:rPr>
            </w:pPr>
            <w:r w:rsidRPr="00640AE1">
              <w:rPr>
                <w:bCs/>
                <w:sz w:val="24"/>
                <w:szCs w:val="24"/>
                <w:lang w:val="en-GB"/>
              </w:rPr>
              <w:t>37</w:t>
            </w:r>
          </w:p>
        </w:tc>
        <w:tc>
          <w:tcPr>
            <w:tcW w:w="709" w:type="dxa"/>
            <w:tcBorders>
              <w:top w:val="single" w:sz="4" w:space="0" w:color="auto"/>
              <w:left w:val="nil"/>
              <w:bottom w:val="nil"/>
              <w:right w:val="nil"/>
            </w:tcBorders>
            <w:shd w:val="clear" w:color="auto" w:fill="auto"/>
            <w:tcMar>
              <w:top w:w="80" w:type="dxa"/>
              <w:left w:w="80" w:type="dxa"/>
              <w:bottom w:w="80" w:type="dxa"/>
              <w:right w:w="80" w:type="dxa"/>
            </w:tcMar>
          </w:tcPr>
          <w:p w14:paraId="20F18698" w14:textId="1AF1F15E" w:rsidR="003F7282" w:rsidRPr="00640AE1" w:rsidRDefault="003F7282">
            <w:pPr>
              <w:pStyle w:val="Body"/>
              <w:spacing w:after="0" w:line="360" w:lineRule="auto"/>
              <w:jc w:val="right"/>
              <w:rPr>
                <w:bCs/>
                <w:sz w:val="24"/>
                <w:szCs w:val="24"/>
                <w:lang w:val="en-GB"/>
              </w:rPr>
            </w:pPr>
            <w:r w:rsidRPr="00640AE1">
              <w:rPr>
                <w:bCs/>
                <w:sz w:val="24"/>
                <w:szCs w:val="24"/>
                <w:lang w:val="en-GB"/>
              </w:rPr>
              <w:t>92.5</w:t>
            </w:r>
          </w:p>
        </w:tc>
      </w:tr>
      <w:tr w:rsidR="00E81339" w:rsidRPr="00640AE1" w14:paraId="3AD4C340" w14:textId="77777777" w:rsidTr="003F7282">
        <w:trPr>
          <w:trHeight w:val="285"/>
        </w:trPr>
        <w:tc>
          <w:tcPr>
            <w:tcW w:w="4928" w:type="dxa"/>
            <w:tcBorders>
              <w:top w:val="nil"/>
              <w:left w:val="nil"/>
              <w:bottom w:val="nil"/>
              <w:right w:val="nil"/>
            </w:tcBorders>
            <w:shd w:val="clear" w:color="auto" w:fill="auto"/>
            <w:tcMar>
              <w:top w:w="80" w:type="dxa"/>
              <w:left w:w="80" w:type="dxa"/>
              <w:bottom w:w="80" w:type="dxa"/>
              <w:right w:w="80" w:type="dxa"/>
            </w:tcMar>
          </w:tcPr>
          <w:p w14:paraId="722D8483" w14:textId="77777777" w:rsidR="00E81339" w:rsidRPr="00640AE1" w:rsidRDefault="00BF6903">
            <w:pPr>
              <w:pStyle w:val="Body"/>
              <w:spacing w:after="0" w:line="360" w:lineRule="auto"/>
              <w:rPr>
                <w:lang w:val="en-GB"/>
              </w:rPr>
            </w:pPr>
            <w:r w:rsidRPr="00640AE1">
              <w:rPr>
                <w:b/>
                <w:bCs/>
                <w:sz w:val="24"/>
                <w:szCs w:val="24"/>
                <w:lang w:val="en-GB"/>
              </w:rPr>
              <w:t>In employment</w:t>
            </w:r>
          </w:p>
        </w:tc>
        <w:tc>
          <w:tcPr>
            <w:tcW w:w="850" w:type="dxa"/>
            <w:tcBorders>
              <w:top w:val="nil"/>
              <w:left w:val="nil"/>
              <w:bottom w:val="nil"/>
              <w:right w:val="nil"/>
            </w:tcBorders>
            <w:shd w:val="clear" w:color="auto" w:fill="auto"/>
            <w:tcMar>
              <w:top w:w="80" w:type="dxa"/>
              <w:left w:w="80" w:type="dxa"/>
              <w:bottom w:w="80" w:type="dxa"/>
              <w:right w:w="80" w:type="dxa"/>
            </w:tcMar>
          </w:tcPr>
          <w:p w14:paraId="57419993" w14:textId="77777777" w:rsidR="00E81339" w:rsidRPr="00640AE1" w:rsidRDefault="00BF6903">
            <w:pPr>
              <w:pStyle w:val="Body"/>
              <w:spacing w:after="0" w:line="360" w:lineRule="auto"/>
              <w:jc w:val="right"/>
              <w:rPr>
                <w:lang w:val="en-GB"/>
              </w:rPr>
            </w:pPr>
            <w:r w:rsidRPr="00640AE1">
              <w:rPr>
                <w:sz w:val="24"/>
                <w:szCs w:val="24"/>
                <w:lang w:val="en-GB"/>
              </w:rPr>
              <w:t>17</w:t>
            </w:r>
          </w:p>
        </w:tc>
        <w:tc>
          <w:tcPr>
            <w:tcW w:w="709" w:type="dxa"/>
            <w:tcBorders>
              <w:top w:val="nil"/>
              <w:left w:val="nil"/>
              <w:bottom w:val="nil"/>
              <w:right w:val="nil"/>
            </w:tcBorders>
            <w:shd w:val="clear" w:color="auto" w:fill="auto"/>
            <w:tcMar>
              <w:top w:w="80" w:type="dxa"/>
              <w:left w:w="80" w:type="dxa"/>
              <w:bottom w:w="80" w:type="dxa"/>
              <w:right w:w="80" w:type="dxa"/>
            </w:tcMar>
          </w:tcPr>
          <w:p w14:paraId="0AAD7100" w14:textId="77777777" w:rsidR="00E81339" w:rsidRPr="00640AE1" w:rsidRDefault="00BF6903">
            <w:pPr>
              <w:pStyle w:val="Body"/>
              <w:spacing w:after="0" w:line="360" w:lineRule="auto"/>
              <w:jc w:val="right"/>
              <w:rPr>
                <w:lang w:val="en-GB"/>
              </w:rPr>
            </w:pPr>
            <w:r w:rsidRPr="00640AE1">
              <w:rPr>
                <w:sz w:val="24"/>
                <w:szCs w:val="24"/>
                <w:lang w:val="en-GB"/>
              </w:rPr>
              <w:t>44.5</w:t>
            </w:r>
          </w:p>
        </w:tc>
      </w:tr>
      <w:tr w:rsidR="00E81339" w:rsidRPr="00640AE1" w14:paraId="72F5A8F3"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0F533536" w14:textId="77777777" w:rsidR="00E81339" w:rsidRPr="00640AE1" w:rsidRDefault="00BF6903">
            <w:pPr>
              <w:pStyle w:val="Body"/>
              <w:spacing w:after="0" w:line="360" w:lineRule="auto"/>
              <w:rPr>
                <w:lang w:val="en-GB"/>
              </w:rPr>
            </w:pPr>
            <w:r w:rsidRPr="00640AE1">
              <w:rPr>
                <w:b/>
                <w:bCs/>
                <w:sz w:val="24"/>
                <w:szCs w:val="24"/>
                <w:lang w:val="en-GB"/>
              </w:rPr>
              <w:t>U.K. National</w:t>
            </w:r>
          </w:p>
        </w:tc>
        <w:tc>
          <w:tcPr>
            <w:tcW w:w="850" w:type="dxa"/>
            <w:tcBorders>
              <w:top w:val="nil"/>
              <w:left w:val="nil"/>
              <w:bottom w:val="nil"/>
              <w:right w:val="nil"/>
            </w:tcBorders>
            <w:shd w:val="clear" w:color="auto" w:fill="auto"/>
            <w:tcMar>
              <w:top w:w="80" w:type="dxa"/>
              <w:left w:w="80" w:type="dxa"/>
              <w:bottom w:w="80" w:type="dxa"/>
              <w:right w:w="80" w:type="dxa"/>
            </w:tcMar>
          </w:tcPr>
          <w:p w14:paraId="062D0C9F" w14:textId="77777777" w:rsidR="00E81339" w:rsidRPr="00640AE1" w:rsidRDefault="00BF6903">
            <w:pPr>
              <w:pStyle w:val="Body"/>
              <w:spacing w:after="0" w:line="360" w:lineRule="auto"/>
              <w:jc w:val="right"/>
              <w:rPr>
                <w:lang w:val="en-GB"/>
              </w:rPr>
            </w:pPr>
            <w:r w:rsidRPr="00640AE1">
              <w:rPr>
                <w:sz w:val="24"/>
                <w:szCs w:val="24"/>
                <w:lang w:val="en-GB"/>
              </w:rPr>
              <w:t>34</w:t>
            </w:r>
          </w:p>
        </w:tc>
        <w:tc>
          <w:tcPr>
            <w:tcW w:w="709" w:type="dxa"/>
            <w:tcBorders>
              <w:top w:val="nil"/>
              <w:left w:val="nil"/>
              <w:bottom w:val="nil"/>
              <w:right w:val="nil"/>
            </w:tcBorders>
            <w:shd w:val="clear" w:color="auto" w:fill="auto"/>
            <w:tcMar>
              <w:top w:w="80" w:type="dxa"/>
              <w:left w:w="80" w:type="dxa"/>
              <w:bottom w:w="80" w:type="dxa"/>
              <w:right w:w="80" w:type="dxa"/>
            </w:tcMar>
          </w:tcPr>
          <w:p w14:paraId="0949E57D" w14:textId="77777777" w:rsidR="00E81339" w:rsidRPr="00640AE1" w:rsidRDefault="00BF6903">
            <w:pPr>
              <w:pStyle w:val="Body"/>
              <w:spacing w:after="0" w:line="360" w:lineRule="auto"/>
              <w:jc w:val="right"/>
              <w:rPr>
                <w:lang w:val="en-GB"/>
              </w:rPr>
            </w:pPr>
            <w:r w:rsidRPr="00640AE1">
              <w:rPr>
                <w:sz w:val="24"/>
                <w:szCs w:val="24"/>
                <w:lang w:val="en-GB"/>
              </w:rPr>
              <w:t>85.0</w:t>
            </w:r>
          </w:p>
        </w:tc>
      </w:tr>
      <w:tr w:rsidR="00E81339" w:rsidRPr="00640AE1" w14:paraId="145C6190"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555F697D" w14:textId="77777777" w:rsidR="00E81339" w:rsidRPr="00640AE1" w:rsidRDefault="00BF6903">
            <w:pPr>
              <w:pStyle w:val="Body"/>
              <w:spacing w:after="0" w:line="360" w:lineRule="auto"/>
              <w:rPr>
                <w:lang w:val="en-GB"/>
              </w:rPr>
            </w:pPr>
            <w:r w:rsidRPr="00640AE1">
              <w:rPr>
                <w:b/>
                <w:bCs/>
                <w:sz w:val="24"/>
                <w:szCs w:val="24"/>
                <w:lang w:val="en-GB"/>
              </w:rPr>
              <w:t>Ethnicity</w:t>
            </w:r>
          </w:p>
        </w:tc>
        <w:tc>
          <w:tcPr>
            <w:tcW w:w="850" w:type="dxa"/>
            <w:tcBorders>
              <w:top w:val="nil"/>
              <w:left w:val="nil"/>
              <w:bottom w:val="nil"/>
              <w:right w:val="nil"/>
            </w:tcBorders>
            <w:shd w:val="clear" w:color="auto" w:fill="auto"/>
            <w:tcMar>
              <w:top w:w="80" w:type="dxa"/>
              <w:left w:w="80" w:type="dxa"/>
              <w:bottom w:w="80" w:type="dxa"/>
              <w:right w:w="80" w:type="dxa"/>
            </w:tcMar>
          </w:tcPr>
          <w:p w14:paraId="485EB9F3" w14:textId="77777777" w:rsidR="00E81339" w:rsidRPr="00640AE1" w:rsidRDefault="00E81339"/>
        </w:tc>
        <w:tc>
          <w:tcPr>
            <w:tcW w:w="709" w:type="dxa"/>
            <w:tcBorders>
              <w:top w:val="nil"/>
              <w:left w:val="nil"/>
              <w:bottom w:val="nil"/>
              <w:right w:val="nil"/>
            </w:tcBorders>
            <w:shd w:val="clear" w:color="auto" w:fill="auto"/>
            <w:tcMar>
              <w:top w:w="80" w:type="dxa"/>
              <w:left w:w="80" w:type="dxa"/>
              <w:bottom w:w="80" w:type="dxa"/>
              <w:right w:w="80" w:type="dxa"/>
            </w:tcMar>
          </w:tcPr>
          <w:p w14:paraId="75107B70" w14:textId="77777777" w:rsidR="00E81339" w:rsidRPr="00640AE1" w:rsidRDefault="00E81339"/>
        </w:tc>
      </w:tr>
      <w:tr w:rsidR="00E81339" w:rsidRPr="00640AE1" w14:paraId="0EA08815"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37179E1D" w14:textId="77777777" w:rsidR="00E81339" w:rsidRPr="00640AE1" w:rsidRDefault="00BF6903">
            <w:pPr>
              <w:pStyle w:val="Body"/>
              <w:spacing w:after="0" w:line="360" w:lineRule="auto"/>
              <w:jc w:val="right"/>
              <w:rPr>
                <w:lang w:val="en-GB"/>
              </w:rPr>
            </w:pPr>
            <w:r w:rsidRPr="00640AE1">
              <w:rPr>
                <w:sz w:val="24"/>
                <w:szCs w:val="24"/>
                <w:lang w:val="en-GB"/>
              </w:rPr>
              <w:t>White</w:t>
            </w:r>
          </w:p>
        </w:tc>
        <w:tc>
          <w:tcPr>
            <w:tcW w:w="850" w:type="dxa"/>
            <w:tcBorders>
              <w:top w:val="nil"/>
              <w:left w:val="nil"/>
              <w:bottom w:val="nil"/>
              <w:right w:val="nil"/>
            </w:tcBorders>
            <w:shd w:val="clear" w:color="auto" w:fill="auto"/>
            <w:tcMar>
              <w:top w:w="80" w:type="dxa"/>
              <w:left w:w="80" w:type="dxa"/>
              <w:bottom w:w="80" w:type="dxa"/>
              <w:right w:w="80" w:type="dxa"/>
            </w:tcMar>
          </w:tcPr>
          <w:p w14:paraId="20199F58" w14:textId="77777777" w:rsidR="00E81339" w:rsidRPr="00640AE1" w:rsidRDefault="00BF6903">
            <w:pPr>
              <w:pStyle w:val="Body"/>
              <w:spacing w:after="0" w:line="360" w:lineRule="auto"/>
              <w:jc w:val="right"/>
              <w:rPr>
                <w:lang w:val="en-GB"/>
              </w:rPr>
            </w:pPr>
            <w:r w:rsidRPr="00640AE1">
              <w:rPr>
                <w:sz w:val="24"/>
                <w:szCs w:val="24"/>
                <w:lang w:val="en-GB"/>
              </w:rPr>
              <w:t>33</w:t>
            </w:r>
          </w:p>
        </w:tc>
        <w:tc>
          <w:tcPr>
            <w:tcW w:w="709" w:type="dxa"/>
            <w:tcBorders>
              <w:top w:val="nil"/>
              <w:left w:val="nil"/>
              <w:bottom w:val="nil"/>
              <w:right w:val="nil"/>
            </w:tcBorders>
            <w:shd w:val="clear" w:color="auto" w:fill="auto"/>
            <w:tcMar>
              <w:top w:w="80" w:type="dxa"/>
              <w:left w:w="80" w:type="dxa"/>
              <w:bottom w:w="80" w:type="dxa"/>
              <w:right w:w="80" w:type="dxa"/>
            </w:tcMar>
          </w:tcPr>
          <w:p w14:paraId="1202C086" w14:textId="77777777" w:rsidR="00E81339" w:rsidRPr="00640AE1" w:rsidRDefault="00BF6903">
            <w:pPr>
              <w:pStyle w:val="Body"/>
              <w:spacing w:after="0" w:line="360" w:lineRule="auto"/>
              <w:jc w:val="right"/>
              <w:rPr>
                <w:lang w:val="en-GB"/>
              </w:rPr>
            </w:pPr>
            <w:r w:rsidRPr="00640AE1">
              <w:rPr>
                <w:sz w:val="24"/>
                <w:szCs w:val="24"/>
                <w:lang w:val="en-GB"/>
              </w:rPr>
              <w:t>82.5</w:t>
            </w:r>
          </w:p>
        </w:tc>
      </w:tr>
      <w:tr w:rsidR="00E81339" w:rsidRPr="00640AE1" w14:paraId="7A8AB7FB" w14:textId="77777777">
        <w:trPr>
          <w:trHeight w:val="700"/>
        </w:trPr>
        <w:tc>
          <w:tcPr>
            <w:tcW w:w="4928" w:type="dxa"/>
            <w:tcBorders>
              <w:top w:val="nil"/>
              <w:left w:val="nil"/>
              <w:bottom w:val="nil"/>
              <w:right w:val="nil"/>
            </w:tcBorders>
            <w:shd w:val="clear" w:color="auto" w:fill="auto"/>
            <w:tcMar>
              <w:top w:w="80" w:type="dxa"/>
              <w:left w:w="80" w:type="dxa"/>
              <w:bottom w:w="80" w:type="dxa"/>
              <w:right w:w="80" w:type="dxa"/>
            </w:tcMar>
          </w:tcPr>
          <w:p w14:paraId="3F915855" w14:textId="77777777" w:rsidR="00E81339" w:rsidRPr="00640AE1" w:rsidRDefault="00BF6903">
            <w:pPr>
              <w:pStyle w:val="Body"/>
              <w:spacing w:after="0" w:line="360" w:lineRule="auto"/>
              <w:jc w:val="right"/>
              <w:rPr>
                <w:lang w:val="en-GB"/>
              </w:rPr>
            </w:pPr>
            <w:r w:rsidRPr="00640AE1">
              <w:rPr>
                <w:sz w:val="24"/>
                <w:szCs w:val="24"/>
                <w:lang w:val="en-GB"/>
              </w:rPr>
              <w:lastRenderedPageBreak/>
              <w:t>Mixed race White and Black African/Caribbean</w:t>
            </w:r>
          </w:p>
        </w:tc>
        <w:tc>
          <w:tcPr>
            <w:tcW w:w="850" w:type="dxa"/>
            <w:tcBorders>
              <w:top w:val="nil"/>
              <w:left w:val="nil"/>
              <w:bottom w:val="nil"/>
              <w:right w:val="nil"/>
            </w:tcBorders>
            <w:shd w:val="clear" w:color="auto" w:fill="auto"/>
            <w:tcMar>
              <w:top w:w="80" w:type="dxa"/>
              <w:left w:w="80" w:type="dxa"/>
              <w:bottom w:w="80" w:type="dxa"/>
              <w:right w:w="80" w:type="dxa"/>
            </w:tcMar>
          </w:tcPr>
          <w:p w14:paraId="45F69264" w14:textId="77777777" w:rsidR="00E81339" w:rsidRPr="00640AE1" w:rsidRDefault="00BF6903">
            <w:pPr>
              <w:pStyle w:val="Body"/>
              <w:spacing w:after="0" w:line="360" w:lineRule="auto"/>
              <w:jc w:val="right"/>
              <w:rPr>
                <w:lang w:val="en-GB"/>
              </w:rPr>
            </w:pPr>
            <w:r w:rsidRPr="00640AE1">
              <w:rPr>
                <w:sz w:val="24"/>
                <w:szCs w:val="24"/>
                <w:lang w:val="en-GB"/>
              </w:rPr>
              <w:t>2</w:t>
            </w:r>
          </w:p>
        </w:tc>
        <w:tc>
          <w:tcPr>
            <w:tcW w:w="709" w:type="dxa"/>
            <w:tcBorders>
              <w:top w:val="nil"/>
              <w:left w:val="nil"/>
              <w:bottom w:val="nil"/>
              <w:right w:val="nil"/>
            </w:tcBorders>
            <w:shd w:val="clear" w:color="auto" w:fill="auto"/>
            <w:tcMar>
              <w:top w:w="80" w:type="dxa"/>
              <w:left w:w="80" w:type="dxa"/>
              <w:bottom w:w="80" w:type="dxa"/>
              <w:right w:w="80" w:type="dxa"/>
            </w:tcMar>
          </w:tcPr>
          <w:p w14:paraId="1F5AD42E" w14:textId="77777777" w:rsidR="00E81339" w:rsidRPr="00640AE1" w:rsidRDefault="00BF6903">
            <w:pPr>
              <w:pStyle w:val="Body"/>
              <w:spacing w:after="0" w:line="360" w:lineRule="auto"/>
              <w:jc w:val="right"/>
              <w:rPr>
                <w:lang w:val="en-GB"/>
              </w:rPr>
            </w:pPr>
            <w:r w:rsidRPr="00640AE1">
              <w:rPr>
                <w:sz w:val="24"/>
                <w:szCs w:val="24"/>
                <w:lang w:val="en-GB"/>
              </w:rPr>
              <w:t>5.0</w:t>
            </w:r>
          </w:p>
        </w:tc>
      </w:tr>
      <w:tr w:rsidR="00E81339" w:rsidRPr="00640AE1" w14:paraId="17B3A9AD"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36C11F21" w14:textId="77777777" w:rsidR="00E81339" w:rsidRPr="00640AE1" w:rsidRDefault="00BF6903">
            <w:pPr>
              <w:pStyle w:val="Body"/>
              <w:spacing w:after="0" w:line="360" w:lineRule="auto"/>
              <w:jc w:val="right"/>
              <w:rPr>
                <w:lang w:val="en-GB"/>
              </w:rPr>
            </w:pPr>
            <w:r w:rsidRPr="00640AE1">
              <w:rPr>
                <w:sz w:val="24"/>
                <w:szCs w:val="24"/>
                <w:lang w:val="en-GB"/>
              </w:rPr>
              <w:t>Indian</w:t>
            </w:r>
          </w:p>
        </w:tc>
        <w:tc>
          <w:tcPr>
            <w:tcW w:w="850" w:type="dxa"/>
            <w:tcBorders>
              <w:top w:val="nil"/>
              <w:left w:val="nil"/>
              <w:bottom w:val="nil"/>
              <w:right w:val="nil"/>
            </w:tcBorders>
            <w:shd w:val="clear" w:color="auto" w:fill="auto"/>
            <w:tcMar>
              <w:top w:w="80" w:type="dxa"/>
              <w:left w:w="80" w:type="dxa"/>
              <w:bottom w:w="80" w:type="dxa"/>
              <w:right w:w="80" w:type="dxa"/>
            </w:tcMar>
          </w:tcPr>
          <w:p w14:paraId="29D41413" w14:textId="77777777" w:rsidR="00E81339" w:rsidRPr="00640AE1" w:rsidRDefault="00BF6903">
            <w:pPr>
              <w:pStyle w:val="Body"/>
              <w:spacing w:after="0" w:line="360" w:lineRule="auto"/>
              <w:jc w:val="right"/>
              <w:rPr>
                <w:lang w:val="en-GB"/>
              </w:rPr>
            </w:pPr>
            <w:r w:rsidRPr="00640AE1">
              <w:rPr>
                <w:sz w:val="24"/>
                <w:szCs w:val="24"/>
                <w:lang w:val="en-GB"/>
              </w:rPr>
              <w:t>1</w:t>
            </w:r>
          </w:p>
        </w:tc>
        <w:tc>
          <w:tcPr>
            <w:tcW w:w="709" w:type="dxa"/>
            <w:tcBorders>
              <w:top w:val="nil"/>
              <w:left w:val="nil"/>
              <w:bottom w:val="nil"/>
              <w:right w:val="nil"/>
            </w:tcBorders>
            <w:shd w:val="clear" w:color="auto" w:fill="auto"/>
            <w:tcMar>
              <w:top w:w="80" w:type="dxa"/>
              <w:left w:w="80" w:type="dxa"/>
              <w:bottom w:w="80" w:type="dxa"/>
              <w:right w:w="80" w:type="dxa"/>
            </w:tcMar>
          </w:tcPr>
          <w:p w14:paraId="4812E3A2" w14:textId="77777777" w:rsidR="00E81339" w:rsidRPr="00640AE1" w:rsidRDefault="00BF6903">
            <w:pPr>
              <w:pStyle w:val="Body"/>
              <w:spacing w:after="0" w:line="360" w:lineRule="auto"/>
              <w:jc w:val="right"/>
              <w:rPr>
                <w:lang w:val="en-GB"/>
              </w:rPr>
            </w:pPr>
            <w:r w:rsidRPr="00640AE1">
              <w:rPr>
                <w:sz w:val="24"/>
                <w:szCs w:val="24"/>
                <w:lang w:val="en-GB"/>
              </w:rPr>
              <w:t>5.0</w:t>
            </w:r>
          </w:p>
        </w:tc>
      </w:tr>
      <w:tr w:rsidR="00E81339" w:rsidRPr="00640AE1" w14:paraId="596545C2"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628113EF" w14:textId="77777777" w:rsidR="00E81339" w:rsidRPr="00640AE1" w:rsidRDefault="00BF6903">
            <w:pPr>
              <w:pStyle w:val="Body"/>
              <w:spacing w:after="0" w:line="360" w:lineRule="auto"/>
              <w:jc w:val="right"/>
              <w:rPr>
                <w:lang w:val="en-GB"/>
              </w:rPr>
            </w:pPr>
            <w:r w:rsidRPr="00640AE1">
              <w:rPr>
                <w:sz w:val="24"/>
                <w:szCs w:val="24"/>
                <w:lang w:val="en-GB"/>
              </w:rPr>
              <w:t>African</w:t>
            </w:r>
          </w:p>
        </w:tc>
        <w:tc>
          <w:tcPr>
            <w:tcW w:w="850" w:type="dxa"/>
            <w:tcBorders>
              <w:top w:val="nil"/>
              <w:left w:val="nil"/>
              <w:bottom w:val="nil"/>
              <w:right w:val="nil"/>
            </w:tcBorders>
            <w:shd w:val="clear" w:color="auto" w:fill="auto"/>
            <w:tcMar>
              <w:top w:w="80" w:type="dxa"/>
              <w:left w:w="80" w:type="dxa"/>
              <w:bottom w:w="80" w:type="dxa"/>
              <w:right w:w="80" w:type="dxa"/>
            </w:tcMar>
          </w:tcPr>
          <w:p w14:paraId="0CE6999C" w14:textId="77777777" w:rsidR="00E81339" w:rsidRPr="00640AE1" w:rsidRDefault="00BF6903">
            <w:pPr>
              <w:pStyle w:val="Body"/>
              <w:spacing w:after="0" w:line="360" w:lineRule="auto"/>
              <w:jc w:val="right"/>
              <w:rPr>
                <w:lang w:val="en-GB"/>
              </w:rPr>
            </w:pPr>
            <w:r w:rsidRPr="00640AE1">
              <w:rPr>
                <w:sz w:val="24"/>
                <w:szCs w:val="24"/>
                <w:lang w:val="en-GB"/>
              </w:rPr>
              <w:t>1</w:t>
            </w:r>
          </w:p>
        </w:tc>
        <w:tc>
          <w:tcPr>
            <w:tcW w:w="709" w:type="dxa"/>
            <w:tcBorders>
              <w:top w:val="nil"/>
              <w:left w:val="nil"/>
              <w:bottom w:val="nil"/>
              <w:right w:val="nil"/>
            </w:tcBorders>
            <w:shd w:val="clear" w:color="auto" w:fill="auto"/>
            <w:tcMar>
              <w:top w:w="80" w:type="dxa"/>
              <w:left w:w="80" w:type="dxa"/>
              <w:bottom w:w="80" w:type="dxa"/>
              <w:right w:w="80" w:type="dxa"/>
            </w:tcMar>
          </w:tcPr>
          <w:p w14:paraId="059FAABA" w14:textId="77777777" w:rsidR="00E81339" w:rsidRPr="00640AE1" w:rsidRDefault="00BF6903">
            <w:pPr>
              <w:pStyle w:val="Body"/>
              <w:spacing w:after="0" w:line="360" w:lineRule="auto"/>
              <w:jc w:val="right"/>
              <w:rPr>
                <w:lang w:val="en-GB"/>
              </w:rPr>
            </w:pPr>
            <w:r w:rsidRPr="00640AE1">
              <w:rPr>
                <w:sz w:val="24"/>
                <w:szCs w:val="24"/>
                <w:lang w:val="en-GB"/>
              </w:rPr>
              <w:t>2.5</w:t>
            </w:r>
          </w:p>
        </w:tc>
      </w:tr>
      <w:tr w:rsidR="00E81339" w:rsidRPr="00640AE1" w14:paraId="609AF238"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1D32196B" w14:textId="77777777" w:rsidR="00E81339" w:rsidRPr="00640AE1" w:rsidRDefault="00BF6903">
            <w:pPr>
              <w:pStyle w:val="Body"/>
              <w:spacing w:after="0" w:line="360" w:lineRule="auto"/>
              <w:rPr>
                <w:lang w:val="en-GB"/>
              </w:rPr>
            </w:pPr>
            <w:r w:rsidRPr="00640AE1">
              <w:rPr>
                <w:b/>
                <w:bCs/>
                <w:sz w:val="24"/>
                <w:szCs w:val="24"/>
                <w:lang w:val="en-GB"/>
              </w:rPr>
              <w:t>Highest level of education</w:t>
            </w:r>
          </w:p>
        </w:tc>
        <w:tc>
          <w:tcPr>
            <w:tcW w:w="850" w:type="dxa"/>
            <w:tcBorders>
              <w:top w:val="nil"/>
              <w:left w:val="nil"/>
              <w:bottom w:val="nil"/>
              <w:right w:val="nil"/>
            </w:tcBorders>
            <w:shd w:val="clear" w:color="auto" w:fill="auto"/>
            <w:tcMar>
              <w:top w:w="80" w:type="dxa"/>
              <w:left w:w="80" w:type="dxa"/>
              <w:bottom w:w="80" w:type="dxa"/>
              <w:right w:w="80" w:type="dxa"/>
            </w:tcMar>
          </w:tcPr>
          <w:p w14:paraId="2605CD9A" w14:textId="77777777" w:rsidR="00E81339" w:rsidRPr="00640AE1" w:rsidRDefault="00E81339"/>
        </w:tc>
        <w:tc>
          <w:tcPr>
            <w:tcW w:w="709" w:type="dxa"/>
            <w:tcBorders>
              <w:top w:val="nil"/>
              <w:left w:val="nil"/>
              <w:bottom w:val="nil"/>
              <w:right w:val="nil"/>
            </w:tcBorders>
            <w:shd w:val="clear" w:color="auto" w:fill="auto"/>
            <w:tcMar>
              <w:top w:w="80" w:type="dxa"/>
              <w:left w:w="80" w:type="dxa"/>
              <w:bottom w:w="80" w:type="dxa"/>
              <w:right w:w="80" w:type="dxa"/>
            </w:tcMar>
          </w:tcPr>
          <w:p w14:paraId="47AD5B78" w14:textId="77777777" w:rsidR="00E81339" w:rsidRPr="00640AE1" w:rsidRDefault="00E81339"/>
        </w:tc>
      </w:tr>
      <w:tr w:rsidR="00E81339" w:rsidRPr="00640AE1" w14:paraId="41AC4237"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334B3034" w14:textId="77777777" w:rsidR="00E81339" w:rsidRPr="00640AE1" w:rsidRDefault="00BF6903">
            <w:pPr>
              <w:pStyle w:val="Body"/>
              <w:spacing w:after="0" w:line="360" w:lineRule="auto"/>
              <w:jc w:val="right"/>
              <w:rPr>
                <w:lang w:val="en-GB"/>
              </w:rPr>
            </w:pPr>
            <w:r w:rsidRPr="00640AE1">
              <w:rPr>
                <w:sz w:val="24"/>
                <w:szCs w:val="24"/>
                <w:lang w:val="en-GB"/>
              </w:rPr>
              <w:t>Secondary school</w:t>
            </w:r>
          </w:p>
        </w:tc>
        <w:tc>
          <w:tcPr>
            <w:tcW w:w="850" w:type="dxa"/>
            <w:tcBorders>
              <w:top w:val="nil"/>
              <w:left w:val="nil"/>
              <w:bottom w:val="nil"/>
              <w:right w:val="nil"/>
            </w:tcBorders>
            <w:shd w:val="clear" w:color="auto" w:fill="auto"/>
            <w:tcMar>
              <w:top w:w="80" w:type="dxa"/>
              <w:left w:w="80" w:type="dxa"/>
              <w:bottom w:w="80" w:type="dxa"/>
              <w:right w:w="80" w:type="dxa"/>
            </w:tcMar>
          </w:tcPr>
          <w:p w14:paraId="6684F6E8" w14:textId="77777777" w:rsidR="00E81339" w:rsidRPr="00640AE1" w:rsidRDefault="00BF6903">
            <w:pPr>
              <w:pStyle w:val="Body"/>
              <w:spacing w:after="0" w:line="360" w:lineRule="auto"/>
              <w:jc w:val="right"/>
              <w:rPr>
                <w:lang w:val="en-GB"/>
              </w:rPr>
            </w:pPr>
            <w:r w:rsidRPr="00640AE1">
              <w:rPr>
                <w:sz w:val="24"/>
                <w:szCs w:val="24"/>
                <w:lang w:val="en-GB"/>
              </w:rPr>
              <w:t>12</w:t>
            </w:r>
          </w:p>
        </w:tc>
        <w:tc>
          <w:tcPr>
            <w:tcW w:w="709" w:type="dxa"/>
            <w:tcBorders>
              <w:top w:val="nil"/>
              <w:left w:val="nil"/>
              <w:bottom w:val="nil"/>
              <w:right w:val="nil"/>
            </w:tcBorders>
            <w:shd w:val="clear" w:color="auto" w:fill="auto"/>
            <w:tcMar>
              <w:top w:w="80" w:type="dxa"/>
              <w:left w:w="80" w:type="dxa"/>
              <w:bottom w:w="80" w:type="dxa"/>
              <w:right w:w="80" w:type="dxa"/>
            </w:tcMar>
          </w:tcPr>
          <w:p w14:paraId="16010F14" w14:textId="77777777" w:rsidR="00E81339" w:rsidRPr="00640AE1" w:rsidRDefault="00BF6903">
            <w:pPr>
              <w:pStyle w:val="Body"/>
              <w:spacing w:after="0" w:line="360" w:lineRule="auto"/>
              <w:jc w:val="right"/>
              <w:rPr>
                <w:lang w:val="en-GB"/>
              </w:rPr>
            </w:pPr>
            <w:r w:rsidRPr="00640AE1">
              <w:rPr>
                <w:sz w:val="24"/>
                <w:szCs w:val="24"/>
                <w:lang w:val="en-GB"/>
              </w:rPr>
              <w:t>30.0</w:t>
            </w:r>
          </w:p>
        </w:tc>
      </w:tr>
      <w:tr w:rsidR="00E81339" w:rsidRPr="00640AE1" w14:paraId="3E8E4109"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08750A8E" w14:textId="77777777" w:rsidR="00E81339" w:rsidRPr="00640AE1" w:rsidRDefault="00BF6903">
            <w:pPr>
              <w:pStyle w:val="Body"/>
              <w:spacing w:after="0" w:line="360" w:lineRule="auto"/>
              <w:jc w:val="right"/>
              <w:rPr>
                <w:lang w:val="en-GB"/>
              </w:rPr>
            </w:pPr>
            <w:r w:rsidRPr="00640AE1">
              <w:rPr>
                <w:sz w:val="24"/>
                <w:szCs w:val="24"/>
                <w:lang w:val="en-GB"/>
              </w:rPr>
              <w:t>Sixth-form</w:t>
            </w:r>
          </w:p>
        </w:tc>
        <w:tc>
          <w:tcPr>
            <w:tcW w:w="850" w:type="dxa"/>
            <w:tcBorders>
              <w:top w:val="nil"/>
              <w:left w:val="nil"/>
              <w:bottom w:val="nil"/>
              <w:right w:val="nil"/>
            </w:tcBorders>
            <w:shd w:val="clear" w:color="auto" w:fill="auto"/>
            <w:tcMar>
              <w:top w:w="80" w:type="dxa"/>
              <w:left w:w="80" w:type="dxa"/>
              <w:bottom w:w="80" w:type="dxa"/>
              <w:right w:w="80" w:type="dxa"/>
            </w:tcMar>
          </w:tcPr>
          <w:p w14:paraId="0D22A382" w14:textId="77777777" w:rsidR="00E81339" w:rsidRPr="00640AE1" w:rsidRDefault="00BF6903">
            <w:pPr>
              <w:pStyle w:val="Body"/>
              <w:spacing w:after="0" w:line="360" w:lineRule="auto"/>
              <w:jc w:val="right"/>
              <w:rPr>
                <w:lang w:val="en-GB"/>
              </w:rPr>
            </w:pPr>
            <w:r w:rsidRPr="00640AE1">
              <w:rPr>
                <w:sz w:val="24"/>
                <w:szCs w:val="24"/>
                <w:lang w:val="en-GB"/>
              </w:rPr>
              <w:t>18</w:t>
            </w:r>
          </w:p>
        </w:tc>
        <w:tc>
          <w:tcPr>
            <w:tcW w:w="709" w:type="dxa"/>
            <w:tcBorders>
              <w:top w:val="nil"/>
              <w:left w:val="nil"/>
              <w:bottom w:val="nil"/>
              <w:right w:val="nil"/>
            </w:tcBorders>
            <w:shd w:val="clear" w:color="auto" w:fill="auto"/>
            <w:tcMar>
              <w:top w:w="80" w:type="dxa"/>
              <w:left w:w="80" w:type="dxa"/>
              <w:bottom w:w="80" w:type="dxa"/>
              <w:right w:w="80" w:type="dxa"/>
            </w:tcMar>
          </w:tcPr>
          <w:p w14:paraId="04E7755E" w14:textId="77777777" w:rsidR="00E81339" w:rsidRPr="00640AE1" w:rsidRDefault="00BF6903">
            <w:pPr>
              <w:pStyle w:val="Body"/>
              <w:spacing w:after="0" w:line="360" w:lineRule="auto"/>
              <w:jc w:val="right"/>
              <w:rPr>
                <w:lang w:val="en-GB"/>
              </w:rPr>
            </w:pPr>
            <w:r w:rsidRPr="00640AE1">
              <w:rPr>
                <w:sz w:val="24"/>
                <w:szCs w:val="24"/>
                <w:lang w:val="en-GB"/>
              </w:rPr>
              <w:t>45.0</w:t>
            </w:r>
          </w:p>
        </w:tc>
      </w:tr>
      <w:tr w:rsidR="00E81339" w:rsidRPr="00640AE1" w14:paraId="461CCBF6"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7261BE59" w14:textId="77777777" w:rsidR="00E81339" w:rsidRPr="00640AE1" w:rsidRDefault="00BF6903">
            <w:pPr>
              <w:pStyle w:val="Body"/>
              <w:spacing w:after="0" w:line="360" w:lineRule="auto"/>
              <w:jc w:val="right"/>
              <w:rPr>
                <w:lang w:val="en-GB"/>
              </w:rPr>
            </w:pPr>
            <w:r w:rsidRPr="00640AE1">
              <w:rPr>
                <w:sz w:val="24"/>
                <w:szCs w:val="24"/>
                <w:lang w:val="en-GB"/>
              </w:rPr>
              <w:t>University undergraduate</w:t>
            </w:r>
          </w:p>
        </w:tc>
        <w:tc>
          <w:tcPr>
            <w:tcW w:w="850" w:type="dxa"/>
            <w:tcBorders>
              <w:top w:val="nil"/>
              <w:left w:val="nil"/>
              <w:bottom w:val="nil"/>
              <w:right w:val="nil"/>
            </w:tcBorders>
            <w:shd w:val="clear" w:color="auto" w:fill="auto"/>
            <w:tcMar>
              <w:top w:w="80" w:type="dxa"/>
              <w:left w:w="80" w:type="dxa"/>
              <w:bottom w:w="80" w:type="dxa"/>
              <w:right w:w="80" w:type="dxa"/>
            </w:tcMar>
          </w:tcPr>
          <w:p w14:paraId="2AD0527F" w14:textId="77777777" w:rsidR="00E81339" w:rsidRPr="00640AE1" w:rsidRDefault="00BF6903">
            <w:pPr>
              <w:pStyle w:val="Body"/>
              <w:spacing w:after="0" w:line="360" w:lineRule="auto"/>
              <w:jc w:val="right"/>
              <w:rPr>
                <w:lang w:val="en-GB"/>
              </w:rPr>
            </w:pPr>
            <w:r w:rsidRPr="00640AE1">
              <w:rPr>
                <w:sz w:val="24"/>
                <w:szCs w:val="24"/>
                <w:lang w:val="en-GB"/>
              </w:rPr>
              <w:t>2</w:t>
            </w:r>
          </w:p>
        </w:tc>
        <w:tc>
          <w:tcPr>
            <w:tcW w:w="709" w:type="dxa"/>
            <w:tcBorders>
              <w:top w:val="nil"/>
              <w:left w:val="nil"/>
              <w:bottom w:val="nil"/>
              <w:right w:val="nil"/>
            </w:tcBorders>
            <w:shd w:val="clear" w:color="auto" w:fill="auto"/>
            <w:tcMar>
              <w:top w:w="80" w:type="dxa"/>
              <w:left w:w="80" w:type="dxa"/>
              <w:bottom w:w="80" w:type="dxa"/>
              <w:right w:w="80" w:type="dxa"/>
            </w:tcMar>
          </w:tcPr>
          <w:p w14:paraId="14F996D9" w14:textId="77777777" w:rsidR="00E81339" w:rsidRPr="00640AE1" w:rsidRDefault="00BF6903">
            <w:pPr>
              <w:pStyle w:val="Body"/>
              <w:spacing w:after="0" w:line="360" w:lineRule="auto"/>
              <w:jc w:val="right"/>
              <w:rPr>
                <w:lang w:val="en-GB"/>
              </w:rPr>
            </w:pPr>
            <w:r w:rsidRPr="00640AE1">
              <w:rPr>
                <w:sz w:val="24"/>
                <w:szCs w:val="24"/>
                <w:lang w:val="en-GB"/>
              </w:rPr>
              <w:t>5.0</w:t>
            </w:r>
          </w:p>
        </w:tc>
      </w:tr>
      <w:tr w:rsidR="00E81339" w:rsidRPr="00640AE1" w14:paraId="40120FD5" w14:textId="77777777">
        <w:trPr>
          <w:trHeight w:val="280"/>
        </w:trPr>
        <w:tc>
          <w:tcPr>
            <w:tcW w:w="4928" w:type="dxa"/>
            <w:tcBorders>
              <w:top w:val="nil"/>
              <w:left w:val="nil"/>
              <w:bottom w:val="nil"/>
              <w:right w:val="nil"/>
            </w:tcBorders>
            <w:shd w:val="clear" w:color="auto" w:fill="auto"/>
            <w:tcMar>
              <w:top w:w="80" w:type="dxa"/>
              <w:left w:w="80" w:type="dxa"/>
              <w:bottom w:w="80" w:type="dxa"/>
              <w:right w:w="80" w:type="dxa"/>
            </w:tcMar>
          </w:tcPr>
          <w:p w14:paraId="59C980FF" w14:textId="77777777" w:rsidR="00E81339" w:rsidRPr="00640AE1" w:rsidRDefault="00BF6903">
            <w:pPr>
              <w:pStyle w:val="Body"/>
              <w:spacing w:after="0" w:line="360" w:lineRule="auto"/>
              <w:jc w:val="right"/>
              <w:rPr>
                <w:lang w:val="en-GB"/>
              </w:rPr>
            </w:pPr>
            <w:r w:rsidRPr="00640AE1">
              <w:rPr>
                <w:sz w:val="24"/>
                <w:szCs w:val="24"/>
                <w:lang w:val="en-GB"/>
              </w:rPr>
              <w:t>University post-graduate</w:t>
            </w:r>
          </w:p>
        </w:tc>
        <w:tc>
          <w:tcPr>
            <w:tcW w:w="850" w:type="dxa"/>
            <w:tcBorders>
              <w:top w:val="nil"/>
              <w:left w:val="nil"/>
              <w:bottom w:val="nil"/>
              <w:right w:val="nil"/>
            </w:tcBorders>
            <w:shd w:val="clear" w:color="auto" w:fill="auto"/>
            <w:tcMar>
              <w:top w:w="80" w:type="dxa"/>
              <w:left w:w="80" w:type="dxa"/>
              <w:bottom w:w="80" w:type="dxa"/>
              <w:right w:w="80" w:type="dxa"/>
            </w:tcMar>
          </w:tcPr>
          <w:p w14:paraId="22668E4E" w14:textId="77777777" w:rsidR="00E81339" w:rsidRPr="00640AE1" w:rsidRDefault="00BF6903">
            <w:pPr>
              <w:pStyle w:val="Body"/>
              <w:spacing w:after="0" w:line="360" w:lineRule="auto"/>
              <w:jc w:val="right"/>
              <w:rPr>
                <w:lang w:val="en-GB"/>
              </w:rPr>
            </w:pPr>
            <w:r w:rsidRPr="00640AE1">
              <w:rPr>
                <w:sz w:val="24"/>
                <w:szCs w:val="24"/>
                <w:lang w:val="en-GB"/>
              </w:rPr>
              <w:t>6</w:t>
            </w:r>
          </w:p>
        </w:tc>
        <w:tc>
          <w:tcPr>
            <w:tcW w:w="709" w:type="dxa"/>
            <w:tcBorders>
              <w:top w:val="nil"/>
              <w:left w:val="nil"/>
              <w:bottom w:val="nil"/>
              <w:right w:val="nil"/>
            </w:tcBorders>
            <w:shd w:val="clear" w:color="auto" w:fill="auto"/>
            <w:tcMar>
              <w:top w:w="80" w:type="dxa"/>
              <w:left w:w="80" w:type="dxa"/>
              <w:bottom w:w="80" w:type="dxa"/>
              <w:right w:w="80" w:type="dxa"/>
            </w:tcMar>
          </w:tcPr>
          <w:p w14:paraId="536E0DBE" w14:textId="77777777" w:rsidR="00E81339" w:rsidRPr="00640AE1" w:rsidRDefault="00BF6903">
            <w:pPr>
              <w:pStyle w:val="Body"/>
              <w:spacing w:after="0" w:line="360" w:lineRule="auto"/>
              <w:jc w:val="right"/>
              <w:rPr>
                <w:lang w:val="en-GB"/>
              </w:rPr>
            </w:pPr>
            <w:r w:rsidRPr="00640AE1">
              <w:rPr>
                <w:sz w:val="24"/>
                <w:szCs w:val="24"/>
                <w:lang w:val="en-GB"/>
              </w:rPr>
              <w:t>15.0</w:t>
            </w:r>
          </w:p>
        </w:tc>
      </w:tr>
    </w:tbl>
    <w:p w14:paraId="0FF6481B" w14:textId="77777777" w:rsidR="00E81339" w:rsidRPr="00640AE1" w:rsidRDefault="00E81339">
      <w:pPr>
        <w:pStyle w:val="Body"/>
        <w:widowControl w:val="0"/>
        <w:spacing w:line="240" w:lineRule="auto"/>
        <w:jc w:val="both"/>
        <w:rPr>
          <w:sz w:val="24"/>
          <w:szCs w:val="24"/>
          <w:lang w:val="en-GB"/>
        </w:rPr>
      </w:pPr>
    </w:p>
    <w:p w14:paraId="7638F298" w14:textId="77777777" w:rsidR="00E81339" w:rsidRPr="00640AE1" w:rsidRDefault="00E81339">
      <w:pPr>
        <w:pStyle w:val="Body"/>
        <w:spacing w:line="480" w:lineRule="auto"/>
        <w:jc w:val="both"/>
        <w:rPr>
          <w:sz w:val="24"/>
          <w:szCs w:val="24"/>
          <w:shd w:val="clear" w:color="auto" w:fill="FFFFFF"/>
          <w:lang w:val="en-GB"/>
        </w:rPr>
      </w:pPr>
    </w:p>
    <w:p w14:paraId="43B2538F" w14:textId="2005CACE" w:rsidR="00ED1594" w:rsidRPr="00640AE1" w:rsidRDefault="004B7E77" w:rsidP="00EA2987">
      <w:pPr>
        <w:pStyle w:val="Body"/>
        <w:spacing w:line="480" w:lineRule="auto"/>
        <w:jc w:val="both"/>
        <w:rPr>
          <w:sz w:val="24"/>
          <w:szCs w:val="24"/>
          <w:lang w:val="en-GB"/>
        </w:rPr>
      </w:pPr>
      <w:r w:rsidRPr="00640AE1">
        <w:rPr>
          <w:b/>
          <w:bCs/>
          <w:sz w:val="24"/>
          <w:szCs w:val="24"/>
          <w:lang w:val="en-GB"/>
        </w:rPr>
        <w:t>Table 2</w:t>
      </w:r>
      <w:r w:rsidR="00BF6903" w:rsidRPr="00640AE1">
        <w:rPr>
          <w:b/>
          <w:bCs/>
          <w:sz w:val="24"/>
          <w:szCs w:val="24"/>
          <w:lang w:val="en-GB"/>
        </w:rPr>
        <w:t xml:space="preserve"> </w:t>
      </w:r>
      <w:r w:rsidR="00BF6903" w:rsidRPr="00640AE1">
        <w:rPr>
          <w:sz w:val="24"/>
          <w:szCs w:val="24"/>
          <w:lang w:val="en-GB"/>
        </w:rPr>
        <w:t>Participant characteristics of the current sample.</w:t>
      </w:r>
      <w:r w:rsidR="00074A75" w:rsidRPr="00640AE1">
        <w:rPr>
          <w:rFonts w:ascii="Times New Roman" w:eastAsia="SimSun" w:hAnsi="Times New Roman" w:cs="Times New Roman"/>
          <w:noProof/>
          <w:color w:val="auto"/>
          <w:kern w:val="24"/>
          <w:sz w:val="24"/>
          <w:szCs w:val="24"/>
          <w:bdr w:val="none" w:sz="0" w:space="0" w:color="auto"/>
          <w:lang w:val="en-GB"/>
        </w:rPr>
        <mc:AlternateContent>
          <mc:Choice Requires="wpg">
            <w:drawing>
              <wp:anchor distT="0" distB="0" distL="114300" distR="114300" simplePos="0" relativeHeight="251659264" behindDoc="0" locked="0" layoutInCell="1" allowOverlap="1" wp14:anchorId="257ADC08" wp14:editId="7557D84C">
                <wp:simplePos x="0" y="0"/>
                <wp:positionH relativeFrom="margin">
                  <wp:posOffset>0</wp:posOffset>
                </wp:positionH>
                <wp:positionV relativeFrom="paragraph">
                  <wp:posOffset>473075</wp:posOffset>
                </wp:positionV>
                <wp:extent cx="4876800" cy="3390900"/>
                <wp:effectExtent l="0" t="0" r="19050" b="19050"/>
                <wp:wrapTopAndBottom/>
                <wp:docPr id="233" name="Group 233"/>
                <wp:cNvGraphicFramePr/>
                <a:graphic xmlns:a="http://schemas.openxmlformats.org/drawingml/2006/main">
                  <a:graphicData uri="http://schemas.microsoft.com/office/word/2010/wordprocessingGroup">
                    <wpg:wgp>
                      <wpg:cNvGrpSpPr/>
                      <wpg:grpSpPr>
                        <a:xfrm>
                          <a:off x="0" y="0"/>
                          <a:ext cx="4876800" cy="3390900"/>
                          <a:chOff x="0" y="0"/>
                          <a:chExt cx="4876800" cy="2667000"/>
                        </a:xfrm>
                      </wpg:grpSpPr>
                      <wps:wsp>
                        <wps:cNvPr id="235" name="Rounded Rectangle 235"/>
                        <wps:cNvSpPr/>
                        <wps:spPr>
                          <a:xfrm>
                            <a:off x="0" y="0"/>
                            <a:ext cx="1200150" cy="676275"/>
                          </a:xfrm>
                          <a:prstGeom prst="roundRect">
                            <a:avLst/>
                          </a:prstGeom>
                          <a:gradFill rotWithShape="1">
                            <a:gsLst>
                              <a:gs pos="0">
                                <a:srgbClr val="B2B2B2">
                                  <a:lumMod val="110000"/>
                                  <a:satMod val="105000"/>
                                  <a:tint val="67000"/>
                                </a:srgbClr>
                              </a:gs>
                              <a:gs pos="50000">
                                <a:srgbClr val="B2B2B2">
                                  <a:lumMod val="105000"/>
                                  <a:satMod val="103000"/>
                                  <a:tint val="73000"/>
                                </a:srgbClr>
                              </a:gs>
                              <a:gs pos="100000">
                                <a:srgbClr val="B2B2B2">
                                  <a:lumMod val="105000"/>
                                  <a:satMod val="109000"/>
                                  <a:tint val="81000"/>
                                </a:srgbClr>
                              </a:gs>
                            </a:gsLst>
                            <a:lin ang="5400000" scaled="0"/>
                          </a:gradFill>
                          <a:ln w="6350" cap="flat" cmpd="sng" algn="ctr">
                            <a:solidFill>
                              <a:srgbClr val="B2B2B2"/>
                            </a:solidFill>
                            <a:prstDash val="solid"/>
                            <a:miter lim="800000"/>
                          </a:ln>
                          <a:effectLst/>
                        </wps:spPr>
                        <wps:txbx>
                          <w:txbxContent>
                            <w:p w14:paraId="4BF62DC4" w14:textId="77777777" w:rsidR="00074A75" w:rsidRPr="009B5180" w:rsidRDefault="00074A75" w:rsidP="00074A75">
                              <w:r w:rsidRPr="009B5180">
                                <w:t xml:space="preserve">Pre-treatment </w:t>
                              </w:r>
                            </w:p>
                            <w:p w14:paraId="3E468468" w14:textId="77777777" w:rsidR="00074A75" w:rsidRPr="009B5180" w:rsidRDefault="00074A75" w:rsidP="00074A75">
                              <w:pPr>
                                <w:jc w:val="center"/>
                              </w:pPr>
                              <w:r>
                                <w:t>n</w:t>
                              </w:r>
                              <w:r w:rsidRPr="009B5180">
                                <w:t>=7</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0" y="990600"/>
                            <a:ext cx="1200150" cy="676275"/>
                          </a:xfrm>
                          <a:prstGeom prst="roundRect">
                            <a:avLst/>
                          </a:prstGeom>
                          <a:gradFill rotWithShape="1">
                            <a:gsLst>
                              <a:gs pos="0">
                                <a:srgbClr val="B2B2B2">
                                  <a:lumMod val="110000"/>
                                  <a:satMod val="105000"/>
                                  <a:tint val="67000"/>
                                </a:srgbClr>
                              </a:gs>
                              <a:gs pos="50000">
                                <a:srgbClr val="B2B2B2">
                                  <a:lumMod val="105000"/>
                                  <a:satMod val="103000"/>
                                  <a:tint val="73000"/>
                                </a:srgbClr>
                              </a:gs>
                              <a:gs pos="100000">
                                <a:srgbClr val="B2B2B2">
                                  <a:lumMod val="105000"/>
                                  <a:satMod val="109000"/>
                                  <a:tint val="81000"/>
                                </a:srgbClr>
                              </a:gs>
                            </a:gsLst>
                            <a:lin ang="5400000" scaled="0"/>
                          </a:gradFill>
                          <a:ln w="6350" cap="flat" cmpd="sng" algn="ctr">
                            <a:solidFill>
                              <a:srgbClr val="B2B2B2"/>
                            </a:solidFill>
                            <a:prstDash val="solid"/>
                            <a:miter lim="800000"/>
                          </a:ln>
                          <a:effectLst/>
                        </wps:spPr>
                        <wps:txbx>
                          <w:txbxContent>
                            <w:p w14:paraId="32525935" w14:textId="77777777" w:rsidR="00074A75" w:rsidRDefault="00074A75" w:rsidP="00074A75">
                              <w:r>
                                <w:t>Post-treatment</w:t>
                              </w:r>
                            </w:p>
                            <w:p w14:paraId="1C350E6A" w14:textId="77777777" w:rsidR="00074A75" w:rsidRDefault="00074A75" w:rsidP="00074A75">
                              <w:pPr>
                                <w:jc w:val="center"/>
                              </w:pPr>
                              <w:r>
                                <w:t>n=40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ounded Rectangle 237"/>
                        <wps:cNvSpPr/>
                        <wps:spPr>
                          <a:xfrm>
                            <a:off x="0" y="1990725"/>
                            <a:ext cx="1200150" cy="676275"/>
                          </a:xfrm>
                          <a:prstGeom prst="roundRect">
                            <a:avLst/>
                          </a:prstGeom>
                          <a:gradFill rotWithShape="1">
                            <a:gsLst>
                              <a:gs pos="0">
                                <a:srgbClr val="B2B2B2">
                                  <a:lumMod val="110000"/>
                                  <a:satMod val="105000"/>
                                  <a:tint val="67000"/>
                                </a:srgbClr>
                              </a:gs>
                              <a:gs pos="50000">
                                <a:srgbClr val="B2B2B2">
                                  <a:lumMod val="105000"/>
                                  <a:satMod val="103000"/>
                                  <a:tint val="73000"/>
                                </a:srgbClr>
                              </a:gs>
                              <a:gs pos="100000">
                                <a:srgbClr val="B2B2B2">
                                  <a:lumMod val="105000"/>
                                  <a:satMod val="109000"/>
                                  <a:tint val="81000"/>
                                </a:srgbClr>
                              </a:gs>
                            </a:gsLst>
                            <a:lin ang="5400000" scaled="0"/>
                          </a:gradFill>
                          <a:ln w="6350" cap="flat" cmpd="sng" algn="ctr">
                            <a:solidFill>
                              <a:srgbClr val="B2B2B2"/>
                            </a:solidFill>
                            <a:prstDash val="solid"/>
                            <a:miter lim="800000"/>
                          </a:ln>
                          <a:effectLst/>
                        </wps:spPr>
                        <wps:txbx>
                          <w:txbxContent>
                            <w:p w14:paraId="3A76A8EA" w14:textId="77777777" w:rsidR="00074A75" w:rsidRDefault="00074A75" w:rsidP="00074A75">
                              <w:pPr>
                                <w:jc w:val="center"/>
                              </w:pPr>
                              <w:r>
                                <w:t>Follow-up n=21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ounded Rectangle 238"/>
                        <wps:cNvSpPr/>
                        <wps:spPr>
                          <a:xfrm>
                            <a:off x="1847850" y="361950"/>
                            <a:ext cx="1200150" cy="676275"/>
                          </a:xfrm>
                          <a:prstGeom prst="roundRect">
                            <a:avLst/>
                          </a:prstGeom>
                          <a:gradFill rotWithShape="1">
                            <a:gsLst>
                              <a:gs pos="0">
                                <a:srgbClr val="B2B2B2">
                                  <a:lumMod val="110000"/>
                                  <a:satMod val="105000"/>
                                  <a:tint val="67000"/>
                                </a:srgbClr>
                              </a:gs>
                              <a:gs pos="50000">
                                <a:srgbClr val="B2B2B2">
                                  <a:lumMod val="105000"/>
                                  <a:satMod val="103000"/>
                                  <a:tint val="73000"/>
                                </a:srgbClr>
                              </a:gs>
                              <a:gs pos="100000">
                                <a:srgbClr val="B2B2B2">
                                  <a:lumMod val="105000"/>
                                  <a:satMod val="109000"/>
                                  <a:tint val="81000"/>
                                </a:srgbClr>
                              </a:gs>
                            </a:gsLst>
                            <a:lin ang="5400000" scaled="0"/>
                          </a:gradFill>
                          <a:ln w="6350" cap="flat" cmpd="sng" algn="ctr">
                            <a:solidFill>
                              <a:srgbClr val="B2B2B2"/>
                            </a:solidFill>
                            <a:prstDash val="solid"/>
                            <a:miter lim="800000"/>
                          </a:ln>
                          <a:effectLst/>
                        </wps:spPr>
                        <wps:txbx>
                          <w:txbxContent>
                            <w:p w14:paraId="753AD985" w14:textId="77777777" w:rsidR="00074A75" w:rsidRDefault="00074A75" w:rsidP="00074A75">
                              <w:r>
                                <w:t>Did not return questionnaire</w:t>
                              </w:r>
                            </w:p>
                            <w:p w14:paraId="6DB7AC37" w14:textId="77777777" w:rsidR="00074A75" w:rsidRDefault="00074A75" w:rsidP="00074A75">
                              <w:r>
                                <w:t>n=30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ounded Rectangle 239"/>
                        <wps:cNvSpPr/>
                        <wps:spPr>
                          <a:xfrm>
                            <a:off x="1847849" y="1386475"/>
                            <a:ext cx="1381125" cy="846013"/>
                          </a:xfrm>
                          <a:prstGeom prst="roundRect">
                            <a:avLst/>
                          </a:prstGeom>
                          <a:gradFill rotWithShape="1">
                            <a:gsLst>
                              <a:gs pos="0">
                                <a:srgbClr val="B2B2B2">
                                  <a:lumMod val="110000"/>
                                  <a:satMod val="105000"/>
                                  <a:tint val="67000"/>
                                </a:srgbClr>
                              </a:gs>
                              <a:gs pos="50000">
                                <a:srgbClr val="B2B2B2">
                                  <a:lumMod val="105000"/>
                                  <a:satMod val="103000"/>
                                  <a:tint val="73000"/>
                                </a:srgbClr>
                              </a:gs>
                              <a:gs pos="100000">
                                <a:srgbClr val="B2B2B2">
                                  <a:lumMod val="105000"/>
                                  <a:satMod val="109000"/>
                                  <a:tint val="81000"/>
                                </a:srgbClr>
                              </a:gs>
                            </a:gsLst>
                            <a:lin ang="5400000" scaled="0"/>
                          </a:gradFill>
                          <a:ln w="6350" cap="flat" cmpd="sng" algn="ctr">
                            <a:solidFill>
                              <a:srgbClr val="B2B2B2"/>
                            </a:solidFill>
                            <a:prstDash val="solid"/>
                            <a:miter lim="800000"/>
                          </a:ln>
                          <a:effectLst/>
                        </wps:spPr>
                        <wps:txbx>
                          <w:txbxContent>
                            <w:p w14:paraId="3A569F36" w14:textId="77777777" w:rsidR="00074A75" w:rsidRDefault="00074A75" w:rsidP="00074A75">
                              <w:r>
                                <w:t>Did not return questionnaire</w:t>
                              </w:r>
                            </w:p>
                            <w:p w14:paraId="28269D61" w14:textId="77777777" w:rsidR="00074A75" w:rsidRDefault="00074A75" w:rsidP="00074A75">
                              <w:r>
                                <w:t>n=18</w:t>
                              </w:r>
                            </w:p>
                            <w:p w14:paraId="6C706601" w14:textId="193B47B9" w:rsidR="00074A75" w:rsidRDefault="00074A75" w:rsidP="00074A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Down Arrow 240"/>
                        <wps:cNvSpPr/>
                        <wps:spPr>
                          <a:xfrm>
                            <a:off x="400050" y="676275"/>
                            <a:ext cx="390525" cy="314325"/>
                          </a:xfrm>
                          <a:prstGeom prst="downArrow">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Down Arrow 241"/>
                        <wps:cNvSpPr/>
                        <wps:spPr>
                          <a:xfrm>
                            <a:off x="400050" y="1666875"/>
                            <a:ext cx="390525" cy="314325"/>
                          </a:xfrm>
                          <a:prstGeom prst="downArrow">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ight Arrow 242"/>
                        <wps:cNvSpPr/>
                        <wps:spPr>
                          <a:xfrm>
                            <a:off x="895350" y="733425"/>
                            <a:ext cx="895350" cy="142875"/>
                          </a:xfrm>
                          <a:prstGeom prst="rightArrow">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ight Arrow 243"/>
                        <wps:cNvSpPr/>
                        <wps:spPr>
                          <a:xfrm>
                            <a:off x="895350" y="1714500"/>
                            <a:ext cx="895350" cy="142875"/>
                          </a:xfrm>
                          <a:prstGeom prst="rightArrow">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Bent-Up Arrow 244"/>
                        <wps:cNvSpPr/>
                        <wps:spPr>
                          <a:xfrm rot="10800000" flipH="1">
                            <a:off x="3114675" y="676275"/>
                            <a:ext cx="1409700" cy="1304925"/>
                          </a:xfrm>
                          <a:prstGeom prst="bentUpArrow">
                            <a:avLst>
                              <a:gd name="adj1" fmla="val 9041"/>
                              <a:gd name="adj2" fmla="val 17568"/>
                              <a:gd name="adj3" fmla="val 17278"/>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wps:spPr>
                          <a:xfrm>
                            <a:off x="3676650" y="1990725"/>
                            <a:ext cx="1200150" cy="676275"/>
                          </a:xfrm>
                          <a:prstGeom prst="roundRect">
                            <a:avLst/>
                          </a:prstGeom>
                          <a:gradFill rotWithShape="1">
                            <a:gsLst>
                              <a:gs pos="0">
                                <a:srgbClr val="B2B2B2">
                                  <a:lumMod val="110000"/>
                                  <a:satMod val="105000"/>
                                  <a:tint val="67000"/>
                                </a:srgbClr>
                              </a:gs>
                              <a:gs pos="50000">
                                <a:srgbClr val="B2B2B2">
                                  <a:lumMod val="105000"/>
                                  <a:satMod val="103000"/>
                                  <a:tint val="73000"/>
                                </a:srgbClr>
                              </a:gs>
                              <a:gs pos="100000">
                                <a:srgbClr val="B2B2B2">
                                  <a:lumMod val="105000"/>
                                  <a:satMod val="109000"/>
                                  <a:tint val="81000"/>
                                </a:srgbClr>
                              </a:gs>
                            </a:gsLst>
                            <a:lin ang="5400000" scaled="0"/>
                          </a:gradFill>
                          <a:ln w="6350" cap="flat" cmpd="sng" algn="ctr">
                            <a:solidFill>
                              <a:srgbClr val="B2B2B2"/>
                            </a:solidFill>
                            <a:prstDash val="solid"/>
                            <a:miter lim="800000"/>
                          </a:ln>
                          <a:effectLst/>
                        </wps:spPr>
                        <wps:txbx>
                          <w:txbxContent>
                            <w:p w14:paraId="2F06376A" w14:textId="77777777" w:rsidR="00074A75" w:rsidRDefault="00074A75" w:rsidP="00074A75">
                              <w:pPr>
                                <w:jc w:val="center"/>
                              </w:pPr>
                              <w:r>
                                <w:t xml:space="preserve">Completed follow-up </w:t>
                              </w:r>
                            </w:p>
                            <w:p w14:paraId="1C88AB83" w14:textId="77777777" w:rsidR="00074A75" w:rsidRDefault="00074A75" w:rsidP="00074A75">
                              <w:pPr>
                                <w:jc w:val="center"/>
                              </w:pPr>
                              <w:r>
                                <w:t>n=8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7ADC08" id="Group 233" o:spid="_x0000_s1026" style="position:absolute;left:0;text-align:left;margin-left:0;margin-top:37.25pt;width:384pt;height:267pt;z-index:251659264;mso-position-horizontal-relative:margin;mso-height-relative:margin" coordsize="48768,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">
                <v:roundrect id="Rounded Rectangle 235" o:spid="_x0000_s1027" style="position:absolute;width:12001;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" fillcolor="#dadada" strokecolor="#b2b2b2" strokeweight=".5pt">
                  <v:fill color2="#cacaca" rotate="t" colors="0 #dadada;.5 #d0d0d0;1 #cacaca" focus="100%" type="gradient">
                    <o:fill v:ext="view" type="gradientUnscaled"/>
                  </v:fill>
                  <v:stroke joinstyle="miter"/>
                  <v:textbox>
                    <w:txbxContent>
                      <w:p w14:paraId="4BF62DC4" w14:textId="77777777" w:rsidR="00074A75" w:rsidRPr="009B5180" w:rsidRDefault="00074A75" w:rsidP="00074A75">
                        <w:r w:rsidRPr="009B5180">
                          <w:t xml:space="preserve">Pre-treatment </w:t>
                        </w:r>
                      </w:p>
                      <w:p w14:paraId="3E468468" w14:textId="77777777" w:rsidR="00074A75" w:rsidRPr="009B5180" w:rsidRDefault="00074A75" w:rsidP="00074A75">
                        <w:pPr>
                          <w:jc w:val="center"/>
                        </w:pPr>
                        <w:r>
                          <w:t>n</w:t>
                        </w:r>
                        <w:r w:rsidRPr="009B5180">
                          <w:t>=7</w:t>
                        </w:r>
                        <w:r>
                          <w:t>0</w:t>
                        </w:r>
                      </w:p>
                    </w:txbxContent>
                  </v:textbox>
                </v:roundrect>
                <v:roundrect id="Rounded Rectangle 236" o:spid="_x0000_s1028" style="position:absolute;top:9906;width:12001;height:6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" fillcolor="#dadada" strokecolor="#b2b2b2" strokeweight=".5pt">
                  <v:fill color2="#cacaca" rotate="t" colors="0 #dadada;.5 #d0d0d0;1 #cacaca" focus="100%" type="gradient">
                    <o:fill v:ext="view" type="gradientUnscaled"/>
                  </v:fill>
                  <v:stroke joinstyle="miter"/>
                  <v:textbox>
                    <w:txbxContent>
                      <w:p w14:paraId="32525935" w14:textId="77777777" w:rsidR="00074A75" w:rsidRDefault="00074A75" w:rsidP="00074A75">
                        <w:r>
                          <w:t>Post-treatment</w:t>
                        </w:r>
                      </w:p>
                      <w:p w14:paraId="1C350E6A" w14:textId="77777777" w:rsidR="00074A75" w:rsidRDefault="00074A75" w:rsidP="00074A75">
                        <w:pPr>
                          <w:jc w:val="center"/>
                        </w:pPr>
                        <w:r>
                          <w:t>n=40</w:t>
                        </w:r>
                      </w:p>
                    </w:txbxContent>
                  </v:textbox>
                </v:roundrect>
                <v:roundrect id="Rounded Rectangle 237" o:spid="_x0000_s1029" style="position:absolute;top:19907;width:12001;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" fillcolor="#dadada" strokecolor="#b2b2b2" strokeweight=".5pt">
                  <v:fill color2="#cacaca" rotate="t" colors="0 #dadada;.5 #d0d0d0;1 #cacaca" focus="100%" type="gradient">
                    <o:fill v:ext="view" type="gradientUnscaled"/>
                  </v:fill>
                  <v:stroke joinstyle="miter"/>
                  <v:textbox>
                    <w:txbxContent>
                      <w:p w14:paraId="3A76A8EA" w14:textId="77777777" w:rsidR="00074A75" w:rsidRDefault="00074A75" w:rsidP="00074A75">
                        <w:pPr>
                          <w:jc w:val="center"/>
                        </w:pPr>
                        <w:r>
                          <w:t>Follow-up n=21</w:t>
                        </w:r>
                      </w:p>
                    </w:txbxContent>
                  </v:textbox>
                </v:roundrect>
                <v:roundrect id="Rounded Rectangle 238" o:spid="_x0000_s1030" style="position:absolute;left:18478;top:3619;width:12002;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" fillcolor="#dadada" strokecolor="#b2b2b2" strokeweight=".5pt">
                  <v:fill color2="#cacaca" rotate="t" colors="0 #dadada;.5 #d0d0d0;1 #cacaca" focus="100%" type="gradient">
                    <o:fill v:ext="view" type="gradientUnscaled"/>
                  </v:fill>
                  <v:stroke joinstyle="miter"/>
                  <v:textbox>
                    <w:txbxContent>
                      <w:p w14:paraId="753AD985" w14:textId="77777777" w:rsidR="00074A75" w:rsidRDefault="00074A75" w:rsidP="00074A75">
                        <w:r>
                          <w:t>Did not return questionnaire</w:t>
                        </w:r>
                      </w:p>
                      <w:p w14:paraId="6DB7AC37" w14:textId="77777777" w:rsidR="00074A75" w:rsidRDefault="00074A75" w:rsidP="00074A75">
                        <w:r>
                          <w:t>n=30</w:t>
                        </w:r>
                      </w:p>
                    </w:txbxContent>
                  </v:textbox>
                </v:roundrect>
                <v:roundrect id="Rounded Rectangle 239" o:spid="_x0000_s1031" style="position:absolute;left:18478;top:13864;width:13811;height:84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" fillcolor="#dadada" strokecolor="#b2b2b2" strokeweight=".5pt">
                  <v:fill color2="#cacaca" rotate="t" colors="0 #dadada;.5 #d0d0d0;1 #cacaca" focus="100%" type="gradient">
                    <o:fill v:ext="view" type="gradientUnscaled"/>
                  </v:fill>
                  <v:stroke joinstyle="miter"/>
                  <v:textbox>
                    <w:txbxContent>
                      <w:p w14:paraId="3A569F36" w14:textId="77777777" w:rsidR="00074A75" w:rsidRDefault="00074A75" w:rsidP="00074A75">
                        <w:r>
                          <w:t>Did not return questionnaire</w:t>
                        </w:r>
                      </w:p>
                      <w:p w14:paraId="28269D61" w14:textId="77777777" w:rsidR="00074A75" w:rsidRDefault="00074A75" w:rsidP="00074A75">
                        <w:r>
                          <w:t>n=18</w:t>
                        </w:r>
                      </w:p>
                      <w:p w14:paraId="6C706601" w14:textId="193B47B9" w:rsidR="00074A75" w:rsidRDefault="00074A75" w:rsidP="00074A75"/>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0" o:spid="_x0000_s1032" type="#_x0000_t67" style="position:absolute;left:4000;top:6762;width:390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" adj="10800" fillcolor="#ddd" strokecolor="#a2a2a2" strokeweight="1pt"/>
                <v:shape id="Down Arrow 241" o:spid="_x0000_s1033" type="#_x0000_t67" style="position:absolute;left:4000;top:16668;width:390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" adj="10800" fillcolor="#ddd" strokecolor="#a2a2a2"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2" o:spid="_x0000_s1034" type="#_x0000_t13" style="position:absolute;left:8953;top:7334;width:895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" adj="19877" fillcolor="#ddd" strokecolor="#a2a2a2" strokeweight="1pt"/>
                <v:shape id="Right Arrow 243" o:spid="_x0000_s1035" type="#_x0000_t13" style="position:absolute;left:8953;top:17145;width:895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" adj="19877" fillcolor="#ddd" strokecolor="#a2a2a2" strokeweight="1pt"/>
                <v:shape id="Bent-Up Arrow 244" o:spid="_x0000_s1036" style="position:absolute;left:31146;top:6762;width:14097;height:13050;rotation:180;flip:x;visibility:visible;mso-wrap-style:square;v-text-anchor:middle" coordsize="1409700,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" path="m,1186947r1121462,l1121462,225465r-170260,l1180451,r229249,225465l1239440,225465r,1079460l,1304925,,1186947xe" fillcolor="#ddd" strokecolor="#a2a2a2" strokeweight="1pt">
                  <v:stroke joinstyle="miter"/>
                  <v:path arrowok="t" o:connecttype="custom" o:connectlocs="0,1186947;1121462,1186947;1121462,225465;951202,225465;1180451,0;1409700,225465;1239440,225465;1239440,1304925;0,1304925;0,1186947" o:connectangles="0,0,0,0,0,0,0,0,0,0"/>
                </v:shape>
                <v:roundrect id="Rounded Rectangle 245" o:spid="_x0000_s1037" style="position:absolute;left:36766;top:19907;width:12002;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" fillcolor="#dadada" strokecolor="#b2b2b2" strokeweight=".5pt">
                  <v:fill color2="#cacaca" rotate="t" colors="0 #dadada;.5 #d0d0d0;1 #cacaca" focus="100%" type="gradient">
                    <o:fill v:ext="view" type="gradientUnscaled"/>
                  </v:fill>
                  <v:stroke joinstyle="miter"/>
                  <v:textbox>
                    <w:txbxContent>
                      <w:p w14:paraId="2F06376A" w14:textId="77777777" w:rsidR="00074A75" w:rsidRDefault="00074A75" w:rsidP="00074A75">
                        <w:pPr>
                          <w:jc w:val="center"/>
                        </w:pPr>
                        <w:r>
                          <w:t xml:space="preserve">Completed follow-up </w:t>
                        </w:r>
                      </w:p>
                      <w:p w14:paraId="1C88AB83" w14:textId="77777777" w:rsidR="00074A75" w:rsidRDefault="00074A75" w:rsidP="00074A75">
                        <w:pPr>
                          <w:jc w:val="center"/>
                        </w:pPr>
                        <w:r>
                          <w:t>n=8</w:t>
                        </w:r>
                      </w:p>
                    </w:txbxContent>
                  </v:textbox>
                </v:roundrect>
                <w10:wrap type="topAndBottom" anchorx="margin"/>
              </v:group>
            </w:pict>
          </mc:Fallback>
        </mc:AlternateContent>
      </w:r>
    </w:p>
    <w:p w14:paraId="4D449BC4" w14:textId="7AEF26D9" w:rsidR="00877886" w:rsidRPr="00640AE1" w:rsidRDefault="00877886" w:rsidP="00EA2987">
      <w:pPr>
        <w:pStyle w:val="Body"/>
        <w:spacing w:line="480" w:lineRule="auto"/>
        <w:jc w:val="both"/>
        <w:rPr>
          <w:sz w:val="24"/>
          <w:szCs w:val="24"/>
          <w:lang w:val="en-GB"/>
        </w:rPr>
      </w:pPr>
      <w:r w:rsidRPr="00640AE1">
        <w:rPr>
          <w:b/>
          <w:sz w:val="24"/>
          <w:szCs w:val="24"/>
          <w:lang w:val="en-GB"/>
        </w:rPr>
        <w:t>Figure 1.</w:t>
      </w:r>
      <w:r w:rsidRPr="00640AE1">
        <w:rPr>
          <w:sz w:val="24"/>
          <w:szCs w:val="24"/>
          <w:lang w:val="en-GB"/>
        </w:rPr>
        <w:t xml:space="preserve"> Flow diagram of participation throughout the study.</w:t>
      </w:r>
    </w:p>
    <w:p w14:paraId="3A0F5EED" w14:textId="77777777" w:rsidR="00074A75" w:rsidRPr="00640AE1" w:rsidRDefault="00074A75" w:rsidP="00EA2987">
      <w:pPr>
        <w:pStyle w:val="Body"/>
        <w:spacing w:line="480" w:lineRule="auto"/>
        <w:jc w:val="both"/>
        <w:rPr>
          <w:b/>
          <w:sz w:val="24"/>
          <w:szCs w:val="24"/>
          <w:lang w:val="en-GB"/>
        </w:rPr>
      </w:pPr>
    </w:p>
    <w:p w14:paraId="12445192" w14:textId="3F1F97CD" w:rsidR="00EA2987" w:rsidRPr="00640AE1" w:rsidRDefault="00EA2987" w:rsidP="00EA2987">
      <w:pPr>
        <w:pStyle w:val="Body"/>
        <w:spacing w:line="480" w:lineRule="auto"/>
        <w:jc w:val="both"/>
        <w:rPr>
          <w:b/>
          <w:sz w:val="24"/>
          <w:szCs w:val="24"/>
          <w:lang w:val="en-GB"/>
        </w:rPr>
      </w:pPr>
      <w:r w:rsidRPr="00640AE1">
        <w:rPr>
          <w:b/>
          <w:sz w:val="24"/>
          <w:szCs w:val="24"/>
          <w:lang w:val="en-GB"/>
        </w:rPr>
        <w:lastRenderedPageBreak/>
        <w:t>Differences between pre- and post- intervention</w:t>
      </w:r>
    </w:p>
    <w:p w14:paraId="192BF685" w14:textId="7479ECE3" w:rsidR="00E81339" w:rsidRPr="009E020A" w:rsidRDefault="00BF6903">
      <w:pPr>
        <w:pStyle w:val="Body"/>
        <w:spacing w:line="480" w:lineRule="auto"/>
        <w:ind w:firstLine="720"/>
        <w:jc w:val="both"/>
        <w:rPr>
          <w:sz w:val="24"/>
          <w:szCs w:val="24"/>
          <w:lang w:val="en-GB"/>
        </w:rPr>
      </w:pPr>
      <w:r w:rsidRPr="00640AE1">
        <w:rPr>
          <w:sz w:val="24"/>
          <w:szCs w:val="24"/>
          <w:lang w:val="en-GB"/>
        </w:rPr>
        <w:t>B</w:t>
      </w:r>
      <w:r w:rsidR="0088344A" w:rsidRPr="00640AE1">
        <w:rPr>
          <w:sz w:val="24"/>
          <w:szCs w:val="24"/>
          <w:lang w:val="en-GB"/>
        </w:rPr>
        <w:t>ES scores</w:t>
      </w:r>
      <w:r w:rsidRPr="00640AE1">
        <w:rPr>
          <w:sz w:val="24"/>
          <w:szCs w:val="24"/>
          <w:lang w:val="en-GB"/>
        </w:rPr>
        <w:t xml:space="preserve"> were significantly lower after the intervention, t(39)=2.261, p=.029</w:t>
      </w:r>
      <w:r w:rsidR="0088344A" w:rsidRPr="00640AE1">
        <w:rPr>
          <w:sz w:val="24"/>
          <w:szCs w:val="24"/>
          <w:lang w:val="en-GB"/>
        </w:rPr>
        <w:t xml:space="preserve"> (that is, the level of negative beliefs about expressing and experiencing emotions was reduced)</w:t>
      </w:r>
      <w:r w:rsidRPr="00640AE1">
        <w:rPr>
          <w:sz w:val="24"/>
          <w:szCs w:val="24"/>
          <w:lang w:val="en-GB"/>
        </w:rPr>
        <w:t xml:space="preserve">. Emotional suppression did not significantly change during the intervention, t(37)=1.527, p=.135. Means and standard deviations can be found in Table </w:t>
      </w:r>
      <w:r w:rsidR="00182994" w:rsidRPr="00640AE1">
        <w:rPr>
          <w:sz w:val="24"/>
          <w:szCs w:val="24"/>
          <w:lang w:val="en-GB"/>
        </w:rPr>
        <w:t>3</w:t>
      </w:r>
      <w:r w:rsidRPr="009E020A">
        <w:rPr>
          <w:sz w:val="24"/>
          <w:szCs w:val="24"/>
          <w:lang w:val="en-GB"/>
        </w:rPr>
        <w:t xml:space="preserve">. </w:t>
      </w:r>
      <w:r w:rsidR="00547DE2" w:rsidRPr="009E020A">
        <w:rPr>
          <w:sz w:val="24"/>
          <w:szCs w:val="24"/>
          <w:lang w:val="en-GB"/>
        </w:rPr>
        <w:t xml:space="preserve">Effect sizes were small for </w:t>
      </w:r>
      <w:r w:rsidR="00541FAD" w:rsidRPr="009E020A">
        <w:rPr>
          <w:sz w:val="24"/>
          <w:szCs w:val="24"/>
          <w:lang w:val="en-GB"/>
        </w:rPr>
        <w:t xml:space="preserve">all variables except the FIQr, which had a </w:t>
      </w:r>
      <w:r w:rsidR="008560A3" w:rsidRPr="009E020A">
        <w:rPr>
          <w:sz w:val="24"/>
          <w:szCs w:val="24"/>
          <w:lang w:val="en-GB"/>
        </w:rPr>
        <w:t xml:space="preserve">medium </w:t>
      </w:r>
      <w:r w:rsidR="00541FAD" w:rsidRPr="009E020A">
        <w:rPr>
          <w:sz w:val="24"/>
          <w:szCs w:val="24"/>
          <w:lang w:val="en-GB"/>
        </w:rPr>
        <w:t xml:space="preserve">effect size </w:t>
      </w:r>
      <w:r w:rsidR="00B01985" w:rsidRPr="009E020A">
        <w:rPr>
          <w:sz w:val="24"/>
          <w:szCs w:val="24"/>
          <w:lang w:val="en-GB"/>
        </w:rPr>
        <w:fldChar w:fldCharType="begin" w:fldLock="1"/>
      </w:r>
      <w:r w:rsidR="00D63EE9" w:rsidRPr="009E020A">
        <w:rPr>
          <w:sz w:val="24"/>
          <w:szCs w:val="24"/>
          <w:lang w:val="en-GB"/>
        </w:rPr>
        <w:instrText>ADDIN CSL_CITATION {"citationItems":[{"id":"ITEM-1","itemData":{"ISBN":"9781847879066","author":[{"dropping-particle":"","family":"Fields","given":"Andy","non-dropping-particle":"","parse-names":false,"suffix":""}],"edition":"3","id":"ITEM-1","issued":{"date-parts":[["2011"]]},"publisher":"Sage","title":"Discovering Statistics using SPSS","type":"book"},"uris":["http://www.mendeley.com/documents/?uuid=ae54ef83-1e47-4920-aa7b-433b09cdc38d"]},{"id":"ITEM-2","itemData":{"DOI":"10.1037/1082-989X.7.1.105","ISBN":"1082-989X","ISSN":"1082989X","PMID":"11928886","abstract":"When a meta-analysis on results from experimental studies is conducted, differences in the study design must be taken into consideration. A method for combining results across independent-groups and repeated measures designs is described, and the conditions under which such an analysis is appropriate are discussed. Combining results across designs requires that (a) all effect sizes be transformed into a common metric, (b) effect sizes from each design estimate the same treatment effect, and (c) meta-analysis procedures use design-specific estimates of sampling variance to reflect the precision of the effect size estimates.","author":[{"dropping-particle":"","family":"Morris","given":"Scott B.","non-dropping-particle":"","parse-names":false,"suffix":""},{"dropping-particle":"","family":"DeShon","given":"Richard P.","non-dropping-particle":"","parse-names":false,"suffix":""}],"container-title":"Psychological Methods","id":"ITEM-2","issue":"1","issued":{"date-parts":[["2002"]]},"page":"105-125","title":"Combining effect size estimates in meta-analysis with repeated measures and independent-groups designs","type":"article-journal","volume":"7"},"uris":["http://www.mendeley.com/documents/?uuid=d8177cb2-6d38-4d9c-9cbf-38db68d211dc"]}],"mendeley":{"formattedCitation":"(25,26)","plainTextFormattedCitation":"(25,26)","previouslyFormattedCitation":"(25,26)"},"properties":{"noteIndex":0},"schema":"https://github.com/citation-style-language/schema/raw/master/csl-citation.json"}</w:instrText>
      </w:r>
      <w:r w:rsidR="00B01985" w:rsidRPr="009E020A">
        <w:rPr>
          <w:sz w:val="24"/>
          <w:szCs w:val="24"/>
          <w:lang w:val="en-GB"/>
        </w:rPr>
        <w:fldChar w:fldCharType="separate"/>
      </w:r>
      <w:r w:rsidR="003E246C" w:rsidRPr="009E020A">
        <w:rPr>
          <w:noProof/>
          <w:sz w:val="24"/>
          <w:szCs w:val="24"/>
          <w:lang w:val="en-GB"/>
        </w:rPr>
        <w:t>(25,26)</w:t>
      </w:r>
      <w:r w:rsidR="00B01985" w:rsidRPr="009E020A">
        <w:rPr>
          <w:sz w:val="24"/>
          <w:szCs w:val="24"/>
          <w:lang w:val="en-GB"/>
        </w:rPr>
        <w:fldChar w:fldCharType="end"/>
      </w:r>
      <w:r w:rsidR="00B01985" w:rsidRPr="009E020A">
        <w:rPr>
          <w:sz w:val="24"/>
          <w:szCs w:val="24"/>
          <w:lang w:val="en-GB"/>
        </w:rPr>
        <w:t xml:space="preserve">. </w:t>
      </w:r>
      <w:r w:rsidR="00640AE1" w:rsidRPr="009E020A">
        <w:rPr>
          <w:sz w:val="24"/>
          <w:szCs w:val="24"/>
          <w:lang w:val="en-GB"/>
        </w:rPr>
        <w:t xml:space="preserve"> Effect sizes and confidence intervals were calculated as outlined by Morris and DeShon </w:t>
      </w:r>
      <w:r w:rsidR="00640AE1" w:rsidRPr="009E020A">
        <w:rPr>
          <w:sz w:val="24"/>
          <w:szCs w:val="24"/>
          <w:lang w:val="en-GB"/>
        </w:rPr>
        <w:fldChar w:fldCharType="begin" w:fldLock="1"/>
      </w:r>
      <w:r w:rsidR="00640AE1" w:rsidRPr="009E020A">
        <w:rPr>
          <w:sz w:val="24"/>
          <w:szCs w:val="24"/>
          <w:lang w:val="en-GB"/>
        </w:rPr>
        <w:instrText>ADDIN CSL_CITATION {"citationItems":[{"id":"ITEM-1","itemData":{"DOI":"10.1037/1082-989X.7.1.105","ISBN":"1082-989X","ISSN":"1082989X","PMID":"11928886","abstract":"When a meta-analysis on results from experimental studies is conducted, differences in the study design must be taken into consideration. A method for combining results across independent-groups and repeated measures designs is described, and the conditions under which such an analysis is appropriate are discussed. Combining results across designs requires that (a) all effect sizes be transformed into a common metric, (b) effect sizes from each design estimate the same treatment effect, and (c) meta-analysis procedures use design-specific estimates of sampling variance to reflect the precision of the effect size estimates.","author":[{"dropping-particle":"","family":"Morris","given":"Scott B.","non-dropping-particle":"","parse-names":false,"suffix":""},{"dropping-particle":"","family":"DeShon","given":"Richard P.","non-dropping-particle":"","parse-names":false,"suffix":""}],"container-title":"Psychological Methods","id":"ITEM-1","issue":"1","issued":{"date-parts":[["2002"]]},"page":"105-125","title":"Combining effect size estimates in meta-analysis with repeated measures and independent-groups designs","type":"article-journal","volume":"7"},"uris":["http://www.mendeley.com/documents/?uuid=d8177cb2-6d38-4d9c-9cbf-38db68d211dc"]}],"mendeley":{"formattedCitation":"(26)","plainTextFormattedCitation":"(26)"},"properties":{"noteIndex":0},"schema":"https://github.com/citation-style-language/schema/raw/master/csl-citation.json"}</w:instrText>
      </w:r>
      <w:r w:rsidR="00640AE1" w:rsidRPr="009E020A">
        <w:rPr>
          <w:sz w:val="24"/>
          <w:szCs w:val="24"/>
          <w:lang w:val="en-GB"/>
        </w:rPr>
        <w:fldChar w:fldCharType="separate"/>
      </w:r>
      <w:r w:rsidR="00640AE1" w:rsidRPr="009E020A">
        <w:rPr>
          <w:noProof/>
          <w:sz w:val="24"/>
          <w:szCs w:val="24"/>
          <w:lang w:val="en-GB"/>
        </w:rPr>
        <w:t>(26)</w:t>
      </w:r>
      <w:r w:rsidR="00640AE1" w:rsidRPr="009E020A">
        <w:rPr>
          <w:sz w:val="24"/>
          <w:szCs w:val="24"/>
          <w:lang w:val="en-GB"/>
        </w:rPr>
        <w:fldChar w:fldCharType="end"/>
      </w:r>
      <w:r w:rsidR="00640AE1" w:rsidRPr="009E020A">
        <w:rPr>
          <w:sz w:val="24"/>
          <w:szCs w:val="24"/>
          <w:lang w:val="en-GB"/>
        </w:rPr>
        <w:t xml:space="preserve">. </w:t>
      </w:r>
      <w:r w:rsidR="00541FAD" w:rsidRPr="009E020A">
        <w:rPr>
          <w:sz w:val="24"/>
          <w:szCs w:val="24"/>
          <w:lang w:val="en-GB"/>
        </w:rPr>
        <w:t xml:space="preserve">Though the change in FIQr was statistically significant, </w:t>
      </w:r>
      <w:r w:rsidR="00F124FC" w:rsidRPr="009E020A">
        <w:rPr>
          <w:sz w:val="24"/>
          <w:szCs w:val="24"/>
          <w:lang w:val="en-GB"/>
        </w:rPr>
        <w:t>only one participant’s change was clinically significant</w:t>
      </w:r>
      <w:r w:rsidR="00541FAD" w:rsidRPr="009E020A">
        <w:rPr>
          <w:sz w:val="24"/>
          <w:szCs w:val="24"/>
          <w:lang w:val="en-GB"/>
        </w:rPr>
        <w:t xml:space="preserve"> </w:t>
      </w:r>
      <w:r w:rsidR="00F124FC" w:rsidRPr="009E020A">
        <w:rPr>
          <w:sz w:val="24"/>
          <w:szCs w:val="24"/>
          <w:lang w:val="en-GB"/>
        </w:rPr>
        <w:t xml:space="preserve">(based on </w:t>
      </w:r>
      <w:r w:rsidR="00541FAD" w:rsidRPr="009E020A">
        <w:rPr>
          <w:sz w:val="24"/>
          <w:szCs w:val="24"/>
          <w:lang w:val="en-GB"/>
        </w:rPr>
        <w:t>the minimum clinically important difference</w:t>
      </w:r>
      <w:r w:rsidR="00524E22" w:rsidRPr="009E020A">
        <w:rPr>
          <w:sz w:val="24"/>
          <w:szCs w:val="24"/>
          <w:lang w:val="en-GB"/>
        </w:rPr>
        <w:t xml:space="preserve"> (MCID)</w:t>
      </w:r>
      <w:r w:rsidR="00541FAD" w:rsidRPr="009E020A">
        <w:rPr>
          <w:sz w:val="24"/>
          <w:szCs w:val="24"/>
          <w:lang w:val="en-GB"/>
        </w:rPr>
        <w:t xml:space="preserve"> of 27.04 </w:t>
      </w:r>
      <w:r w:rsidR="00541FAD" w:rsidRPr="009E020A">
        <w:rPr>
          <w:sz w:val="24"/>
          <w:szCs w:val="24"/>
          <w:lang w:val="en-GB"/>
        </w:rPr>
        <w:fldChar w:fldCharType="begin" w:fldLock="1"/>
      </w:r>
      <w:r w:rsidR="00D63EE9" w:rsidRPr="009E020A">
        <w:rPr>
          <w:sz w:val="24"/>
          <w:szCs w:val="24"/>
          <w:lang w:val="en-GB"/>
        </w:rPr>
        <w:instrText>ADDIN CSL_CITATION {"citationItems":[{"id":"ITEM-1","itemData":{"DOI":"10.1136/annrheumdis-2018-eular.5492","ISSN":"0003-4967","abstract":"Background: The FIQ (Fibromyalgia Impact Questionnaire) was first published in 1991 and had 19 items which were recalled over a week. The scoring system is highly reliable and is recognised as an outcome measure that covers the multiple domains of Fibromyalgia1. A prior study by Benett et al2 have shown that 14% change in the FIQ total score represents the Minimum Clinically Important Difference(MCID) in the Fibromyalgia. The FIQ was revised in 2009 to the 20 item Fibromyalgia Impact Questionnaire Revised or FIQR. However, there has been no study done for assessing the MCID of the FIQR in Fibromyalgia.\n\nObjectives: The aim of our study is to estimate the MCID for Fibromyalgia Impact Questionnaire Revised using anchor-based methodology with average pain score on Brief Pain Inventory as the anchor.\n\nMethods: We have used data from our prospectively followed cohort of fibromyalgia patients. They were treated as per protocol with duloxetine in escalating doses. Data from this cohort was used to estimate the MCID for the FIQR using anchor-based methodology The anchor used was the average pain score on Brief Pain Inventory(BPI). The MCID for BPI average pain score was calculated by Mease et al to be 30%3. Thus, all patients in our cohort having an improvement of greater than 30 % were classified as responders. All other patients were non-responders. Within these two groups, the means and standard deviations of the FIQR scores at baseline and at the end of treatment were obtained. The MCID was calculated as the difference in the unadjusted mean change in the FIQR scores between the “non-responder” group and the group with “responder group”. It was also expressed as a percentage reduction from the mean baseline FIQR.\n\nView this table:\n\nTable 1 \nshows the mean and standard deviation of FIQR scores at baseline, endpoint and the mean change along with the calculated MCID.\n\n\n\nView this table:\n\nTable 1\n\n\n\nConclusions: Based on our data, we suggest that a “27.04 point” or “45.5 %” improvement on the FIQR score represents the minimum clinically important difference for FIQR in fibromyalgia patients presenting with moderate to severe pain. Strengths of this work include the usage of prospectively followed patient population for analysis, protocol-based treatment with duloxetine and representation of a local population which more is applicable to our clinical practice. That MCID obtained for the FIQR score is much higher than the 14 % which was the MCID obtained for the…","author":[{"dropping-particle":"","family":"Surendran","given":"S.","non-dropping-particle":"","parse-names":false,"suffix":""},{"dropping-particle":"","family":"Mithun","given":"C. B.","non-dropping-particle":"","parse-names":false,"suffix":""}],"container-title":"Annals of the Rheumatic Diseases","id":"ITEM-1","issue":"Suppl 2","issued":{"date-parts":[["2018","6","1"]]},"page":"845-845","publisher":"BMJ Publishing Group Ltd","title":"FRI0647 Estimation of minimum clinically important difference in fibromyalgia for fiqr using bpi as the anchor measure","type":"article-journal","volume":"77"},"uris":["http://www.mendeley.com/documents/?uuid=4134ab31-be11-390b-b3d6-c61dffe6c734"]}],"mendeley":{"formattedCitation":"(27)","plainTextFormattedCitation":"(27)","previouslyFormattedCitation":"(27)"},"properties":{"noteIndex":0},"schema":"https://github.com/citation-style-language/schema/raw/master/csl-citation.json"}</w:instrText>
      </w:r>
      <w:r w:rsidR="00541FAD" w:rsidRPr="009E020A">
        <w:rPr>
          <w:sz w:val="24"/>
          <w:szCs w:val="24"/>
          <w:lang w:val="en-GB"/>
        </w:rPr>
        <w:fldChar w:fldCharType="separate"/>
      </w:r>
      <w:r w:rsidR="003E246C" w:rsidRPr="009E020A">
        <w:rPr>
          <w:noProof/>
          <w:sz w:val="24"/>
          <w:szCs w:val="24"/>
          <w:lang w:val="en-GB"/>
        </w:rPr>
        <w:t>(27)</w:t>
      </w:r>
      <w:r w:rsidR="00541FAD" w:rsidRPr="009E020A">
        <w:rPr>
          <w:sz w:val="24"/>
          <w:szCs w:val="24"/>
          <w:lang w:val="en-GB"/>
        </w:rPr>
        <w:fldChar w:fldCharType="end"/>
      </w:r>
      <w:r w:rsidR="00F124FC" w:rsidRPr="009E020A">
        <w:rPr>
          <w:sz w:val="24"/>
          <w:szCs w:val="24"/>
          <w:lang w:val="en-GB"/>
        </w:rPr>
        <w:t>)</w:t>
      </w:r>
      <w:r w:rsidR="00541FAD" w:rsidRPr="009E020A">
        <w:rPr>
          <w:sz w:val="24"/>
          <w:szCs w:val="24"/>
          <w:lang w:val="en-GB"/>
        </w:rPr>
        <w:t>.</w:t>
      </w:r>
      <w:r w:rsidR="00524E22" w:rsidRPr="009E020A">
        <w:rPr>
          <w:sz w:val="24"/>
          <w:szCs w:val="24"/>
          <w:lang w:val="en-GB"/>
        </w:rPr>
        <w:t xml:space="preserve"> There is no validated MCID available for the BES or CECS and the MCID for the HADS has not been calculated in patients with chronic pain.</w:t>
      </w:r>
    </w:p>
    <w:tbl>
      <w:tblPr>
        <w:tblW w:w="92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4"/>
        <w:gridCol w:w="1133"/>
        <w:gridCol w:w="1134"/>
        <w:gridCol w:w="1134"/>
        <w:gridCol w:w="1083"/>
        <w:gridCol w:w="2070"/>
      </w:tblGrid>
      <w:tr w:rsidR="004B7E77" w:rsidRPr="009E020A" w14:paraId="74A41DF0" w14:textId="2E1B5021" w:rsidTr="00640AE1">
        <w:trPr>
          <w:trHeight w:val="285"/>
        </w:trPr>
        <w:tc>
          <w:tcPr>
            <w:tcW w:w="2694" w:type="dxa"/>
            <w:tcBorders>
              <w:top w:val="nil"/>
              <w:left w:val="nil"/>
              <w:bottom w:val="single" w:sz="4" w:space="0" w:color="666666"/>
              <w:right w:val="nil"/>
            </w:tcBorders>
            <w:shd w:val="clear" w:color="auto" w:fill="auto"/>
            <w:tcMar>
              <w:top w:w="80" w:type="dxa"/>
              <w:left w:w="80" w:type="dxa"/>
              <w:bottom w:w="80" w:type="dxa"/>
              <w:right w:w="80" w:type="dxa"/>
            </w:tcMar>
          </w:tcPr>
          <w:p w14:paraId="469D09E8" w14:textId="77777777" w:rsidR="004B7E77" w:rsidRPr="009E020A" w:rsidRDefault="004B7E77"/>
        </w:tc>
        <w:tc>
          <w:tcPr>
            <w:tcW w:w="2267" w:type="dxa"/>
            <w:gridSpan w:val="2"/>
            <w:tcBorders>
              <w:top w:val="nil"/>
              <w:left w:val="nil"/>
              <w:bottom w:val="single" w:sz="4" w:space="0" w:color="666666"/>
              <w:right w:val="nil"/>
            </w:tcBorders>
            <w:shd w:val="clear" w:color="auto" w:fill="auto"/>
            <w:tcMar>
              <w:top w:w="80" w:type="dxa"/>
              <w:left w:w="80" w:type="dxa"/>
              <w:bottom w:w="80" w:type="dxa"/>
              <w:right w:w="80" w:type="dxa"/>
            </w:tcMar>
          </w:tcPr>
          <w:p w14:paraId="1191EEF6" w14:textId="77777777" w:rsidR="004B7E77" w:rsidRPr="009E020A" w:rsidRDefault="004B7E77">
            <w:pPr>
              <w:pStyle w:val="Body"/>
              <w:spacing w:after="0" w:line="480" w:lineRule="auto"/>
              <w:jc w:val="both"/>
              <w:rPr>
                <w:lang w:val="en-GB"/>
              </w:rPr>
            </w:pPr>
            <w:r w:rsidRPr="009E020A">
              <w:rPr>
                <w:b/>
                <w:bCs/>
                <w:sz w:val="24"/>
                <w:szCs w:val="24"/>
                <w:lang w:val="en-GB"/>
              </w:rPr>
              <w:t>Before treatment</w:t>
            </w:r>
          </w:p>
        </w:tc>
        <w:tc>
          <w:tcPr>
            <w:tcW w:w="2217" w:type="dxa"/>
            <w:gridSpan w:val="2"/>
            <w:tcBorders>
              <w:top w:val="nil"/>
              <w:left w:val="nil"/>
              <w:bottom w:val="single" w:sz="4" w:space="0" w:color="666666"/>
              <w:right w:val="nil"/>
            </w:tcBorders>
            <w:shd w:val="clear" w:color="auto" w:fill="auto"/>
            <w:tcMar>
              <w:top w:w="80" w:type="dxa"/>
              <w:left w:w="80" w:type="dxa"/>
              <w:bottom w:w="80" w:type="dxa"/>
              <w:right w:w="80" w:type="dxa"/>
            </w:tcMar>
          </w:tcPr>
          <w:p w14:paraId="26891980" w14:textId="77777777" w:rsidR="004B7E77" w:rsidRPr="009E020A" w:rsidRDefault="004B7E77">
            <w:pPr>
              <w:pStyle w:val="Body"/>
              <w:spacing w:after="0" w:line="480" w:lineRule="auto"/>
              <w:jc w:val="both"/>
              <w:rPr>
                <w:lang w:val="en-GB"/>
              </w:rPr>
            </w:pPr>
            <w:r w:rsidRPr="009E020A">
              <w:rPr>
                <w:b/>
                <w:bCs/>
                <w:sz w:val="24"/>
                <w:szCs w:val="24"/>
                <w:lang w:val="en-GB"/>
              </w:rPr>
              <w:t>After treatment</w:t>
            </w:r>
          </w:p>
        </w:tc>
        <w:tc>
          <w:tcPr>
            <w:tcW w:w="2070" w:type="dxa"/>
            <w:tcBorders>
              <w:top w:val="nil"/>
              <w:left w:val="nil"/>
              <w:bottom w:val="single" w:sz="4" w:space="0" w:color="666666"/>
              <w:right w:val="nil"/>
            </w:tcBorders>
          </w:tcPr>
          <w:p w14:paraId="68DDBF81" w14:textId="3A15D0F9" w:rsidR="004B7E77" w:rsidRPr="009E020A" w:rsidRDefault="004B7E77" w:rsidP="00640AE1">
            <w:pPr>
              <w:pStyle w:val="Body"/>
              <w:spacing w:after="0" w:line="480" w:lineRule="auto"/>
              <w:jc w:val="center"/>
              <w:rPr>
                <w:b/>
                <w:bCs/>
                <w:sz w:val="24"/>
                <w:szCs w:val="24"/>
                <w:lang w:val="en-GB"/>
              </w:rPr>
            </w:pPr>
            <w:r w:rsidRPr="009E020A">
              <w:rPr>
                <w:b/>
                <w:bCs/>
                <w:sz w:val="24"/>
                <w:szCs w:val="24"/>
                <w:lang w:val="en-GB"/>
              </w:rPr>
              <w:t>Effect size</w:t>
            </w:r>
          </w:p>
        </w:tc>
      </w:tr>
      <w:tr w:rsidR="004B7E77" w:rsidRPr="009E020A" w14:paraId="5FCB45B7" w14:textId="1E089693" w:rsidTr="00640AE1">
        <w:trPr>
          <w:trHeight w:val="285"/>
        </w:trPr>
        <w:tc>
          <w:tcPr>
            <w:tcW w:w="2694" w:type="dxa"/>
            <w:tcBorders>
              <w:top w:val="single" w:sz="4" w:space="0" w:color="666666"/>
              <w:left w:val="nil"/>
              <w:bottom w:val="nil"/>
              <w:right w:val="nil"/>
            </w:tcBorders>
            <w:shd w:val="clear" w:color="auto" w:fill="auto"/>
            <w:tcMar>
              <w:top w:w="80" w:type="dxa"/>
              <w:left w:w="80" w:type="dxa"/>
              <w:bottom w:w="80" w:type="dxa"/>
              <w:right w:w="80" w:type="dxa"/>
            </w:tcMar>
          </w:tcPr>
          <w:p w14:paraId="571D633E" w14:textId="77777777" w:rsidR="004B7E77" w:rsidRPr="009E020A" w:rsidRDefault="004B7E77"/>
        </w:tc>
        <w:tc>
          <w:tcPr>
            <w:tcW w:w="1133" w:type="dxa"/>
            <w:tcBorders>
              <w:top w:val="single" w:sz="4" w:space="0" w:color="666666"/>
              <w:left w:val="nil"/>
              <w:bottom w:val="nil"/>
              <w:right w:val="nil"/>
            </w:tcBorders>
            <w:shd w:val="clear" w:color="auto" w:fill="auto"/>
            <w:tcMar>
              <w:top w:w="80" w:type="dxa"/>
              <w:left w:w="80" w:type="dxa"/>
              <w:bottom w:w="80" w:type="dxa"/>
              <w:right w:w="80" w:type="dxa"/>
            </w:tcMar>
          </w:tcPr>
          <w:p w14:paraId="1D752076" w14:textId="77777777" w:rsidR="004B7E77" w:rsidRPr="009E020A" w:rsidRDefault="004B7E77">
            <w:pPr>
              <w:pStyle w:val="Body"/>
              <w:spacing w:after="0" w:line="480" w:lineRule="auto"/>
              <w:jc w:val="both"/>
              <w:rPr>
                <w:lang w:val="en-GB"/>
              </w:rPr>
            </w:pPr>
            <w:r w:rsidRPr="009E020A">
              <w:rPr>
                <w:sz w:val="24"/>
                <w:szCs w:val="24"/>
                <w:lang w:val="en-GB"/>
              </w:rPr>
              <w:t>Mean</w:t>
            </w:r>
          </w:p>
        </w:tc>
        <w:tc>
          <w:tcPr>
            <w:tcW w:w="1134" w:type="dxa"/>
            <w:tcBorders>
              <w:top w:val="single" w:sz="4" w:space="0" w:color="666666"/>
              <w:left w:val="nil"/>
              <w:bottom w:val="nil"/>
              <w:right w:val="nil"/>
            </w:tcBorders>
            <w:shd w:val="clear" w:color="auto" w:fill="auto"/>
            <w:tcMar>
              <w:top w:w="80" w:type="dxa"/>
              <w:left w:w="80" w:type="dxa"/>
              <w:bottom w:w="80" w:type="dxa"/>
              <w:right w:w="80" w:type="dxa"/>
            </w:tcMar>
          </w:tcPr>
          <w:p w14:paraId="316B07AA" w14:textId="77777777" w:rsidR="004B7E77" w:rsidRPr="009E020A" w:rsidRDefault="004B7E77">
            <w:pPr>
              <w:pStyle w:val="Body"/>
              <w:spacing w:after="0" w:line="480" w:lineRule="auto"/>
              <w:jc w:val="both"/>
              <w:rPr>
                <w:lang w:val="en-GB"/>
              </w:rPr>
            </w:pPr>
            <w:r w:rsidRPr="009E020A">
              <w:rPr>
                <w:sz w:val="24"/>
                <w:szCs w:val="24"/>
                <w:lang w:val="en-GB"/>
              </w:rPr>
              <w:t>SD</w:t>
            </w:r>
          </w:p>
        </w:tc>
        <w:tc>
          <w:tcPr>
            <w:tcW w:w="1134" w:type="dxa"/>
            <w:tcBorders>
              <w:top w:val="single" w:sz="4" w:space="0" w:color="666666"/>
              <w:left w:val="nil"/>
              <w:bottom w:val="nil"/>
              <w:right w:val="nil"/>
            </w:tcBorders>
            <w:shd w:val="clear" w:color="auto" w:fill="auto"/>
            <w:tcMar>
              <w:top w:w="80" w:type="dxa"/>
              <w:left w:w="80" w:type="dxa"/>
              <w:bottom w:w="80" w:type="dxa"/>
              <w:right w:w="80" w:type="dxa"/>
            </w:tcMar>
          </w:tcPr>
          <w:p w14:paraId="7211D275" w14:textId="77777777" w:rsidR="004B7E77" w:rsidRPr="009E020A" w:rsidRDefault="004B7E77">
            <w:pPr>
              <w:pStyle w:val="Body"/>
              <w:spacing w:after="0" w:line="480" w:lineRule="auto"/>
              <w:jc w:val="both"/>
              <w:rPr>
                <w:lang w:val="en-GB"/>
              </w:rPr>
            </w:pPr>
            <w:r w:rsidRPr="009E020A">
              <w:rPr>
                <w:sz w:val="24"/>
                <w:szCs w:val="24"/>
                <w:lang w:val="en-GB"/>
              </w:rPr>
              <w:t>Mean</w:t>
            </w:r>
          </w:p>
        </w:tc>
        <w:tc>
          <w:tcPr>
            <w:tcW w:w="1083" w:type="dxa"/>
            <w:tcBorders>
              <w:top w:val="single" w:sz="4" w:space="0" w:color="666666"/>
              <w:left w:val="nil"/>
              <w:bottom w:val="nil"/>
              <w:right w:val="nil"/>
            </w:tcBorders>
            <w:shd w:val="clear" w:color="auto" w:fill="auto"/>
            <w:tcMar>
              <w:top w:w="80" w:type="dxa"/>
              <w:left w:w="80" w:type="dxa"/>
              <w:bottom w:w="80" w:type="dxa"/>
              <w:right w:w="80" w:type="dxa"/>
            </w:tcMar>
          </w:tcPr>
          <w:p w14:paraId="30C3BA35" w14:textId="77777777" w:rsidR="004B7E77" w:rsidRPr="009E020A" w:rsidRDefault="004B7E77">
            <w:pPr>
              <w:pStyle w:val="Body"/>
              <w:spacing w:after="0" w:line="480" w:lineRule="auto"/>
              <w:jc w:val="both"/>
              <w:rPr>
                <w:lang w:val="en-GB"/>
              </w:rPr>
            </w:pPr>
            <w:r w:rsidRPr="009E020A">
              <w:rPr>
                <w:sz w:val="24"/>
                <w:szCs w:val="24"/>
                <w:lang w:val="en-GB"/>
              </w:rPr>
              <w:t>SD</w:t>
            </w:r>
          </w:p>
        </w:tc>
        <w:tc>
          <w:tcPr>
            <w:tcW w:w="2070" w:type="dxa"/>
            <w:tcBorders>
              <w:top w:val="single" w:sz="4" w:space="0" w:color="666666"/>
              <w:left w:val="nil"/>
              <w:bottom w:val="nil"/>
              <w:right w:val="nil"/>
            </w:tcBorders>
          </w:tcPr>
          <w:p w14:paraId="4A854FA8" w14:textId="7E7431D4" w:rsidR="004B7E77" w:rsidRPr="009E020A" w:rsidRDefault="00640AE1" w:rsidP="00ED1594">
            <w:pPr>
              <w:pStyle w:val="Body"/>
              <w:spacing w:after="0" w:line="480" w:lineRule="auto"/>
              <w:jc w:val="center"/>
              <w:rPr>
                <w:sz w:val="24"/>
                <w:szCs w:val="24"/>
                <w:lang w:val="en-GB"/>
              </w:rPr>
            </w:pPr>
            <w:r w:rsidRPr="009E020A">
              <w:rPr>
                <w:sz w:val="24"/>
                <w:szCs w:val="24"/>
                <w:lang w:val="en-GB"/>
              </w:rPr>
              <w:t>d [95% CIs]</w:t>
            </w:r>
          </w:p>
        </w:tc>
      </w:tr>
      <w:tr w:rsidR="004B7E77" w:rsidRPr="009E020A" w14:paraId="3E834F46" w14:textId="774DBA18" w:rsidTr="00640AE1">
        <w:trPr>
          <w:trHeight w:val="840"/>
        </w:trPr>
        <w:tc>
          <w:tcPr>
            <w:tcW w:w="2694" w:type="dxa"/>
            <w:tcBorders>
              <w:top w:val="nil"/>
              <w:left w:val="nil"/>
              <w:bottom w:val="nil"/>
              <w:right w:val="nil"/>
            </w:tcBorders>
            <w:shd w:val="clear" w:color="auto" w:fill="auto"/>
            <w:tcMar>
              <w:top w:w="80" w:type="dxa"/>
              <w:left w:w="80" w:type="dxa"/>
              <w:bottom w:w="80" w:type="dxa"/>
              <w:right w:w="80" w:type="dxa"/>
            </w:tcMar>
          </w:tcPr>
          <w:p w14:paraId="4B735C27" w14:textId="77777777" w:rsidR="004B7E77" w:rsidRPr="009E020A" w:rsidRDefault="004B7E77" w:rsidP="0072704F">
            <w:pPr>
              <w:pStyle w:val="Body"/>
              <w:spacing w:after="0" w:line="240" w:lineRule="auto"/>
              <w:jc w:val="both"/>
              <w:rPr>
                <w:b/>
                <w:bCs/>
                <w:sz w:val="24"/>
                <w:szCs w:val="24"/>
                <w:lang w:val="en-GB"/>
              </w:rPr>
            </w:pPr>
            <w:r w:rsidRPr="009E020A">
              <w:rPr>
                <w:b/>
                <w:bCs/>
                <w:sz w:val="24"/>
                <w:szCs w:val="24"/>
                <w:lang w:val="en-GB"/>
              </w:rPr>
              <w:t>Beliefs about Emotions*</w:t>
            </w:r>
          </w:p>
          <w:p w14:paraId="143E5BBE" w14:textId="233B5723" w:rsidR="004B7E77" w:rsidRPr="009E020A" w:rsidRDefault="004B7E77" w:rsidP="0072704F">
            <w:pPr>
              <w:pStyle w:val="Body"/>
              <w:spacing w:after="0" w:line="240" w:lineRule="auto"/>
              <w:jc w:val="both"/>
              <w:rPr>
                <w:lang w:val="en-GB"/>
              </w:rPr>
            </w:pPr>
            <w:r w:rsidRPr="009E020A">
              <w:rPr>
                <w:bCs/>
                <w:sz w:val="24"/>
                <w:szCs w:val="24"/>
                <w:lang w:val="en-GB"/>
              </w:rPr>
              <w:t>(BES scores)</w:t>
            </w:r>
          </w:p>
        </w:tc>
        <w:tc>
          <w:tcPr>
            <w:tcW w:w="1133" w:type="dxa"/>
            <w:tcBorders>
              <w:top w:val="nil"/>
              <w:left w:val="nil"/>
              <w:bottom w:val="nil"/>
              <w:right w:val="nil"/>
            </w:tcBorders>
            <w:shd w:val="clear" w:color="auto" w:fill="auto"/>
            <w:tcMar>
              <w:top w:w="80" w:type="dxa"/>
              <w:left w:w="80" w:type="dxa"/>
              <w:bottom w:w="80" w:type="dxa"/>
              <w:right w:w="80" w:type="dxa"/>
            </w:tcMar>
          </w:tcPr>
          <w:p w14:paraId="37524ED5" w14:textId="77777777" w:rsidR="004B7E77" w:rsidRPr="009E020A" w:rsidRDefault="004B7E77">
            <w:pPr>
              <w:pStyle w:val="Body"/>
              <w:spacing w:after="0" w:line="480" w:lineRule="auto"/>
              <w:jc w:val="both"/>
              <w:rPr>
                <w:lang w:val="en-GB"/>
              </w:rPr>
            </w:pPr>
            <w:r w:rsidRPr="009E020A">
              <w:rPr>
                <w:sz w:val="24"/>
                <w:szCs w:val="24"/>
                <w:lang w:val="en-GB"/>
              </w:rPr>
              <w:t>44.74</w:t>
            </w:r>
          </w:p>
        </w:tc>
        <w:tc>
          <w:tcPr>
            <w:tcW w:w="1134" w:type="dxa"/>
            <w:tcBorders>
              <w:top w:val="nil"/>
              <w:left w:val="nil"/>
              <w:bottom w:val="nil"/>
              <w:right w:val="nil"/>
            </w:tcBorders>
            <w:shd w:val="clear" w:color="auto" w:fill="auto"/>
            <w:tcMar>
              <w:top w:w="80" w:type="dxa"/>
              <w:left w:w="80" w:type="dxa"/>
              <w:bottom w:w="80" w:type="dxa"/>
              <w:right w:w="80" w:type="dxa"/>
            </w:tcMar>
          </w:tcPr>
          <w:p w14:paraId="6BA70DCE" w14:textId="77777777" w:rsidR="004B7E77" w:rsidRPr="009E020A" w:rsidRDefault="004B7E77">
            <w:pPr>
              <w:pStyle w:val="Body"/>
              <w:spacing w:after="0" w:line="480" w:lineRule="auto"/>
              <w:jc w:val="both"/>
              <w:rPr>
                <w:lang w:val="en-GB"/>
              </w:rPr>
            </w:pPr>
            <w:r w:rsidRPr="009E020A">
              <w:rPr>
                <w:sz w:val="24"/>
                <w:szCs w:val="24"/>
                <w:lang w:val="en-GB"/>
              </w:rPr>
              <w:t>15.99</w:t>
            </w:r>
          </w:p>
        </w:tc>
        <w:tc>
          <w:tcPr>
            <w:tcW w:w="1134" w:type="dxa"/>
            <w:tcBorders>
              <w:top w:val="nil"/>
              <w:left w:val="nil"/>
              <w:bottom w:val="nil"/>
              <w:right w:val="nil"/>
            </w:tcBorders>
            <w:shd w:val="clear" w:color="auto" w:fill="auto"/>
            <w:tcMar>
              <w:top w:w="80" w:type="dxa"/>
              <w:left w:w="80" w:type="dxa"/>
              <w:bottom w:w="80" w:type="dxa"/>
              <w:right w:w="80" w:type="dxa"/>
            </w:tcMar>
          </w:tcPr>
          <w:p w14:paraId="02C97C2B" w14:textId="77777777" w:rsidR="004B7E77" w:rsidRPr="009E020A" w:rsidRDefault="004B7E77">
            <w:pPr>
              <w:pStyle w:val="Body"/>
              <w:spacing w:after="0" w:line="480" w:lineRule="auto"/>
              <w:jc w:val="both"/>
              <w:rPr>
                <w:lang w:val="en-GB"/>
              </w:rPr>
            </w:pPr>
            <w:r w:rsidRPr="009E020A">
              <w:rPr>
                <w:sz w:val="24"/>
                <w:szCs w:val="24"/>
                <w:lang w:val="en-GB"/>
              </w:rPr>
              <w:t>39.31</w:t>
            </w:r>
          </w:p>
        </w:tc>
        <w:tc>
          <w:tcPr>
            <w:tcW w:w="1083" w:type="dxa"/>
            <w:tcBorders>
              <w:top w:val="nil"/>
              <w:left w:val="nil"/>
              <w:bottom w:val="nil"/>
              <w:right w:val="nil"/>
            </w:tcBorders>
            <w:shd w:val="clear" w:color="auto" w:fill="auto"/>
            <w:tcMar>
              <w:top w:w="80" w:type="dxa"/>
              <w:left w:w="80" w:type="dxa"/>
              <w:bottom w:w="80" w:type="dxa"/>
              <w:right w:w="80" w:type="dxa"/>
            </w:tcMar>
          </w:tcPr>
          <w:p w14:paraId="06AD397E" w14:textId="77777777" w:rsidR="004B7E77" w:rsidRPr="009E020A" w:rsidRDefault="004B7E77">
            <w:pPr>
              <w:pStyle w:val="Body"/>
              <w:spacing w:after="0" w:line="480" w:lineRule="auto"/>
              <w:jc w:val="both"/>
              <w:rPr>
                <w:lang w:val="en-GB"/>
              </w:rPr>
            </w:pPr>
            <w:r w:rsidRPr="009E020A">
              <w:rPr>
                <w:sz w:val="24"/>
                <w:szCs w:val="24"/>
                <w:lang w:val="en-GB"/>
              </w:rPr>
              <w:t>15.84</w:t>
            </w:r>
          </w:p>
        </w:tc>
        <w:tc>
          <w:tcPr>
            <w:tcW w:w="2070" w:type="dxa"/>
            <w:tcBorders>
              <w:top w:val="nil"/>
              <w:left w:val="nil"/>
              <w:bottom w:val="nil"/>
              <w:right w:val="nil"/>
            </w:tcBorders>
          </w:tcPr>
          <w:p w14:paraId="7BE9114B" w14:textId="49FFECF7" w:rsidR="004B7E77" w:rsidRPr="009E020A" w:rsidRDefault="00D70421" w:rsidP="00640AE1">
            <w:pPr>
              <w:pStyle w:val="Body"/>
              <w:spacing w:after="0" w:line="480" w:lineRule="auto"/>
              <w:jc w:val="center"/>
              <w:rPr>
                <w:sz w:val="24"/>
                <w:szCs w:val="24"/>
                <w:lang w:val="en-GB"/>
              </w:rPr>
            </w:pPr>
            <w:r w:rsidRPr="009E020A">
              <w:rPr>
                <w:sz w:val="24"/>
                <w:szCs w:val="24"/>
                <w:lang w:val="en-GB"/>
              </w:rPr>
              <w:t>-0.35</w:t>
            </w:r>
            <w:r w:rsidR="00640AE1" w:rsidRPr="009E020A">
              <w:rPr>
                <w:sz w:val="24"/>
                <w:szCs w:val="24"/>
                <w:lang w:val="en-GB"/>
              </w:rPr>
              <w:t xml:space="preserve"> [-0.80, 0.09]</w:t>
            </w:r>
          </w:p>
        </w:tc>
      </w:tr>
      <w:tr w:rsidR="004B7E77" w:rsidRPr="009E020A" w14:paraId="43C0B5FF" w14:textId="37495DB6" w:rsidTr="00640AE1">
        <w:trPr>
          <w:trHeight w:val="840"/>
        </w:trPr>
        <w:tc>
          <w:tcPr>
            <w:tcW w:w="2694" w:type="dxa"/>
            <w:tcBorders>
              <w:top w:val="nil"/>
              <w:left w:val="nil"/>
              <w:bottom w:val="nil"/>
              <w:right w:val="nil"/>
            </w:tcBorders>
            <w:shd w:val="clear" w:color="auto" w:fill="auto"/>
            <w:tcMar>
              <w:top w:w="80" w:type="dxa"/>
              <w:left w:w="80" w:type="dxa"/>
              <w:bottom w:w="80" w:type="dxa"/>
              <w:right w:w="80" w:type="dxa"/>
            </w:tcMar>
          </w:tcPr>
          <w:p w14:paraId="3499E2DE" w14:textId="77777777" w:rsidR="004B7E77" w:rsidRPr="009E020A" w:rsidRDefault="004B7E77" w:rsidP="0072704F">
            <w:pPr>
              <w:pStyle w:val="Body"/>
              <w:spacing w:after="0" w:line="240" w:lineRule="auto"/>
              <w:jc w:val="both"/>
              <w:rPr>
                <w:b/>
                <w:bCs/>
                <w:sz w:val="24"/>
                <w:szCs w:val="24"/>
                <w:lang w:val="en-GB"/>
              </w:rPr>
            </w:pPr>
            <w:r w:rsidRPr="009E020A">
              <w:rPr>
                <w:b/>
                <w:bCs/>
                <w:sz w:val="24"/>
                <w:szCs w:val="24"/>
                <w:lang w:val="en-GB"/>
              </w:rPr>
              <w:t>Emotional Suppression</w:t>
            </w:r>
          </w:p>
          <w:p w14:paraId="4E84F940" w14:textId="0509747B" w:rsidR="004B7E77" w:rsidRPr="009E020A" w:rsidRDefault="004B7E77" w:rsidP="0072704F">
            <w:pPr>
              <w:pStyle w:val="Body"/>
              <w:spacing w:after="0" w:line="240" w:lineRule="auto"/>
              <w:jc w:val="both"/>
              <w:rPr>
                <w:lang w:val="en-GB"/>
              </w:rPr>
            </w:pPr>
            <w:r w:rsidRPr="009E020A">
              <w:rPr>
                <w:bCs/>
                <w:sz w:val="24"/>
                <w:szCs w:val="24"/>
                <w:lang w:val="en-GB"/>
              </w:rPr>
              <w:t>(CECS scores)</w:t>
            </w:r>
          </w:p>
        </w:tc>
        <w:tc>
          <w:tcPr>
            <w:tcW w:w="1133" w:type="dxa"/>
            <w:tcBorders>
              <w:top w:val="nil"/>
              <w:left w:val="nil"/>
              <w:bottom w:val="nil"/>
              <w:right w:val="nil"/>
            </w:tcBorders>
            <w:shd w:val="clear" w:color="auto" w:fill="auto"/>
            <w:tcMar>
              <w:top w:w="80" w:type="dxa"/>
              <w:left w:w="80" w:type="dxa"/>
              <w:bottom w:w="80" w:type="dxa"/>
              <w:right w:w="80" w:type="dxa"/>
            </w:tcMar>
          </w:tcPr>
          <w:p w14:paraId="5E5AEC15" w14:textId="77777777" w:rsidR="004B7E77" w:rsidRPr="009E020A" w:rsidRDefault="004B7E77">
            <w:pPr>
              <w:pStyle w:val="Body"/>
              <w:spacing w:after="0" w:line="480" w:lineRule="auto"/>
              <w:jc w:val="both"/>
              <w:rPr>
                <w:lang w:val="en-GB"/>
              </w:rPr>
            </w:pPr>
            <w:r w:rsidRPr="009E020A">
              <w:rPr>
                <w:sz w:val="24"/>
                <w:szCs w:val="24"/>
                <w:lang w:val="en-GB"/>
              </w:rPr>
              <w:t>58.64</w:t>
            </w:r>
          </w:p>
        </w:tc>
        <w:tc>
          <w:tcPr>
            <w:tcW w:w="1134" w:type="dxa"/>
            <w:tcBorders>
              <w:top w:val="nil"/>
              <w:left w:val="nil"/>
              <w:bottom w:val="nil"/>
              <w:right w:val="nil"/>
            </w:tcBorders>
            <w:shd w:val="clear" w:color="auto" w:fill="auto"/>
            <w:tcMar>
              <w:top w:w="80" w:type="dxa"/>
              <w:left w:w="80" w:type="dxa"/>
              <w:bottom w:w="80" w:type="dxa"/>
              <w:right w:w="80" w:type="dxa"/>
            </w:tcMar>
          </w:tcPr>
          <w:p w14:paraId="611FC7AE" w14:textId="77777777" w:rsidR="004B7E77" w:rsidRPr="009E020A" w:rsidRDefault="004B7E77">
            <w:pPr>
              <w:pStyle w:val="Body"/>
              <w:spacing w:after="0" w:line="480" w:lineRule="auto"/>
              <w:jc w:val="both"/>
              <w:rPr>
                <w:lang w:val="en-GB"/>
              </w:rPr>
            </w:pPr>
            <w:r w:rsidRPr="009E020A">
              <w:rPr>
                <w:sz w:val="24"/>
                <w:szCs w:val="24"/>
                <w:lang w:val="en-GB"/>
              </w:rPr>
              <w:t>12.74</w:t>
            </w:r>
          </w:p>
        </w:tc>
        <w:tc>
          <w:tcPr>
            <w:tcW w:w="1134" w:type="dxa"/>
            <w:tcBorders>
              <w:top w:val="nil"/>
              <w:left w:val="nil"/>
              <w:bottom w:val="nil"/>
              <w:right w:val="nil"/>
            </w:tcBorders>
            <w:shd w:val="clear" w:color="auto" w:fill="auto"/>
            <w:tcMar>
              <w:top w:w="80" w:type="dxa"/>
              <w:left w:w="80" w:type="dxa"/>
              <w:bottom w:w="80" w:type="dxa"/>
              <w:right w:w="80" w:type="dxa"/>
            </w:tcMar>
          </w:tcPr>
          <w:p w14:paraId="1B3C4730" w14:textId="77777777" w:rsidR="004B7E77" w:rsidRPr="009E020A" w:rsidRDefault="004B7E77">
            <w:pPr>
              <w:pStyle w:val="Body"/>
              <w:spacing w:after="0" w:line="480" w:lineRule="auto"/>
              <w:jc w:val="both"/>
              <w:rPr>
                <w:lang w:val="en-GB"/>
              </w:rPr>
            </w:pPr>
            <w:r w:rsidRPr="009E020A">
              <w:rPr>
                <w:sz w:val="24"/>
                <w:szCs w:val="24"/>
                <w:lang w:val="en-GB"/>
              </w:rPr>
              <w:t>56.66</w:t>
            </w:r>
          </w:p>
        </w:tc>
        <w:tc>
          <w:tcPr>
            <w:tcW w:w="1083" w:type="dxa"/>
            <w:tcBorders>
              <w:top w:val="nil"/>
              <w:left w:val="nil"/>
              <w:bottom w:val="nil"/>
              <w:right w:val="nil"/>
            </w:tcBorders>
            <w:shd w:val="clear" w:color="auto" w:fill="auto"/>
            <w:tcMar>
              <w:top w:w="80" w:type="dxa"/>
              <w:left w:w="80" w:type="dxa"/>
              <w:bottom w:w="80" w:type="dxa"/>
              <w:right w:w="80" w:type="dxa"/>
            </w:tcMar>
          </w:tcPr>
          <w:p w14:paraId="7283C245" w14:textId="77777777" w:rsidR="004B7E77" w:rsidRPr="009E020A" w:rsidRDefault="004B7E77">
            <w:pPr>
              <w:pStyle w:val="Body"/>
              <w:spacing w:after="0" w:line="480" w:lineRule="auto"/>
              <w:jc w:val="both"/>
              <w:rPr>
                <w:lang w:val="en-GB"/>
              </w:rPr>
            </w:pPr>
            <w:r w:rsidRPr="009E020A">
              <w:rPr>
                <w:sz w:val="24"/>
                <w:szCs w:val="24"/>
                <w:lang w:val="en-GB"/>
              </w:rPr>
              <w:t>14.98</w:t>
            </w:r>
          </w:p>
        </w:tc>
        <w:tc>
          <w:tcPr>
            <w:tcW w:w="2070" w:type="dxa"/>
            <w:tcBorders>
              <w:top w:val="nil"/>
              <w:left w:val="nil"/>
              <w:bottom w:val="nil"/>
              <w:right w:val="nil"/>
            </w:tcBorders>
          </w:tcPr>
          <w:p w14:paraId="149CE583" w14:textId="11C59933" w:rsidR="004B7E77" w:rsidRPr="009E020A" w:rsidRDefault="00D70421" w:rsidP="00ED1594">
            <w:pPr>
              <w:pStyle w:val="Body"/>
              <w:spacing w:after="0" w:line="480" w:lineRule="auto"/>
              <w:jc w:val="center"/>
              <w:rPr>
                <w:sz w:val="24"/>
                <w:szCs w:val="24"/>
                <w:lang w:val="en-GB"/>
              </w:rPr>
            </w:pPr>
            <w:r w:rsidRPr="009E020A">
              <w:rPr>
                <w:sz w:val="24"/>
                <w:szCs w:val="24"/>
                <w:lang w:val="en-GB"/>
              </w:rPr>
              <w:t>-</w:t>
            </w:r>
            <w:r w:rsidR="00640AE1" w:rsidRPr="009E020A">
              <w:rPr>
                <w:sz w:val="24"/>
                <w:szCs w:val="24"/>
                <w:lang w:val="en-GB"/>
              </w:rPr>
              <w:t>0</w:t>
            </w:r>
            <w:r w:rsidRPr="009E020A">
              <w:rPr>
                <w:sz w:val="24"/>
                <w:szCs w:val="24"/>
                <w:lang w:val="en-GB"/>
              </w:rPr>
              <w:t>.28</w:t>
            </w:r>
            <w:r w:rsidR="00640AE1" w:rsidRPr="009E020A">
              <w:rPr>
                <w:sz w:val="24"/>
                <w:szCs w:val="24"/>
                <w:lang w:val="en-GB"/>
              </w:rPr>
              <w:t xml:space="preserve"> [-0.74, 0.19]</w:t>
            </w:r>
          </w:p>
        </w:tc>
      </w:tr>
      <w:tr w:rsidR="004B7E77" w:rsidRPr="009E020A" w14:paraId="6F6D92AA" w14:textId="621D969F" w:rsidTr="00640AE1">
        <w:trPr>
          <w:trHeight w:val="280"/>
        </w:trPr>
        <w:tc>
          <w:tcPr>
            <w:tcW w:w="2694" w:type="dxa"/>
            <w:tcBorders>
              <w:top w:val="nil"/>
              <w:left w:val="nil"/>
              <w:bottom w:val="nil"/>
              <w:right w:val="nil"/>
            </w:tcBorders>
            <w:shd w:val="clear" w:color="auto" w:fill="auto"/>
            <w:tcMar>
              <w:top w:w="80" w:type="dxa"/>
              <w:left w:w="80" w:type="dxa"/>
              <w:bottom w:w="80" w:type="dxa"/>
              <w:right w:w="80" w:type="dxa"/>
            </w:tcMar>
          </w:tcPr>
          <w:p w14:paraId="7A0DD7D1" w14:textId="77777777" w:rsidR="004B7E77" w:rsidRPr="009E020A" w:rsidRDefault="004B7E77" w:rsidP="0072704F">
            <w:pPr>
              <w:pStyle w:val="Body"/>
              <w:spacing w:after="0" w:line="240" w:lineRule="auto"/>
              <w:jc w:val="both"/>
              <w:rPr>
                <w:b/>
                <w:bCs/>
                <w:sz w:val="24"/>
                <w:szCs w:val="24"/>
                <w:lang w:val="en-GB"/>
              </w:rPr>
            </w:pPr>
            <w:r w:rsidRPr="009E020A">
              <w:rPr>
                <w:b/>
                <w:bCs/>
                <w:sz w:val="24"/>
                <w:szCs w:val="24"/>
                <w:lang w:val="en-GB"/>
              </w:rPr>
              <w:t>Distress*</w:t>
            </w:r>
          </w:p>
          <w:p w14:paraId="5312C4E3" w14:textId="1B9409A9" w:rsidR="004B7E77" w:rsidRPr="009E020A" w:rsidRDefault="004B7E77" w:rsidP="0072704F">
            <w:pPr>
              <w:pStyle w:val="Body"/>
              <w:spacing w:after="0" w:line="240" w:lineRule="auto"/>
              <w:jc w:val="both"/>
              <w:rPr>
                <w:lang w:val="en-GB"/>
              </w:rPr>
            </w:pPr>
            <w:r w:rsidRPr="009E020A">
              <w:rPr>
                <w:bCs/>
                <w:sz w:val="24"/>
                <w:szCs w:val="24"/>
                <w:lang w:val="en-GB"/>
              </w:rPr>
              <w:t>(HADS scores)</w:t>
            </w:r>
          </w:p>
        </w:tc>
        <w:tc>
          <w:tcPr>
            <w:tcW w:w="1133" w:type="dxa"/>
            <w:tcBorders>
              <w:top w:val="nil"/>
              <w:left w:val="nil"/>
              <w:bottom w:val="nil"/>
              <w:right w:val="nil"/>
            </w:tcBorders>
            <w:shd w:val="clear" w:color="auto" w:fill="auto"/>
            <w:tcMar>
              <w:top w:w="80" w:type="dxa"/>
              <w:left w:w="80" w:type="dxa"/>
              <w:bottom w:w="80" w:type="dxa"/>
              <w:right w:w="80" w:type="dxa"/>
            </w:tcMar>
          </w:tcPr>
          <w:p w14:paraId="12181CB9" w14:textId="77777777" w:rsidR="004B7E77" w:rsidRPr="009E020A" w:rsidRDefault="004B7E77">
            <w:pPr>
              <w:pStyle w:val="Body"/>
              <w:spacing w:after="0" w:line="480" w:lineRule="auto"/>
              <w:jc w:val="both"/>
              <w:rPr>
                <w:lang w:val="en-GB"/>
              </w:rPr>
            </w:pPr>
            <w:r w:rsidRPr="009E020A">
              <w:rPr>
                <w:sz w:val="24"/>
                <w:szCs w:val="24"/>
                <w:lang w:val="en-GB"/>
              </w:rPr>
              <w:t>22.32</w:t>
            </w:r>
          </w:p>
        </w:tc>
        <w:tc>
          <w:tcPr>
            <w:tcW w:w="1134" w:type="dxa"/>
            <w:tcBorders>
              <w:top w:val="nil"/>
              <w:left w:val="nil"/>
              <w:bottom w:val="nil"/>
              <w:right w:val="nil"/>
            </w:tcBorders>
            <w:shd w:val="clear" w:color="auto" w:fill="auto"/>
            <w:tcMar>
              <w:top w:w="80" w:type="dxa"/>
              <w:left w:w="80" w:type="dxa"/>
              <w:bottom w:w="80" w:type="dxa"/>
              <w:right w:w="80" w:type="dxa"/>
            </w:tcMar>
          </w:tcPr>
          <w:p w14:paraId="42129A08" w14:textId="77777777" w:rsidR="004B7E77" w:rsidRPr="009E020A" w:rsidRDefault="004B7E77">
            <w:pPr>
              <w:pStyle w:val="Body"/>
              <w:spacing w:after="0" w:line="480" w:lineRule="auto"/>
              <w:jc w:val="both"/>
              <w:rPr>
                <w:lang w:val="en-GB"/>
              </w:rPr>
            </w:pPr>
            <w:r w:rsidRPr="009E020A">
              <w:rPr>
                <w:sz w:val="24"/>
                <w:szCs w:val="24"/>
                <w:lang w:val="en-GB"/>
              </w:rPr>
              <w:t>6.96</w:t>
            </w:r>
          </w:p>
        </w:tc>
        <w:tc>
          <w:tcPr>
            <w:tcW w:w="1134" w:type="dxa"/>
            <w:tcBorders>
              <w:top w:val="nil"/>
              <w:left w:val="nil"/>
              <w:bottom w:val="nil"/>
              <w:right w:val="nil"/>
            </w:tcBorders>
            <w:shd w:val="clear" w:color="auto" w:fill="auto"/>
            <w:tcMar>
              <w:top w:w="80" w:type="dxa"/>
              <w:left w:w="80" w:type="dxa"/>
              <w:bottom w:w="80" w:type="dxa"/>
              <w:right w:w="80" w:type="dxa"/>
            </w:tcMar>
          </w:tcPr>
          <w:p w14:paraId="5EAC00EB" w14:textId="77777777" w:rsidR="004B7E77" w:rsidRPr="009E020A" w:rsidRDefault="004B7E77">
            <w:pPr>
              <w:pStyle w:val="Body"/>
              <w:spacing w:after="0" w:line="480" w:lineRule="auto"/>
              <w:jc w:val="both"/>
              <w:rPr>
                <w:lang w:val="en-GB"/>
              </w:rPr>
            </w:pPr>
            <w:r w:rsidRPr="009E020A">
              <w:rPr>
                <w:sz w:val="24"/>
                <w:szCs w:val="24"/>
                <w:lang w:val="en-GB"/>
              </w:rPr>
              <w:t>20.15</w:t>
            </w:r>
          </w:p>
        </w:tc>
        <w:tc>
          <w:tcPr>
            <w:tcW w:w="1083" w:type="dxa"/>
            <w:tcBorders>
              <w:top w:val="nil"/>
              <w:left w:val="nil"/>
              <w:bottom w:val="nil"/>
              <w:right w:val="nil"/>
            </w:tcBorders>
            <w:shd w:val="clear" w:color="auto" w:fill="auto"/>
            <w:tcMar>
              <w:top w:w="80" w:type="dxa"/>
              <w:left w:w="80" w:type="dxa"/>
              <w:bottom w:w="80" w:type="dxa"/>
              <w:right w:w="80" w:type="dxa"/>
            </w:tcMar>
          </w:tcPr>
          <w:p w14:paraId="07AC1350" w14:textId="77777777" w:rsidR="004B7E77" w:rsidRPr="009E020A" w:rsidRDefault="004B7E77">
            <w:pPr>
              <w:pStyle w:val="Body"/>
              <w:spacing w:after="0" w:line="480" w:lineRule="auto"/>
              <w:jc w:val="both"/>
              <w:rPr>
                <w:lang w:val="en-GB"/>
              </w:rPr>
            </w:pPr>
            <w:r w:rsidRPr="009E020A">
              <w:rPr>
                <w:sz w:val="24"/>
                <w:szCs w:val="24"/>
                <w:lang w:val="en-GB"/>
              </w:rPr>
              <w:t>6.92</w:t>
            </w:r>
          </w:p>
        </w:tc>
        <w:tc>
          <w:tcPr>
            <w:tcW w:w="2070" w:type="dxa"/>
            <w:tcBorders>
              <w:top w:val="nil"/>
              <w:left w:val="nil"/>
              <w:bottom w:val="nil"/>
              <w:right w:val="nil"/>
            </w:tcBorders>
          </w:tcPr>
          <w:p w14:paraId="24284F45" w14:textId="0A486305" w:rsidR="004B7E77" w:rsidRPr="009E020A" w:rsidRDefault="00D70421" w:rsidP="00640AE1">
            <w:pPr>
              <w:pStyle w:val="Body"/>
              <w:spacing w:after="0" w:line="480" w:lineRule="auto"/>
              <w:jc w:val="center"/>
              <w:rPr>
                <w:sz w:val="24"/>
                <w:szCs w:val="24"/>
                <w:lang w:val="en-GB"/>
              </w:rPr>
            </w:pPr>
            <w:r w:rsidRPr="009E020A">
              <w:rPr>
                <w:sz w:val="24"/>
                <w:szCs w:val="24"/>
                <w:lang w:val="en-GB"/>
              </w:rPr>
              <w:t>-</w:t>
            </w:r>
            <w:r w:rsidR="00640AE1" w:rsidRPr="009E020A">
              <w:rPr>
                <w:sz w:val="24"/>
                <w:szCs w:val="24"/>
                <w:lang w:val="en-GB"/>
              </w:rPr>
              <w:t>0</w:t>
            </w:r>
            <w:r w:rsidRPr="009E020A">
              <w:rPr>
                <w:sz w:val="24"/>
                <w:szCs w:val="24"/>
                <w:lang w:val="en-GB"/>
              </w:rPr>
              <w:t>.42</w:t>
            </w:r>
            <w:r w:rsidR="00640AE1" w:rsidRPr="009E020A">
              <w:rPr>
                <w:sz w:val="24"/>
                <w:szCs w:val="24"/>
                <w:lang w:val="en-GB"/>
              </w:rPr>
              <w:t xml:space="preserve"> [-0.86, 0.02]</w:t>
            </w:r>
          </w:p>
        </w:tc>
      </w:tr>
      <w:tr w:rsidR="004B7E77" w:rsidRPr="00640AE1" w14:paraId="11B5020E" w14:textId="3975C70F" w:rsidTr="00640AE1">
        <w:trPr>
          <w:trHeight w:val="280"/>
        </w:trPr>
        <w:tc>
          <w:tcPr>
            <w:tcW w:w="2694" w:type="dxa"/>
            <w:tcBorders>
              <w:top w:val="nil"/>
              <w:left w:val="nil"/>
              <w:bottom w:val="nil"/>
              <w:right w:val="nil"/>
            </w:tcBorders>
            <w:shd w:val="clear" w:color="auto" w:fill="auto"/>
            <w:tcMar>
              <w:top w:w="80" w:type="dxa"/>
              <w:left w:w="80" w:type="dxa"/>
              <w:bottom w:w="80" w:type="dxa"/>
              <w:right w:w="80" w:type="dxa"/>
            </w:tcMar>
          </w:tcPr>
          <w:p w14:paraId="1A966205" w14:textId="77777777" w:rsidR="004B7E77" w:rsidRPr="009E020A" w:rsidRDefault="004B7E77" w:rsidP="0072704F">
            <w:pPr>
              <w:pStyle w:val="Body"/>
              <w:spacing w:after="0" w:line="240" w:lineRule="auto"/>
              <w:jc w:val="both"/>
              <w:rPr>
                <w:b/>
                <w:bCs/>
                <w:sz w:val="24"/>
                <w:szCs w:val="24"/>
                <w:lang w:val="en-GB"/>
              </w:rPr>
            </w:pPr>
            <w:r w:rsidRPr="009E020A">
              <w:rPr>
                <w:b/>
                <w:bCs/>
                <w:sz w:val="24"/>
                <w:szCs w:val="24"/>
                <w:lang w:val="en-GB"/>
              </w:rPr>
              <w:t>Global Impact*</w:t>
            </w:r>
          </w:p>
          <w:p w14:paraId="59A08336" w14:textId="19D42047" w:rsidR="004B7E77" w:rsidRPr="009E020A" w:rsidRDefault="004B7E77" w:rsidP="0072704F">
            <w:pPr>
              <w:pStyle w:val="Body"/>
              <w:spacing w:after="0" w:line="240" w:lineRule="auto"/>
              <w:jc w:val="both"/>
              <w:rPr>
                <w:lang w:val="en-GB"/>
              </w:rPr>
            </w:pPr>
            <w:r w:rsidRPr="009E020A">
              <w:rPr>
                <w:bCs/>
                <w:sz w:val="24"/>
                <w:szCs w:val="24"/>
                <w:lang w:val="en-GB"/>
              </w:rPr>
              <w:t>(FIQr scores)</w:t>
            </w:r>
          </w:p>
        </w:tc>
        <w:tc>
          <w:tcPr>
            <w:tcW w:w="1133" w:type="dxa"/>
            <w:tcBorders>
              <w:top w:val="nil"/>
              <w:left w:val="nil"/>
              <w:bottom w:val="nil"/>
              <w:right w:val="nil"/>
            </w:tcBorders>
            <w:shd w:val="clear" w:color="auto" w:fill="auto"/>
            <w:tcMar>
              <w:top w:w="80" w:type="dxa"/>
              <w:left w:w="80" w:type="dxa"/>
              <w:bottom w:w="80" w:type="dxa"/>
              <w:right w:w="80" w:type="dxa"/>
            </w:tcMar>
          </w:tcPr>
          <w:p w14:paraId="7DD68767" w14:textId="77777777" w:rsidR="004B7E77" w:rsidRPr="009E020A" w:rsidRDefault="004B7E77">
            <w:pPr>
              <w:pStyle w:val="Body"/>
              <w:spacing w:after="0" w:line="480" w:lineRule="auto"/>
              <w:jc w:val="both"/>
              <w:rPr>
                <w:lang w:val="en-GB"/>
              </w:rPr>
            </w:pPr>
            <w:r w:rsidRPr="009E020A">
              <w:rPr>
                <w:sz w:val="24"/>
                <w:szCs w:val="24"/>
                <w:lang w:val="en-GB"/>
              </w:rPr>
              <w:t>68.56</w:t>
            </w:r>
          </w:p>
        </w:tc>
        <w:tc>
          <w:tcPr>
            <w:tcW w:w="1134" w:type="dxa"/>
            <w:tcBorders>
              <w:top w:val="nil"/>
              <w:left w:val="nil"/>
              <w:bottom w:val="nil"/>
              <w:right w:val="nil"/>
            </w:tcBorders>
            <w:shd w:val="clear" w:color="auto" w:fill="auto"/>
            <w:tcMar>
              <w:top w:w="80" w:type="dxa"/>
              <w:left w:w="80" w:type="dxa"/>
              <w:bottom w:w="80" w:type="dxa"/>
              <w:right w:w="80" w:type="dxa"/>
            </w:tcMar>
          </w:tcPr>
          <w:p w14:paraId="2A1583FD" w14:textId="77777777" w:rsidR="004B7E77" w:rsidRPr="009E020A" w:rsidRDefault="004B7E77">
            <w:pPr>
              <w:pStyle w:val="Body"/>
              <w:spacing w:after="0" w:line="480" w:lineRule="auto"/>
              <w:jc w:val="both"/>
              <w:rPr>
                <w:lang w:val="en-GB"/>
              </w:rPr>
            </w:pPr>
            <w:r w:rsidRPr="009E020A">
              <w:rPr>
                <w:sz w:val="24"/>
                <w:szCs w:val="24"/>
                <w:lang w:val="en-GB"/>
              </w:rPr>
              <w:t>14.03</w:t>
            </w:r>
          </w:p>
        </w:tc>
        <w:tc>
          <w:tcPr>
            <w:tcW w:w="1134" w:type="dxa"/>
            <w:tcBorders>
              <w:top w:val="nil"/>
              <w:left w:val="nil"/>
              <w:bottom w:val="nil"/>
              <w:right w:val="nil"/>
            </w:tcBorders>
            <w:shd w:val="clear" w:color="auto" w:fill="auto"/>
            <w:tcMar>
              <w:top w:w="80" w:type="dxa"/>
              <w:left w:w="80" w:type="dxa"/>
              <w:bottom w:w="80" w:type="dxa"/>
              <w:right w:w="80" w:type="dxa"/>
            </w:tcMar>
          </w:tcPr>
          <w:p w14:paraId="16754745" w14:textId="77777777" w:rsidR="004B7E77" w:rsidRPr="009E020A" w:rsidRDefault="004B7E77">
            <w:pPr>
              <w:pStyle w:val="Body"/>
              <w:spacing w:after="0" w:line="480" w:lineRule="auto"/>
              <w:jc w:val="both"/>
              <w:rPr>
                <w:lang w:val="en-GB"/>
              </w:rPr>
            </w:pPr>
            <w:r w:rsidRPr="009E020A">
              <w:rPr>
                <w:sz w:val="24"/>
                <w:szCs w:val="24"/>
                <w:lang w:val="en-GB"/>
              </w:rPr>
              <w:t>63.19</w:t>
            </w:r>
          </w:p>
        </w:tc>
        <w:tc>
          <w:tcPr>
            <w:tcW w:w="1083" w:type="dxa"/>
            <w:tcBorders>
              <w:top w:val="nil"/>
              <w:left w:val="nil"/>
              <w:bottom w:val="nil"/>
              <w:right w:val="nil"/>
            </w:tcBorders>
            <w:shd w:val="clear" w:color="auto" w:fill="auto"/>
            <w:tcMar>
              <w:top w:w="80" w:type="dxa"/>
              <w:left w:w="80" w:type="dxa"/>
              <w:bottom w:w="80" w:type="dxa"/>
              <w:right w:w="80" w:type="dxa"/>
            </w:tcMar>
          </w:tcPr>
          <w:p w14:paraId="2C3BEB0C" w14:textId="77777777" w:rsidR="004B7E77" w:rsidRPr="009E020A" w:rsidRDefault="004B7E77">
            <w:pPr>
              <w:pStyle w:val="Body"/>
              <w:spacing w:after="0" w:line="480" w:lineRule="auto"/>
              <w:jc w:val="both"/>
              <w:rPr>
                <w:lang w:val="en-GB"/>
              </w:rPr>
            </w:pPr>
            <w:r w:rsidRPr="009E020A">
              <w:rPr>
                <w:sz w:val="24"/>
                <w:szCs w:val="24"/>
                <w:lang w:val="en-GB"/>
              </w:rPr>
              <w:t>16.05</w:t>
            </w:r>
          </w:p>
        </w:tc>
        <w:tc>
          <w:tcPr>
            <w:tcW w:w="2070" w:type="dxa"/>
            <w:tcBorders>
              <w:top w:val="nil"/>
              <w:left w:val="nil"/>
              <w:bottom w:val="nil"/>
              <w:right w:val="nil"/>
            </w:tcBorders>
          </w:tcPr>
          <w:p w14:paraId="76625EBE" w14:textId="51DEE831" w:rsidR="004B7E77" w:rsidRPr="009E020A" w:rsidRDefault="008560A3" w:rsidP="00640AE1">
            <w:pPr>
              <w:pStyle w:val="Body"/>
              <w:spacing w:after="0" w:line="480" w:lineRule="auto"/>
              <w:jc w:val="center"/>
              <w:rPr>
                <w:sz w:val="24"/>
                <w:szCs w:val="24"/>
                <w:lang w:val="en-GB"/>
              </w:rPr>
            </w:pPr>
            <w:r w:rsidRPr="009E020A">
              <w:rPr>
                <w:sz w:val="24"/>
                <w:szCs w:val="24"/>
                <w:lang w:val="en-GB"/>
              </w:rPr>
              <w:t>-</w:t>
            </w:r>
            <w:r w:rsidR="00640AE1" w:rsidRPr="009E020A">
              <w:rPr>
                <w:sz w:val="24"/>
                <w:szCs w:val="24"/>
                <w:lang w:val="en-GB"/>
              </w:rPr>
              <w:t>0</w:t>
            </w:r>
            <w:r w:rsidRPr="009E020A">
              <w:rPr>
                <w:sz w:val="24"/>
                <w:szCs w:val="24"/>
                <w:lang w:val="en-GB"/>
              </w:rPr>
              <w:t>.60</w:t>
            </w:r>
            <w:r w:rsidR="00640AE1" w:rsidRPr="009E020A">
              <w:rPr>
                <w:sz w:val="24"/>
                <w:szCs w:val="24"/>
                <w:lang w:val="en-GB"/>
              </w:rPr>
              <w:t xml:space="preserve"> [-1.03, -0.12]</w:t>
            </w:r>
          </w:p>
        </w:tc>
        <w:bookmarkStart w:id="0" w:name="_GoBack"/>
        <w:bookmarkEnd w:id="0"/>
      </w:tr>
    </w:tbl>
    <w:p w14:paraId="681C8CA1" w14:textId="77777777" w:rsidR="00E81339" w:rsidRPr="00640AE1" w:rsidRDefault="00E81339">
      <w:pPr>
        <w:pStyle w:val="Body"/>
        <w:widowControl w:val="0"/>
        <w:spacing w:line="240" w:lineRule="auto"/>
        <w:jc w:val="both"/>
        <w:rPr>
          <w:sz w:val="24"/>
          <w:szCs w:val="24"/>
          <w:lang w:val="en-GB"/>
        </w:rPr>
      </w:pPr>
    </w:p>
    <w:p w14:paraId="2A4BE983" w14:textId="77777777" w:rsidR="00E81339" w:rsidRPr="00640AE1" w:rsidRDefault="00BF6903">
      <w:pPr>
        <w:pStyle w:val="Body"/>
        <w:spacing w:line="480" w:lineRule="auto"/>
        <w:jc w:val="both"/>
        <w:rPr>
          <w:sz w:val="24"/>
          <w:szCs w:val="24"/>
          <w:lang w:val="en-GB"/>
        </w:rPr>
      </w:pPr>
      <w:r w:rsidRPr="00640AE1">
        <w:rPr>
          <w:sz w:val="24"/>
          <w:szCs w:val="24"/>
          <w:lang w:val="en-GB"/>
        </w:rPr>
        <w:t>*p&lt;.050</w:t>
      </w:r>
    </w:p>
    <w:p w14:paraId="3D4A0515" w14:textId="17239BC8" w:rsidR="00E81339" w:rsidRPr="00640AE1" w:rsidRDefault="00BF6903">
      <w:pPr>
        <w:pStyle w:val="Body"/>
        <w:rPr>
          <w:sz w:val="24"/>
          <w:lang w:val="en-GB"/>
        </w:rPr>
      </w:pPr>
      <w:r w:rsidRPr="00640AE1">
        <w:rPr>
          <w:b/>
          <w:bCs/>
          <w:sz w:val="24"/>
          <w:lang w:val="en-GB"/>
        </w:rPr>
        <w:t xml:space="preserve">Table </w:t>
      </w:r>
      <w:r w:rsidR="00182994" w:rsidRPr="00640AE1">
        <w:rPr>
          <w:b/>
          <w:bCs/>
          <w:sz w:val="24"/>
          <w:lang w:val="en-GB"/>
        </w:rPr>
        <w:t xml:space="preserve">3 </w:t>
      </w:r>
      <w:r w:rsidRPr="00640AE1">
        <w:rPr>
          <w:sz w:val="24"/>
          <w:lang w:val="en-GB"/>
        </w:rPr>
        <w:t>Means and standard deviations before and after treatment.</w:t>
      </w:r>
    </w:p>
    <w:p w14:paraId="5BB1BCD6" w14:textId="77777777" w:rsidR="00E81339" w:rsidRPr="00640AE1" w:rsidRDefault="00E81339">
      <w:pPr>
        <w:pStyle w:val="Body"/>
        <w:rPr>
          <w:sz w:val="24"/>
          <w:lang w:val="en-GB"/>
        </w:rPr>
      </w:pPr>
    </w:p>
    <w:p w14:paraId="4CA63F26" w14:textId="3EA6904C" w:rsidR="00E81339" w:rsidRPr="00640AE1" w:rsidRDefault="00BF6903">
      <w:pPr>
        <w:pStyle w:val="Body"/>
        <w:spacing w:line="480" w:lineRule="auto"/>
        <w:ind w:firstLine="720"/>
        <w:rPr>
          <w:sz w:val="24"/>
          <w:lang w:val="en-GB"/>
        </w:rPr>
      </w:pPr>
      <w:r w:rsidRPr="00640AE1">
        <w:rPr>
          <w:sz w:val="24"/>
          <w:lang w:val="en-GB"/>
        </w:rPr>
        <w:lastRenderedPageBreak/>
        <w:t>Change scores were calculate</w:t>
      </w:r>
      <w:r w:rsidR="0094600F" w:rsidRPr="00640AE1">
        <w:rPr>
          <w:sz w:val="24"/>
          <w:lang w:val="en-GB"/>
        </w:rPr>
        <w:t>d for each of the variables</w:t>
      </w:r>
      <w:r w:rsidRPr="00640AE1">
        <w:rPr>
          <w:sz w:val="24"/>
          <w:lang w:val="en-GB"/>
        </w:rPr>
        <w:t>. There were significant positive correlations between changes in emotional suppression and beliefs about emotions and distress. Changes in distress were also significantly related to changes in global impact and changes in emotional suppression, and the relationship between distress and beliefs about emotions was marginally significant</w:t>
      </w:r>
      <w:r w:rsidR="0094600F" w:rsidRPr="00640AE1">
        <w:rPr>
          <w:sz w:val="24"/>
          <w:lang w:val="en-GB"/>
        </w:rPr>
        <w:t xml:space="preserve"> (see Table </w:t>
      </w:r>
      <w:r w:rsidR="00182994" w:rsidRPr="00640AE1">
        <w:rPr>
          <w:sz w:val="24"/>
          <w:lang w:val="en-GB"/>
        </w:rPr>
        <w:t>4</w:t>
      </w:r>
      <w:r w:rsidR="0094600F" w:rsidRPr="00640AE1">
        <w:rPr>
          <w:sz w:val="24"/>
          <w:lang w:val="en-GB"/>
        </w:rPr>
        <w:t>)</w:t>
      </w:r>
      <w:r w:rsidRPr="00640AE1">
        <w:rPr>
          <w:sz w:val="24"/>
          <w:lang w:val="en-GB"/>
        </w:rPr>
        <w:t xml:space="preserve">. </w:t>
      </w:r>
      <w:r w:rsidR="00DA68D4" w:rsidRPr="00640AE1">
        <w:rPr>
          <w:sz w:val="24"/>
          <w:lang w:val="en-GB"/>
        </w:rPr>
        <w:t>C</w:t>
      </w:r>
      <w:r w:rsidR="00541FAD" w:rsidRPr="00640AE1">
        <w:rPr>
          <w:sz w:val="24"/>
          <w:lang w:val="en-GB"/>
        </w:rPr>
        <w:t xml:space="preserve">orrelations were significant, </w:t>
      </w:r>
      <w:r w:rsidR="00DA68D4" w:rsidRPr="00640AE1">
        <w:rPr>
          <w:sz w:val="24"/>
          <w:lang w:val="en-GB"/>
        </w:rPr>
        <w:t xml:space="preserve">however </w:t>
      </w:r>
      <w:r w:rsidR="00541FAD" w:rsidRPr="00640AE1">
        <w:rPr>
          <w:sz w:val="24"/>
          <w:lang w:val="en-GB"/>
        </w:rPr>
        <w:t xml:space="preserve">they were low, </w:t>
      </w:r>
      <w:r w:rsidR="00ED1594" w:rsidRPr="00640AE1">
        <w:rPr>
          <w:sz w:val="24"/>
          <w:lang w:val="en-GB"/>
        </w:rPr>
        <w:t>except</w:t>
      </w:r>
      <w:r w:rsidR="00541FAD" w:rsidRPr="00640AE1">
        <w:rPr>
          <w:sz w:val="24"/>
          <w:lang w:val="en-GB"/>
        </w:rPr>
        <w:t xml:space="preserve"> the correlation between changes in distress and global impact</w:t>
      </w:r>
      <w:r w:rsidR="00ED1594" w:rsidRPr="00640AE1">
        <w:rPr>
          <w:sz w:val="24"/>
          <w:lang w:val="en-GB"/>
        </w:rPr>
        <w:t xml:space="preserve"> which</w:t>
      </w:r>
      <w:r w:rsidR="00541FAD" w:rsidRPr="00640AE1">
        <w:rPr>
          <w:sz w:val="24"/>
          <w:lang w:val="en-GB"/>
        </w:rPr>
        <w:t xml:space="preserve"> was moderate</w:t>
      </w:r>
      <w:r w:rsidR="00182994" w:rsidRPr="00640AE1">
        <w:rPr>
          <w:sz w:val="24"/>
          <w:lang w:val="en-GB"/>
        </w:rPr>
        <w:t xml:space="preserve"> </w:t>
      </w:r>
      <w:r w:rsidR="00182994" w:rsidRPr="00640AE1">
        <w:rPr>
          <w:sz w:val="24"/>
          <w:lang w:val="en-GB"/>
        </w:rPr>
        <w:fldChar w:fldCharType="begin" w:fldLock="1"/>
      </w:r>
      <w:r w:rsidR="00D63EE9" w:rsidRPr="00640AE1">
        <w:rPr>
          <w:sz w:val="24"/>
          <w:lang w:val="en-GB"/>
        </w:rPr>
        <w:instrText>ADDIN CSL_CITATION {"citationItems":[{"id":"ITEM-1","itemData":{"ISSN":"1995-7270","PMID":"23638278","abstract":"Correlation is a statistical method used to assess a possible linear association between two continuous variables. It is simple both to calculate and to interpret. However, misuse of correlation is so common among researchers that some statisticians have wished that the method had never been devised at all. The aim of this article is to provide a guide to appropriate use of correlation in medical research and to highlight some misuse. Examples of the applications of the correlation coefficient have been provided using data from statistical simulations as well as real data. Rule of thumb for interpreting size of a correlation coefficient has been provided.","author":[{"dropping-particle":"","family":"Mukaka","given":"M M","non-dropping-particle":"","parse-names":false,"suffix":""}],"container-title":"Malawi medical journal : the journal of Medical Association of Malawi","id":"ITEM-1","issue":"3","issued":{"date-parts":[["2012","9"]]},"page":"69-71","publisher":"Medical Association of Malawi","title":"Statistics corner: A guide to appropriate use of correlation coefficient in medical research.","type":"article-journal","volume":"24"},"uris":["http://www.mendeley.com/documents/?uuid=b9c82e18-30b1-3999-95a6-995811be19d7"]}],"mendeley":{"formattedCitation":"(28)","plainTextFormattedCitation":"(28)","previouslyFormattedCitation":"(28)"},"properties":{"noteIndex":0},"schema":"https://github.com/citation-style-language/schema/raw/master/csl-citation.json"}</w:instrText>
      </w:r>
      <w:r w:rsidR="00182994" w:rsidRPr="00640AE1">
        <w:rPr>
          <w:sz w:val="24"/>
          <w:lang w:val="en-GB"/>
        </w:rPr>
        <w:fldChar w:fldCharType="separate"/>
      </w:r>
      <w:r w:rsidR="003E246C" w:rsidRPr="00640AE1">
        <w:rPr>
          <w:noProof/>
          <w:sz w:val="24"/>
          <w:lang w:val="en-GB"/>
        </w:rPr>
        <w:t>(28)</w:t>
      </w:r>
      <w:r w:rsidR="00182994" w:rsidRPr="00640AE1">
        <w:rPr>
          <w:sz w:val="24"/>
          <w:lang w:val="en-GB"/>
        </w:rPr>
        <w:fldChar w:fldCharType="end"/>
      </w:r>
      <w:r w:rsidR="00182994" w:rsidRPr="00640AE1">
        <w:rPr>
          <w:sz w:val="24"/>
          <w:lang w:val="en-GB"/>
        </w:rPr>
        <w:t>.</w:t>
      </w:r>
    </w:p>
    <w:p w14:paraId="20D173BE" w14:textId="77777777" w:rsidR="00E81339" w:rsidRPr="00640AE1" w:rsidRDefault="00E81339">
      <w:pPr>
        <w:pStyle w:val="Body"/>
        <w:rPr>
          <w:lang w:val="en-GB"/>
        </w:rPr>
      </w:pPr>
    </w:p>
    <w:p w14:paraId="1E51F8D2" w14:textId="77777777" w:rsidR="00E81339" w:rsidRPr="00640AE1" w:rsidRDefault="00E81339">
      <w:pPr>
        <w:pStyle w:val="Body"/>
        <w:rPr>
          <w:lang w:val="en-GB"/>
        </w:rPr>
      </w:pPr>
    </w:p>
    <w:tbl>
      <w:tblPr>
        <w:tblW w:w="79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8"/>
        <w:gridCol w:w="971"/>
        <w:gridCol w:w="1021"/>
        <w:gridCol w:w="708"/>
        <w:gridCol w:w="659"/>
        <w:gridCol w:w="475"/>
        <w:gridCol w:w="851"/>
        <w:gridCol w:w="992"/>
      </w:tblGrid>
      <w:tr w:rsidR="00E81339" w:rsidRPr="00640AE1" w14:paraId="3368F0DD" w14:textId="77777777">
        <w:trPr>
          <w:trHeight w:val="730"/>
        </w:trPr>
        <w:tc>
          <w:tcPr>
            <w:tcW w:w="2268" w:type="dxa"/>
            <w:tcBorders>
              <w:top w:val="single" w:sz="12" w:space="0" w:color="000000"/>
              <w:left w:val="nil"/>
              <w:bottom w:val="single" w:sz="12" w:space="0" w:color="000000"/>
              <w:right w:val="nil"/>
            </w:tcBorders>
            <w:shd w:val="clear" w:color="auto" w:fill="auto"/>
            <w:tcMar>
              <w:top w:w="80" w:type="dxa"/>
              <w:left w:w="931" w:type="dxa"/>
              <w:bottom w:w="80" w:type="dxa"/>
              <w:right w:w="80" w:type="dxa"/>
            </w:tcMar>
          </w:tcPr>
          <w:p w14:paraId="49C35DFD" w14:textId="77777777" w:rsidR="00E81339" w:rsidRPr="00640AE1" w:rsidRDefault="00E81339"/>
        </w:tc>
        <w:tc>
          <w:tcPr>
            <w:tcW w:w="1992"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6F99A9C" w14:textId="77777777" w:rsidR="00E81339" w:rsidRPr="00640AE1" w:rsidRDefault="00BF6903">
            <w:pPr>
              <w:pStyle w:val="Body"/>
              <w:spacing w:after="0" w:line="360" w:lineRule="auto"/>
              <w:jc w:val="center"/>
              <w:rPr>
                <w:lang w:val="en-GB"/>
              </w:rPr>
            </w:pPr>
            <w:r w:rsidRPr="00640AE1">
              <w:rPr>
                <w:sz w:val="24"/>
                <w:szCs w:val="24"/>
                <w:lang w:val="en-GB"/>
              </w:rPr>
              <w:t>Emotional suppression</w:t>
            </w:r>
          </w:p>
        </w:tc>
        <w:tc>
          <w:tcPr>
            <w:tcW w:w="1367"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0AD3B80" w14:textId="77777777" w:rsidR="00E81339" w:rsidRPr="00640AE1" w:rsidRDefault="00BF6903">
            <w:pPr>
              <w:pStyle w:val="Body"/>
              <w:spacing w:after="0" w:line="360" w:lineRule="auto"/>
              <w:jc w:val="center"/>
              <w:rPr>
                <w:lang w:val="en-GB"/>
              </w:rPr>
            </w:pPr>
            <w:r w:rsidRPr="00640AE1">
              <w:rPr>
                <w:sz w:val="24"/>
                <w:szCs w:val="24"/>
                <w:lang w:val="en-GB"/>
              </w:rPr>
              <w:t>Distress</w:t>
            </w:r>
          </w:p>
        </w:tc>
        <w:tc>
          <w:tcPr>
            <w:tcW w:w="2318" w:type="dxa"/>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0D05565" w14:textId="77777777" w:rsidR="00E81339" w:rsidRPr="00640AE1" w:rsidRDefault="00BF6903">
            <w:pPr>
              <w:pStyle w:val="Body"/>
              <w:spacing w:after="0" w:line="360" w:lineRule="auto"/>
              <w:jc w:val="center"/>
              <w:rPr>
                <w:lang w:val="en-GB"/>
              </w:rPr>
            </w:pPr>
            <w:r w:rsidRPr="00640AE1">
              <w:rPr>
                <w:sz w:val="24"/>
                <w:szCs w:val="24"/>
                <w:lang w:val="en-GB"/>
              </w:rPr>
              <w:t>Global impact</w:t>
            </w:r>
          </w:p>
        </w:tc>
      </w:tr>
      <w:tr w:rsidR="00E81339" w:rsidRPr="00640AE1" w14:paraId="47D06ECC" w14:textId="77777777">
        <w:trPr>
          <w:trHeight w:val="295"/>
        </w:trPr>
        <w:tc>
          <w:tcPr>
            <w:tcW w:w="2268" w:type="dxa"/>
            <w:tcBorders>
              <w:top w:val="single" w:sz="12" w:space="0" w:color="000000"/>
              <w:left w:val="nil"/>
              <w:bottom w:val="nil"/>
              <w:right w:val="nil"/>
            </w:tcBorders>
            <w:shd w:val="clear" w:color="auto" w:fill="auto"/>
            <w:tcMar>
              <w:top w:w="80" w:type="dxa"/>
              <w:left w:w="931" w:type="dxa"/>
              <w:bottom w:w="80" w:type="dxa"/>
              <w:right w:w="80" w:type="dxa"/>
            </w:tcMar>
          </w:tcPr>
          <w:p w14:paraId="5BED1AB6" w14:textId="77777777" w:rsidR="00E81339" w:rsidRPr="00640AE1" w:rsidRDefault="00E81339"/>
        </w:tc>
        <w:tc>
          <w:tcPr>
            <w:tcW w:w="971" w:type="dxa"/>
            <w:tcBorders>
              <w:top w:val="single" w:sz="12" w:space="0" w:color="000000"/>
              <w:left w:val="nil"/>
              <w:bottom w:val="nil"/>
              <w:right w:val="nil"/>
            </w:tcBorders>
            <w:shd w:val="clear" w:color="auto" w:fill="auto"/>
            <w:tcMar>
              <w:top w:w="80" w:type="dxa"/>
              <w:left w:w="80" w:type="dxa"/>
              <w:bottom w:w="80" w:type="dxa"/>
              <w:right w:w="80" w:type="dxa"/>
            </w:tcMar>
          </w:tcPr>
          <w:p w14:paraId="32269C73" w14:textId="77777777" w:rsidR="00E81339" w:rsidRPr="00640AE1" w:rsidRDefault="00BF6903">
            <w:pPr>
              <w:pStyle w:val="Body"/>
              <w:spacing w:after="0" w:line="360" w:lineRule="auto"/>
              <w:jc w:val="both"/>
              <w:rPr>
                <w:lang w:val="en-GB"/>
              </w:rPr>
            </w:pPr>
            <w:r w:rsidRPr="00640AE1">
              <w:rPr>
                <w:sz w:val="24"/>
                <w:szCs w:val="24"/>
                <w:lang w:val="en-GB"/>
              </w:rPr>
              <w:t>r</w:t>
            </w:r>
          </w:p>
        </w:tc>
        <w:tc>
          <w:tcPr>
            <w:tcW w:w="1021" w:type="dxa"/>
            <w:tcBorders>
              <w:top w:val="single" w:sz="12" w:space="0" w:color="000000"/>
              <w:left w:val="nil"/>
              <w:bottom w:val="nil"/>
              <w:right w:val="nil"/>
            </w:tcBorders>
            <w:shd w:val="clear" w:color="auto" w:fill="auto"/>
            <w:tcMar>
              <w:top w:w="80" w:type="dxa"/>
              <w:left w:w="80" w:type="dxa"/>
              <w:bottom w:w="80" w:type="dxa"/>
              <w:right w:w="80" w:type="dxa"/>
            </w:tcMar>
          </w:tcPr>
          <w:p w14:paraId="0E4CA393" w14:textId="77777777" w:rsidR="00E81339" w:rsidRPr="00640AE1" w:rsidRDefault="00BF6903">
            <w:pPr>
              <w:pStyle w:val="Body"/>
              <w:spacing w:after="0" w:line="360" w:lineRule="auto"/>
              <w:jc w:val="both"/>
              <w:rPr>
                <w:lang w:val="en-GB"/>
              </w:rPr>
            </w:pPr>
            <w:r w:rsidRPr="00640AE1">
              <w:rPr>
                <w:sz w:val="24"/>
                <w:szCs w:val="24"/>
                <w:lang w:val="en-GB"/>
              </w:rPr>
              <w:t>p</w:t>
            </w:r>
          </w:p>
        </w:tc>
        <w:tc>
          <w:tcPr>
            <w:tcW w:w="708" w:type="dxa"/>
            <w:tcBorders>
              <w:top w:val="single" w:sz="12" w:space="0" w:color="000000"/>
              <w:left w:val="nil"/>
              <w:bottom w:val="nil"/>
              <w:right w:val="nil"/>
            </w:tcBorders>
            <w:shd w:val="clear" w:color="auto" w:fill="auto"/>
            <w:tcMar>
              <w:top w:w="80" w:type="dxa"/>
              <w:left w:w="80" w:type="dxa"/>
              <w:bottom w:w="80" w:type="dxa"/>
              <w:right w:w="80" w:type="dxa"/>
            </w:tcMar>
          </w:tcPr>
          <w:p w14:paraId="2D2BEFEE" w14:textId="77777777" w:rsidR="00E81339" w:rsidRPr="00640AE1" w:rsidRDefault="00BF6903">
            <w:pPr>
              <w:pStyle w:val="Body"/>
              <w:spacing w:after="0" w:line="360" w:lineRule="auto"/>
              <w:jc w:val="both"/>
              <w:rPr>
                <w:lang w:val="en-GB"/>
              </w:rPr>
            </w:pPr>
            <w:r w:rsidRPr="00640AE1">
              <w:rPr>
                <w:sz w:val="24"/>
                <w:szCs w:val="24"/>
                <w:lang w:val="en-GB"/>
              </w:rPr>
              <w:t>r</w:t>
            </w:r>
          </w:p>
        </w:tc>
        <w:tc>
          <w:tcPr>
            <w:tcW w:w="1134" w:type="dxa"/>
            <w:gridSpan w:val="2"/>
            <w:tcBorders>
              <w:top w:val="single" w:sz="12" w:space="0" w:color="000000"/>
              <w:left w:val="nil"/>
              <w:bottom w:val="nil"/>
              <w:right w:val="nil"/>
            </w:tcBorders>
            <w:shd w:val="clear" w:color="auto" w:fill="auto"/>
            <w:tcMar>
              <w:top w:w="80" w:type="dxa"/>
              <w:left w:w="80" w:type="dxa"/>
              <w:bottom w:w="80" w:type="dxa"/>
              <w:right w:w="80" w:type="dxa"/>
            </w:tcMar>
          </w:tcPr>
          <w:p w14:paraId="09A059C7" w14:textId="77777777" w:rsidR="00E81339" w:rsidRPr="00640AE1" w:rsidRDefault="00BF6903">
            <w:pPr>
              <w:pStyle w:val="Body"/>
              <w:spacing w:after="0" w:line="360" w:lineRule="auto"/>
              <w:jc w:val="both"/>
              <w:rPr>
                <w:lang w:val="en-GB"/>
              </w:rPr>
            </w:pPr>
            <w:r w:rsidRPr="00640AE1">
              <w:rPr>
                <w:sz w:val="24"/>
                <w:szCs w:val="24"/>
                <w:lang w:val="en-GB"/>
              </w:rPr>
              <w:t>p</w:t>
            </w:r>
          </w:p>
        </w:tc>
        <w:tc>
          <w:tcPr>
            <w:tcW w:w="851" w:type="dxa"/>
            <w:tcBorders>
              <w:top w:val="single" w:sz="12" w:space="0" w:color="000000"/>
              <w:left w:val="nil"/>
              <w:bottom w:val="nil"/>
              <w:right w:val="nil"/>
            </w:tcBorders>
            <w:shd w:val="clear" w:color="auto" w:fill="auto"/>
            <w:tcMar>
              <w:top w:w="80" w:type="dxa"/>
              <w:left w:w="80" w:type="dxa"/>
              <w:bottom w:w="80" w:type="dxa"/>
              <w:right w:w="80" w:type="dxa"/>
            </w:tcMar>
          </w:tcPr>
          <w:p w14:paraId="67A0D260" w14:textId="77777777" w:rsidR="00E81339" w:rsidRPr="00640AE1" w:rsidRDefault="00BF6903">
            <w:pPr>
              <w:pStyle w:val="Body"/>
              <w:spacing w:after="0" w:line="360" w:lineRule="auto"/>
              <w:jc w:val="both"/>
              <w:rPr>
                <w:lang w:val="en-GB"/>
              </w:rPr>
            </w:pPr>
            <w:r w:rsidRPr="00640AE1">
              <w:rPr>
                <w:sz w:val="24"/>
                <w:szCs w:val="24"/>
                <w:lang w:val="en-GB"/>
              </w:rPr>
              <w:t>r</w:t>
            </w:r>
          </w:p>
        </w:tc>
        <w:tc>
          <w:tcPr>
            <w:tcW w:w="992" w:type="dxa"/>
            <w:tcBorders>
              <w:top w:val="single" w:sz="12" w:space="0" w:color="000000"/>
              <w:left w:val="nil"/>
              <w:bottom w:val="nil"/>
              <w:right w:val="nil"/>
            </w:tcBorders>
            <w:shd w:val="clear" w:color="auto" w:fill="auto"/>
            <w:tcMar>
              <w:top w:w="80" w:type="dxa"/>
              <w:left w:w="80" w:type="dxa"/>
              <w:bottom w:w="80" w:type="dxa"/>
              <w:right w:w="80" w:type="dxa"/>
            </w:tcMar>
          </w:tcPr>
          <w:p w14:paraId="1FB397BA" w14:textId="77777777" w:rsidR="00E81339" w:rsidRPr="00640AE1" w:rsidRDefault="00BF6903">
            <w:pPr>
              <w:pStyle w:val="Body"/>
              <w:spacing w:after="0" w:line="360" w:lineRule="auto"/>
              <w:jc w:val="both"/>
              <w:rPr>
                <w:lang w:val="en-GB"/>
              </w:rPr>
            </w:pPr>
            <w:r w:rsidRPr="00640AE1">
              <w:rPr>
                <w:sz w:val="24"/>
                <w:szCs w:val="24"/>
                <w:lang w:val="en-GB"/>
              </w:rPr>
              <w:t>p</w:t>
            </w:r>
          </w:p>
        </w:tc>
      </w:tr>
      <w:tr w:rsidR="00E81339" w:rsidRPr="00640AE1" w14:paraId="22136428" w14:textId="77777777">
        <w:trPr>
          <w:trHeight w:val="700"/>
        </w:trPr>
        <w:tc>
          <w:tcPr>
            <w:tcW w:w="2268" w:type="dxa"/>
            <w:tcBorders>
              <w:top w:val="nil"/>
              <w:left w:val="nil"/>
              <w:bottom w:val="nil"/>
              <w:right w:val="nil"/>
            </w:tcBorders>
            <w:shd w:val="clear" w:color="auto" w:fill="auto"/>
            <w:tcMar>
              <w:top w:w="80" w:type="dxa"/>
              <w:left w:w="80" w:type="dxa"/>
              <w:bottom w:w="80" w:type="dxa"/>
              <w:right w:w="80" w:type="dxa"/>
            </w:tcMar>
          </w:tcPr>
          <w:p w14:paraId="223752BD" w14:textId="77777777" w:rsidR="00E81339" w:rsidRPr="00640AE1" w:rsidRDefault="00BF6903">
            <w:pPr>
              <w:pStyle w:val="Body"/>
              <w:spacing w:after="0" w:line="360" w:lineRule="auto"/>
              <w:rPr>
                <w:lang w:val="en-GB"/>
              </w:rPr>
            </w:pPr>
            <w:r w:rsidRPr="00640AE1">
              <w:rPr>
                <w:sz w:val="24"/>
                <w:szCs w:val="24"/>
                <w:lang w:val="en-GB"/>
              </w:rPr>
              <w:t>Beliefs about emotions</w:t>
            </w:r>
          </w:p>
        </w:tc>
        <w:tc>
          <w:tcPr>
            <w:tcW w:w="971" w:type="dxa"/>
            <w:tcBorders>
              <w:top w:val="nil"/>
              <w:left w:val="nil"/>
              <w:bottom w:val="nil"/>
              <w:right w:val="nil"/>
            </w:tcBorders>
            <w:shd w:val="clear" w:color="auto" w:fill="auto"/>
            <w:tcMar>
              <w:top w:w="80" w:type="dxa"/>
              <w:left w:w="80" w:type="dxa"/>
              <w:bottom w:w="80" w:type="dxa"/>
              <w:right w:w="80" w:type="dxa"/>
            </w:tcMar>
          </w:tcPr>
          <w:p w14:paraId="3F6DF334" w14:textId="77777777" w:rsidR="00E81339" w:rsidRPr="00640AE1" w:rsidRDefault="00BF6903">
            <w:pPr>
              <w:pStyle w:val="Body"/>
              <w:spacing w:after="0" w:line="360" w:lineRule="auto"/>
              <w:jc w:val="both"/>
              <w:rPr>
                <w:lang w:val="en-GB"/>
              </w:rPr>
            </w:pPr>
            <w:r w:rsidRPr="00640AE1">
              <w:rPr>
                <w:sz w:val="24"/>
                <w:szCs w:val="24"/>
                <w:lang w:val="en-GB"/>
              </w:rPr>
              <w:t>.378</w:t>
            </w:r>
          </w:p>
        </w:tc>
        <w:tc>
          <w:tcPr>
            <w:tcW w:w="1021" w:type="dxa"/>
            <w:tcBorders>
              <w:top w:val="nil"/>
              <w:left w:val="nil"/>
              <w:bottom w:val="nil"/>
              <w:right w:val="nil"/>
            </w:tcBorders>
            <w:shd w:val="clear" w:color="auto" w:fill="auto"/>
            <w:tcMar>
              <w:top w:w="80" w:type="dxa"/>
              <w:left w:w="80" w:type="dxa"/>
              <w:bottom w:w="80" w:type="dxa"/>
              <w:right w:w="80" w:type="dxa"/>
            </w:tcMar>
          </w:tcPr>
          <w:p w14:paraId="7817E3DC" w14:textId="77777777" w:rsidR="00E81339" w:rsidRPr="00640AE1" w:rsidRDefault="00BF6903">
            <w:pPr>
              <w:pStyle w:val="Body"/>
              <w:spacing w:after="0" w:line="360" w:lineRule="auto"/>
              <w:jc w:val="both"/>
              <w:rPr>
                <w:lang w:val="en-GB"/>
              </w:rPr>
            </w:pPr>
            <w:r w:rsidRPr="00640AE1">
              <w:rPr>
                <w:sz w:val="24"/>
                <w:szCs w:val="24"/>
                <w:lang w:val="en-GB"/>
              </w:rPr>
              <w:t>.019*</w:t>
            </w:r>
          </w:p>
        </w:tc>
        <w:tc>
          <w:tcPr>
            <w:tcW w:w="708" w:type="dxa"/>
            <w:tcBorders>
              <w:top w:val="nil"/>
              <w:left w:val="nil"/>
              <w:bottom w:val="nil"/>
              <w:right w:val="nil"/>
            </w:tcBorders>
            <w:shd w:val="clear" w:color="auto" w:fill="auto"/>
            <w:tcMar>
              <w:top w:w="80" w:type="dxa"/>
              <w:left w:w="80" w:type="dxa"/>
              <w:bottom w:w="80" w:type="dxa"/>
              <w:right w:w="80" w:type="dxa"/>
            </w:tcMar>
          </w:tcPr>
          <w:p w14:paraId="478D642F" w14:textId="77777777" w:rsidR="00E81339" w:rsidRPr="00640AE1" w:rsidRDefault="00BF6903">
            <w:pPr>
              <w:pStyle w:val="Body"/>
              <w:spacing w:after="0" w:line="360" w:lineRule="auto"/>
              <w:jc w:val="both"/>
              <w:rPr>
                <w:lang w:val="en-GB"/>
              </w:rPr>
            </w:pPr>
            <w:r w:rsidRPr="00640AE1">
              <w:rPr>
                <w:sz w:val="24"/>
                <w:szCs w:val="24"/>
                <w:lang w:val="en-GB"/>
              </w:rPr>
              <w:t>.307</w:t>
            </w:r>
          </w:p>
        </w:tc>
        <w:tc>
          <w:tcPr>
            <w:tcW w:w="1134" w:type="dxa"/>
            <w:gridSpan w:val="2"/>
            <w:tcBorders>
              <w:top w:val="nil"/>
              <w:left w:val="nil"/>
              <w:bottom w:val="nil"/>
              <w:right w:val="nil"/>
            </w:tcBorders>
            <w:shd w:val="clear" w:color="auto" w:fill="auto"/>
            <w:tcMar>
              <w:top w:w="80" w:type="dxa"/>
              <w:left w:w="80" w:type="dxa"/>
              <w:bottom w:w="80" w:type="dxa"/>
              <w:right w:w="80" w:type="dxa"/>
            </w:tcMar>
          </w:tcPr>
          <w:p w14:paraId="16494342" w14:textId="77777777" w:rsidR="00E81339" w:rsidRPr="00640AE1" w:rsidRDefault="00BF6903">
            <w:pPr>
              <w:pStyle w:val="Body"/>
              <w:spacing w:after="0" w:line="360" w:lineRule="auto"/>
              <w:jc w:val="both"/>
              <w:rPr>
                <w:lang w:val="en-GB"/>
              </w:rPr>
            </w:pPr>
            <w:r w:rsidRPr="00640AE1">
              <w:rPr>
                <w:sz w:val="24"/>
                <w:szCs w:val="24"/>
                <w:lang w:val="en-GB"/>
              </w:rPr>
              <w:t>.054</w:t>
            </w:r>
          </w:p>
        </w:tc>
        <w:tc>
          <w:tcPr>
            <w:tcW w:w="851" w:type="dxa"/>
            <w:tcBorders>
              <w:top w:val="nil"/>
              <w:left w:val="nil"/>
              <w:bottom w:val="nil"/>
              <w:right w:val="nil"/>
            </w:tcBorders>
            <w:shd w:val="clear" w:color="auto" w:fill="auto"/>
            <w:tcMar>
              <w:top w:w="80" w:type="dxa"/>
              <w:left w:w="80" w:type="dxa"/>
              <w:bottom w:w="80" w:type="dxa"/>
              <w:right w:w="80" w:type="dxa"/>
            </w:tcMar>
          </w:tcPr>
          <w:p w14:paraId="13A5E8D6" w14:textId="77777777" w:rsidR="00E81339" w:rsidRPr="00640AE1" w:rsidRDefault="00BF6903">
            <w:pPr>
              <w:pStyle w:val="Body"/>
              <w:spacing w:after="0" w:line="360" w:lineRule="auto"/>
              <w:jc w:val="both"/>
              <w:rPr>
                <w:lang w:val="en-GB"/>
              </w:rPr>
            </w:pPr>
            <w:r w:rsidRPr="00640AE1">
              <w:rPr>
                <w:sz w:val="24"/>
                <w:szCs w:val="24"/>
                <w:lang w:val="en-GB"/>
              </w:rPr>
              <w:t>.061</w:t>
            </w:r>
          </w:p>
        </w:tc>
        <w:tc>
          <w:tcPr>
            <w:tcW w:w="992" w:type="dxa"/>
            <w:tcBorders>
              <w:top w:val="nil"/>
              <w:left w:val="nil"/>
              <w:bottom w:val="nil"/>
              <w:right w:val="nil"/>
            </w:tcBorders>
            <w:shd w:val="clear" w:color="auto" w:fill="auto"/>
            <w:tcMar>
              <w:top w:w="80" w:type="dxa"/>
              <w:left w:w="80" w:type="dxa"/>
              <w:bottom w:w="80" w:type="dxa"/>
              <w:right w:w="80" w:type="dxa"/>
            </w:tcMar>
          </w:tcPr>
          <w:p w14:paraId="5EE21383" w14:textId="77777777" w:rsidR="00E81339" w:rsidRPr="00640AE1" w:rsidRDefault="00BF6903">
            <w:pPr>
              <w:pStyle w:val="Body"/>
              <w:spacing w:after="0" w:line="360" w:lineRule="auto"/>
              <w:jc w:val="both"/>
              <w:rPr>
                <w:lang w:val="en-GB"/>
              </w:rPr>
            </w:pPr>
            <w:r w:rsidRPr="00640AE1">
              <w:rPr>
                <w:sz w:val="24"/>
                <w:szCs w:val="24"/>
                <w:lang w:val="en-GB"/>
              </w:rPr>
              <w:t xml:space="preserve">  .714</w:t>
            </w:r>
          </w:p>
        </w:tc>
      </w:tr>
      <w:tr w:rsidR="00E81339" w:rsidRPr="00640AE1" w14:paraId="71DF20F4" w14:textId="77777777">
        <w:trPr>
          <w:trHeight w:val="700"/>
        </w:trPr>
        <w:tc>
          <w:tcPr>
            <w:tcW w:w="2268" w:type="dxa"/>
            <w:tcBorders>
              <w:top w:val="nil"/>
              <w:left w:val="nil"/>
              <w:bottom w:val="nil"/>
              <w:right w:val="nil"/>
            </w:tcBorders>
            <w:shd w:val="clear" w:color="auto" w:fill="auto"/>
            <w:tcMar>
              <w:top w:w="80" w:type="dxa"/>
              <w:left w:w="80" w:type="dxa"/>
              <w:bottom w:w="80" w:type="dxa"/>
              <w:right w:w="80" w:type="dxa"/>
            </w:tcMar>
          </w:tcPr>
          <w:p w14:paraId="5CF604A8" w14:textId="77777777" w:rsidR="00E81339" w:rsidRPr="00640AE1" w:rsidRDefault="00BF6903">
            <w:pPr>
              <w:pStyle w:val="Body"/>
              <w:spacing w:after="0" w:line="360" w:lineRule="auto"/>
              <w:rPr>
                <w:lang w:val="en-GB"/>
              </w:rPr>
            </w:pPr>
            <w:r w:rsidRPr="00640AE1">
              <w:rPr>
                <w:sz w:val="24"/>
                <w:szCs w:val="24"/>
                <w:lang w:val="en-GB"/>
              </w:rPr>
              <w:t>Emotional suppression</w:t>
            </w:r>
          </w:p>
        </w:tc>
        <w:tc>
          <w:tcPr>
            <w:tcW w:w="971" w:type="dxa"/>
            <w:tcBorders>
              <w:top w:val="nil"/>
              <w:left w:val="nil"/>
              <w:bottom w:val="nil"/>
              <w:right w:val="nil"/>
            </w:tcBorders>
            <w:shd w:val="clear" w:color="auto" w:fill="auto"/>
            <w:tcMar>
              <w:top w:w="80" w:type="dxa"/>
              <w:left w:w="80" w:type="dxa"/>
              <w:bottom w:w="80" w:type="dxa"/>
              <w:right w:w="80" w:type="dxa"/>
            </w:tcMar>
          </w:tcPr>
          <w:p w14:paraId="651D8EB9" w14:textId="77777777" w:rsidR="00E81339" w:rsidRPr="00640AE1" w:rsidRDefault="00BF6903">
            <w:pPr>
              <w:pStyle w:val="Body"/>
              <w:spacing w:after="0" w:line="360" w:lineRule="auto"/>
              <w:jc w:val="both"/>
              <w:rPr>
                <w:lang w:val="en-GB"/>
              </w:rPr>
            </w:pPr>
            <w:r w:rsidRPr="00640AE1">
              <w:rPr>
                <w:sz w:val="24"/>
                <w:szCs w:val="24"/>
                <w:lang w:val="en-GB"/>
              </w:rPr>
              <w:t>-</w:t>
            </w:r>
          </w:p>
        </w:tc>
        <w:tc>
          <w:tcPr>
            <w:tcW w:w="1021" w:type="dxa"/>
            <w:tcBorders>
              <w:top w:val="nil"/>
              <w:left w:val="nil"/>
              <w:bottom w:val="nil"/>
              <w:right w:val="nil"/>
            </w:tcBorders>
            <w:shd w:val="clear" w:color="auto" w:fill="auto"/>
            <w:tcMar>
              <w:top w:w="80" w:type="dxa"/>
              <w:left w:w="80" w:type="dxa"/>
              <w:bottom w:w="80" w:type="dxa"/>
              <w:right w:w="80" w:type="dxa"/>
            </w:tcMar>
          </w:tcPr>
          <w:p w14:paraId="39F94C6A" w14:textId="77777777" w:rsidR="00E81339" w:rsidRPr="00640AE1" w:rsidRDefault="00BF6903">
            <w:pPr>
              <w:pStyle w:val="Body"/>
              <w:spacing w:after="0" w:line="360" w:lineRule="auto"/>
              <w:jc w:val="both"/>
              <w:rPr>
                <w:lang w:val="en-GB"/>
              </w:rPr>
            </w:pPr>
            <w:r w:rsidRPr="00640AE1">
              <w:rPr>
                <w:sz w:val="24"/>
                <w:szCs w:val="24"/>
                <w:lang w:val="en-GB"/>
              </w:rPr>
              <w:t>-</w:t>
            </w:r>
          </w:p>
        </w:tc>
        <w:tc>
          <w:tcPr>
            <w:tcW w:w="708" w:type="dxa"/>
            <w:tcBorders>
              <w:top w:val="nil"/>
              <w:left w:val="nil"/>
              <w:bottom w:val="nil"/>
              <w:right w:val="nil"/>
            </w:tcBorders>
            <w:shd w:val="clear" w:color="auto" w:fill="auto"/>
            <w:tcMar>
              <w:top w:w="80" w:type="dxa"/>
              <w:left w:w="80" w:type="dxa"/>
              <w:bottom w:w="80" w:type="dxa"/>
              <w:right w:w="80" w:type="dxa"/>
            </w:tcMar>
          </w:tcPr>
          <w:p w14:paraId="2BF545FE" w14:textId="77777777" w:rsidR="00E81339" w:rsidRPr="00640AE1" w:rsidRDefault="00BF6903">
            <w:pPr>
              <w:pStyle w:val="Body"/>
              <w:spacing w:after="0" w:line="360" w:lineRule="auto"/>
              <w:jc w:val="both"/>
              <w:rPr>
                <w:lang w:val="en-GB"/>
              </w:rPr>
            </w:pPr>
            <w:r w:rsidRPr="00640AE1">
              <w:rPr>
                <w:sz w:val="24"/>
                <w:szCs w:val="24"/>
                <w:lang w:val="en-GB"/>
              </w:rPr>
              <w:t>.334</w:t>
            </w:r>
          </w:p>
        </w:tc>
        <w:tc>
          <w:tcPr>
            <w:tcW w:w="1134" w:type="dxa"/>
            <w:gridSpan w:val="2"/>
            <w:tcBorders>
              <w:top w:val="nil"/>
              <w:left w:val="nil"/>
              <w:bottom w:val="nil"/>
              <w:right w:val="nil"/>
            </w:tcBorders>
            <w:shd w:val="clear" w:color="auto" w:fill="auto"/>
            <w:tcMar>
              <w:top w:w="80" w:type="dxa"/>
              <w:left w:w="80" w:type="dxa"/>
              <w:bottom w:w="80" w:type="dxa"/>
              <w:right w:w="80" w:type="dxa"/>
            </w:tcMar>
          </w:tcPr>
          <w:p w14:paraId="7B8ADFAF" w14:textId="77777777" w:rsidR="00E81339" w:rsidRPr="00640AE1" w:rsidRDefault="00BF6903">
            <w:pPr>
              <w:pStyle w:val="Body"/>
              <w:spacing w:after="0" w:line="360" w:lineRule="auto"/>
              <w:jc w:val="both"/>
              <w:rPr>
                <w:lang w:val="en-GB"/>
              </w:rPr>
            </w:pPr>
            <w:r w:rsidRPr="00640AE1">
              <w:rPr>
                <w:sz w:val="24"/>
                <w:szCs w:val="24"/>
                <w:lang w:val="en-GB"/>
              </w:rPr>
              <w:t>.041*</w:t>
            </w:r>
          </w:p>
        </w:tc>
        <w:tc>
          <w:tcPr>
            <w:tcW w:w="851" w:type="dxa"/>
            <w:tcBorders>
              <w:top w:val="nil"/>
              <w:left w:val="nil"/>
              <w:bottom w:val="nil"/>
              <w:right w:val="nil"/>
            </w:tcBorders>
            <w:shd w:val="clear" w:color="auto" w:fill="auto"/>
            <w:tcMar>
              <w:top w:w="80" w:type="dxa"/>
              <w:left w:w="80" w:type="dxa"/>
              <w:bottom w:w="80" w:type="dxa"/>
              <w:right w:w="80" w:type="dxa"/>
            </w:tcMar>
          </w:tcPr>
          <w:p w14:paraId="19B4488B" w14:textId="77777777" w:rsidR="00E81339" w:rsidRPr="00640AE1" w:rsidRDefault="00BF6903">
            <w:pPr>
              <w:pStyle w:val="Body"/>
              <w:spacing w:after="0" w:line="360" w:lineRule="auto"/>
              <w:jc w:val="both"/>
              <w:rPr>
                <w:lang w:val="en-GB"/>
              </w:rPr>
            </w:pPr>
            <w:r w:rsidRPr="00640AE1">
              <w:rPr>
                <w:sz w:val="24"/>
                <w:szCs w:val="24"/>
                <w:lang w:val="en-GB"/>
              </w:rPr>
              <w:t>.105</w:t>
            </w:r>
          </w:p>
        </w:tc>
        <w:tc>
          <w:tcPr>
            <w:tcW w:w="992" w:type="dxa"/>
            <w:tcBorders>
              <w:top w:val="nil"/>
              <w:left w:val="nil"/>
              <w:bottom w:val="nil"/>
              <w:right w:val="nil"/>
            </w:tcBorders>
            <w:shd w:val="clear" w:color="auto" w:fill="auto"/>
            <w:tcMar>
              <w:top w:w="80" w:type="dxa"/>
              <w:left w:w="80" w:type="dxa"/>
              <w:bottom w:w="80" w:type="dxa"/>
              <w:right w:w="80" w:type="dxa"/>
            </w:tcMar>
          </w:tcPr>
          <w:p w14:paraId="344FBBA9" w14:textId="77777777" w:rsidR="00E81339" w:rsidRPr="00640AE1" w:rsidRDefault="00BF6903">
            <w:pPr>
              <w:pStyle w:val="Body"/>
              <w:spacing w:after="0" w:line="360" w:lineRule="auto"/>
              <w:jc w:val="both"/>
              <w:rPr>
                <w:lang w:val="en-GB"/>
              </w:rPr>
            </w:pPr>
            <w:r w:rsidRPr="00640AE1">
              <w:rPr>
                <w:sz w:val="24"/>
                <w:szCs w:val="24"/>
                <w:lang w:val="en-GB"/>
              </w:rPr>
              <w:t xml:space="preserve">  .538</w:t>
            </w:r>
          </w:p>
        </w:tc>
      </w:tr>
      <w:tr w:rsidR="00E81339" w:rsidRPr="00640AE1" w14:paraId="59FB7393" w14:textId="77777777">
        <w:trPr>
          <w:trHeight w:val="295"/>
        </w:trPr>
        <w:tc>
          <w:tcPr>
            <w:tcW w:w="2268" w:type="dxa"/>
            <w:tcBorders>
              <w:top w:val="nil"/>
              <w:left w:val="nil"/>
              <w:bottom w:val="single" w:sz="12" w:space="0" w:color="000000"/>
              <w:right w:val="nil"/>
            </w:tcBorders>
            <w:shd w:val="clear" w:color="auto" w:fill="auto"/>
            <w:tcMar>
              <w:top w:w="80" w:type="dxa"/>
              <w:left w:w="80" w:type="dxa"/>
              <w:bottom w:w="80" w:type="dxa"/>
              <w:right w:w="80" w:type="dxa"/>
            </w:tcMar>
          </w:tcPr>
          <w:p w14:paraId="18001353" w14:textId="77777777" w:rsidR="00E81339" w:rsidRPr="00640AE1" w:rsidRDefault="00BF6903">
            <w:pPr>
              <w:pStyle w:val="Body"/>
              <w:spacing w:after="0" w:line="360" w:lineRule="auto"/>
              <w:rPr>
                <w:lang w:val="en-GB"/>
              </w:rPr>
            </w:pPr>
            <w:r w:rsidRPr="00640AE1">
              <w:rPr>
                <w:sz w:val="24"/>
                <w:szCs w:val="24"/>
                <w:lang w:val="en-GB"/>
              </w:rPr>
              <w:t>Distress</w:t>
            </w:r>
          </w:p>
        </w:tc>
        <w:tc>
          <w:tcPr>
            <w:tcW w:w="971" w:type="dxa"/>
            <w:tcBorders>
              <w:top w:val="nil"/>
              <w:left w:val="nil"/>
              <w:bottom w:val="single" w:sz="12" w:space="0" w:color="000000"/>
              <w:right w:val="nil"/>
            </w:tcBorders>
            <w:shd w:val="clear" w:color="auto" w:fill="auto"/>
            <w:tcMar>
              <w:top w:w="80" w:type="dxa"/>
              <w:left w:w="80" w:type="dxa"/>
              <w:bottom w:w="80" w:type="dxa"/>
              <w:right w:w="80" w:type="dxa"/>
            </w:tcMar>
          </w:tcPr>
          <w:p w14:paraId="55F2132B" w14:textId="77777777" w:rsidR="00E81339" w:rsidRPr="00640AE1" w:rsidRDefault="00BF6903">
            <w:pPr>
              <w:pStyle w:val="Body"/>
              <w:spacing w:after="0" w:line="360" w:lineRule="auto"/>
              <w:jc w:val="both"/>
              <w:rPr>
                <w:lang w:val="en-GB"/>
              </w:rPr>
            </w:pPr>
            <w:r w:rsidRPr="00640AE1">
              <w:rPr>
                <w:sz w:val="24"/>
                <w:szCs w:val="24"/>
                <w:lang w:val="en-GB"/>
              </w:rPr>
              <w:t>-</w:t>
            </w:r>
          </w:p>
        </w:tc>
        <w:tc>
          <w:tcPr>
            <w:tcW w:w="1021" w:type="dxa"/>
            <w:tcBorders>
              <w:top w:val="nil"/>
              <w:left w:val="nil"/>
              <w:bottom w:val="single" w:sz="12" w:space="0" w:color="000000"/>
              <w:right w:val="nil"/>
            </w:tcBorders>
            <w:shd w:val="clear" w:color="auto" w:fill="auto"/>
            <w:tcMar>
              <w:top w:w="80" w:type="dxa"/>
              <w:left w:w="80" w:type="dxa"/>
              <w:bottom w:w="80" w:type="dxa"/>
              <w:right w:w="80" w:type="dxa"/>
            </w:tcMar>
          </w:tcPr>
          <w:p w14:paraId="42D6456B" w14:textId="77777777" w:rsidR="00E81339" w:rsidRPr="00640AE1" w:rsidRDefault="00BF6903">
            <w:pPr>
              <w:pStyle w:val="Body"/>
              <w:spacing w:after="0" w:line="360" w:lineRule="auto"/>
              <w:jc w:val="both"/>
              <w:rPr>
                <w:lang w:val="en-GB"/>
              </w:rPr>
            </w:pPr>
            <w:r w:rsidRPr="00640AE1">
              <w:rPr>
                <w:sz w:val="24"/>
                <w:szCs w:val="24"/>
                <w:lang w:val="en-GB"/>
              </w:rPr>
              <w:t>-</w:t>
            </w:r>
          </w:p>
        </w:tc>
        <w:tc>
          <w:tcPr>
            <w:tcW w:w="708" w:type="dxa"/>
            <w:tcBorders>
              <w:top w:val="nil"/>
              <w:left w:val="nil"/>
              <w:bottom w:val="single" w:sz="12" w:space="0" w:color="000000"/>
              <w:right w:val="nil"/>
            </w:tcBorders>
            <w:shd w:val="clear" w:color="auto" w:fill="auto"/>
            <w:tcMar>
              <w:top w:w="80" w:type="dxa"/>
              <w:left w:w="80" w:type="dxa"/>
              <w:bottom w:w="80" w:type="dxa"/>
              <w:right w:w="80" w:type="dxa"/>
            </w:tcMar>
          </w:tcPr>
          <w:p w14:paraId="3131E9D2" w14:textId="77777777" w:rsidR="00E81339" w:rsidRPr="00640AE1" w:rsidRDefault="00BF6903">
            <w:pPr>
              <w:pStyle w:val="Body"/>
              <w:spacing w:after="0" w:line="360" w:lineRule="auto"/>
              <w:jc w:val="both"/>
              <w:rPr>
                <w:lang w:val="en-GB"/>
              </w:rPr>
            </w:pPr>
            <w:r w:rsidRPr="00640AE1">
              <w:rPr>
                <w:sz w:val="24"/>
                <w:szCs w:val="24"/>
                <w:lang w:val="en-GB"/>
              </w:rPr>
              <w:t>-</w:t>
            </w:r>
          </w:p>
        </w:tc>
        <w:tc>
          <w:tcPr>
            <w:tcW w:w="1134" w:type="dxa"/>
            <w:gridSpan w:val="2"/>
            <w:tcBorders>
              <w:top w:val="nil"/>
              <w:left w:val="nil"/>
              <w:bottom w:val="single" w:sz="12" w:space="0" w:color="000000"/>
              <w:right w:val="nil"/>
            </w:tcBorders>
            <w:shd w:val="clear" w:color="auto" w:fill="auto"/>
            <w:tcMar>
              <w:top w:w="80" w:type="dxa"/>
              <w:left w:w="80" w:type="dxa"/>
              <w:bottom w:w="80" w:type="dxa"/>
              <w:right w:w="80" w:type="dxa"/>
            </w:tcMar>
          </w:tcPr>
          <w:p w14:paraId="62E3EFDC" w14:textId="77777777" w:rsidR="00E81339" w:rsidRPr="00640AE1" w:rsidRDefault="00BF6903">
            <w:pPr>
              <w:pStyle w:val="Body"/>
              <w:spacing w:after="0" w:line="360" w:lineRule="auto"/>
              <w:jc w:val="both"/>
              <w:rPr>
                <w:lang w:val="en-GB"/>
              </w:rPr>
            </w:pPr>
            <w:r w:rsidRPr="00640AE1">
              <w:rPr>
                <w:sz w:val="24"/>
                <w:szCs w:val="24"/>
                <w:lang w:val="en-GB"/>
              </w:rPr>
              <w:t>-</w:t>
            </w:r>
          </w:p>
        </w:tc>
        <w:tc>
          <w:tcPr>
            <w:tcW w:w="851" w:type="dxa"/>
            <w:tcBorders>
              <w:top w:val="nil"/>
              <w:left w:val="nil"/>
              <w:bottom w:val="single" w:sz="12" w:space="0" w:color="000000"/>
              <w:right w:val="nil"/>
            </w:tcBorders>
            <w:shd w:val="clear" w:color="auto" w:fill="auto"/>
            <w:tcMar>
              <w:top w:w="80" w:type="dxa"/>
              <w:left w:w="80" w:type="dxa"/>
              <w:bottom w:w="80" w:type="dxa"/>
              <w:right w:w="80" w:type="dxa"/>
            </w:tcMar>
          </w:tcPr>
          <w:p w14:paraId="5D75AB34" w14:textId="77777777" w:rsidR="00E81339" w:rsidRPr="00640AE1" w:rsidRDefault="00BF6903">
            <w:pPr>
              <w:pStyle w:val="Body"/>
              <w:spacing w:after="0" w:line="360" w:lineRule="auto"/>
              <w:jc w:val="both"/>
              <w:rPr>
                <w:lang w:val="en-GB"/>
              </w:rPr>
            </w:pPr>
            <w:r w:rsidRPr="00640AE1">
              <w:rPr>
                <w:sz w:val="24"/>
                <w:szCs w:val="24"/>
                <w:lang w:val="en-GB"/>
              </w:rPr>
              <w:t>.543</w:t>
            </w:r>
          </w:p>
        </w:tc>
        <w:tc>
          <w:tcPr>
            <w:tcW w:w="992" w:type="dxa"/>
            <w:tcBorders>
              <w:top w:val="nil"/>
              <w:left w:val="nil"/>
              <w:bottom w:val="single" w:sz="12" w:space="0" w:color="000000"/>
              <w:right w:val="nil"/>
            </w:tcBorders>
            <w:shd w:val="clear" w:color="auto" w:fill="auto"/>
            <w:tcMar>
              <w:top w:w="80" w:type="dxa"/>
              <w:left w:w="80" w:type="dxa"/>
              <w:bottom w:w="80" w:type="dxa"/>
              <w:right w:w="80" w:type="dxa"/>
            </w:tcMar>
          </w:tcPr>
          <w:p w14:paraId="0635D365" w14:textId="77777777" w:rsidR="00E81339" w:rsidRPr="00640AE1" w:rsidRDefault="00BF6903">
            <w:pPr>
              <w:pStyle w:val="Body"/>
              <w:spacing w:after="0" w:line="360" w:lineRule="auto"/>
              <w:jc w:val="both"/>
              <w:rPr>
                <w:lang w:val="en-GB"/>
              </w:rPr>
            </w:pPr>
            <w:r w:rsidRPr="00640AE1">
              <w:rPr>
                <w:sz w:val="24"/>
                <w:szCs w:val="24"/>
                <w:lang w:val="en-GB"/>
              </w:rPr>
              <w:t>&lt;.001*</w:t>
            </w:r>
          </w:p>
        </w:tc>
      </w:tr>
    </w:tbl>
    <w:p w14:paraId="3E92A0A2" w14:textId="77777777" w:rsidR="00E81339" w:rsidRPr="00640AE1" w:rsidRDefault="00E81339">
      <w:pPr>
        <w:pStyle w:val="Body"/>
        <w:rPr>
          <w:lang w:val="en-GB"/>
        </w:rPr>
      </w:pPr>
    </w:p>
    <w:p w14:paraId="1A292B7D" w14:textId="6C71EB80" w:rsidR="00E81339" w:rsidRPr="00640AE1" w:rsidRDefault="00BF6903">
      <w:pPr>
        <w:pStyle w:val="Body"/>
        <w:rPr>
          <w:sz w:val="24"/>
          <w:lang w:val="en-GB"/>
        </w:rPr>
      </w:pPr>
      <w:r w:rsidRPr="00640AE1">
        <w:rPr>
          <w:b/>
          <w:bCs/>
          <w:sz w:val="24"/>
          <w:lang w:val="en-GB"/>
        </w:rPr>
        <w:t>Table</w:t>
      </w:r>
      <w:r w:rsidR="00182994" w:rsidRPr="00640AE1">
        <w:rPr>
          <w:b/>
          <w:bCs/>
          <w:sz w:val="24"/>
          <w:lang w:val="en-GB"/>
        </w:rPr>
        <w:t>4</w:t>
      </w:r>
      <w:r w:rsidRPr="00640AE1">
        <w:rPr>
          <w:b/>
          <w:bCs/>
          <w:sz w:val="24"/>
          <w:lang w:val="en-GB"/>
        </w:rPr>
        <w:t xml:space="preserve">. </w:t>
      </w:r>
      <w:r w:rsidRPr="00640AE1">
        <w:rPr>
          <w:sz w:val="24"/>
          <w:lang w:val="en-GB"/>
        </w:rPr>
        <w:t>Pearson’s correlation values and p values for correlations between change scores.</w:t>
      </w:r>
    </w:p>
    <w:p w14:paraId="3A246C78" w14:textId="73D29B16" w:rsidR="00F1475B" w:rsidRPr="00640AE1" w:rsidRDefault="00F1475B">
      <w:pPr>
        <w:pStyle w:val="Body"/>
        <w:rPr>
          <w:sz w:val="24"/>
          <w:lang w:val="en-GB"/>
        </w:rPr>
      </w:pPr>
      <w:r w:rsidRPr="00640AE1">
        <w:rPr>
          <w:sz w:val="24"/>
          <w:lang w:val="en-GB"/>
        </w:rPr>
        <w:t>*p&lt;.050</w:t>
      </w:r>
    </w:p>
    <w:p w14:paraId="38761C93" w14:textId="77777777" w:rsidR="00E81339" w:rsidRPr="00640AE1" w:rsidRDefault="00E81339">
      <w:pPr>
        <w:pStyle w:val="Body"/>
        <w:rPr>
          <w:lang w:val="en-GB"/>
        </w:rPr>
      </w:pPr>
    </w:p>
    <w:p w14:paraId="2632F5CA" w14:textId="77777777" w:rsidR="00E81339" w:rsidRPr="00640AE1" w:rsidRDefault="00BF6903">
      <w:pPr>
        <w:pStyle w:val="Body"/>
        <w:rPr>
          <w:b/>
          <w:bCs/>
          <w:sz w:val="24"/>
          <w:szCs w:val="24"/>
          <w:lang w:val="en-GB"/>
        </w:rPr>
      </w:pPr>
      <w:r w:rsidRPr="00640AE1">
        <w:rPr>
          <w:b/>
          <w:bCs/>
          <w:sz w:val="24"/>
          <w:szCs w:val="24"/>
          <w:lang w:val="en-GB"/>
        </w:rPr>
        <w:t>Discussion</w:t>
      </w:r>
    </w:p>
    <w:p w14:paraId="0C0C1DAE" w14:textId="5CAE6C36" w:rsidR="00306BE4" w:rsidRPr="00640AE1" w:rsidRDefault="00306BE4" w:rsidP="00306BE4">
      <w:pPr>
        <w:pStyle w:val="Body"/>
        <w:spacing w:line="480" w:lineRule="auto"/>
        <w:ind w:firstLine="720"/>
        <w:jc w:val="both"/>
        <w:rPr>
          <w:sz w:val="24"/>
          <w:szCs w:val="24"/>
          <w:lang w:val="en-GB"/>
        </w:rPr>
      </w:pPr>
      <w:r w:rsidRPr="00640AE1">
        <w:rPr>
          <w:sz w:val="24"/>
          <w:szCs w:val="24"/>
          <w:lang w:val="en-GB"/>
        </w:rPr>
        <w:t>Changes in beliefs about emotions and emotional suppression were</w:t>
      </w:r>
      <w:r w:rsidR="00E512FE" w:rsidRPr="00640AE1">
        <w:rPr>
          <w:sz w:val="24"/>
          <w:szCs w:val="24"/>
          <w:lang w:val="en-GB"/>
        </w:rPr>
        <w:t xml:space="preserve"> </w:t>
      </w:r>
      <w:r w:rsidR="0088344A" w:rsidRPr="00640AE1">
        <w:rPr>
          <w:sz w:val="24"/>
          <w:szCs w:val="24"/>
          <w:lang w:val="en-GB"/>
        </w:rPr>
        <w:t xml:space="preserve">significantly </w:t>
      </w:r>
      <w:r w:rsidR="00E512FE" w:rsidRPr="00640AE1">
        <w:rPr>
          <w:sz w:val="24"/>
          <w:szCs w:val="24"/>
          <w:lang w:val="en-GB"/>
        </w:rPr>
        <w:t>positively</w:t>
      </w:r>
      <w:r w:rsidRPr="00640AE1">
        <w:rPr>
          <w:sz w:val="24"/>
          <w:szCs w:val="24"/>
          <w:lang w:val="en-GB"/>
        </w:rPr>
        <w:t xml:space="preserve"> </w:t>
      </w:r>
      <w:r w:rsidR="0088344A" w:rsidRPr="00640AE1">
        <w:rPr>
          <w:sz w:val="24"/>
          <w:szCs w:val="24"/>
          <w:lang w:val="en-GB"/>
        </w:rPr>
        <w:t>cor</w:t>
      </w:r>
      <w:r w:rsidRPr="00640AE1">
        <w:rPr>
          <w:sz w:val="24"/>
          <w:szCs w:val="24"/>
          <w:lang w:val="en-GB"/>
        </w:rPr>
        <w:t xml:space="preserve">related which suggests that </w:t>
      </w:r>
      <w:r w:rsidR="00DB2389" w:rsidRPr="00640AE1">
        <w:rPr>
          <w:sz w:val="24"/>
          <w:szCs w:val="24"/>
          <w:lang w:val="en-GB"/>
        </w:rPr>
        <w:t>changes in</w:t>
      </w:r>
      <w:r w:rsidRPr="00640AE1">
        <w:rPr>
          <w:sz w:val="24"/>
          <w:szCs w:val="24"/>
          <w:lang w:val="en-GB"/>
        </w:rPr>
        <w:t xml:space="preserve"> beliefs </w:t>
      </w:r>
      <w:r w:rsidR="00DB2389" w:rsidRPr="00640AE1">
        <w:rPr>
          <w:sz w:val="24"/>
          <w:szCs w:val="24"/>
          <w:lang w:val="en-GB"/>
        </w:rPr>
        <w:t xml:space="preserve">around emotions may be associated with changes in </w:t>
      </w:r>
      <w:r w:rsidRPr="00640AE1">
        <w:rPr>
          <w:sz w:val="24"/>
          <w:szCs w:val="24"/>
          <w:lang w:val="en-GB"/>
        </w:rPr>
        <w:t>behaviour</w:t>
      </w:r>
      <w:r w:rsidR="00DB2389" w:rsidRPr="00640AE1">
        <w:rPr>
          <w:sz w:val="24"/>
          <w:szCs w:val="24"/>
          <w:lang w:val="en-GB"/>
        </w:rPr>
        <w:t xml:space="preserve"> in terms of emotional expression/suppression </w:t>
      </w:r>
      <w:r w:rsidRPr="00640AE1">
        <w:rPr>
          <w:sz w:val="24"/>
          <w:szCs w:val="24"/>
          <w:lang w:val="en-GB"/>
        </w:rPr>
        <w:t>(though</w:t>
      </w:r>
      <w:r w:rsidR="00F1475B" w:rsidRPr="00640AE1">
        <w:rPr>
          <w:sz w:val="24"/>
          <w:szCs w:val="24"/>
          <w:lang w:val="en-GB"/>
        </w:rPr>
        <w:t xml:space="preserve"> changes in emotional suppression were not significant in the current study</w:t>
      </w:r>
      <w:r w:rsidRPr="00640AE1">
        <w:rPr>
          <w:sz w:val="24"/>
          <w:szCs w:val="24"/>
          <w:lang w:val="en-GB"/>
        </w:rPr>
        <w:t xml:space="preserve">). Changes in </w:t>
      </w:r>
      <w:r w:rsidRPr="00640AE1">
        <w:rPr>
          <w:sz w:val="24"/>
          <w:szCs w:val="24"/>
          <w:lang w:val="en-GB"/>
        </w:rPr>
        <w:lastRenderedPageBreak/>
        <w:t xml:space="preserve">emotional suppression were also correlated </w:t>
      </w:r>
      <w:r w:rsidR="00553880" w:rsidRPr="00640AE1">
        <w:rPr>
          <w:sz w:val="24"/>
          <w:szCs w:val="24"/>
          <w:lang w:val="en-GB"/>
        </w:rPr>
        <w:t xml:space="preserve">positively </w:t>
      </w:r>
      <w:r w:rsidRPr="00640AE1">
        <w:rPr>
          <w:sz w:val="24"/>
          <w:szCs w:val="24"/>
          <w:lang w:val="en-GB"/>
        </w:rPr>
        <w:t>with changes in distress. Changes in beliefs about emotions showed a trend</w:t>
      </w:r>
      <w:r w:rsidR="00553880" w:rsidRPr="00640AE1">
        <w:rPr>
          <w:sz w:val="24"/>
          <w:szCs w:val="24"/>
          <w:lang w:val="en-GB"/>
        </w:rPr>
        <w:t xml:space="preserve"> which was approaching statistical significance,</w:t>
      </w:r>
      <w:r w:rsidRPr="00640AE1">
        <w:rPr>
          <w:sz w:val="24"/>
          <w:szCs w:val="24"/>
          <w:lang w:val="en-GB"/>
        </w:rPr>
        <w:t xml:space="preserve"> where changes in beliefs were marginally </w:t>
      </w:r>
      <w:r w:rsidR="00553880" w:rsidRPr="00640AE1">
        <w:rPr>
          <w:sz w:val="24"/>
          <w:szCs w:val="24"/>
          <w:lang w:val="en-GB"/>
        </w:rPr>
        <w:t xml:space="preserve">positively </w:t>
      </w:r>
      <w:r w:rsidRPr="00640AE1">
        <w:rPr>
          <w:sz w:val="24"/>
          <w:szCs w:val="24"/>
          <w:lang w:val="en-GB"/>
        </w:rPr>
        <w:t>related to changes in distress. This is in line with Burger et al. who found that changes in emotional approach coping</w:t>
      </w:r>
      <w:r w:rsidR="00553880" w:rsidRPr="00640AE1">
        <w:rPr>
          <w:sz w:val="24"/>
          <w:szCs w:val="24"/>
          <w:lang w:val="en-GB"/>
        </w:rPr>
        <w:t xml:space="preserve"> (i.e. understanding, validating, acknowledging and expressing one’s emotions)</w:t>
      </w:r>
      <w:r w:rsidR="00D63EE9" w:rsidRPr="00640AE1">
        <w:rPr>
          <w:sz w:val="24"/>
          <w:szCs w:val="24"/>
          <w:lang w:val="en-GB"/>
        </w:rPr>
        <w:t xml:space="preserve"> </w:t>
      </w:r>
      <w:r w:rsidRPr="00640AE1">
        <w:rPr>
          <w:sz w:val="24"/>
          <w:szCs w:val="24"/>
          <w:lang w:val="en-GB"/>
        </w:rPr>
        <w:t xml:space="preserve">were related to changes in psychological distress but not pain </w:t>
      </w:r>
      <w:r w:rsidR="00414A8B" w:rsidRPr="00640AE1">
        <w:rPr>
          <w:sz w:val="24"/>
          <w:szCs w:val="24"/>
          <w:lang w:val="en-GB"/>
        </w:rPr>
        <w:t>following</w:t>
      </w:r>
      <w:r w:rsidRPr="00640AE1">
        <w:rPr>
          <w:sz w:val="24"/>
          <w:szCs w:val="24"/>
          <w:lang w:val="en-GB"/>
        </w:rPr>
        <w:t xml:space="preserve"> an intervention aimed at addressing emotional awareness and coping</w:t>
      </w:r>
      <w:r w:rsidR="00636B25" w:rsidRPr="00640AE1">
        <w:rPr>
          <w:sz w:val="24"/>
          <w:szCs w:val="24"/>
          <w:lang w:val="en-GB"/>
        </w:rPr>
        <w:t xml:space="preserve"> </w:t>
      </w:r>
      <w:r w:rsidR="00D16D51" w:rsidRPr="00640AE1">
        <w:rPr>
          <w:sz w:val="24"/>
          <w:szCs w:val="24"/>
          <w:lang w:val="en-GB"/>
        </w:rPr>
        <w:fldChar w:fldCharType="begin" w:fldLock="1"/>
      </w:r>
      <w:r w:rsidR="00D63EE9" w:rsidRPr="00640AE1">
        <w:rPr>
          <w:sz w:val="24"/>
          <w:szCs w:val="24"/>
          <w:lang w:val="en-GB"/>
        </w:rPr>
        <w:instrText>ADDIN CSL_CITATION {"citationItems":[{"id":"ITEM-1","itemData":{"DOI":"10.1016/j.jpsychores.2015.12.003","ISSN":"00223999","abstract":"OBJECTIVE\nCurrent psychological and behavioral therapies for chronic musculoskeletal pain only modestly reduce pain, disability, and distress. These limited effects may be due to the failure of current therapies: a) to help patients learn that their pain is influenced primarily by central nervous system psychological processes; and b) to enhance awareness and expression of emotions related to psychological trauma or conflict. Methods: We developed and conducted a preliminary, uncontrolled test of a novel psychological attribution and emotional awareness and expression therapy that involves an initial individual consultation followed by 4 group sessions. A series of 72 patients with chronic musculoskeletal pain had the intervention and were assessed at baseline, post-treatment, and 6-month follow-up. \n\nRESULTS\nParticipation and satisfaction were high and attrition was low. Intent-to-treat analyses found significant improvements in hypothesized change processes: psychological attributions for pain, emotional awareness, emotional approach coping, and alexithymia. Pain, interference, depression, and distress showed large effect size improvements at post-treatment, which were maintained or even enhanced at 6 months. Approximately two-thirds of the patients improved at least 30% in pain and other outcomes, and one-third of the patients improved 70%. Changes in attribution and emotional processes predicted outcomes. Higher baseline depressive symptoms predicted greater improvements, and outcomes were comparable for patients with widespread vs. localized pain. Conclusion: This novel intervention may lead to greater benefits than available psychological interventions for patients with chronic musculoskeletal pain, but needs controlled testing.","author":[{"dropping-particle":"","family":"Burger","given":"Amanda J.","non-dropping-particle":"","parse-names":false,"suffix":""},{"dropping-particle":"","family":"Lumley","given":"Mark A.","non-dropping-particle":"","parse-names":false,"suffix":""},{"dropping-particle":"","family":"Carty","given":"Jennifer N.","non-dropping-particle":"","parse-names":false,"suffix":""},{"dropping-particle":"V.","family":"Latsch","given":"Deborah","non-dropping-particle":"","parse-names":false,"suffix":""},{"dropping-particle":"","family":"Thakur","given":"Elyse R.","non-dropping-particle":"","parse-names":false,"suffix":""},{"dropping-particle":"","family":"Hyde-Nolan","given":"Maren E.","non-dropping-particle":"","parse-names":false,"suffix":""},{"dropping-particle":"","family":"Hijazi","given":"Alaa M.","non-dropping-particle":"","parse-names":false,"suffix":""},{"dropping-particle":"","family":"Schubiner","given":"Howard","non-dropping-particle":"","parse-names":false,"suffix":""}],"container-title":"Journal of Psychosomatic Research","id":"ITEM-1","issued":{"date-parts":[["2016"]]},"page":"1-8","title":"The effects of a novel psychological attribution and emotional awareness and expression therapy for chronic musculoskeletal pain: A preliminary, uncontrolled trial","type":"article-journal","volume":"81"},"uris":["http://www.mendeley.com/documents/?uuid=8261c48c-0824-37ad-822f-cbb6772eb918"]}],"mendeley":{"formattedCitation":"(13)","plainTextFormattedCitation":"(13)","previouslyFormattedCitation":"(13)"},"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(13)</w:t>
      </w:r>
      <w:r w:rsidR="00D16D51" w:rsidRPr="00640AE1">
        <w:rPr>
          <w:sz w:val="24"/>
          <w:szCs w:val="24"/>
          <w:lang w:val="en-GB"/>
        </w:rPr>
        <w:fldChar w:fldCharType="end"/>
      </w:r>
      <w:r w:rsidR="00D16D51" w:rsidRPr="00640AE1">
        <w:rPr>
          <w:sz w:val="24"/>
          <w:szCs w:val="24"/>
          <w:lang w:val="en-GB"/>
        </w:rPr>
        <w:t xml:space="preserve">. </w:t>
      </w:r>
      <w:r w:rsidRPr="00640AE1">
        <w:rPr>
          <w:sz w:val="24"/>
          <w:szCs w:val="24"/>
          <w:lang w:val="en-GB"/>
        </w:rPr>
        <w:t xml:space="preserve">Interestingly, Burger et al. found that changes in emotional awareness and alexithymia were related to </w:t>
      </w:r>
      <w:r w:rsidR="00553880" w:rsidRPr="00640AE1">
        <w:rPr>
          <w:sz w:val="24"/>
          <w:szCs w:val="24"/>
          <w:lang w:val="en-GB"/>
        </w:rPr>
        <w:t xml:space="preserve">improvements </w:t>
      </w:r>
      <w:r w:rsidRPr="00640AE1">
        <w:rPr>
          <w:sz w:val="24"/>
          <w:szCs w:val="24"/>
          <w:lang w:val="en-GB"/>
        </w:rPr>
        <w:t xml:space="preserve">in pain. Perhaps future research should also measure </w:t>
      </w:r>
      <w:r w:rsidR="00553880" w:rsidRPr="00640AE1">
        <w:rPr>
          <w:sz w:val="24"/>
          <w:szCs w:val="24"/>
          <w:lang w:val="en-GB"/>
        </w:rPr>
        <w:t xml:space="preserve">emotional awareness and alexithymia </w:t>
      </w:r>
      <w:r w:rsidRPr="00640AE1">
        <w:rPr>
          <w:sz w:val="24"/>
          <w:szCs w:val="24"/>
          <w:lang w:val="en-GB"/>
        </w:rPr>
        <w:t>in treatments for fibromyalgia as these may be</w:t>
      </w:r>
      <w:r w:rsidR="00F5223B" w:rsidRPr="00640AE1">
        <w:rPr>
          <w:sz w:val="24"/>
          <w:szCs w:val="24"/>
          <w:lang w:val="en-GB"/>
        </w:rPr>
        <w:t xml:space="preserve"> directly</w:t>
      </w:r>
      <w:r w:rsidRPr="00640AE1">
        <w:rPr>
          <w:sz w:val="24"/>
          <w:szCs w:val="24"/>
          <w:lang w:val="en-GB"/>
        </w:rPr>
        <w:t xml:space="preserve"> related to changes in global impact, while beliefs about emotions and emotional suppression were not.</w:t>
      </w:r>
      <w:r w:rsidR="00F1475B" w:rsidRPr="00640AE1">
        <w:rPr>
          <w:sz w:val="24"/>
          <w:szCs w:val="24"/>
          <w:lang w:val="en-GB"/>
        </w:rPr>
        <w:t xml:space="preserve"> </w:t>
      </w:r>
    </w:p>
    <w:p w14:paraId="47DB40C7" w14:textId="5485DC2F" w:rsidR="00306BE4" w:rsidRPr="00640AE1" w:rsidRDefault="00306BE4" w:rsidP="00306BE4">
      <w:pPr>
        <w:pStyle w:val="Body"/>
        <w:spacing w:line="480" w:lineRule="auto"/>
        <w:ind w:firstLine="720"/>
        <w:jc w:val="both"/>
        <w:rPr>
          <w:sz w:val="24"/>
          <w:szCs w:val="24"/>
          <w:lang w:val="en-GB"/>
        </w:rPr>
      </w:pPr>
      <w:r w:rsidRPr="00640AE1">
        <w:rPr>
          <w:sz w:val="24"/>
          <w:szCs w:val="24"/>
          <w:lang w:val="en-GB"/>
        </w:rPr>
        <w:t xml:space="preserve">Changes in emotional suppression </w:t>
      </w:r>
      <w:r w:rsidR="00D63EE9" w:rsidRPr="00640AE1">
        <w:rPr>
          <w:sz w:val="24"/>
          <w:szCs w:val="24"/>
          <w:lang w:val="en-GB"/>
        </w:rPr>
        <w:t xml:space="preserve">were </w:t>
      </w:r>
      <w:r w:rsidR="00553880" w:rsidRPr="00640AE1">
        <w:rPr>
          <w:sz w:val="24"/>
          <w:szCs w:val="24"/>
          <w:lang w:val="en-GB"/>
        </w:rPr>
        <w:t xml:space="preserve">positively </w:t>
      </w:r>
      <w:r w:rsidRPr="00640AE1">
        <w:rPr>
          <w:sz w:val="24"/>
          <w:szCs w:val="24"/>
          <w:lang w:val="en-GB"/>
        </w:rPr>
        <w:t>related to changes in distress and changes in distress</w:t>
      </w:r>
      <w:r w:rsidR="00D63EE9" w:rsidRPr="00640AE1">
        <w:rPr>
          <w:sz w:val="24"/>
          <w:szCs w:val="24"/>
          <w:lang w:val="en-GB"/>
        </w:rPr>
        <w:t xml:space="preserve"> were</w:t>
      </w:r>
      <w:r w:rsidRPr="00640AE1">
        <w:rPr>
          <w:sz w:val="24"/>
          <w:szCs w:val="24"/>
          <w:lang w:val="en-GB"/>
        </w:rPr>
        <w:t xml:space="preserve"> </w:t>
      </w:r>
      <w:r w:rsidR="00553880" w:rsidRPr="00640AE1">
        <w:rPr>
          <w:sz w:val="24"/>
          <w:szCs w:val="24"/>
          <w:lang w:val="en-GB"/>
        </w:rPr>
        <w:t xml:space="preserve">positively </w:t>
      </w:r>
      <w:r w:rsidRPr="00640AE1">
        <w:rPr>
          <w:sz w:val="24"/>
          <w:szCs w:val="24"/>
          <w:lang w:val="en-GB"/>
        </w:rPr>
        <w:t>related to changes in global impact. These correlational findings support the previous mediation model found cros</w:t>
      </w:r>
      <w:r w:rsidR="00636B25" w:rsidRPr="00640AE1">
        <w:rPr>
          <w:sz w:val="24"/>
          <w:szCs w:val="24"/>
          <w:lang w:val="en-GB"/>
        </w:rPr>
        <w:t>s-sectionally by Bowers, et al.</w:t>
      </w:r>
      <w:r w:rsidR="00F1475B" w:rsidRPr="00640AE1">
        <w:rPr>
          <w:sz w:val="24"/>
          <w:szCs w:val="24"/>
          <w:lang w:val="en-GB"/>
        </w:rPr>
        <w:t>, who found distress to be mediator of the relationship between beliefs about emotions and global impact despite not finding a significant direct relationship between beliefs about emotions and global impact</w:t>
      </w:r>
      <w:r w:rsidR="00636B25" w:rsidRPr="00640AE1">
        <w:rPr>
          <w:sz w:val="24"/>
          <w:szCs w:val="24"/>
          <w:lang w:val="en-GB"/>
        </w:rPr>
        <w:t xml:space="preserve"> </w:t>
      </w:r>
      <w:r w:rsidR="00D16D51" w:rsidRPr="00640AE1">
        <w:rPr>
          <w:sz w:val="24"/>
          <w:szCs w:val="24"/>
          <w:lang w:val="en-GB"/>
        </w:rPr>
        <w:fldChar w:fldCharType="begin" w:fldLock="1"/>
      </w:r>
      <w:r w:rsidR="00D63EE9" w:rsidRPr="00640AE1">
        <w:rPr>
          <w:sz w:val="24"/>
          <w:szCs w:val="24"/>
          <w:lang w:val="en-GB"/>
        </w:rPr>
        <w:instrText>ADDIN CSL_CITATION {"citationItems":[{"id":"ITEM-1","itemData":{"DOI":"10.1007/s10067-017-3590-0","ISSN":"14349949","abstract":"© 2017, The Author(s). Beliefs about the unacceptability of experiencing and expressing emotions have been found to be related to worse outcomes in people with persistent physical symptoms. The current study tested mediation models regarding emotional suppression, beliefs about emotions, support-seeking and global impact in fibromyalgia. One hundred eighty-two participants took part in an online questionnaire testing potential mechanisms of this relationship using mediation analysis. The model tested emotional suppression and affective distress as serial mediators of the relationship between beliefs about emotions and global impact. In parallel paths, two forms of support-seeking were tested (personal/emotional and symptom-related support-seeking) as mediators. Emotional suppression and affective distress significantly serially mediated the relationship between beliefs about emotions and global impact. Neither support-seeking variable significantly mediated this relationship. Results indicate a potential mechanism through which beliefs about emotions and global impact might relate which might provide a theoretical basis for future research on treatments for fibromyalgia.","author":[{"dropping-particle":"","family":"Bowers","given":"H.","non-dropping-particle":"","parse-names":false,"suffix":""},{"dropping-particle":"","family":"Wroe","given":"A.L.","non-dropping-particle":"","parse-names":false,"suffix":""},{"dropping-particle":"","family":"Pincus","given":"T.","non-dropping-particle":"","parse-names":false,"suffix":""}],"container-title":"Clinical Rheumatology","id":"ITEM-1","issue":"5","issued":{"date-parts":[["2017"]]},"title":"‘Isn’t it ironic?’ Beliefs about the unacceptability of emotions and emotional suppression relate to worse outcomes in fibromyalgia","type":"article-journal","volume":"36"},"uris":["http://www.mendeley.com/documents/?uuid=79685536-99c5-3164-869f-284272ef5d3d"]}],"mendeley":{"formattedCitation":"(9)","plainTextFormattedCitation":"(9)","previouslyFormattedCitation":"(9)"},"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(9)</w:t>
      </w:r>
      <w:r w:rsidR="00D16D51" w:rsidRPr="00640AE1">
        <w:rPr>
          <w:sz w:val="24"/>
          <w:szCs w:val="24"/>
          <w:lang w:val="en-GB"/>
        </w:rPr>
        <w:fldChar w:fldCharType="end"/>
      </w:r>
      <w:r w:rsidR="00636B25" w:rsidRPr="00640AE1">
        <w:rPr>
          <w:sz w:val="24"/>
          <w:szCs w:val="24"/>
          <w:lang w:val="en-GB"/>
        </w:rPr>
        <w:t xml:space="preserve">. </w:t>
      </w:r>
      <w:r w:rsidR="008C25EA" w:rsidRPr="00640AE1">
        <w:rPr>
          <w:sz w:val="24"/>
          <w:szCs w:val="24"/>
          <w:lang w:val="en-GB"/>
        </w:rPr>
        <w:t>Further support for this finding comes from a review of emotion regulation strategies in chronic pain. The authors argue</w:t>
      </w:r>
      <w:r w:rsidR="00F5223B" w:rsidRPr="00640AE1">
        <w:rPr>
          <w:sz w:val="24"/>
          <w:szCs w:val="24"/>
          <w:lang w:val="en-GB"/>
        </w:rPr>
        <w:t>d</w:t>
      </w:r>
      <w:r w:rsidR="008C25EA" w:rsidRPr="00640AE1">
        <w:rPr>
          <w:sz w:val="24"/>
          <w:szCs w:val="24"/>
          <w:lang w:val="en-GB"/>
        </w:rPr>
        <w:t xml:space="preserve"> that there is evidence that response-focused emotion regulation strategies (including emotional suppression) are related to pain outcomes via psychological factors including anxiety and low mood </w:t>
      </w:r>
      <w:r w:rsidR="008C25EA" w:rsidRPr="00640AE1">
        <w:rPr>
          <w:sz w:val="24"/>
          <w:szCs w:val="24"/>
          <w:lang w:val="en-GB"/>
        </w:rPr>
        <w:fldChar w:fldCharType="begin" w:fldLock="1"/>
      </w:r>
      <w:r w:rsidR="00D63EE9" w:rsidRPr="00640AE1">
        <w:rPr>
          <w:sz w:val="24"/>
          <w:szCs w:val="24"/>
          <w:lang w:val="en-GB"/>
        </w:rPr>
        <w:instrText>ADDIN CSL_CITATION {"citationItems":[{"id":"ITEM-1","itemData":{"DOI":"10.1016/j.jpsychores.2018.02.002","ISSN":"18791360","PMID":"29502762","abstract":"Objective: Emotion regulation (ER) includes a set of cognitive and attentional processes used to change or maintain emotional state. A small but growing body of research suggests that maladaptive ER might be a risk factor for the development of chronic pain. This review aims to summarize existing literature on the association between ER and chronic pain, and to determine whether the construct of ER may further enhance our understanding of the risk and protective factors that may contribute to the onset and maintenance of chronic pain. Methods: A systematic search was conducted using the search terms “chronic pain” and “emotion regulation.” Studies that measured both constructs across all age groups were included. Results: We found 15 studies that met our inclusion criteria. Nine studies were completed within the last five years, suggesting that the evaluation of ER as it relates to pain is a new line of research. Studies that measured “response-focused” ER found associations between maladaptive ER and pain. Studies that measured “antecedent-focused” ER strategies were less likely to show a direct association with pain. Conclusion: Maladaptive response-focused ER may be an important risk factor in the development and maintenance of chronic pain, as it is associated with pain and psychological comorbidities. Adding ER to chronic pain investigations may help to further explain individual differences in the risk and protective mechanisms that are known to influence chronic pain. Importantly, this line of research has potential to directly inform future interventions for patients with chronic pain.","author":[{"dropping-particle":"","family":"Koechlin","given":"Helen","non-dropping-particle":"","parse-names":false,"suffix":""},{"dropping-particle":"","family":"Coakley","given":"Rachael","non-dropping-particle":"","parse-names":false,"suffix":""},{"dropping-particle":"","family":"Schechter","given":"Neil","non-dropping-particle":"","parse-names":false,"suffix":""},{"dropping-particle":"","family":"Werner","given":"Christoph","non-dropping-particle":"","parse-names":false,"suffix":""},{"dropping-particle":"","family":"Kossowsky","given":"Joe","non-dropping-particle":"","parse-names":false,"suffix":""}],"container-title":"Journal of Psychosomatic Research","id":"ITEM-1","issue":"August 2017","issued":{"date-parts":[["2018"]]},"page":"38-45","publisher":"Elsevier","title":"The role of emotion regulation in chronic pain: A systematic literature review","type":"article-journal","volume":"107"},"uris":["http://www.mendeley.com/documents/?uuid=c9b7ff35-2f8d-49a8-94ff-bf560a4d8ced"]}],"mendeley":{"formattedCitation":"(6)","plainTextFormattedCitation":"(6)","previouslyFormattedCitation":"(6)"},"properties":{"noteIndex":0},"schema":"https://github.com/citation-style-language/schema/raw/master/csl-citation.json"}</w:instrText>
      </w:r>
      <w:r w:rsidR="008C25EA" w:rsidRPr="00640AE1">
        <w:rPr>
          <w:sz w:val="24"/>
          <w:szCs w:val="24"/>
          <w:lang w:val="en-GB"/>
        </w:rPr>
        <w:fldChar w:fldCharType="separate"/>
      </w:r>
      <w:r w:rsidR="003E246C" w:rsidRPr="00640AE1">
        <w:rPr>
          <w:noProof/>
          <w:sz w:val="24"/>
          <w:szCs w:val="24"/>
          <w:lang w:val="en-GB"/>
        </w:rPr>
        <w:t>(6)</w:t>
      </w:r>
      <w:r w:rsidR="008C25EA" w:rsidRPr="00640AE1">
        <w:rPr>
          <w:sz w:val="24"/>
          <w:szCs w:val="24"/>
          <w:lang w:val="en-GB"/>
        </w:rPr>
        <w:fldChar w:fldCharType="end"/>
      </w:r>
      <w:r w:rsidR="008C25EA" w:rsidRPr="00640AE1">
        <w:rPr>
          <w:sz w:val="24"/>
          <w:szCs w:val="24"/>
          <w:lang w:val="en-GB"/>
        </w:rPr>
        <w:t xml:space="preserve">. </w:t>
      </w:r>
      <w:r w:rsidRPr="00640AE1">
        <w:rPr>
          <w:sz w:val="24"/>
          <w:szCs w:val="24"/>
          <w:lang w:val="en-GB"/>
        </w:rPr>
        <w:t>However, this needs further exploration using mediation analyses in a longitudi</w:t>
      </w:r>
      <w:r w:rsidR="00313487" w:rsidRPr="00640AE1">
        <w:rPr>
          <w:sz w:val="24"/>
          <w:szCs w:val="24"/>
          <w:lang w:val="en-GB"/>
        </w:rPr>
        <w:t>nal design</w:t>
      </w:r>
      <w:r w:rsidRPr="00640AE1">
        <w:rPr>
          <w:sz w:val="24"/>
          <w:szCs w:val="24"/>
          <w:lang w:val="en-GB"/>
        </w:rPr>
        <w:t xml:space="preserve">. The current study’s </w:t>
      </w:r>
      <w:r w:rsidR="00877886" w:rsidRPr="00640AE1">
        <w:rPr>
          <w:sz w:val="24"/>
          <w:szCs w:val="24"/>
          <w:lang w:val="en-GB"/>
        </w:rPr>
        <w:t xml:space="preserve">low response </w:t>
      </w:r>
      <w:r w:rsidRPr="00640AE1">
        <w:rPr>
          <w:sz w:val="24"/>
          <w:szCs w:val="24"/>
          <w:lang w:val="en-GB"/>
        </w:rPr>
        <w:t xml:space="preserve">rate meant that the sample size was insufficient for tests of mediation across the three time points. </w:t>
      </w:r>
    </w:p>
    <w:p w14:paraId="29458ACE" w14:textId="5F07ACF5" w:rsidR="00E512FE" w:rsidRPr="00640AE1" w:rsidRDefault="00BF6903">
      <w:pPr>
        <w:pStyle w:val="Body"/>
        <w:spacing w:line="480" w:lineRule="auto"/>
        <w:ind w:firstLine="720"/>
        <w:jc w:val="both"/>
        <w:rPr>
          <w:sz w:val="24"/>
          <w:szCs w:val="24"/>
          <w:lang w:val="en-GB"/>
        </w:rPr>
      </w:pPr>
      <w:r w:rsidRPr="00640AE1">
        <w:rPr>
          <w:sz w:val="24"/>
          <w:szCs w:val="24"/>
          <w:lang w:val="en-GB"/>
        </w:rPr>
        <w:lastRenderedPageBreak/>
        <w:t>There were significant reductions in beliefs about emotions but</w:t>
      </w:r>
      <w:r w:rsidR="00D63EE9" w:rsidRPr="00640AE1">
        <w:rPr>
          <w:sz w:val="24"/>
          <w:szCs w:val="24"/>
          <w:lang w:val="en-GB"/>
        </w:rPr>
        <w:t xml:space="preserve"> not emotional suppression after treatment</w:t>
      </w:r>
      <w:r w:rsidRPr="00640AE1">
        <w:rPr>
          <w:sz w:val="24"/>
          <w:szCs w:val="24"/>
          <w:lang w:val="en-GB"/>
        </w:rPr>
        <w:t>. All groups discussed acceptance of unpleasant experiences (either physical pain or emotional experiences). It may be that there were significant changes in the beliefs around experiencing emotions, but not in beliefs about expressing emotions. The BES measures the unacceptability of both experiencing and expressing emotions while the CECS measures expression. It may</w:t>
      </w:r>
      <w:r w:rsidR="00DB2389" w:rsidRPr="00640AE1">
        <w:rPr>
          <w:sz w:val="24"/>
          <w:szCs w:val="24"/>
          <w:lang w:val="en-GB"/>
        </w:rPr>
        <w:t xml:space="preserve"> be</w:t>
      </w:r>
      <w:r w:rsidRPr="00640AE1">
        <w:rPr>
          <w:sz w:val="24"/>
          <w:szCs w:val="24"/>
          <w:lang w:val="en-GB"/>
        </w:rPr>
        <w:t xml:space="preserve"> useful in future to look at these two belief constructs separately. Alternatively, it may be that changes in beliefs occur initially and changes in emotional suppression occur later as has been suggested in other interventions for fibromyalgia</w:t>
      </w:r>
      <w:r w:rsidR="00D16D51" w:rsidRPr="00640AE1">
        <w:rPr>
          <w:sz w:val="24"/>
          <w:szCs w:val="24"/>
          <w:lang w:val="en-GB"/>
        </w:rPr>
        <w:t xml:space="preserve"> </w:t>
      </w:r>
      <w:r w:rsidR="00D16D51" w:rsidRPr="00640AE1">
        <w:rPr>
          <w:sz w:val="24"/>
          <w:szCs w:val="24"/>
          <w:lang w:val="en-GB"/>
        </w:rPr>
        <w:fldChar w:fldCharType="begin" w:fldLock="1"/>
      </w:r>
      <w:r w:rsidR="00D63EE9" w:rsidRPr="00640AE1">
        <w:rPr>
          <w:sz w:val="24"/>
          <w:szCs w:val="24"/>
          <w:lang w:val="en-GB"/>
        </w:rPr>
        <w:instrText>ADDIN CSL_CITATION {"citationItems":[{"id":"ITEM-1","itemData":{"DOI":"10.1207/s15324796abm3202","author":[{"dropping-particle":"","family":"Gillis","given":"Mazy E","non-dropping-particle":"","parse-names":false,"suffix":""},{"dropping-particle":"","family":"Lumley","given":"Mark A","non-dropping-particle":"","parse-names":false,"suffix":""},{"dropping-particle":"","family":"Mosley-Williams","given":"Angelia","non-dropping-particle":"","parse-names":false,"suffix":""},{"dropping-particle":"","family":"Leisen","given":"James C C","non-dropping-particle":"","parse-names":false,"suffix":""},{"dropping-particle":"","family":"Roehrs","given":"T","non-dropping-particle":"","parse-names":false,"suffix":""}],"container-title":"Annals of Behavioral Medicine","id":"ITEM-1","issue":"2","issued":{"date-parts":[["2006"]]},"page":"135-146","title":"The health effects of at-home written emotional disclosure in fibromyalgia: A randomized trial","type":"article-journal","volume":"32"},"uris":["http://www.mendeley.com/documents/?uuid=716a56c0-5ad5-4982-aa44-499bd05254f4"]}],"mendeley":{"formattedCitation":"(29)","plainTextFormattedCitation":"(29)","previouslyFormattedCitation":"(29)"},"properties":{"noteIndex":0},"schema":"https://github.com/citation-style-language/schema/raw/master/csl-citation.json"}</w:instrText>
      </w:r>
      <w:r w:rsidR="00D16D51" w:rsidRPr="00640AE1">
        <w:rPr>
          <w:sz w:val="24"/>
          <w:szCs w:val="24"/>
          <w:lang w:val="en-GB"/>
        </w:rPr>
        <w:fldChar w:fldCharType="separate"/>
      </w:r>
      <w:r w:rsidR="003E246C" w:rsidRPr="00640AE1">
        <w:rPr>
          <w:noProof/>
          <w:sz w:val="24"/>
          <w:szCs w:val="24"/>
          <w:lang w:val="en-GB"/>
        </w:rPr>
        <w:t>(29)</w:t>
      </w:r>
      <w:r w:rsidR="00D16D51" w:rsidRPr="00640AE1">
        <w:rPr>
          <w:sz w:val="24"/>
          <w:szCs w:val="24"/>
          <w:lang w:val="en-GB"/>
        </w:rPr>
        <w:fldChar w:fldCharType="end"/>
      </w:r>
      <w:r w:rsidR="00D16D51" w:rsidRPr="00640AE1">
        <w:rPr>
          <w:sz w:val="24"/>
          <w:szCs w:val="24"/>
          <w:lang w:val="en-GB"/>
        </w:rPr>
        <w:t xml:space="preserve">. </w:t>
      </w:r>
      <w:r w:rsidRPr="00640AE1">
        <w:rPr>
          <w:sz w:val="24"/>
          <w:szCs w:val="24"/>
          <w:lang w:val="en-GB"/>
        </w:rPr>
        <w:t xml:space="preserve">It would be helpful in future research to obtain follow-up data in order to test </w:t>
      </w:r>
      <w:r w:rsidR="00414A8B" w:rsidRPr="00640AE1">
        <w:rPr>
          <w:sz w:val="24"/>
          <w:szCs w:val="24"/>
          <w:lang w:val="en-GB"/>
        </w:rPr>
        <w:t>whether the changes observed in the current study are maintained after the intervention is complete and whether changes in emotional suppression may be delayed.</w:t>
      </w:r>
      <w:r w:rsidR="00B93EFC" w:rsidRPr="00640AE1">
        <w:rPr>
          <w:sz w:val="24"/>
          <w:szCs w:val="24"/>
          <w:lang w:val="en-GB"/>
        </w:rPr>
        <w:t xml:space="preserve"> </w:t>
      </w:r>
    </w:p>
    <w:p w14:paraId="62910FD8" w14:textId="21267A13" w:rsidR="00182994" w:rsidRPr="00640AE1" w:rsidRDefault="003F5135">
      <w:pPr>
        <w:pStyle w:val="Body"/>
        <w:spacing w:line="480" w:lineRule="auto"/>
        <w:ind w:firstLine="720"/>
        <w:jc w:val="both"/>
        <w:rPr>
          <w:sz w:val="24"/>
          <w:szCs w:val="24"/>
          <w:lang w:val="en-GB"/>
        </w:rPr>
      </w:pPr>
      <w:r w:rsidRPr="00640AE1">
        <w:rPr>
          <w:sz w:val="24"/>
          <w:szCs w:val="24"/>
          <w:lang w:val="en-GB"/>
        </w:rPr>
        <w:t>Though changes were statistically significant, effect siz</w:t>
      </w:r>
      <w:r w:rsidR="00D63EE9" w:rsidRPr="00640AE1">
        <w:rPr>
          <w:sz w:val="24"/>
          <w:szCs w:val="24"/>
          <w:lang w:val="en-GB"/>
        </w:rPr>
        <w:t>es were small except for change</w:t>
      </w:r>
      <w:r w:rsidRPr="00640AE1">
        <w:rPr>
          <w:sz w:val="24"/>
          <w:szCs w:val="24"/>
          <w:lang w:val="en-GB"/>
        </w:rPr>
        <w:t xml:space="preserve"> in global impact (which </w:t>
      </w:r>
      <w:r w:rsidR="00D63EE9" w:rsidRPr="00640AE1">
        <w:rPr>
          <w:sz w:val="24"/>
          <w:szCs w:val="24"/>
          <w:lang w:val="en-GB"/>
        </w:rPr>
        <w:t>was</w:t>
      </w:r>
      <w:r w:rsidRPr="00640AE1">
        <w:rPr>
          <w:sz w:val="24"/>
          <w:szCs w:val="24"/>
          <w:lang w:val="en-GB"/>
        </w:rPr>
        <w:t xml:space="preserve"> </w:t>
      </w:r>
      <w:r w:rsidR="00EB442F" w:rsidRPr="00640AE1">
        <w:rPr>
          <w:sz w:val="24"/>
          <w:szCs w:val="24"/>
          <w:lang w:val="en-GB"/>
        </w:rPr>
        <w:t>medium</w:t>
      </w:r>
      <w:r w:rsidRPr="00640AE1">
        <w:rPr>
          <w:sz w:val="24"/>
          <w:szCs w:val="24"/>
          <w:lang w:val="en-GB"/>
        </w:rPr>
        <w:t xml:space="preserve">). However the change in global impact </w:t>
      </w:r>
      <w:r w:rsidR="00D63EE9" w:rsidRPr="00640AE1">
        <w:rPr>
          <w:sz w:val="24"/>
          <w:szCs w:val="24"/>
          <w:lang w:val="en-GB"/>
        </w:rPr>
        <w:t>was</w:t>
      </w:r>
      <w:r w:rsidRPr="00640AE1">
        <w:rPr>
          <w:sz w:val="24"/>
          <w:szCs w:val="24"/>
          <w:lang w:val="en-GB"/>
        </w:rPr>
        <w:t xml:space="preserve"> not clinically significant </w:t>
      </w:r>
      <w:r w:rsidR="00F124FC" w:rsidRPr="00640AE1">
        <w:rPr>
          <w:sz w:val="24"/>
          <w:szCs w:val="24"/>
          <w:lang w:val="en-GB"/>
        </w:rPr>
        <w:t xml:space="preserve">for most participants, </w:t>
      </w:r>
      <w:r w:rsidRPr="00640AE1">
        <w:rPr>
          <w:sz w:val="24"/>
          <w:szCs w:val="24"/>
          <w:lang w:val="en-GB"/>
        </w:rPr>
        <w:t>according to Surendran et al.’s estimation of minimum clinically important difference</w:t>
      </w:r>
      <w:r w:rsidR="00EB442F" w:rsidRPr="00640AE1">
        <w:rPr>
          <w:sz w:val="24"/>
          <w:szCs w:val="24"/>
          <w:lang w:val="en-GB"/>
        </w:rPr>
        <w:t xml:space="preserve"> </w:t>
      </w:r>
      <w:r w:rsidR="00EB442F" w:rsidRPr="00640AE1">
        <w:rPr>
          <w:sz w:val="24"/>
          <w:szCs w:val="24"/>
          <w:lang w:val="en-GB"/>
        </w:rPr>
        <w:fldChar w:fldCharType="begin" w:fldLock="1"/>
      </w:r>
      <w:r w:rsidR="00D63EE9" w:rsidRPr="00640AE1">
        <w:rPr>
          <w:sz w:val="24"/>
          <w:szCs w:val="24"/>
          <w:lang w:val="en-GB"/>
        </w:rPr>
        <w:instrText>ADDIN CSL_CITATION {"citationItems":[{"id":"ITEM-1","itemData":{"DOI":"10.1136/annrheumdis-2018-eular.5492","ISSN":"0003-4967","abstract":"Background: The FIQ (Fibromyalgia Impact Questionnaire) was first published in 1991 and had 19 items which were recalled over a week. The scoring system is highly reliable and is recognised as an outcome measure that covers the multiple domains of Fibromyalgia1. A prior study by Benett et al2 have shown that 14% change in the FIQ total score represents the Minimum Clinically Important Difference(MCID) in the Fibromyalgia. The FIQ was revised in 2009 to the 20 item Fibromyalgia Impact Questionnaire Revised or FIQR. However, there has been no study done for assessing the MCID of the FIQR in Fibromyalgia.\n\nObjectives: The aim of our study is to estimate the MCID for Fibromyalgia Impact Questionnaire Revised using anchor-based methodology with average pain score on Brief Pain Inventory as the anchor.\n\nMethods: We have used data from our prospectively followed cohort of fibromyalgia patients. They were treated as per protocol with duloxetine in escalating doses. Data from this cohort was used to estimate the MCID for the FIQR using anchor-based methodology The anchor used was the average pain score on Brief Pain Inventory(BPI). The MCID for BPI average pain score was calculated by Mease et al to be 30%3. Thus, all patients in our cohort having an improvement of greater than 30 % were classified as responders. All other patients were non-responders. Within these two groups, the means and standard deviations of the FIQR scores at baseline and at the end of treatment were obtained. The MCID was calculated as the difference in the unadjusted mean change in the FIQR scores between the “non-responder” group and the group with “responder group”. It was also expressed as a percentage reduction from the mean baseline FIQR.\n\nView this table:\n\nTable 1 \nshows the mean and standard deviation of FIQR scores at baseline, endpoint and the mean change along with the calculated MCID.\n\n\n\nView this table:\n\nTable 1\n\n\n\nConclusions: Based on our data, we suggest that a “27.04 point” or “45.5 %” improvement on the FIQR score represents the minimum clinically important difference for FIQR in fibromyalgia patients presenting with moderate to severe pain. Strengths of this work include the usage of prospectively followed patient population for analysis, protocol-based treatment with duloxetine and representation of a local population which more is applicable to our clinical practice. That MCID obtained for the FIQR score is much higher than the 14 % which was the MCID obtained for the…","author":[{"dropping-particle":"","family":"Surendran","given":"S.","non-dropping-particle":"","parse-names":false,"suffix":""},{"dropping-particle":"","family":"Mithun","given":"C. B.","non-dropping-particle":"","parse-names":false,"suffix":""}],"container-title":"Annals of the Rheumatic Diseases","id":"ITEM-1","issue":"Suppl 2","issued":{"date-parts":[["2018","6","1"]]},"page":"845-845","publisher":"BMJ Publishing Group Ltd","title":"FRI0647 Estimation of minimum clinically important difference in fibromyalgia for fiqr using bpi as the anchor measure","type":"article-journal","volume":"77"},"uris":["http://www.mendeley.com/documents/?uuid=4134ab31-be11-390b-b3d6-c61dffe6c734"]}],"mendeley":{"formattedCitation":"(27)","plainTextFormattedCitation":"(27)","previouslyFormattedCitation":"(27)"},"properties":{"noteIndex":0},"schema":"https://github.com/citation-style-language/schema/raw/master/csl-citation.json"}</w:instrText>
      </w:r>
      <w:r w:rsidR="00EB442F" w:rsidRPr="00640AE1">
        <w:rPr>
          <w:sz w:val="24"/>
          <w:szCs w:val="24"/>
          <w:lang w:val="en-GB"/>
        </w:rPr>
        <w:fldChar w:fldCharType="separate"/>
      </w:r>
      <w:r w:rsidR="003E246C" w:rsidRPr="00640AE1">
        <w:rPr>
          <w:noProof/>
          <w:sz w:val="24"/>
          <w:szCs w:val="24"/>
          <w:lang w:val="en-GB"/>
        </w:rPr>
        <w:t>(27)</w:t>
      </w:r>
      <w:r w:rsidR="00EB442F" w:rsidRPr="00640AE1">
        <w:rPr>
          <w:sz w:val="24"/>
          <w:szCs w:val="24"/>
          <w:lang w:val="en-GB"/>
        </w:rPr>
        <w:fldChar w:fldCharType="end"/>
      </w:r>
      <w:r w:rsidRPr="00640AE1">
        <w:rPr>
          <w:sz w:val="24"/>
          <w:szCs w:val="24"/>
          <w:lang w:val="en-GB"/>
        </w:rPr>
        <w:t>. Further research in a larger sample may be needed to further explore the clinical relevance of</w:t>
      </w:r>
      <w:r w:rsidR="00D63EE9" w:rsidRPr="00640AE1">
        <w:rPr>
          <w:sz w:val="24"/>
          <w:szCs w:val="24"/>
          <w:lang w:val="en-GB"/>
        </w:rPr>
        <w:t xml:space="preserve"> these</w:t>
      </w:r>
      <w:r w:rsidRPr="00640AE1">
        <w:rPr>
          <w:sz w:val="24"/>
          <w:szCs w:val="24"/>
          <w:lang w:val="en-GB"/>
        </w:rPr>
        <w:t xml:space="preserve"> changes in various pain management programmes.</w:t>
      </w:r>
    </w:p>
    <w:p w14:paraId="5251FF4D" w14:textId="09999EDA" w:rsidR="003F5135" w:rsidRPr="00640AE1" w:rsidRDefault="00B93EFC" w:rsidP="003F5135">
      <w:pPr>
        <w:pStyle w:val="Body"/>
        <w:spacing w:line="480" w:lineRule="auto"/>
        <w:ind w:firstLine="720"/>
        <w:jc w:val="both"/>
        <w:rPr>
          <w:sz w:val="24"/>
          <w:szCs w:val="24"/>
          <w:lang w:val="en-GB"/>
        </w:rPr>
      </w:pPr>
      <w:r w:rsidRPr="00640AE1">
        <w:rPr>
          <w:sz w:val="24"/>
          <w:szCs w:val="24"/>
          <w:lang w:val="en-GB"/>
        </w:rPr>
        <w:t xml:space="preserve">Given that changes in beliefs about emotions and changes in emotional expression are associated with </w:t>
      </w:r>
      <w:r w:rsidR="008C25EA" w:rsidRPr="00640AE1">
        <w:rPr>
          <w:sz w:val="24"/>
          <w:szCs w:val="24"/>
          <w:lang w:val="en-GB"/>
        </w:rPr>
        <w:t>less distress</w:t>
      </w:r>
      <w:r w:rsidRPr="00640AE1">
        <w:rPr>
          <w:sz w:val="24"/>
          <w:szCs w:val="24"/>
          <w:lang w:val="en-GB"/>
        </w:rPr>
        <w:t>, it could be suggested that a specific focus on beliefs and behaviours around emotions i</w:t>
      </w:r>
      <w:r w:rsidR="00E512FE" w:rsidRPr="00640AE1">
        <w:rPr>
          <w:sz w:val="24"/>
          <w:szCs w:val="24"/>
          <w:lang w:val="en-GB"/>
        </w:rPr>
        <w:t>s</w:t>
      </w:r>
      <w:r w:rsidRPr="00640AE1">
        <w:rPr>
          <w:sz w:val="24"/>
          <w:szCs w:val="24"/>
          <w:lang w:val="en-GB"/>
        </w:rPr>
        <w:t xml:space="preserve"> helpful in psychological interventions for people with </w:t>
      </w:r>
      <w:r w:rsidR="00E512FE" w:rsidRPr="00640AE1">
        <w:rPr>
          <w:sz w:val="24"/>
          <w:szCs w:val="24"/>
          <w:lang w:val="en-GB"/>
        </w:rPr>
        <w:t>fibromyalgia</w:t>
      </w:r>
      <w:r w:rsidRPr="00640AE1">
        <w:rPr>
          <w:sz w:val="24"/>
          <w:szCs w:val="24"/>
          <w:lang w:val="en-GB"/>
        </w:rPr>
        <w:t xml:space="preserve">. </w:t>
      </w:r>
      <w:r w:rsidR="004878DD" w:rsidRPr="00640AE1">
        <w:rPr>
          <w:sz w:val="24"/>
          <w:szCs w:val="24"/>
          <w:lang w:val="en-GB"/>
        </w:rPr>
        <w:t xml:space="preserve">Although this was not a specific focus in the pain management programme, a focus on beliefs, emotions and behaviours is </w:t>
      </w:r>
      <w:r w:rsidR="00D63EE9" w:rsidRPr="00640AE1">
        <w:rPr>
          <w:sz w:val="24"/>
          <w:szCs w:val="24"/>
          <w:lang w:val="en-GB"/>
        </w:rPr>
        <w:t xml:space="preserve">a </w:t>
      </w:r>
      <w:r w:rsidR="004878DD" w:rsidRPr="00640AE1">
        <w:rPr>
          <w:sz w:val="24"/>
          <w:szCs w:val="24"/>
          <w:lang w:val="en-GB"/>
        </w:rPr>
        <w:t>key part of second and third wave therapies, and by nature of attending group programme</w:t>
      </w:r>
      <w:r w:rsidR="00E512FE" w:rsidRPr="00640AE1">
        <w:rPr>
          <w:sz w:val="24"/>
          <w:szCs w:val="24"/>
          <w:lang w:val="en-GB"/>
        </w:rPr>
        <w:t>s</w:t>
      </w:r>
      <w:r w:rsidR="004878DD" w:rsidRPr="00640AE1">
        <w:rPr>
          <w:sz w:val="24"/>
          <w:szCs w:val="24"/>
          <w:lang w:val="en-GB"/>
        </w:rPr>
        <w:t>, participants are encourage</w:t>
      </w:r>
      <w:r w:rsidR="00F5223B" w:rsidRPr="00640AE1">
        <w:rPr>
          <w:sz w:val="24"/>
          <w:szCs w:val="24"/>
          <w:lang w:val="en-GB"/>
        </w:rPr>
        <w:t xml:space="preserve">d to talk about </w:t>
      </w:r>
      <w:r w:rsidR="00F5223B" w:rsidRPr="00640AE1">
        <w:rPr>
          <w:sz w:val="24"/>
          <w:szCs w:val="24"/>
          <w:lang w:val="en-GB"/>
        </w:rPr>
        <w:lastRenderedPageBreak/>
        <w:t xml:space="preserve">their emotions. This </w:t>
      </w:r>
      <w:r w:rsidR="004878DD" w:rsidRPr="00640AE1">
        <w:rPr>
          <w:sz w:val="24"/>
          <w:szCs w:val="24"/>
          <w:lang w:val="en-GB"/>
        </w:rPr>
        <w:t xml:space="preserve">may in turn support them in evaluating any unhelpful beliefs about experiencing and expressing emotions. </w:t>
      </w:r>
      <w:r w:rsidRPr="00640AE1">
        <w:rPr>
          <w:sz w:val="24"/>
          <w:szCs w:val="24"/>
          <w:lang w:val="en-GB"/>
        </w:rPr>
        <w:t xml:space="preserve">As noted by </w:t>
      </w:r>
      <w:r w:rsidR="008C25EA" w:rsidRPr="00640AE1">
        <w:rPr>
          <w:sz w:val="24"/>
          <w:szCs w:val="24"/>
          <w:lang w:val="en-GB"/>
        </w:rPr>
        <w:t xml:space="preserve">a </w:t>
      </w:r>
      <w:r w:rsidRPr="00640AE1">
        <w:rPr>
          <w:sz w:val="24"/>
          <w:szCs w:val="24"/>
          <w:lang w:val="en-GB"/>
        </w:rPr>
        <w:t>Cochrane review</w:t>
      </w:r>
      <w:r w:rsidR="008C25EA" w:rsidRPr="00640AE1">
        <w:rPr>
          <w:sz w:val="24"/>
          <w:szCs w:val="24"/>
          <w:lang w:val="en-GB"/>
        </w:rPr>
        <w:t>,</w:t>
      </w:r>
      <w:r w:rsidRPr="00640AE1">
        <w:rPr>
          <w:sz w:val="24"/>
          <w:szCs w:val="24"/>
          <w:lang w:val="en-GB"/>
        </w:rPr>
        <w:t xml:space="preserve"> psy</w:t>
      </w:r>
      <w:r w:rsidR="003835CB" w:rsidRPr="00640AE1">
        <w:rPr>
          <w:sz w:val="24"/>
          <w:szCs w:val="24"/>
          <w:lang w:val="en-GB"/>
        </w:rPr>
        <w:t>c</w:t>
      </w:r>
      <w:r w:rsidRPr="00640AE1">
        <w:rPr>
          <w:sz w:val="24"/>
          <w:szCs w:val="24"/>
          <w:lang w:val="en-GB"/>
        </w:rPr>
        <w:t>h</w:t>
      </w:r>
      <w:r w:rsidR="00E512FE" w:rsidRPr="00640AE1">
        <w:rPr>
          <w:sz w:val="24"/>
          <w:szCs w:val="24"/>
          <w:lang w:val="en-GB"/>
        </w:rPr>
        <w:t>ological</w:t>
      </w:r>
      <w:r w:rsidRPr="00640AE1">
        <w:rPr>
          <w:sz w:val="24"/>
          <w:szCs w:val="24"/>
          <w:lang w:val="en-GB"/>
        </w:rPr>
        <w:t xml:space="preserve"> interventions are helpful but the mechanism</w:t>
      </w:r>
      <w:r w:rsidR="00D63EE9" w:rsidRPr="00640AE1">
        <w:rPr>
          <w:sz w:val="24"/>
          <w:szCs w:val="24"/>
          <w:lang w:val="en-GB"/>
        </w:rPr>
        <w:t>s are</w:t>
      </w:r>
      <w:r w:rsidRPr="00640AE1">
        <w:rPr>
          <w:sz w:val="24"/>
          <w:szCs w:val="24"/>
          <w:lang w:val="en-GB"/>
        </w:rPr>
        <w:t xml:space="preserve"> unknown</w:t>
      </w:r>
      <w:r w:rsidR="00F5223B" w:rsidRPr="00640AE1">
        <w:rPr>
          <w:sz w:val="24"/>
          <w:szCs w:val="24"/>
          <w:lang w:val="en-GB"/>
        </w:rPr>
        <w:t xml:space="preserve"> </w:t>
      </w:r>
      <w:r w:rsidR="00F5223B" w:rsidRPr="00640AE1">
        <w:rPr>
          <w:sz w:val="24"/>
          <w:szCs w:val="24"/>
          <w:lang w:val="en-GB"/>
        </w:rPr>
        <w:fldChar w:fldCharType="begin" w:fldLock="1"/>
      </w:r>
      <w:r w:rsidR="00D63EE9" w:rsidRPr="00640AE1">
        <w:rPr>
          <w:sz w:val="24"/>
          <w:szCs w:val="24"/>
          <w:lang w:val="en-GB"/>
        </w:rPr>
        <w:instrText>ADDIN CSL_CITATION {"citationItems":[{"id":"ITEM-1","itemData":{"DOI":"10.1002/14651858.CD009796.pub2","ISBN":"1469-493X","ISSN":"1469-493X","PMID":"24018611","abstract":"BACKGROUND: Fibromyalgia (FM) is a clinically well-defined chronic condition of unknown aetiology characterized by chronic widespread pain that often co-exists with sleep disturbances, cognitive dysfunction and fatigue. Patients often report high disability levels and negative mood. Psychotherapies focus on reducing key symptoms, improving daily functioning, mood and sense of personal control over pain.\\n\\nOBJECTIVES: To assess the benefits and harms of cognitive behavioural therapies (CBTs) for treating FM at end of treatment and at long-term (at least six months) follow-up.\\n\\nSEARCH METHODS: We searched the Cochrane Central Register of Controlled Trials (CENTRAL) (The Cochrane Library 2013, Issue 8), MEDLINE (1966 to 28 August 2013), PsycINFO (1966 to 28 August 2013) and SCOPUS (1980 to 28 August 2013). We searched http://www.clinicaltrials.gov (web site of the US National Institutes of Health) and the World Health Organization Clinical Trials Registry Platform (ICTRP) (http://www.who.int/ictrp/en/) for ongoing trials (last search 28 August,2013), and the reference lists of reviewed articles.\\n\\nSELECTION CRITERIA: We selected randomised controlled trials of CBTs with children, adolescents and adults diagnosed with FM.\\n\\nDATA COLLECTION AND ANALYSIS: The data of all included studies were extracted and the risks of bias of the studies were assessed independently by two review authors. Discrepancies were resolved by discussion.\\n\\nMAIN RESULTS: Twenty-three studies with 24 study arms with CBTs were included. A total of 2031 patients were included; 1073 patients in CBT groups and 958 patients in control groups. Only two studies were without any risk of bias. The GRADE quality of evidence of the studies was low. CBTs were superior to controls in reducing pain at end of treatment by 0.5 points on a scale of 0 to 10 (standardised mean difference (SMD) - 0.29; 95% confidence interval (CI) -0.49 to -0.17) and by 0.6 points at long-term follow-up (median 6 months) (SMD -0.40; 95% CI -0.62 to -0.17); in reducing negative mood at end of treatment by 0.7 points on a scale of 0 to 10 (SMD - 0.33; 95% CI -0.49 to -0.17) and by 1.3 points at long-term follow-up (median 6 months) (SMD -0.43; 95% CI -0.75 to -0.11); and in reducing disability at end of treatment by 0.7 points on a scale of 0 to 10 (SMD - 0.30; 95% CI -0.51 to -0.08) and at long-term follow-up (median 6 months) by 1.2 points (SMD -0.52; 95% CI -0.86 to -0.18). There was no statistically significant d…","author":[{"dropping-particle":"","family":"Bernardy","given":"Kathrin","non-dropping-particle":"","parse-names":false,"suffix":""},{"dropping-particle":"","family":"Klose","given":"Petra","non-dropping-particle":"","parse-names":false,"suffix":""},{"dropping-particle":"","family":"Busch","given":"Angela J","non-dropping-particle":"","parse-names":false,"suffix":""},{"dropping-particle":"","family":"Choy","given":"Ernest Hs","non-dropping-particle":"","parse-names":false,"suffix":""},{"dropping-particle":"","family":"Häuser","given":"Winfried","non-dropping-particle":"","parse-names":false,"suffix":""}],"container-title":"The Cochrane database of systematic reviews","id":"ITEM-1","issue":"4","issued":{"date-parts":[["2013"]]},"page":"CD009796","title":"Cognitive behavioural therapies for fibromyalgia.","type":"article-journal","volume":"9"},"uris":["http://www.mendeley.com/documents/?uuid=81dc9d5d-0237-4912-8843-43a905c9ef43"]}],"mendeley":{"formattedCitation":"(30)","plainTextFormattedCitation":"(30)","previouslyFormattedCitation":"(30)"},"properties":{"noteIndex":0},"schema":"https://github.com/citation-style-language/schema/raw/master/csl-citation.json"}</w:instrText>
      </w:r>
      <w:r w:rsidR="00F5223B" w:rsidRPr="00640AE1">
        <w:rPr>
          <w:sz w:val="24"/>
          <w:szCs w:val="24"/>
          <w:lang w:val="en-GB"/>
        </w:rPr>
        <w:fldChar w:fldCharType="separate"/>
      </w:r>
      <w:r w:rsidR="003E246C" w:rsidRPr="00640AE1">
        <w:rPr>
          <w:noProof/>
          <w:sz w:val="24"/>
          <w:szCs w:val="24"/>
          <w:lang w:val="en-GB"/>
        </w:rPr>
        <w:t>(30)</w:t>
      </w:r>
      <w:r w:rsidR="00F5223B" w:rsidRPr="00640AE1">
        <w:rPr>
          <w:sz w:val="24"/>
          <w:szCs w:val="24"/>
          <w:lang w:val="en-GB"/>
        </w:rPr>
        <w:fldChar w:fldCharType="end"/>
      </w:r>
      <w:r w:rsidRPr="00640AE1">
        <w:rPr>
          <w:sz w:val="24"/>
          <w:szCs w:val="24"/>
          <w:lang w:val="en-GB"/>
        </w:rPr>
        <w:t>. Whi</w:t>
      </w:r>
      <w:r w:rsidR="00E512FE" w:rsidRPr="00640AE1">
        <w:rPr>
          <w:sz w:val="24"/>
          <w:szCs w:val="24"/>
          <w:lang w:val="en-GB"/>
        </w:rPr>
        <w:t>l</w:t>
      </w:r>
      <w:r w:rsidRPr="00640AE1">
        <w:rPr>
          <w:sz w:val="24"/>
          <w:szCs w:val="24"/>
          <w:lang w:val="en-GB"/>
        </w:rPr>
        <w:t xml:space="preserve">st it is beyond the scope of this research to evaluate the mechanism of change in the pain management programmes, the findings suggest that beliefs and behaviours around emotions may play a role and </w:t>
      </w:r>
      <w:r w:rsidR="00E512FE" w:rsidRPr="00640AE1">
        <w:rPr>
          <w:sz w:val="24"/>
          <w:szCs w:val="24"/>
          <w:lang w:val="en-GB"/>
        </w:rPr>
        <w:t xml:space="preserve">are </w:t>
      </w:r>
      <w:r w:rsidRPr="00640AE1">
        <w:rPr>
          <w:sz w:val="24"/>
          <w:szCs w:val="24"/>
          <w:lang w:val="en-GB"/>
        </w:rPr>
        <w:t xml:space="preserve">worth investigating further in future research. </w:t>
      </w:r>
      <w:r w:rsidR="003F5135" w:rsidRPr="00640AE1">
        <w:rPr>
          <w:sz w:val="24"/>
          <w:szCs w:val="24"/>
          <w:lang w:val="en-GB"/>
        </w:rPr>
        <w:t xml:space="preserve">However the correlation coefficients between the emotional variables and outcomes were low </w:t>
      </w:r>
      <w:r w:rsidR="003F5135" w:rsidRPr="00640AE1">
        <w:rPr>
          <w:sz w:val="24"/>
          <w:szCs w:val="24"/>
          <w:lang w:val="en-GB"/>
        </w:rPr>
        <w:fldChar w:fldCharType="begin" w:fldLock="1"/>
      </w:r>
      <w:r w:rsidR="00D63EE9" w:rsidRPr="00640AE1">
        <w:rPr>
          <w:sz w:val="24"/>
          <w:szCs w:val="24"/>
          <w:lang w:val="en-GB"/>
        </w:rPr>
        <w:instrText>ADDIN CSL_CITATION {"citationItems":[{"id":"ITEM-1","itemData":{"ISSN":"1995-7270","PMID":"23638278","abstract":"Correlation is a statistical method used to assess a possible linear association between two continuous variables. It is simple both to calculate and to interpret. However, misuse of correlation is so common among researchers that some statisticians have wished that the method had never been devised at all. The aim of this article is to provide a guide to appropriate use of correlation in medical research and to highlight some misuse. Examples of the applications of the correlation coefficient have been provided using data from statistical simulations as well as real data. Rule of thumb for interpreting size of a correlation coefficient has been provided.","author":[{"dropping-particle":"","family":"Mukaka","given":"M M","non-dropping-particle":"","parse-names":false,"suffix":""}],"container-title":"Malawi medical journal : the journal of Medical Association of Malawi","id":"ITEM-1","issue":"3","issued":{"date-parts":[["2012","9"]]},"page":"69-71","publisher":"Medical Association of Malawi","title":"Statistics corner: A guide to appropriate use of correlation coefficient in medical research.","type":"article-journal","volume":"24"},"uris":["http://www.mendeley.com/documents/?uuid=b9c82e18-30b1-3999-95a6-995811be19d7"]}],"mendeley":{"formattedCitation":"(28)","plainTextFormattedCitation":"(28)","previouslyFormattedCitation":"(28)"},"properties":{"noteIndex":0},"schema":"https://github.com/citation-style-language/schema/raw/master/csl-citation.json"}</w:instrText>
      </w:r>
      <w:r w:rsidR="003F5135" w:rsidRPr="00640AE1">
        <w:rPr>
          <w:sz w:val="24"/>
          <w:szCs w:val="24"/>
          <w:lang w:val="en-GB"/>
        </w:rPr>
        <w:fldChar w:fldCharType="separate"/>
      </w:r>
      <w:r w:rsidR="003E246C" w:rsidRPr="00640AE1">
        <w:rPr>
          <w:noProof/>
          <w:sz w:val="24"/>
          <w:szCs w:val="24"/>
          <w:lang w:val="en-GB"/>
        </w:rPr>
        <w:t>(28)</w:t>
      </w:r>
      <w:r w:rsidR="003F5135" w:rsidRPr="00640AE1">
        <w:rPr>
          <w:sz w:val="24"/>
          <w:szCs w:val="24"/>
          <w:lang w:val="en-GB"/>
        </w:rPr>
        <w:fldChar w:fldCharType="end"/>
      </w:r>
      <w:r w:rsidR="003F5135" w:rsidRPr="00640AE1">
        <w:rPr>
          <w:sz w:val="24"/>
          <w:szCs w:val="24"/>
          <w:lang w:val="en-GB"/>
        </w:rPr>
        <w:t>. Further research on these variables is warranted to determine their clinical value.</w:t>
      </w:r>
    </w:p>
    <w:p w14:paraId="62878971" w14:textId="6DB82F5E" w:rsidR="00313487" w:rsidRPr="00640AE1" w:rsidRDefault="00313487" w:rsidP="00414A8B">
      <w:pPr>
        <w:pStyle w:val="Body"/>
        <w:spacing w:line="480" w:lineRule="auto"/>
        <w:ind w:firstLine="720"/>
        <w:jc w:val="both"/>
        <w:rPr>
          <w:sz w:val="24"/>
          <w:szCs w:val="24"/>
          <w:lang w:val="en-GB"/>
        </w:rPr>
      </w:pPr>
      <w:r w:rsidRPr="00640AE1">
        <w:rPr>
          <w:sz w:val="24"/>
          <w:szCs w:val="24"/>
          <w:lang w:val="en-GB"/>
        </w:rPr>
        <w:t xml:space="preserve">This study suffered from a </w:t>
      </w:r>
      <w:r w:rsidR="00877886" w:rsidRPr="00640AE1">
        <w:rPr>
          <w:sz w:val="24"/>
          <w:szCs w:val="24"/>
          <w:lang w:val="en-GB"/>
        </w:rPr>
        <w:t>low response</w:t>
      </w:r>
      <w:r w:rsidRPr="00640AE1">
        <w:rPr>
          <w:sz w:val="24"/>
          <w:szCs w:val="24"/>
          <w:lang w:val="en-GB"/>
        </w:rPr>
        <w:t xml:space="preserve"> rate which may have impacted its power. </w:t>
      </w:r>
      <w:r w:rsidR="00BF6903" w:rsidRPr="00640AE1">
        <w:rPr>
          <w:sz w:val="24"/>
          <w:szCs w:val="24"/>
          <w:lang w:val="en-GB"/>
        </w:rPr>
        <w:t xml:space="preserve">A larger sample would have allowed for testing of differences between the </w:t>
      </w:r>
      <w:r w:rsidR="00D63EE9" w:rsidRPr="00640AE1">
        <w:rPr>
          <w:sz w:val="24"/>
          <w:szCs w:val="24"/>
          <w:lang w:val="en-GB"/>
        </w:rPr>
        <w:t>programme</w:t>
      </w:r>
      <w:r w:rsidR="00BF6903" w:rsidRPr="00640AE1">
        <w:rPr>
          <w:sz w:val="24"/>
          <w:szCs w:val="24"/>
          <w:lang w:val="en-GB"/>
        </w:rPr>
        <w:t xml:space="preserve"> groups to understand whether all </w:t>
      </w:r>
      <w:r w:rsidR="00D63EE9" w:rsidRPr="00640AE1">
        <w:rPr>
          <w:sz w:val="24"/>
          <w:szCs w:val="24"/>
          <w:lang w:val="en-GB"/>
        </w:rPr>
        <w:t>programmes</w:t>
      </w:r>
      <w:r w:rsidR="00BF6903" w:rsidRPr="00640AE1">
        <w:rPr>
          <w:sz w:val="24"/>
          <w:szCs w:val="24"/>
          <w:lang w:val="en-GB"/>
        </w:rPr>
        <w:t xml:space="preserve"> showed the same degree of change in beliefs about emotions and to account for therapist effects.</w:t>
      </w:r>
      <w:r w:rsidR="0003676B" w:rsidRPr="00640AE1">
        <w:rPr>
          <w:sz w:val="24"/>
          <w:szCs w:val="24"/>
          <w:lang w:val="en-GB"/>
        </w:rPr>
        <w:t xml:space="preserve"> For example, it may be interesting in future to compare the different elements of each programme (e.g. physiotherapy elements compared with psychotherapy).</w:t>
      </w:r>
      <w:r w:rsidR="003F5135" w:rsidRPr="00640AE1">
        <w:rPr>
          <w:sz w:val="24"/>
          <w:szCs w:val="24"/>
          <w:lang w:val="en-GB"/>
        </w:rPr>
        <w:t xml:space="preserve"> Follow-up rates were related to </w:t>
      </w:r>
      <w:r w:rsidR="00D63EE9" w:rsidRPr="00640AE1">
        <w:rPr>
          <w:sz w:val="24"/>
          <w:szCs w:val="24"/>
          <w:lang w:val="en-GB"/>
        </w:rPr>
        <w:t>programme</w:t>
      </w:r>
      <w:r w:rsidR="003F5135" w:rsidRPr="00640AE1">
        <w:rPr>
          <w:sz w:val="24"/>
          <w:szCs w:val="24"/>
          <w:lang w:val="en-GB"/>
        </w:rPr>
        <w:t xml:space="preserve"> group</w:t>
      </w:r>
      <w:r w:rsidR="00D63EE9" w:rsidRPr="00640AE1">
        <w:rPr>
          <w:sz w:val="24"/>
          <w:szCs w:val="24"/>
          <w:lang w:val="en-GB"/>
        </w:rPr>
        <w:t xml:space="preserve"> (each with a different therapist)</w:t>
      </w:r>
      <w:r w:rsidR="003F5135" w:rsidRPr="00640AE1">
        <w:rPr>
          <w:sz w:val="24"/>
          <w:szCs w:val="24"/>
          <w:lang w:val="en-GB"/>
        </w:rPr>
        <w:t>, and therapists varied in their preferred method of data collection and contacting non-responders. It is therefore possible that</w:t>
      </w:r>
      <w:r w:rsidR="00BF6903" w:rsidRPr="00640AE1">
        <w:rPr>
          <w:sz w:val="24"/>
          <w:szCs w:val="24"/>
          <w:lang w:val="en-GB"/>
        </w:rPr>
        <w:t xml:space="preserve"> </w:t>
      </w:r>
      <w:r w:rsidR="00877886" w:rsidRPr="00640AE1">
        <w:rPr>
          <w:sz w:val="24"/>
          <w:szCs w:val="24"/>
          <w:lang w:val="en-GB"/>
        </w:rPr>
        <w:t>the non-response rates were due differences in contacting non-responders or data collection method. Response rate could</w:t>
      </w:r>
      <w:r w:rsidRPr="00640AE1">
        <w:rPr>
          <w:sz w:val="24"/>
          <w:szCs w:val="24"/>
          <w:lang w:val="en-GB"/>
        </w:rPr>
        <w:t xml:space="preserve"> have been improved through </w:t>
      </w:r>
      <w:r w:rsidR="008C25EA" w:rsidRPr="00640AE1">
        <w:rPr>
          <w:sz w:val="24"/>
          <w:szCs w:val="24"/>
          <w:lang w:val="en-GB"/>
        </w:rPr>
        <w:t xml:space="preserve">using </w:t>
      </w:r>
      <w:r w:rsidRPr="00640AE1">
        <w:rPr>
          <w:sz w:val="24"/>
          <w:szCs w:val="24"/>
          <w:lang w:val="en-GB"/>
        </w:rPr>
        <w:t>face-to-face follow-up as opposed to postal and online follow-up</w:t>
      </w:r>
      <w:r w:rsidR="003F5135" w:rsidRPr="00640AE1">
        <w:rPr>
          <w:sz w:val="24"/>
          <w:szCs w:val="24"/>
          <w:lang w:val="en-GB"/>
        </w:rPr>
        <w:t xml:space="preserve">. </w:t>
      </w:r>
    </w:p>
    <w:p w14:paraId="10B8EBAE" w14:textId="74B251FE" w:rsidR="0003676B" w:rsidRPr="00640AE1" w:rsidRDefault="0003676B" w:rsidP="00414A8B">
      <w:pPr>
        <w:pStyle w:val="Body"/>
        <w:spacing w:line="480" w:lineRule="auto"/>
        <w:ind w:firstLine="720"/>
        <w:jc w:val="both"/>
        <w:rPr>
          <w:sz w:val="24"/>
          <w:szCs w:val="24"/>
          <w:lang w:val="en-GB"/>
        </w:rPr>
      </w:pPr>
      <w:r w:rsidRPr="00640AE1">
        <w:rPr>
          <w:sz w:val="24"/>
          <w:szCs w:val="24"/>
          <w:lang w:val="en-GB"/>
        </w:rPr>
        <w:t xml:space="preserve">Participants in this study were from different sites and were not diagnosed within the current study. Patients reported being diagnosed by a physician. </w:t>
      </w:r>
      <w:r w:rsidR="00A02DD8" w:rsidRPr="00640AE1">
        <w:rPr>
          <w:sz w:val="24"/>
          <w:szCs w:val="24"/>
          <w:lang w:val="en-GB"/>
        </w:rPr>
        <w:t xml:space="preserve">As there is variation in diagnoses of fibromyalgia in clinical practice </w:t>
      </w:r>
      <w:r w:rsidR="00A02DD8" w:rsidRPr="00640AE1">
        <w:rPr>
          <w:sz w:val="24"/>
          <w:szCs w:val="24"/>
          <w:lang w:val="en-GB"/>
        </w:rPr>
        <w:fldChar w:fldCharType="begin" w:fldLock="1"/>
      </w:r>
      <w:r w:rsidR="00D63EE9" w:rsidRPr="00640AE1">
        <w:rPr>
          <w:sz w:val="24"/>
          <w:szCs w:val="24"/>
          <w:lang w:val="en-GB"/>
        </w:rPr>
        <w:instrText>ADDIN CSL_CITATION {"citationItems":[{"id":"ITEM-1","itemData":{"DOI":"10.1002/art.38905","ISBN":"2326-5205","ISSN":"23265205","PMID":"25323744","abstract":"OBJECTIVE: The American College of Rheumatology (ACR) 1990 fibromyalgia classification criteria are based on the presence of widespread pain and tenderness. In 2010, new criteria were proposed that focused more on multiple symptoms, and these criteria were later modified to require only self report of symptoms. The current study aimed to determine the population prevalence of fibromyalgia and to compare differences in prevalence using the alternative criteria. METHODS: A cross-sectional survey was conducted. Questionnaires, including items on pain, symptoms, and rheumatologic diagnoses, were mailed to 4,600 adults in northeast Scotland. Participants who had chronic widespread pain or those who met the modified 2010 criteria, plus a subsample of other participants, were invited to attend a research clinic. Attendees completed an additional questionnaire and underwent a rheumatologic examination, and their signs and symptoms were classified according to the ACR 1990, 2010, and modified 2010 criteria. The prevalence of fibromyalgia according to each set of criteria was calculated, weighting back to the target population by age, sex, and area of residence. RESULTS: Of 1,604 questionnaire participants, 269 were invited to attend the research clinic, and 104 (39%) attended; 32 of these subjects (31%) met ≥1 set of fibromyalgia criteria. The prevalence of fibromyalgia according to the 1990, 2010, and modified 2010 criteria was 1.7% (95% confidence interval [95% CI] 0.7-2.8), 1.2% (95% CI 0.3-2.1), and 5.4% (95% CI 4.7-6.1), respectively. The ratio of females to males was 13.7:1, 4.8:1, and 2.3:1 of those meeting the respective criteria sets. CONCLUSION: Fibromyalgia prevalence varies with the different sets of classification criteria applied. In particular, prevalence is higher and a greater proportion of men are identified with the modified 2010 criteria as compared to the criteria sets requiring clinician input. This has important implications for the use of the new criteria, both in research and in clinical practice.","author":[{"dropping-particle":"","family":"Jones","given":"Gareth T.","non-dropping-particle":"","parse-names":false,"suffix":""},{"dropping-particle":"","family":"Atzeni","given":"Fabiola","non-dropping-particle":"","parse-names":false,"suffix":""},{"dropping-particle":"","family":"Beasley","given":"Marcus","non-dropping-particle":"","parse-names":false,"suffix":""},{"dropping-particle":"","family":"Fl????","given":"Elisa","non-dropping-particle":"","parse-names":false,"suffix":""},{"dropping-particle":"","family":"Sarzi-Puttini","given":"Piercarlo","non-dropping-particle":"","parse-names":false,"suffix":""},{"dropping-particle":"","family":"Macfarlane","given":"Gary J.","non-dropping-particle":"","parse-names":false,"suffix":""}],"container-title":"Arthritis and Rheumatology","id":"ITEM-1","issue":"2","issued":{"date-parts":[["2015"]]},"page":"568-575","title":"The prevalence of fibromyalgia in the general population: A comparison of the American College of Rheumatology 1990, 2010, and modified 2010 classification criteria","type":"article-journal","volume":"67"},"uris":["http://www.mendeley.com/documents/?uuid=5da7bb99-d6d6-4d61-a052-9988690691af"]}],"mendeley":{"formattedCitation":"(31)","plainTextFormattedCitation":"(31)","previouslyFormattedCitation":"(31)"},"properties":{"noteIndex":0},"schema":"https://github.com/citation-style-language/schema/raw/master/csl-citation.json"}</w:instrText>
      </w:r>
      <w:r w:rsidR="00A02DD8" w:rsidRPr="00640AE1">
        <w:rPr>
          <w:sz w:val="24"/>
          <w:szCs w:val="24"/>
          <w:lang w:val="en-GB"/>
        </w:rPr>
        <w:fldChar w:fldCharType="separate"/>
      </w:r>
      <w:r w:rsidR="003E246C" w:rsidRPr="00640AE1">
        <w:rPr>
          <w:noProof/>
          <w:sz w:val="24"/>
          <w:szCs w:val="24"/>
          <w:lang w:val="en-GB"/>
        </w:rPr>
        <w:t>(31)</w:t>
      </w:r>
      <w:r w:rsidR="00A02DD8" w:rsidRPr="00640AE1">
        <w:rPr>
          <w:sz w:val="24"/>
          <w:szCs w:val="24"/>
          <w:lang w:val="en-GB"/>
        </w:rPr>
        <w:fldChar w:fldCharType="end"/>
      </w:r>
      <w:r w:rsidR="00A02DD8" w:rsidRPr="00640AE1">
        <w:rPr>
          <w:sz w:val="24"/>
          <w:szCs w:val="24"/>
          <w:lang w:val="en-GB"/>
        </w:rPr>
        <w:t xml:space="preserve">, it is possible there is heterogeneity and potential misdiagnoses or inconsistencies in the current sample. </w:t>
      </w:r>
      <w:r w:rsidR="00E90BB1" w:rsidRPr="00640AE1">
        <w:rPr>
          <w:sz w:val="24"/>
          <w:szCs w:val="24"/>
          <w:lang w:val="en-GB"/>
        </w:rPr>
        <w:t xml:space="preserve">Furthermore data on </w:t>
      </w:r>
      <w:r w:rsidR="00E90BB1" w:rsidRPr="00640AE1">
        <w:rPr>
          <w:sz w:val="24"/>
          <w:szCs w:val="24"/>
          <w:lang w:val="en-GB"/>
        </w:rPr>
        <w:lastRenderedPageBreak/>
        <w:t xml:space="preserve">duration of illness was not collected. It may be that patients who have been experiencing symptoms for longer manage their emotions differently from those who were diagnosed more recently. </w:t>
      </w:r>
      <w:r w:rsidR="00A02DD8" w:rsidRPr="00640AE1">
        <w:rPr>
          <w:sz w:val="24"/>
          <w:szCs w:val="24"/>
          <w:lang w:val="en-GB"/>
        </w:rPr>
        <w:t xml:space="preserve">Future research </w:t>
      </w:r>
      <w:r w:rsidR="00EB442F" w:rsidRPr="00640AE1">
        <w:rPr>
          <w:sz w:val="24"/>
          <w:szCs w:val="24"/>
          <w:lang w:val="en-GB"/>
        </w:rPr>
        <w:t xml:space="preserve">should include standardised diagnostic assessment </w:t>
      </w:r>
      <w:r w:rsidR="00E90BB1" w:rsidRPr="00640AE1">
        <w:rPr>
          <w:sz w:val="24"/>
          <w:szCs w:val="24"/>
          <w:lang w:val="en-GB"/>
        </w:rPr>
        <w:t>and should measure duration of illness.</w:t>
      </w:r>
    </w:p>
    <w:p w14:paraId="2268D710" w14:textId="633B16D2" w:rsidR="00935911" w:rsidRPr="00640AE1" w:rsidRDefault="00935911" w:rsidP="00427D3A">
      <w:pPr>
        <w:pStyle w:val="Body"/>
        <w:spacing w:line="480" w:lineRule="auto"/>
        <w:ind w:firstLine="720"/>
        <w:jc w:val="both"/>
        <w:rPr>
          <w:sz w:val="24"/>
          <w:szCs w:val="24"/>
          <w:lang w:val="en-GB"/>
        </w:rPr>
      </w:pPr>
      <w:r w:rsidRPr="00640AE1">
        <w:rPr>
          <w:sz w:val="24"/>
          <w:szCs w:val="24"/>
          <w:lang w:val="en-GB"/>
        </w:rPr>
        <w:t>In future research, the use of a randomised control trial may be helpful to compare an intervention focusing on beliefs and behaviours around emotional expression (such as that developed by Burger et al.</w:t>
      </w:r>
      <w:r w:rsidR="008C25EA" w:rsidRPr="00640AE1">
        <w:rPr>
          <w:sz w:val="24"/>
          <w:szCs w:val="24"/>
          <w:lang w:val="en-GB"/>
        </w:rPr>
        <w:t xml:space="preserve"> </w:t>
      </w:r>
      <w:r w:rsidR="008C25EA" w:rsidRPr="00640AE1">
        <w:rPr>
          <w:sz w:val="24"/>
          <w:szCs w:val="24"/>
          <w:lang w:val="en-GB"/>
        </w:rPr>
        <w:fldChar w:fldCharType="begin" w:fldLock="1"/>
      </w:r>
      <w:r w:rsidR="00D63EE9" w:rsidRPr="00640AE1">
        <w:rPr>
          <w:sz w:val="24"/>
          <w:szCs w:val="24"/>
          <w:lang w:val="en-GB"/>
        </w:rPr>
        <w:instrText>ADDIN CSL_CITATION {"citationItems":[{"id":"ITEM-1","itemData":{"DOI":"10.1016/j.jpsychores.2015.12.003","ISSN":"00223999","abstract":"OBJECTIVE\nCurrent psychological and behavioral therapies for chronic musculoskeletal pain only modestly reduce pain, disability, and distress. These limited effects may be due to the failure of current therapies: a) to help patients learn that their pain is influenced primarily by central nervous system psychological processes; and b) to enhance awareness and expression of emotions related to psychological trauma or conflict. Methods: We developed and conducted a preliminary, uncontrolled test of a novel psychological attribution and emotional awareness and expression therapy that involves an initial individual consultation followed by 4 group sessions. A series of 72 patients with chronic musculoskeletal pain had the intervention and were assessed at baseline, post-treatment, and 6-month follow-up. \n\nRESULTS\nParticipation and satisfaction were high and attrition was low. Intent-to-treat analyses found significant improvements in hypothesized change processes: psychological attributions for pain, emotional awareness, emotional approach coping, and alexithymia. Pain, interference, depression, and distress showed large effect size improvements at post-treatment, which were maintained or even enhanced at 6 months. Approximately two-thirds of the patients improved at least 30% in pain and other outcomes, and one-third of the patients improved 70%. Changes in attribution and emotional processes predicted outcomes. Higher baseline depressive symptoms predicted greater improvements, and outcomes were comparable for patients with widespread vs. localized pain. Conclusion: This novel intervention may lead to greater benefits than available psychological interventions for patients with chronic musculoskeletal pain, but needs controlled testing.","author":[{"dropping-particle":"","family":"Burger","given":"Amanda J.","non-dropping-particle":"","parse-names":false,"suffix":""},{"dropping-particle":"","family":"Lumley","given":"Mark A.","non-dropping-particle":"","parse-names":false,"suffix":""},{"dropping-particle":"","family":"Carty","given":"Jennifer N.","non-dropping-particle":"","parse-names":false,"suffix":""},{"dropping-particle":"V.","family":"Latsch","given":"Deborah","non-dropping-particle":"","parse-names":false,"suffix":""},{"dropping-particle":"","family":"Thakur","given":"Elyse R.","non-dropping-particle":"","parse-names":false,"suffix":""},{"dropping-particle":"","family":"Hyde-Nolan","given":"Maren E.","non-dropping-particle":"","parse-names":false,"suffix":""},{"dropping-particle":"","family":"Hijazi","given":"Alaa M.","non-dropping-particle":"","parse-names":false,"suffix":""},{"dropping-particle":"","family":"Schubiner","given":"Howard","non-dropping-particle":"","parse-names":false,"suffix":""}],"container-title":"Journal of Psychosomatic Research","id":"ITEM-1","issued":{"date-parts":[["2016"]]},"page":"1-8","title":"The effects of a novel psychological attribution and emotional awareness and expression therapy for chronic musculoskeletal pain: A preliminary, uncontrolled trial","type":"article-journal","volume":"81"},"uris":["http://www.mendeley.com/documents/?uuid=8261c48c-0824-37ad-822f-cbb6772eb918"]}],"mendeley":{"formattedCitation":"(13)","plainTextFormattedCitation":"(13)","previouslyFormattedCitation":"(13)"},"properties":{"noteIndex":0},"schema":"https://github.com/citation-style-language/schema/raw/master/csl-citation.json"}</w:instrText>
      </w:r>
      <w:r w:rsidR="008C25EA" w:rsidRPr="00640AE1">
        <w:rPr>
          <w:sz w:val="24"/>
          <w:szCs w:val="24"/>
          <w:lang w:val="en-GB"/>
        </w:rPr>
        <w:fldChar w:fldCharType="separate"/>
      </w:r>
      <w:r w:rsidR="003E246C" w:rsidRPr="00640AE1">
        <w:rPr>
          <w:noProof/>
          <w:sz w:val="24"/>
          <w:szCs w:val="24"/>
          <w:lang w:val="en-GB"/>
        </w:rPr>
        <w:t>(13)</w:t>
      </w:r>
      <w:r w:rsidR="008C25EA" w:rsidRPr="00640AE1">
        <w:rPr>
          <w:sz w:val="24"/>
          <w:szCs w:val="24"/>
          <w:lang w:val="en-GB"/>
        </w:rPr>
        <w:fldChar w:fldCharType="end"/>
      </w:r>
      <w:r w:rsidRPr="00640AE1">
        <w:rPr>
          <w:sz w:val="24"/>
          <w:szCs w:val="24"/>
          <w:lang w:val="en-GB"/>
        </w:rPr>
        <w:t>) to an intervention without this focus. This would allow for further exploration into how changes in beliefs about emotions and emotional suppression can be targeted in therapy and how they are associated with outcomes in terms of physical health and distress.</w:t>
      </w:r>
    </w:p>
    <w:p w14:paraId="040BF890" w14:textId="58344BA9" w:rsidR="00E81339" w:rsidRPr="00640AE1" w:rsidRDefault="00BF6903" w:rsidP="00313487">
      <w:pPr>
        <w:pStyle w:val="Body"/>
        <w:spacing w:line="480" w:lineRule="auto"/>
        <w:ind w:firstLine="480"/>
        <w:jc w:val="both"/>
        <w:rPr>
          <w:sz w:val="24"/>
          <w:szCs w:val="24"/>
          <w:lang w:val="en-GB"/>
        </w:rPr>
      </w:pPr>
      <w:r w:rsidRPr="00640AE1">
        <w:rPr>
          <w:sz w:val="24"/>
          <w:szCs w:val="24"/>
          <w:lang w:val="en-GB"/>
        </w:rPr>
        <w:t xml:space="preserve">The current study investigated the </w:t>
      </w:r>
      <w:r w:rsidR="008C25EA" w:rsidRPr="00640AE1">
        <w:rPr>
          <w:sz w:val="24"/>
          <w:szCs w:val="24"/>
          <w:lang w:val="en-GB"/>
        </w:rPr>
        <w:t>relationships between</w:t>
      </w:r>
      <w:r w:rsidRPr="00640AE1">
        <w:rPr>
          <w:sz w:val="24"/>
          <w:szCs w:val="24"/>
          <w:lang w:val="en-GB"/>
        </w:rPr>
        <w:t xml:space="preserve"> beliefs about the unacceptability of emotions, emotional suppression, distress and global impact in treatment for fibromyalgia and found that there are significant changes in beliefs about the unacceptability of emotions and that changes in these beliefs are related to changes in emotional suppression and marginally related to changes in distress. Changes in distress were significantly related to changes in emotional suppression and in global impact. This finding has implications for clinical practice by highlighting a potential mechanism of change </w:t>
      </w:r>
      <w:r w:rsidR="00414A8B" w:rsidRPr="00640AE1">
        <w:rPr>
          <w:sz w:val="24"/>
          <w:szCs w:val="24"/>
          <w:lang w:val="en-GB"/>
        </w:rPr>
        <w:t>in</w:t>
      </w:r>
      <w:r w:rsidRPr="00640AE1">
        <w:rPr>
          <w:sz w:val="24"/>
          <w:szCs w:val="24"/>
          <w:lang w:val="en-GB"/>
        </w:rPr>
        <w:t xml:space="preserve"> these interventions via </w:t>
      </w:r>
      <w:r w:rsidR="00313487" w:rsidRPr="00640AE1">
        <w:rPr>
          <w:sz w:val="24"/>
          <w:szCs w:val="24"/>
          <w:lang w:val="en-GB"/>
        </w:rPr>
        <w:t xml:space="preserve">beliefs about emotions and </w:t>
      </w:r>
      <w:r w:rsidRPr="00640AE1">
        <w:rPr>
          <w:sz w:val="24"/>
          <w:szCs w:val="24"/>
          <w:lang w:val="en-GB"/>
        </w:rPr>
        <w:t>distress. These findings suggest it may be useful for patients with fibromyalgia to be supported in making helpful changes regarding experiencing and expressing emotions to support their management of distress. However further mediation analyses exploring other possible mechanisms of action</w:t>
      </w:r>
      <w:r w:rsidR="003835CB" w:rsidRPr="00640AE1">
        <w:rPr>
          <w:sz w:val="24"/>
          <w:szCs w:val="24"/>
          <w:lang w:val="en-GB"/>
        </w:rPr>
        <w:t xml:space="preserve"> </w:t>
      </w:r>
      <w:r w:rsidR="00DD0209" w:rsidRPr="00640AE1">
        <w:rPr>
          <w:sz w:val="24"/>
          <w:szCs w:val="24"/>
          <w:lang w:val="en-GB"/>
        </w:rPr>
        <w:t xml:space="preserve">of these pain management programmes </w:t>
      </w:r>
      <w:r w:rsidR="003835CB" w:rsidRPr="00640AE1">
        <w:rPr>
          <w:sz w:val="24"/>
          <w:szCs w:val="24"/>
          <w:lang w:val="en-GB"/>
        </w:rPr>
        <w:t>(such</w:t>
      </w:r>
      <w:r w:rsidR="008C25EA" w:rsidRPr="00640AE1">
        <w:rPr>
          <w:sz w:val="24"/>
          <w:szCs w:val="24"/>
          <w:lang w:val="en-GB"/>
        </w:rPr>
        <w:t xml:space="preserve"> as catastrophizing,</w:t>
      </w:r>
      <w:r w:rsidR="00DD0209" w:rsidRPr="00640AE1">
        <w:rPr>
          <w:sz w:val="24"/>
          <w:szCs w:val="24"/>
          <w:lang w:val="en-GB"/>
        </w:rPr>
        <w:t xml:space="preserve"> acceptance of pain</w:t>
      </w:r>
      <w:r w:rsidR="00EB442F" w:rsidRPr="00640AE1">
        <w:rPr>
          <w:sz w:val="24"/>
          <w:szCs w:val="24"/>
          <w:lang w:val="en-GB"/>
        </w:rPr>
        <w:t>,</w:t>
      </w:r>
      <w:r w:rsidR="003835CB" w:rsidRPr="00640AE1">
        <w:rPr>
          <w:sz w:val="24"/>
          <w:szCs w:val="24"/>
          <w:lang w:val="en-GB"/>
        </w:rPr>
        <w:t xml:space="preserve"> </w:t>
      </w:r>
      <w:r w:rsidR="008C25EA" w:rsidRPr="00640AE1">
        <w:rPr>
          <w:sz w:val="24"/>
          <w:szCs w:val="24"/>
          <w:lang w:val="en-GB"/>
        </w:rPr>
        <w:t>activity pacing</w:t>
      </w:r>
      <w:r w:rsidR="003835CB" w:rsidRPr="00640AE1">
        <w:rPr>
          <w:sz w:val="24"/>
          <w:szCs w:val="24"/>
          <w:lang w:val="en-GB"/>
        </w:rPr>
        <w:t xml:space="preserve"> and </w:t>
      </w:r>
      <w:r w:rsidR="003835CB" w:rsidRPr="00640AE1">
        <w:rPr>
          <w:sz w:val="24"/>
          <w:szCs w:val="24"/>
          <w:lang w:val="en-GB"/>
        </w:rPr>
        <w:lastRenderedPageBreak/>
        <w:t>self-compassion</w:t>
      </w:r>
      <w:r w:rsidR="008C25EA" w:rsidRPr="00640AE1">
        <w:rPr>
          <w:sz w:val="24"/>
          <w:szCs w:val="24"/>
          <w:lang w:val="en-GB"/>
        </w:rPr>
        <w:t xml:space="preserve"> </w:t>
      </w:r>
      <w:r w:rsidR="008C25EA" w:rsidRPr="00640AE1">
        <w:rPr>
          <w:sz w:val="24"/>
          <w:szCs w:val="24"/>
          <w:lang w:val="en-GB"/>
        </w:rPr>
        <w:fldChar w:fldCharType="begin" w:fldLock="1"/>
      </w:r>
      <w:r w:rsidR="00D63EE9" w:rsidRPr="00640AE1">
        <w:rPr>
          <w:sz w:val="24"/>
          <w:szCs w:val="24"/>
          <w:lang w:val="en-GB"/>
        </w:rPr>
        <w:instrText>ADDIN CSL_CITATION {"citationItems":[{"id":"ITEM-1","itemData":{"DOI":"10.1017/S1352465816000199","ISSN":"1469-1833","PMID":"27585982","abstract":"BACKGROUND Beliefs that it is unacceptable to experience or express negative emotions have been found to be associated with various clinical problems. It is unclear how such beliefs, which could be viewed as a form of unhelpful perfectionism about emotions, may contribute to symptomatology. AIMS This study investigated two hypotheses: a) greater endorsement of beliefs about the unacceptability of negative emotions will be associated with greater emotional avoidance and lower levels of support-seeking and self-compassion; b) these beliefs about emotions will be associated with higher levels of symptoms of depression, anxiety and fatigue and that this relationship will be mediated by social support-seeking, emotional avoidance and self-compassion. METHOD Online questionnaires were completed by 451 community participants. Mediational analyses were undertaken to investigate emotional avoidance, social support-seeking and self-compassion as mediators of the relationship between beliefs about emotions and symptoms of depression, anxiety and fatigue. RESULTS Beliefs about the unacceptability of negative emotions were significantly associated with more emotional avoidance and less self-compassion and support-seeking. The relationships between beliefs about emotions and depression, anxiety and fatigue were significantly mediated by self-compassion and emotional avoidance but not social support-seeking. CONCLUSIONS Future research should investigate whether interventions that pay particular attention to emotional avoidance and self-compassion, such as mindfulness-based therapy or modified forms of CBT, may be beneficial in reducing distress and fatigue associated with beliefs about the unacceptability of negative emotions.","author":[{"dropping-particle":"","family":"Sydenham","given":"Mia","non-dropping-particle":"","parse-names":false,"suffix":""},{"dropping-particle":"","family":"Beardwood","given":"Jennifer","non-dropping-particle":"","parse-names":false,"suffix":""},{"dropping-particle":"","family":"Rimes","given":"Katharine A","non-dropping-particle":"","parse-names":false,"suffix":""}],"container-title":"Behavioural and cognitive psychotherapy","id":"ITEM-1","issued":{"date-parts":[["2016"]]},"page":"1-6","title":"Beliefs about Emotions, Depression, Anxiety and Fatigue: A Mediational Analysis.","type":"article-journal"},"uris":["http://www.mendeley.com/documents/?uuid=e0d6a429-c3e3-4135-a2ee-91cd9984b007"]},{"id":"ITEM-2","itemData":{"DOI":"10.1016/j.jpsychores.2018.02.002","ISSN":"18791360","PMID":"29502762","abstract":"Objective: Emotion regulation (ER) includes a set of cognitive and attentional processes used to change or maintain emotional state. A small but growing body of research suggests that maladaptive ER might be a risk factor for the development of chronic pain. This review aims to summarize existing literature on the association between ER and chronic pain, and to determine whether the construct of ER may further enhance our understanding of the risk and protective factors that may contribute to the onset and maintenance of chronic pain. Methods: A systematic search was conducted using the search terms “chronic pain” and “emotion regulation.” Studies that measured both constructs across all age groups were included. Results: We found 15 studies that met our inclusion criteria. Nine studies were completed within the last five years, suggesting that the evaluation of ER as it relates to pain is a new line of research. Studies that measured “response-focused” ER found associations between maladaptive ER and pain. Studies that measured “antecedent-focused” ER strategies were less likely to show a direct association with pain. Conclusion: Maladaptive response-focused ER may be an important risk factor in the development and maintenance of chronic pain, as it is associated with pain and psychological comorbidities. Adding ER to chronic pain investigations may help to further explain individual differences in the risk and protective mechanisms that are known to influence chronic pain. Importantly, this line of research has potential to directly inform future interventions for patients with chronic pain.","author":[{"dropping-particle":"","family":"Koechlin","given":"Helen","non-dropping-particle":"","parse-names":false,"suffix":""},{"dropping-particle":"","family":"Coakley","given":"Rachael","non-dropping-particle":"","parse-names":false,"suffix":""},{"dropping-particle":"","family":"Schechter","given":"Neil","non-dropping-particle":"","parse-names":false,"suffix":""},{"dropping-particle":"","family":"Werner","given":"Christoph","non-dropping-particle":"","parse-names":false,"suffix":""},{"dropping-particle":"","family":"Kossowsky","given":"Joe","non-dropping-particle":"","parse-names":false,"suffix":""}],"container-title":"Journal of Psychosomatic Research","id":"ITEM-2","issue":"August 2017","issued":{"date-parts":[["2018"]]},"page":"38-45","publisher":"Elsevier","title":"The role of emotion regulation in chronic pain: A systematic literature review","type":"article-journal","volume":"107"},"uris":["http://www.mendeley.com/documents/?uuid=c9b7ff35-2f8d-49a8-94ff-bf560a4d8ced"]},{"id":"ITEM-3","itemData":{"DOI":"10.1016/J.PAIN.2004.01.002","ISSN":"0304-3959","abstract":"The present study utilized a sample of 198 individuals with Fibromyalgia Syndrome (FMS) to examine the association between treatment process variables (beliefs, coping strategies) and treatment outcomes (pain severity, activity level, emotional distress and life interference) related to a 4-week multidisciplinary fibromyalgia treatment program. Multiple regression analyses were utilized to evaluate these relationships pretreatment to posttreatment as well as from pretreatment to 3- and 6-month follow-ups. The results indicated that outcomes were most closely related to: (1) an increased sense of control over pain, (2) a belief that one is not necessarily disabled by FM, (3) a belief that pain is not necessarily a sign of damage, (4) decreased guarding, (5) increased use of exercise, (6) seeking support from others, (7) activity pacing and (8) use of coping self-statements. These findings are consistent with a cognitive-behavioural model of fibromyalgia, and suggest targets for therapeutic change.","author":[{"dropping-particle":"","family":"Nielson","given":"Warren R.","non-dropping-particle":"","parse-names":false,"suffix":""},{"dropping-particle":"","family":"Jensen","given":"Mark P.","non-dropping-particle":"","parse-names":false,"suffix":""}],"container-title":"Pain","id":"ITEM-3","issue":"3","issued":{"date-parts":[["2004","6","1"]]},"page":"233-241","publisher":"No longer published by Elsevier","title":"Relationship between changes in coping and treatment outcome in patients with Fibromyalgia Syndrome","type":"article-journal","volume":"109"},"uris":["http://www.mendeley.com/documents/?uuid=7118b364-0b62-3761-8567-b1693a316eea"]},{"id":"ITEM-4","itemData":{"DOI":"10.1016/j.brat.2006.02.006","ISSN":"0005-7967","PMID":"16569396","abstract":"Wegner's Theory of Ironic Processes has been applied to study the effects of cognitive strategies to control pain. Research suggests that suppression contributes to a more distressing pain experience. Recently, the acceptance-based approach has been proposed as an alternative to cognitive control. This study assessed the tolerance time, the distress and the perceived pain intensity in three groups (suppression, acceptance and spontaneous coping groups) when the participants were exposed to a cold pressor procedure. Two hundred and nineteen undergraduates volunteered to participate. The suppression group showed the shortest tolerance time and the acceptance group showed the longest tolerance time. The acceptance group showed pain and distress immersion ratings that were significantly lower than in the other two groups, between which the differences were not significant. In the first recovery period, the suppression group showed pain and distress ratings that were higher than in the other two groups. In the second recovery period, although the acceptance group showed pain and distress ratings that were significantly lower than in the other two groups, the suppression and the spontaneous coping groups did not differ. The presence of a 'rebound' of physical discomfort and the effects of suppression on behavioural avoidance are discussed. These results support the acceptance approach in the management of pain.","author":[{"dropping-particle":"","family":"Masedo","given":"Ana I","non-dropping-particle":"","parse-names":false,"suffix":""},{"dropping-particle":"","family":"Rosa Esteve","given":"M","non-dropping-particle":"","parse-names":false,"suffix":""}],"container-title":"Behaviour research and therapy","id":"ITEM-4","issue":"2","issued":{"date-parts":[["2007","2"]]},"note":"hand emerced in cold water, measured time and subjective pain intensity and distress.\n\nEither told to accept, observe and not control pain related sensations, emotiona and thoughts; or told to suppress any pain related emotions, thoughts and sensations. Given training for each. Ctrl group - sontaneous coping.\n\nDid cold pressor task before and after training.\n\nresults \nafter controlling for baseline tolerance, suppression group had sig shorter tolerance time than spontaneous and acceptance, acceptance was longer than both other two.\nPain ratings were dig lower in acceptance group than spontaneous and suppression, but spont and supp didn't differ.\nDistress atings were sig lower in acceptance group (after controlling for baseline distress)than other two, but other two didn't sig differ.\nDifference was found shortly after (30s) procedure in that spont recovered faster. This difference disappeared (60s).\n\nMost of the spontaneous strategies invovled controlling the pain, either by distraction, relaxation or changing the position of the hand.","page":"199-209","title":"Effects of suppression, acceptance and spontaneous coping on pain tolerance, pain intensity and distress.","type":"article-journal","volume":"45"},"uris":["http://www.mendeley.com/documents/?uuid=c414f1e8-4c51-46f1-82ee-ba9c5e8b8b39"]}],"mendeley":{"formattedCitation":"(6,8,32,33)","plainTextFormattedCitation":"(6,8,32,33)","previouslyFormattedCitation":"(6,8,32,33)"},"properties":{"noteIndex":0},"schema":"https://github.com/citation-style-language/schema/raw/master/csl-citation.json"}</w:instrText>
      </w:r>
      <w:r w:rsidR="008C25EA" w:rsidRPr="00640AE1">
        <w:rPr>
          <w:sz w:val="24"/>
          <w:szCs w:val="24"/>
          <w:lang w:val="en-GB"/>
        </w:rPr>
        <w:fldChar w:fldCharType="separate"/>
      </w:r>
      <w:r w:rsidR="003E246C" w:rsidRPr="00640AE1">
        <w:rPr>
          <w:noProof/>
          <w:sz w:val="24"/>
          <w:szCs w:val="24"/>
          <w:lang w:val="en-GB"/>
        </w:rPr>
        <w:t>(6,8,32,33)</w:t>
      </w:r>
      <w:r w:rsidR="008C25EA" w:rsidRPr="00640AE1">
        <w:rPr>
          <w:sz w:val="24"/>
          <w:szCs w:val="24"/>
          <w:lang w:val="en-GB"/>
        </w:rPr>
        <w:fldChar w:fldCharType="end"/>
      </w:r>
      <w:r w:rsidR="003835CB" w:rsidRPr="00640AE1">
        <w:rPr>
          <w:sz w:val="24"/>
          <w:szCs w:val="24"/>
          <w:lang w:val="en-GB"/>
        </w:rPr>
        <w:t>)</w:t>
      </w:r>
      <w:r w:rsidRPr="00640AE1">
        <w:rPr>
          <w:sz w:val="24"/>
          <w:szCs w:val="24"/>
          <w:lang w:val="en-GB"/>
        </w:rPr>
        <w:t xml:space="preserve"> using a larger sample are necessary to understand how these interventions influence global impact. </w:t>
      </w:r>
    </w:p>
    <w:p w14:paraId="02296ACC" w14:textId="77777777" w:rsidR="00C04C2E" w:rsidRPr="00640AE1" w:rsidRDefault="00C04C2E">
      <w:pPr>
        <w:rPr>
          <w:rFonts w:ascii="Calibri" w:hAnsi="Calibri" w:cs="Calibri"/>
          <w:b/>
          <w:bCs/>
        </w:rPr>
      </w:pPr>
      <w:r w:rsidRPr="00640AE1">
        <w:rPr>
          <w:rFonts w:ascii="Calibri" w:hAnsi="Calibri" w:cs="Calibri"/>
          <w:b/>
          <w:bCs/>
        </w:rPr>
        <w:t>Conflict of interests</w:t>
      </w:r>
    </w:p>
    <w:p w14:paraId="72A20CA2" w14:textId="77777777" w:rsidR="006F3DE6" w:rsidRPr="00640AE1" w:rsidRDefault="00C04C2E">
      <w:pPr>
        <w:rPr>
          <w:rFonts w:ascii="Calibri" w:hAnsi="Calibri" w:cs="Calibri"/>
          <w:bCs/>
        </w:rPr>
      </w:pPr>
      <w:r w:rsidRPr="00640AE1">
        <w:rPr>
          <w:rFonts w:ascii="Calibri" w:hAnsi="Calibri" w:cs="Calibri"/>
          <w:bCs/>
        </w:rPr>
        <w:t>There are no conflict of interests to disclose.</w:t>
      </w:r>
    </w:p>
    <w:p w14:paraId="15278545" w14:textId="77777777" w:rsidR="006F3DE6" w:rsidRPr="00640AE1" w:rsidRDefault="006F3DE6">
      <w:pPr>
        <w:rPr>
          <w:rFonts w:ascii="Calibri" w:hAnsi="Calibri" w:cs="Calibri"/>
          <w:bCs/>
        </w:rPr>
      </w:pPr>
    </w:p>
    <w:p w14:paraId="283072B2" w14:textId="77777777" w:rsidR="006F3DE6" w:rsidRPr="00640AE1" w:rsidRDefault="006F3DE6">
      <w:pPr>
        <w:rPr>
          <w:rFonts w:ascii="Calibri" w:hAnsi="Calibri" w:cs="Calibri"/>
          <w:b/>
          <w:bCs/>
        </w:rPr>
      </w:pPr>
      <w:r w:rsidRPr="00640AE1">
        <w:rPr>
          <w:rFonts w:ascii="Calibri" w:hAnsi="Calibri" w:cs="Calibri"/>
          <w:b/>
          <w:bCs/>
        </w:rPr>
        <w:t>Financial statement</w:t>
      </w:r>
    </w:p>
    <w:p w14:paraId="27ED651B" w14:textId="462FD88C" w:rsidR="00C04C2E" w:rsidRPr="00640AE1" w:rsidRDefault="006F3DE6">
      <w:pPr>
        <w:rPr>
          <w:rFonts w:ascii="Calibri" w:eastAsia="Calibri" w:hAnsi="Calibri" w:cs="Calibri"/>
          <w:b/>
          <w:bCs/>
          <w:color w:val="000000"/>
          <w:sz w:val="22"/>
          <w:szCs w:val="22"/>
          <w:u w:color="000000"/>
          <w:lang w:eastAsia="en-GB"/>
        </w:rPr>
      </w:pPr>
      <w:r w:rsidRPr="00640AE1">
        <w:rPr>
          <w:rFonts w:ascii="Calibri" w:hAnsi="Calibri" w:cs="Calibri"/>
          <w:bCs/>
        </w:rPr>
        <w:t>This study was funded by the university as part of a PhD project.</w:t>
      </w:r>
      <w:r w:rsidR="00C04C2E" w:rsidRPr="00640AE1">
        <w:rPr>
          <w:b/>
          <w:bCs/>
        </w:rPr>
        <w:br w:type="page"/>
      </w:r>
    </w:p>
    <w:p w14:paraId="540ECF01" w14:textId="77777777" w:rsidR="00470081" w:rsidRPr="00640AE1" w:rsidRDefault="00470081">
      <w:pPr>
        <w:pStyle w:val="Body"/>
        <w:widowControl w:val="0"/>
        <w:spacing w:line="240" w:lineRule="auto"/>
        <w:ind w:left="640" w:hanging="640"/>
        <w:rPr>
          <w:b/>
          <w:bCs/>
          <w:lang w:val="en-GB"/>
        </w:rPr>
      </w:pPr>
      <w:r w:rsidRPr="00640AE1">
        <w:rPr>
          <w:b/>
          <w:bCs/>
          <w:lang w:val="en-GB"/>
        </w:rPr>
        <w:lastRenderedPageBreak/>
        <w:t>References</w:t>
      </w:r>
    </w:p>
    <w:p w14:paraId="05F254B2" w14:textId="7C248BED" w:rsidR="00640AE1" w:rsidRPr="00640AE1" w:rsidRDefault="00470081" w:rsidP="00640AE1">
      <w:pPr>
        <w:widowControl w:val="0"/>
        <w:autoSpaceDE w:val="0"/>
        <w:autoSpaceDN w:val="0"/>
        <w:adjustRightInd w:val="0"/>
        <w:spacing w:after="160"/>
        <w:ind w:left="640" w:hanging="640"/>
        <w:rPr>
          <w:rFonts w:ascii="Calibri" w:hAnsi="Calibri" w:cs="Calibri"/>
          <w:noProof/>
          <w:sz w:val="22"/>
        </w:rPr>
      </w:pPr>
      <w:r w:rsidRPr="00640AE1">
        <w:rPr>
          <w:bCs/>
        </w:rPr>
        <w:fldChar w:fldCharType="begin" w:fldLock="1"/>
      </w:r>
      <w:r w:rsidRPr="00640AE1">
        <w:rPr>
          <w:bCs/>
        </w:rPr>
        <w:instrText xml:space="preserve">ADDIN Mendeley Bibliography CSL_BIBLIOGRAPHY </w:instrText>
      </w:r>
      <w:r w:rsidRPr="00640AE1">
        <w:rPr>
          <w:bCs/>
        </w:rPr>
        <w:fldChar w:fldCharType="separate"/>
      </w:r>
      <w:r w:rsidR="00640AE1" w:rsidRPr="00640AE1">
        <w:rPr>
          <w:rFonts w:ascii="Calibri" w:hAnsi="Calibri" w:cs="Calibri"/>
          <w:noProof/>
          <w:sz w:val="22"/>
        </w:rPr>
        <w:t xml:space="preserve">1. </w:t>
      </w:r>
      <w:r w:rsidR="00640AE1" w:rsidRPr="00640AE1">
        <w:rPr>
          <w:rFonts w:ascii="Calibri" w:hAnsi="Calibri" w:cs="Calibri"/>
          <w:noProof/>
          <w:sz w:val="22"/>
        </w:rPr>
        <w:tab/>
        <w:t xml:space="preserve">Wolfe F, Clauw DJ, Fitzcharles MA, Goldenberg DL, Katz RS, Mease P, et al. The American College of Rheumatology preliminary diagnostic criteria for fibromyalgia and measurement of symptom severity. Arthritis Care Res. 2010;62(5):600–10. </w:t>
      </w:r>
    </w:p>
    <w:p w14:paraId="3CA7D77A"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 </w:t>
      </w:r>
      <w:r w:rsidRPr="00640AE1">
        <w:rPr>
          <w:rFonts w:ascii="Calibri" w:hAnsi="Calibri" w:cs="Calibri"/>
          <w:noProof/>
          <w:sz w:val="22"/>
        </w:rPr>
        <w:tab/>
        <w:t xml:space="preserve">Lee YC, Nassikas NJ, Clauw DJ. The role of the central nervous system in the generation and maintenance of chronic pain in rheumatoid arthritis, osteoarthritis and fibromyalgia. Arthritis Res Ther. 2011;13:211. </w:t>
      </w:r>
    </w:p>
    <w:p w14:paraId="0E02409C"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3. </w:t>
      </w:r>
      <w:r w:rsidRPr="00640AE1">
        <w:rPr>
          <w:rFonts w:ascii="Calibri" w:hAnsi="Calibri" w:cs="Calibri"/>
          <w:noProof/>
          <w:sz w:val="22"/>
        </w:rPr>
        <w:tab/>
        <w:t>Lannersten L, Kosek E. Dysfunction of endogenous pain inhibition during exercise with painful muscles in patients with shoulder myalgia and fibromyalgia. Pain [Internet]. 2010 Oct [cited 2017 Apr 20];151(1):77–86. Available from: http://content.wkhealth.com/linkback/openurl?sid=WKPTLP:landingpage&amp;an=00006396-201010000-00016</w:t>
      </w:r>
    </w:p>
    <w:p w14:paraId="0775599F"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4. </w:t>
      </w:r>
      <w:r w:rsidRPr="00640AE1">
        <w:rPr>
          <w:rFonts w:ascii="Calibri" w:hAnsi="Calibri" w:cs="Calibri"/>
          <w:noProof/>
          <w:sz w:val="22"/>
        </w:rPr>
        <w:tab/>
        <w:t>Deary V, Chalder T, Sharpe M. The cognitive behavioural model of medically unexplained symptoms: A theoretical and empirical review. Clin Psychol Rev [Internet]. 2007 Oct [cited 2014 Jan 24];27(7):781–97. Available from: http://www.ncbi.nlm.nih.gov/pubmed/17822818</w:t>
      </w:r>
    </w:p>
    <w:p w14:paraId="3BFBDE09"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5. </w:t>
      </w:r>
      <w:r w:rsidRPr="00640AE1">
        <w:rPr>
          <w:rFonts w:ascii="Calibri" w:hAnsi="Calibri" w:cs="Calibri"/>
          <w:noProof/>
          <w:sz w:val="22"/>
        </w:rPr>
        <w:tab/>
        <w:t xml:space="preserve">Salkovskis P, Gregory J, Sedgwick-Taylor A, White J, Opher S, Olafsdottir S. Extending Cognitive-Behavioural Theory and Therapy to medically unexplained symptoms and long-term physical conditions: A hybrid transdiagnostic/problem specific approach. 2016. </w:t>
      </w:r>
    </w:p>
    <w:p w14:paraId="4881DEBA"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6. </w:t>
      </w:r>
      <w:r w:rsidRPr="00640AE1">
        <w:rPr>
          <w:rFonts w:ascii="Calibri" w:hAnsi="Calibri" w:cs="Calibri"/>
          <w:noProof/>
          <w:sz w:val="22"/>
        </w:rPr>
        <w:tab/>
        <w:t>Koechlin H, Coakley R, Schechter N, Werner C, Kossowsky J. The role of emotion regulation in chronic pain: A systematic literature review. J Psychosom Res [Internet]. Elsevier; 2018;107(August 2017):38–45. Available from: https://doi.org/10.1016/j.jpsychores.2018.02.002</w:t>
      </w:r>
    </w:p>
    <w:p w14:paraId="394A6F25"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7. </w:t>
      </w:r>
      <w:r w:rsidRPr="00640AE1">
        <w:rPr>
          <w:rFonts w:ascii="Calibri" w:hAnsi="Calibri" w:cs="Calibri"/>
          <w:noProof/>
          <w:sz w:val="22"/>
        </w:rPr>
        <w:tab/>
        <w:t xml:space="preserve">Gross JJ, Levenson RW. Emotional suppression: Physiology, self-report, and expressive behavior. J Pers Soc Psychol. 1993;64(6):970–86. </w:t>
      </w:r>
    </w:p>
    <w:p w14:paraId="7796B5A8"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8. </w:t>
      </w:r>
      <w:r w:rsidRPr="00640AE1">
        <w:rPr>
          <w:rFonts w:ascii="Calibri" w:hAnsi="Calibri" w:cs="Calibri"/>
          <w:noProof/>
          <w:sz w:val="22"/>
        </w:rPr>
        <w:tab/>
        <w:t>Sydenham M, Beardwood J, Rimes KA. Beliefs about Emotions, Depression, Anxiety and Fatigue: A Mediational Analysis. Behav Cogn Psychother [Internet]. 2016;1–6. Available from: http://www.ncbi.nlm.nih.gov/pubmed/27585982</w:t>
      </w:r>
    </w:p>
    <w:p w14:paraId="6BC3D85A"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9. </w:t>
      </w:r>
      <w:r w:rsidRPr="00640AE1">
        <w:rPr>
          <w:rFonts w:ascii="Calibri" w:hAnsi="Calibri" w:cs="Calibri"/>
          <w:noProof/>
          <w:sz w:val="22"/>
        </w:rPr>
        <w:tab/>
        <w:t xml:space="preserve">Bowers H, Wroe AL, Pincus T. ‘Isn’t it ironic?’ Beliefs about the unacceptability of emotions and emotional suppression relate to worse outcomes in fibromyalgia. Clin Rheumatol. 2017;36(5). </w:t>
      </w:r>
    </w:p>
    <w:p w14:paraId="534FEB4E"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10. </w:t>
      </w:r>
      <w:r w:rsidRPr="00640AE1">
        <w:rPr>
          <w:rFonts w:ascii="Calibri" w:hAnsi="Calibri" w:cs="Calibri"/>
          <w:noProof/>
          <w:sz w:val="22"/>
        </w:rPr>
        <w:tab/>
        <w:t>Wenzlaff RM, Wegner DM. Thought suppression. Annu Rev Psychol [Internet]. 2000 Jan;51:59–91. Available from: http://www.ncbi.nlm.nih.gov/pubmed/10751965</w:t>
      </w:r>
    </w:p>
    <w:p w14:paraId="3C02FDDB"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11. </w:t>
      </w:r>
      <w:r w:rsidRPr="00640AE1">
        <w:rPr>
          <w:rFonts w:ascii="Calibri" w:hAnsi="Calibri" w:cs="Calibri"/>
          <w:noProof/>
          <w:sz w:val="22"/>
        </w:rPr>
        <w:tab/>
        <w:t>Wegner DM, Erber R, Zanakos S. Ironic processes in the mental control of mood and mood-related thought. J Pers Soc Psychol [Internet]. 1993 Dec;65(6):1093–104. Available from: http://www.ncbi.nlm.nih.gov/pubmed/8295117</w:t>
      </w:r>
    </w:p>
    <w:p w14:paraId="59D19153"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12. </w:t>
      </w:r>
      <w:r w:rsidRPr="00640AE1">
        <w:rPr>
          <w:rFonts w:ascii="Calibri" w:hAnsi="Calibri" w:cs="Calibri"/>
          <w:noProof/>
          <w:sz w:val="22"/>
        </w:rPr>
        <w:tab/>
        <w:t>Linton SJ, Bergbom S. Understanding the link between depression and pain. Scand J Pain [Internet]. No longer published by Elsevier; 2011 Apr 1 [cited 2018 Jul 16];2(2):47–54. Available from: https://www.sciencedirect.com/science/article/pii/S1877886011000152</w:t>
      </w:r>
    </w:p>
    <w:p w14:paraId="57C10407"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13. </w:t>
      </w:r>
      <w:r w:rsidRPr="00640AE1">
        <w:rPr>
          <w:rFonts w:ascii="Calibri" w:hAnsi="Calibri" w:cs="Calibri"/>
          <w:noProof/>
          <w:sz w:val="22"/>
        </w:rPr>
        <w:tab/>
        <w:t xml:space="preserve">Burger AJ, Lumley MA, Carty JN, Latsch D V., Thakur ER, Hyde-Nolan ME, et al. The effects of a novel psychological attribution and emotional awareness and expression therapy for chronic musculoskeletal pain: A preliminary, uncontrolled trial. J Psychosom Res. 2016;81:1–8. </w:t>
      </w:r>
    </w:p>
    <w:p w14:paraId="22C46972"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14. </w:t>
      </w:r>
      <w:r w:rsidRPr="00640AE1">
        <w:rPr>
          <w:rFonts w:ascii="Calibri" w:hAnsi="Calibri" w:cs="Calibri"/>
          <w:noProof/>
          <w:sz w:val="22"/>
        </w:rPr>
        <w:tab/>
        <w:t xml:space="preserve">Twycross A, Shorten A. Service evaluation, audit and research: what is the difference? Evid Based Nurs [Internet]. Royal College of Nursing; 2014 Jul 1 [cited 2018 Nov 5];17(3):65–6. </w:t>
      </w:r>
      <w:r w:rsidRPr="00640AE1">
        <w:rPr>
          <w:rFonts w:ascii="Calibri" w:hAnsi="Calibri" w:cs="Calibri"/>
          <w:noProof/>
          <w:sz w:val="22"/>
        </w:rPr>
        <w:lastRenderedPageBreak/>
        <w:t>Available from: http://www.ncbi.nlm.nih.gov/pubmed/24829302</w:t>
      </w:r>
    </w:p>
    <w:p w14:paraId="640DF947"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15. </w:t>
      </w:r>
      <w:r w:rsidRPr="00640AE1">
        <w:rPr>
          <w:rFonts w:ascii="Calibri" w:hAnsi="Calibri" w:cs="Calibri"/>
          <w:noProof/>
          <w:sz w:val="22"/>
        </w:rPr>
        <w:tab/>
        <w:t>Rimes K a, Chalder T. The Beliefs about Emotions Scale: validity, reliability and sensitivity to change. J Psychosom Res [Internet]. Elsevier Inc.; 2010 Mar [cited 2013 Dec 16];68(3):285–92. Available from: http://www.ncbi.nlm.nih.gov/pubmed/20159215</w:t>
      </w:r>
    </w:p>
    <w:p w14:paraId="072101D9"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16. </w:t>
      </w:r>
      <w:r w:rsidRPr="00640AE1">
        <w:rPr>
          <w:rFonts w:ascii="Calibri" w:hAnsi="Calibri" w:cs="Calibri"/>
          <w:noProof/>
          <w:sz w:val="22"/>
        </w:rPr>
        <w:tab/>
        <w:t xml:space="preserve">Watson M, Greer S. Development of a questionnaire measure of emotional control. J Psychosom Res. 1983;27(4):299–305. </w:t>
      </w:r>
    </w:p>
    <w:p w14:paraId="18508846"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17. </w:t>
      </w:r>
      <w:r w:rsidRPr="00640AE1">
        <w:rPr>
          <w:rFonts w:ascii="Calibri" w:hAnsi="Calibri" w:cs="Calibri"/>
          <w:noProof/>
          <w:sz w:val="22"/>
        </w:rPr>
        <w:tab/>
        <w:t>Bowers H. Exploring beliefs about emotions, emotional expression and support-seeking in persistent physical symptoms - Research - Royal Holloway, University of London [Internet]. Royal Holloway University of London; 2017 [cited 2018 Nov 5]. Available from: https://pure.royalholloway.ac.uk/portal/en/publications/exploring-beliefs-about-emotions-emotional-expression-and-supportseeking-in-persistent-physical-symptoms(84f52c9e-c2a3-437f-beaf-0016d457ecb9).html</w:t>
      </w:r>
    </w:p>
    <w:p w14:paraId="64889FDF"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18. </w:t>
      </w:r>
      <w:r w:rsidRPr="00640AE1">
        <w:rPr>
          <w:rFonts w:ascii="Calibri" w:hAnsi="Calibri" w:cs="Calibri"/>
          <w:noProof/>
          <w:sz w:val="22"/>
        </w:rPr>
        <w:tab/>
        <w:t>Zigmond AS, Snaith RP, Malterud K, Lysens R, Vertommen H, Miike T, et al. The Hospital Anxiety and Depression Scale. Acta Psychiatr Scand [Internet]. Cambridge University Press; 1983 Jun [cited 2017 Mar 14];67(6):361–70. Available from: http://doi.wiley.com/10.1111/j.1600-0447.1983.tb09716.x</w:t>
      </w:r>
    </w:p>
    <w:p w14:paraId="686A21EC"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19. </w:t>
      </w:r>
      <w:r w:rsidRPr="00640AE1">
        <w:rPr>
          <w:rFonts w:ascii="Calibri" w:hAnsi="Calibri" w:cs="Calibri"/>
          <w:noProof/>
          <w:sz w:val="22"/>
        </w:rPr>
        <w:tab/>
        <w:t xml:space="preserve">Bjelland I, Dahl A a, Haug TT, Neckelmann D. The validity of the Hospital Anxiety and Depression Scale. An updated literature review. J Psychosom Res. 2002;52(2):69–77. </w:t>
      </w:r>
    </w:p>
    <w:p w14:paraId="4AA45ADD"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20. </w:t>
      </w:r>
      <w:r w:rsidRPr="00640AE1">
        <w:rPr>
          <w:rFonts w:ascii="Calibri" w:hAnsi="Calibri" w:cs="Calibri"/>
          <w:noProof/>
          <w:sz w:val="22"/>
        </w:rPr>
        <w:tab/>
        <w:t xml:space="preserve">Smarr KL, Keefer AL. Measures of depression and depressive symptoms: Beck Depression Inventory-II (BDI-II), Center for Epidemiologic Studies Depression Scale (CES-D), Geriatric Depression Scale (GDS), Hospital Anxiety and Depression Scale (HADS), and Patient Health Questionna. Arthritis Care Res. 2011;63(SUPPL. 11):454–66. </w:t>
      </w:r>
    </w:p>
    <w:p w14:paraId="1E3E9AFE"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21. </w:t>
      </w:r>
      <w:r w:rsidRPr="00640AE1">
        <w:rPr>
          <w:rFonts w:ascii="Calibri" w:hAnsi="Calibri" w:cs="Calibri"/>
          <w:noProof/>
          <w:sz w:val="22"/>
        </w:rPr>
        <w:tab/>
        <w:t xml:space="preserve">Pallant JF, Tennant A. An introduction to the Rasch measurement model: an example using the Hospital Anxiety and Depression Scale (HADS). Br J Clin Psychol. 2007;46(Pt 1):1–18. </w:t>
      </w:r>
    </w:p>
    <w:p w14:paraId="62CCB96B"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22. </w:t>
      </w:r>
      <w:r w:rsidRPr="00640AE1">
        <w:rPr>
          <w:rFonts w:ascii="Calibri" w:hAnsi="Calibri" w:cs="Calibri"/>
          <w:noProof/>
          <w:sz w:val="22"/>
        </w:rPr>
        <w:tab/>
        <w:t xml:space="preserve">Roberge P, Doré I, Menear M, Chartrand É, Ciampi A, Duhoux A, et al. A psychometric evaluation of the French Canadian version of the Hospital Anxiety and Depression Scale in a large primary care population. J Affect Disord. 2013;147(1–3):171–9. </w:t>
      </w:r>
    </w:p>
    <w:p w14:paraId="62F23215"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23. </w:t>
      </w:r>
      <w:r w:rsidRPr="00640AE1">
        <w:rPr>
          <w:rFonts w:ascii="Calibri" w:hAnsi="Calibri" w:cs="Calibri"/>
          <w:noProof/>
          <w:sz w:val="22"/>
        </w:rPr>
        <w:tab/>
        <w:t>Bennett RM, Friend R, Jones KD, Ward R, Han BK, Ross RL. The Revised Fibromyalgia Impact Questionnaire (FIQR): Validation and psychometric properties. Arthritis Res Ther [Internet]. 2009 Jan [cited 2014 Jan 21];11(4):R120. Available from: http://www.pubmedcentral.nih.gov/articlerender.fcgi?artid=2745803&amp;tool=pmcentrez&amp;rendertype=abstract</w:t>
      </w:r>
    </w:p>
    <w:p w14:paraId="00784545"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24. </w:t>
      </w:r>
      <w:r w:rsidRPr="00640AE1">
        <w:rPr>
          <w:rFonts w:ascii="Calibri" w:hAnsi="Calibri" w:cs="Calibri"/>
          <w:noProof/>
          <w:sz w:val="22"/>
        </w:rPr>
        <w:tab/>
        <w:t xml:space="preserve">Burch V, Penman D. Mindfulness for health : a practical guide to relieving pain, reducing stress and restoring wellbeing. Piatkus; 2013. </w:t>
      </w:r>
    </w:p>
    <w:p w14:paraId="2106224A"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25. </w:t>
      </w:r>
      <w:r w:rsidRPr="00640AE1">
        <w:rPr>
          <w:rFonts w:ascii="Calibri" w:hAnsi="Calibri" w:cs="Calibri"/>
          <w:noProof/>
          <w:sz w:val="22"/>
        </w:rPr>
        <w:tab/>
        <w:t xml:space="preserve">Fields A. Discovering Statistics using SPSS. 3rd ed. Sage; 2011. </w:t>
      </w:r>
    </w:p>
    <w:p w14:paraId="035E2989"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26. </w:t>
      </w:r>
      <w:r w:rsidRPr="00640AE1">
        <w:rPr>
          <w:rFonts w:ascii="Calibri" w:hAnsi="Calibri" w:cs="Calibri"/>
          <w:noProof/>
          <w:sz w:val="22"/>
        </w:rPr>
        <w:tab/>
        <w:t xml:space="preserve">Morris SB, DeShon RP. Combining effect size estimates in meta-analysis with repeated measures and independent-groups designs. Psychol Methods. 2002;7(1):105–25. </w:t>
      </w:r>
    </w:p>
    <w:p w14:paraId="4E6C11AC"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27. </w:t>
      </w:r>
      <w:r w:rsidRPr="00640AE1">
        <w:rPr>
          <w:rFonts w:ascii="Calibri" w:hAnsi="Calibri" w:cs="Calibri"/>
          <w:noProof/>
          <w:sz w:val="22"/>
        </w:rPr>
        <w:tab/>
        <w:t>Surendran S, Mithun CB. FRI0647 Estimation of minimum clinically important difference in fibromyalgia for fiqr using bpi as the anchor measure. Ann Rheum Dis [Internet]. BMJ Publishing Group Ltd; 2018 Jun 1 [cited 2018 Nov 7];77(Suppl 2):845–845. Available from: https://ard.bmj.com/content/77/Suppl_2/845.1</w:t>
      </w:r>
    </w:p>
    <w:p w14:paraId="22EECBB7"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28. </w:t>
      </w:r>
      <w:r w:rsidRPr="00640AE1">
        <w:rPr>
          <w:rFonts w:ascii="Calibri" w:hAnsi="Calibri" w:cs="Calibri"/>
          <w:noProof/>
          <w:sz w:val="22"/>
        </w:rPr>
        <w:tab/>
        <w:t xml:space="preserve">Mukaka MM. Statistics corner: A guide to appropriate use of correlation coefficient in medical research. Malawi Med J [Internet]. Medical Association of Malawi; 2012 Sep [cited </w:t>
      </w:r>
      <w:r w:rsidRPr="00640AE1">
        <w:rPr>
          <w:rFonts w:ascii="Calibri" w:hAnsi="Calibri" w:cs="Calibri"/>
          <w:noProof/>
          <w:sz w:val="22"/>
        </w:rPr>
        <w:lastRenderedPageBreak/>
        <w:t>2018 Nov 9];24(3):69–71. Available from: http://www.ncbi.nlm.nih.gov/pubmed/23638278</w:t>
      </w:r>
    </w:p>
    <w:p w14:paraId="3E09ED91"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29. </w:t>
      </w:r>
      <w:r w:rsidRPr="00640AE1">
        <w:rPr>
          <w:rFonts w:ascii="Calibri" w:hAnsi="Calibri" w:cs="Calibri"/>
          <w:noProof/>
          <w:sz w:val="22"/>
        </w:rPr>
        <w:tab/>
        <w:t xml:space="preserve">Gillis ME, Lumley MA, Mosley-Williams A, Leisen JCC, Roehrs T. The health effects of at-home written emotional disclosure in fibromyalgia: A randomized trial. Ann Behav Med. 2006;32(2):135–46. </w:t>
      </w:r>
    </w:p>
    <w:p w14:paraId="1DEBB576"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30. </w:t>
      </w:r>
      <w:r w:rsidRPr="00640AE1">
        <w:rPr>
          <w:rFonts w:ascii="Calibri" w:hAnsi="Calibri" w:cs="Calibri"/>
          <w:noProof/>
          <w:sz w:val="22"/>
        </w:rPr>
        <w:tab/>
        <w:t>Bernardy K, Klose P, Busch AJ, Choy EH, Häuser W. Cognitive behavioural therapies for fibromyalgia. Cochrane database Syst Rev [Internet]. 2013;9(4):CD009796. Available from: http://www.ncbi.nlm.nih.gov/pubmed/24018611</w:t>
      </w:r>
    </w:p>
    <w:p w14:paraId="769D24EA"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31. </w:t>
      </w:r>
      <w:r w:rsidRPr="00640AE1">
        <w:rPr>
          <w:rFonts w:ascii="Calibri" w:hAnsi="Calibri" w:cs="Calibri"/>
          <w:noProof/>
          <w:sz w:val="22"/>
        </w:rPr>
        <w:tab/>
        <w:t xml:space="preserve">Jones GT, Atzeni F, Beasley M, Fl???? E, Sarzi-Puttini P, Macfarlane GJ. The prevalence of fibromyalgia in the general population: A comparison of the American College of Rheumatology 1990, 2010, and modified 2010 classification criteria. Arthritis Rheumatol. 2015;67(2):568–75. </w:t>
      </w:r>
    </w:p>
    <w:p w14:paraId="059E15EE"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32. </w:t>
      </w:r>
      <w:r w:rsidRPr="00640AE1">
        <w:rPr>
          <w:rFonts w:ascii="Calibri" w:hAnsi="Calibri" w:cs="Calibri"/>
          <w:noProof/>
          <w:sz w:val="22"/>
        </w:rPr>
        <w:tab/>
        <w:t>Nielson WR, Jensen MP. Relationship between changes in coping and treatment outcome in patients with Fibromyalgia Syndrome. Pain [Internet]. No longer published by Elsevier; 2004 Jun 1 [cited 2018 Jul 11];109(3):233–41. Available from: https://www.sciencedirect.com/science/article/pii/S0304395904000168</w:t>
      </w:r>
    </w:p>
    <w:p w14:paraId="1CBBF4C0" w14:textId="77777777" w:rsidR="00640AE1" w:rsidRPr="00640AE1" w:rsidRDefault="00640AE1" w:rsidP="00640AE1">
      <w:pPr>
        <w:widowControl w:val="0"/>
        <w:autoSpaceDE w:val="0"/>
        <w:autoSpaceDN w:val="0"/>
        <w:adjustRightInd w:val="0"/>
        <w:spacing w:after="160"/>
        <w:ind w:left="640" w:hanging="640"/>
        <w:rPr>
          <w:rFonts w:ascii="Calibri" w:hAnsi="Calibri" w:cs="Calibri"/>
          <w:noProof/>
          <w:sz w:val="22"/>
        </w:rPr>
      </w:pPr>
      <w:r w:rsidRPr="00640AE1">
        <w:rPr>
          <w:rFonts w:ascii="Calibri" w:hAnsi="Calibri" w:cs="Calibri"/>
          <w:noProof/>
          <w:sz w:val="22"/>
        </w:rPr>
        <w:t xml:space="preserve">33. </w:t>
      </w:r>
      <w:r w:rsidRPr="00640AE1">
        <w:rPr>
          <w:rFonts w:ascii="Calibri" w:hAnsi="Calibri" w:cs="Calibri"/>
          <w:noProof/>
          <w:sz w:val="22"/>
        </w:rPr>
        <w:tab/>
        <w:t>Masedo AI, Rosa Esteve M. Effects of suppression, acceptance and spontaneous coping on pain tolerance, pain intensity and distress. Behav Res Ther [Internet]. 2007 Feb [cited 2013 Oct 7];45(2):199–209. Available from: http://www.ncbi.nlm.nih.gov/pubmed/16569396</w:t>
      </w:r>
    </w:p>
    <w:p w14:paraId="758FEE3B" w14:textId="0F1DB712" w:rsidR="00E81339" w:rsidRPr="00306BE4" w:rsidRDefault="00470081">
      <w:pPr>
        <w:pStyle w:val="Body"/>
        <w:widowControl w:val="0"/>
        <w:spacing w:line="240" w:lineRule="auto"/>
        <w:ind w:left="640" w:hanging="640"/>
        <w:rPr>
          <w:lang w:val="en-GB"/>
        </w:rPr>
      </w:pPr>
      <w:r w:rsidRPr="00640AE1">
        <w:rPr>
          <w:bCs/>
        </w:rPr>
        <w:fldChar w:fldCharType="end"/>
      </w:r>
    </w:p>
    <w:sectPr w:rsidR="00E81339" w:rsidRPr="00306BE4" w:rsidSect="0072704F">
      <w:footerReference w:type="default" r:id="rId7"/>
      <w:pgSz w:w="11900" w:h="16840"/>
      <w:pgMar w:top="1440" w:right="1440" w:bottom="1440" w:left="1440" w:header="708" w:footer="708" w:gutter="0"/>
      <w:lnNumType w:countBy="1" w:restart="continuous"/>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225A9" w16cid:durableId="1F94764B"/>
  <w16cid:commentId w16cid:paraId="2ED61D01" w16cid:durableId="1F947671"/>
  <w16cid:commentId w16cid:paraId="66CC103C" w16cid:durableId="1F9471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20F9" w14:textId="77777777" w:rsidR="00CF544B" w:rsidRDefault="00CF544B">
      <w:r>
        <w:separator/>
      </w:r>
    </w:p>
  </w:endnote>
  <w:endnote w:type="continuationSeparator" w:id="0">
    <w:p w14:paraId="2CADF2A1" w14:textId="77777777" w:rsidR="00CF544B" w:rsidRDefault="00CF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19052"/>
      <w:docPartObj>
        <w:docPartGallery w:val="Page Numbers (Bottom of Page)"/>
        <w:docPartUnique/>
      </w:docPartObj>
    </w:sdtPr>
    <w:sdtEndPr>
      <w:rPr>
        <w:noProof/>
      </w:rPr>
    </w:sdtEndPr>
    <w:sdtContent>
      <w:p w14:paraId="2F3568AE" w14:textId="6816E7C9" w:rsidR="00074A75" w:rsidRDefault="00074A75">
        <w:pPr>
          <w:pStyle w:val="Footer"/>
        </w:pPr>
        <w:r>
          <w:fldChar w:fldCharType="begin"/>
        </w:r>
        <w:r>
          <w:instrText xml:space="preserve"> PAGE   \* MERGEFORMAT </w:instrText>
        </w:r>
        <w:r>
          <w:fldChar w:fldCharType="separate"/>
        </w:r>
        <w:r w:rsidR="009E020A">
          <w:rPr>
            <w:noProof/>
          </w:rPr>
          <w:t>14</w:t>
        </w:r>
        <w:r>
          <w:rPr>
            <w:noProof/>
          </w:rPr>
          <w:fldChar w:fldCharType="end"/>
        </w:r>
      </w:p>
    </w:sdtContent>
  </w:sdt>
  <w:p w14:paraId="12209DD0" w14:textId="77777777" w:rsidR="00074A75" w:rsidRDefault="0007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BF45" w14:textId="77777777" w:rsidR="00CF544B" w:rsidRDefault="00CF544B">
      <w:r>
        <w:separator/>
      </w:r>
    </w:p>
  </w:footnote>
  <w:footnote w:type="continuationSeparator" w:id="0">
    <w:p w14:paraId="705B232D" w14:textId="77777777" w:rsidR="00CF544B" w:rsidRDefault="00CF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GB"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39"/>
    <w:rsid w:val="00011BF8"/>
    <w:rsid w:val="0003676B"/>
    <w:rsid w:val="00040E4D"/>
    <w:rsid w:val="00050CBC"/>
    <w:rsid w:val="00060D23"/>
    <w:rsid w:val="000619B3"/>
    <w:rsid w:val="00074A75"/>
    <w:rsid w:val="000753DF"/>
    <w:rsid w:val="00083527"/>
    <w:rsid w:val="00086300"/>
    <w:rsid w:val="000A1FD0"/>
    <w:rsid w:val="000B3DF7"/>
    <w:rsid w:val="000F61B1"/>
    <w:rsid w:val="000F7378"/>
    <w:rsid w:val="00146537"/>
    <w:rsid w:val="00170E13"/>
    <w:rsid w:val="00182994"/>
    <w:rsid w:val="00184E7C"/>
    <w:rsid w:val="00230B2F"/>
    <w:rsid w:val="00284E78"/>
    <w:rsid w:val="003068CE"/>
    <w:rsid w:val="00306BE4"/>
    <w:rsid w:val="00313487"/>
    <w:rsid w:val="003372DA"/>
    <w:rsid w:val="0038302B"/>
    <w:rsid w:val="003835CB"/>
    <w:rsid w:val="00391930"/>
    <w:rsid w:val="00397130"/>
    <w:rsid w:val="003A7A36"/>
    <w:rsid w:val="003C594D"/>
    <w:rsid w:val="003E246C"/>
    <w:rsid w:val="003F5135"/>
    <w:rsid w:val="003F7282"/>
    <w:rsid w:val="00414A8B"/>
    <w:rsid w:val="00427D3A"/>
    <w:rsid w:val="00442F3A"/>
    <w:rsid w:val="004441FB"/>
    <w:rsid w:val="00445847"/>
    <w:rsid w:val="00470081"/>
    <w:rsid w:val="004878DD"/>
    <w:rsid w:val="004B7E77"/>
    <w:rsid w:val="004C07E7"/>
    <w:rsid w:val="0051035D"/>
    <w:rsid w:val="0051418B"/>
    <w:rsid w:val="00524E22"/>
    <w:rsid w:val="00541FAD"/>
    <w:rsid w:val="00547DE2"/>
    <w:rsid w:val="00553880"/>
    <w:rsid w:val="00557EDE"/>
    <w:rsid w:val="005C57F7"/>
    <w:rsid w:val="005E03AB"/>
    <w:rsid w:val="005F0CCB"/>
    <w:rsid w:val="00602DA6"/>
    <w:rsid w:val="00620B4A"/>
    <w:rsid w:val="00625268"/>
    <w:rsid w:val="00636B25"/>
    <w:rsid w:val="00640AE1"/>
    <w:rsid w:val="006505F2"/>
    <w:rsid w:val="00684F9C"/>
    <w:rsid w:val="006A4FD9"/>
    <w:rsid w:val="006A54E0"/>
    <w:rsid w:val="006C08E5"/>
    <w:rsid w:val="006D0870"/>
    <w:rsid w:val="006F3DE6"/>
    <w:rsid w:val="007202C0"/>
    <w:rsid w:val="0072704F"/>
    <w:rsid w:val="00762C2A"/>
    <w:rsid w:val="007879CC"/>
    <w:rsid w:val="007D6336"/>
    <w:rsid w:val="008560A3"/>
    <w:rsid w:val="00877886"/>
    <w:rsid w:val="0088344A"/>
    <w:rsid w:val="0089293A"/>
    <w:rsid w:val="008C25EA"/>
    <w:rsid w:val="008E3EF0"/>
    <w:rsid w:val="00935911"/>
    <w:rsid w:val="0094600F"/>
    <w:rsid w:val="00984EA8"/>
    <w:rsid w:val="009C0656"/>
    <w:rsid w:val="009C61A7"/>
    <w:rsid w:val="009E020A"/>
    <w:rsid w:val="009F232A"/>
    <w:rsid w:val="00A02DD8"/>
    <w:rsid w:val="00A03B52"/>
    <w:rsid w:val="00A842EF"/>
    <w:rsid w:val="00A857B1"/>
    <w:rsid w:val="00AB7542"/>
    <w:rsid w:val="00AF05A3"/>
    <w:rsid w:val="00AF51F1"/>
    <w:rsid w:val="00B01985"/>
    <w:rsid w:val="00B121C3"/>
    <w:rsid w:val="00B214FE"/>
    <w:rsid w:val="00B32BFA"/>
    <w:rsid w:val="00B52AA6"/>
    <w:rsid w:val="00B637D0"/>
    <w:rsid w:val="00B7203C"/>
    <w:rsid w:val="00B85A0B"/>
    <w:rsid w:val="00B85C4E"/>
    <w:rsid w:val="00B93EFC"/>
    <w:rsid w:val="00B97119"/>
    <w:rsid w:val="00BE66E9"/>
    <w:rsid w:val="00BF6903"/>
    <w:rsid w:val="00BF741D"/>
    <w:rsid w:val="00C04C2E"/>
    <w:rsid w:val="00C72780"/>
    <w:rsid w:val="00C976B5"/>
    <w:rsid w:val="00CB418C"/>
    <w:rsid w:val="00CC351C"/>
    <w:rsid w:val="00CF544B"/>
    <w:rsid w:val="00D05FF1"/>
    <w:rsid w:val="00D16D51"/>
    <w:rsid w:val="00D63EE9"/>
    <w:rsid w:val="00D70421"/>
    <w:rsid w:val="00D86C0D"/>
    <w:rsid w:val="00DA68D4"/>
    <w:rsid w:val="00DB2389"/>
    <w:rsid w:val="00DB4B3D"/>
    <w:rsid w:val="00DC74C0"/>
    <w:rsid w:val="00DD0209"/>
    <w:rsid w:val="00E1425D"/>
    <w:rsid w:val="00E43170"/>
    <w:rsid w:val="00E512FE"/>
    <w:rsid w:val="00E66F6F"/>
    <w:rsid w:val="00E81339"/>
    <w:rsid w:val="00E86448"/>
    <w:rsid w:val="00E90BB1"/>
    <w:rsid w:val="00EA2987"/>
    <w:rsid w:val="00EB22FE"/>
    <w:rsid w:val="00EB442F"/>
    <w:rsid w:val="00ED04B0"/>
    <w:rsid w:val="00ED081E"/>
    <w:rsid w:val="00ED1594"/>
    <w:rsid w:val="00EE4B29"/>
    <w:rsid w:val="00F008A0"/>
    <w:rsid w:val="00F124FC"/>
    <w:rsid w:val="00F1475B"/>
    <w:rsid w:val="00F33E0A"/>
    <w:rsid w:val="00F5223B"/>
    <w:rsid w:val="00F534A7"/>
    <w:rsid w:val="00F66B88"/>
    <w:rsid w:val="00F85172"/>
    <w:rsid w:val="00F92E4E"/>
    <w:rsid w:val="00FE5C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3C745E"/>
  <w15:docId w15:val="{B9A58975-45B1-4447-8CF0-565D982E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6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E4"/>
    <w:rPr>
      <w:rFonts w:ascii="Segoe UI" w:hAnsi="Segoe UI" w:cs="Segoe UI"/>
      <w:sz w:val="18"/>
      <w:szCs w:val="18"/>
      <w:lang w:val="en-US" w:eastAsia="en-US"/>
    </w:rPr>
  </w:style>
  <w:style w:type="paragraph" w:styleId="Title">
    <w:name w:val="Title"/>
    <w:basedOn w:val="Normal"/>
    <w:next w:val="Normal"/>
    <w:link w:val="TitleChar"/>
    <w:uiPriority w:val="10"/>
    <w:qFormat/>
    <w:rsid w:val="00040E4D"/>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040E4D"/>
    <w:rPr>
      <w:rFonts w:asciiTheme="majorHAnsi" w:eastAsiaTheme="majorEastAsia" w:hAnsiTheme="majorHAnsi" w:cstheme="majorBidi"/>
      <w:spacing w:val="-10"/>
      <w:kern w:val="28"/>
      <w:sz w:val="56"/>
      <w:szCs w:val="56"/>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625268"/>
    <w:rPr>
      <w:b/>
      <w:bCs/>
    </w:rPr>
  </w:style>
  <w:style w:type="character" w:customStyle="1" w:styleId="CommentSubjectChar">
    <w:name w:val="Comment Subject Char"/>
    <w:basedOn w:val="CommentTextChar"/>
    <w:link w:val="CommentSubject"/>
    <w:uiPriority w:val="99"/>
    <w:semiHidden/>
    <w:rsid w:val="00625268"/>
    <w:rPr>
      <w:b/>
      <w:bCs/>
      <w:lang w:val="en-US" w:eastAsia="en-US"/>
    </w:rPr>
  </w:style>
  <w:style w:type="paragraph" w:customStyle="1" w:styleId="xxbody">
    <w:name w:val="x_x_body"/>
    <w:basedOn w:val="Normal"/>
    <w:rsid w:val="003835C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paragraph" w:styleId="Revision">
    <w:name w:val="Revision"/>
    <w:hidden/>
    <w:uiPriority w:val="99"/>
    <w:semiHidden/>
    <w:rsid w:val="0093591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LineNumber">
    <w:name w:val="line number"/>
    <w:basedOn w:val="DefaultParagraphFont"/>
    <w:uiPriority w:val="99"/>
    <w:semiHidden/>
    <w:unhideWhenUsed/>
    <w:rsid w:val="00DB4B3D"/>
  </w:style>
  <w:style w:type="table" w:styleId="TableGrid">
    <w:name w:val="Table Grid"/>
    <w:basedOn w:val="TableNormal"/>
    <w:uiPriority w:val="59"/>
    <w:rsid w:val="00F33E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F33E0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074A75"/>
    <w:pPr>
      <w:tabs>
        <w:tab w:val="center" w:pos="4513"/>
        <w:tab w:val="right" w:pos="9026"/>
      </w:tabs>
    </w:pPr>
  </w:style>
  <w:style w:type="character" w:customStyle="1" w:styleId="HeaderChar">
    <w:name w:val="Header Char"/>
    <w:basedOn w:val="DefaultParagraphFont"/>
    <w:link w:val="Header"/>
    <w:uiPriority w:val="99"/>
    <w:rsid w:val="00074A75"/>
    <w:rPr>
      <w:sz w:val="24"/>
      <w:szCs w:val="24"/>
      <w:lang w:eastAsia="en-US"/>
    </w:rPr>
  </w:style>
  <w:style w:type="paragraph" w:styleId="Footer">
    <w:name w:val="footer"/>
    <w:basedOn w:val="Normal"/>
    <w:link w:val="FooterChar"/>
    <w:uiPriority w:val="99"/>
    <w:unhideWhenUsed/>
    <w:rsid w:val="00074A75"/>
    <w:pPr>
      <w:tabs>
        <w:tab w:val="center" w:pos="4513"/>
        <w:tab w:val="right" w:pos="9026"/>
      </w:tabs>
    </w:pPr>
  </w:style>
  <w:style w:type="character" w:customStyle="1" w:styleId="FooterChar">
    <w:name w:val="Footer Char"/>
    <w:basedOn w:val="DefaultParagraphFont"/>
    <w:link w:val="Footer"/>
    <w:uiPriority w:val="99"/>
    <w:rsid w:val="00074A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9289">
      <w:bodyDiv w:val="1"/>
      <w:marLeft w:val="0"/>
      <w:marRight w:val="0"/>
      <w:marTop w:val="0"/>
      <w:marBottom w:val="0"/>
      <w:divBdr>
        <w:top w:val="none" w:sz="0" w:space="0" w:color="auto"/>
        <w:left w:val="none" w:sz="0" w:space="0" w:color="auto"/>
        <w:bottom w:val="none" w:sz="0" w:space="0" w:color="auto"/>
        <w:right w:val="none" w:sz="0" w:space="0" w:color="auto"/>
      </w:divBdr>
    </w:div>
    <w:div w:id="196588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E584-0ED5-4F81-86B6-F0F963DB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21997</Words>
  <Characters>125388</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H.M.</dc:creator>
  <cp:keywords/>
  <dc:description/>
  <cp:lastModifiedBy>Bowers H.M.</cp:lastModifiedBy>
  <cp:revision>2</cp:revision>
  <dcterms:created xsi:type="dcterms:W3CDTF">2018-11-28T17:20:00Z</dcterms:created>
  <dcterms:modified xsi:type="dcterms:W3CDTF">2018-11-28T17:20:00Z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http://www.zotero.org/styles/bmj-open</vt:lpwstr>
  </property>
  <property fmtid="{D5CDD505-2E9C-101B-9397-08002B2CF9AE}" pid="9" name="Mendeley Recent Style Name 2_1">
    <vt:lpwstr>BMJ Open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289dcda1-6ece-3b9e-afd1-ad93afae1abe</vt:lpwstr>
  </property>
</Properties>
</file>