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2BFC9" w14:textId="33A93FA9" w:rsidR="00EA3FEB" w:rsidRDefault="00E72BAA" w:rsidP="009707B6">
      <w:pPr>
        <w:rPr>
          <w:rFonts w:cs="Arial"/>
          <w:b/>
          <w:bCs/>
          <w:sz w:val="24"/>
          <w:szCs w:val="24"/>
          <w:lang w:val="en-US"/>
        </w:rPr>
      </w:pPr>
      <w:bookmarkStart w:id="0" w:name="_GoBack"/>
      <w:bookmarkEnd w:id="0"/>
      <w:r>
        <w:rPr>
          <w:rFonts w:cs="Arial"/>
          <w:b/>
          <w:bCs/>
          <w:sz w:val="24"/>
          <w:szCs w:val="24"/>
          <w:lang w:val="en-US"/>
        </w:rPr>
        <w:t>Stu</w:t>
      </w:r>
      <w:r w:rsidR="00B47712">
        <w:rPr>
          <w:rFonts w:cs="Arial"/>
          <w:b/>
          <w:bCs/>
          <w:sz w:val="24"/>
          <w:szCs w:val="24"/>
          <w:lang w:val="en-US"/>
        </w:rPr>
        <w:t xml:space="preserve">dent </w:t>
      </w:r>
      <w:r w:rsidR="0050074B">
        <w:rPr>
          <w:rFonts w:cs="Arial"/>
          <w:b/>
          <w:bCs/>
          <w:sz w:val="24"/>
          <w:szCs w:val="24"/>
          <w:lang w:val="en-US"/>
        </w:rPr>
        <w:t xml:space="preserve">transitions </w:t>
      </w:r>
      <w:r w:rsidR="00B47712">
        <w:rPr>
          <w:rFonts w:cs="Arial"/>
          <w:b/>
          <w:bCs/>
          <w:sz w:val="24"/>
          <w:szCs w:val="24"/>
          <w:lang w:val="en-US"/>
        </w:rPr>
        <w:t>i</w:t>
      </w:r>
      <w:r w:rsidR="006A1450">
        <w:rPr>
          <w:rFonts w:cs="Arial"/>
          <w:b/>
          <w:bCs/>
          <w:sz w:val="24"/>
          <w:szCs w:val="24"/>
          <w:lang w:val="en-US"/>
        </w:rPr>
        <w:t>nto drug supply: Exploring the U</w:t>
      </w:r>
      <w:r w:rsidR="00B47712">
        <w:rPr>
          <w:rFonts w:cs="Arial"/>
          <w:b/>
          <w:bCs/>
          <w:sz w:val="24"/>
          <w:szCs w:val="24"/>
          <w:lang w:val="en-US"/>
        </w:rPr>
        <w:t>niversity as</w:t>
      </w:r>
      <w:r w:rsidR="0050074B">
        <w:rPr>
          <w:rFonts w:cs="Arial"/>
          <w:b/>
          <w:bCs/>
          <w:sz w:val="24"/>
          <w:szCs w:val="24"/>
          <w:lang w:val="en-US"/>
        </w:rPr>
        <w:t xml:space="preserve"> a ‘Risk Environment’.</w:t>
      </w:r>
    </w:p>
    <w:p w14:paraId="7B12F8B9" w14:textId="77777777" w:rsidR="002E79FB" w:rsidRDefault="002E79FB" w:rsidP="00730B7D">
      <w:pPr>
        <w:outlineLvl w:val="0"/>
        <w:rPr>
          <w:rFonts w:cs="Arial"/>
          <w:b/>
          <w:bCs/>
          <w:iCs/>
          <w:sz w:val="24"/>
          <w:szCs w:val="24"/>
        </w:rPr>
      </w:pPr>
      <w:r w:rsidRPr="00425CE9">
        <w:rPr>
          <w:rFonts w:cs="Arial"/>
          <w:b/>
          <w:bCs/>
          <w:iCs/>
          <w:sz w:val="24"/>
          <w:szCs w:val="24"/>
        </w:rPr>
        <w:t>Abstract</w:t>
      </w:r>
    </w:p>
    <w:p w14:paraId="6C2A3281" w14:textId="07EDD0D3" w:rsidR="00FD6CE2" w:rsidRDefault="00FD6CE2" w:rsidP="00060F8A">
      <w:pPr>
        <w:shd w:val="clear" w:color="auto" w:fill="FFFFFF"/>
        <w:rPr>
          <w:color w:val="222222"/>
          <w:lang w:val="en-AU"/>
        </w:rPr>
      </w:pPr>
      <w:r w:rsidRPr="00F65A62">
        <w:rPr>
          <w:color w:val="222222"/>
          <w:lang w:val="en-AU"/>
        </w:rPr>
        <w:t xml:space="preserve">Drug use, </w:t>
      </w:r>
      <w:r>
        <w:rPr>
          <w:color w:val="222222"/>
          <w:lang w:val="en-AU"/>
        </w:rPr>
        <w:t>like much</w:t>
      </w:r>
      <w:r w:rsidRPr="00F65A62">
        <w:rPr>
          <w:color w:val="222222"/>
          <w:lang w:val="en-AU"/>
        </w:rPr>
        <w:t xml:space="preserve"> criminality</w:t>
      </w:r>
      <w:r>
        <w:rPr>
          <w:color w:val="222222"/>
          <w:lang w:val="en-AU"/>
        </w:rPr>
        <w:t>,</w:t>
      </w:r>
      <w:r w:rsidRPr="00F65A62">
        <w:rPr>
          <w:color w:val="222222"/>
          <w:lang w:val="en-AU"/>
        </w:rPr>
        <w:t xml:space="preserve"> is often explored with regard to the journey into adulthood. Though young people are understood to </w:t>
      </w:r>
      <w:r>
        <w:rPr>
          <w:color w:val="222222"/>
          <w:lang w:val="en-AU"/>
        </w:rPr>
        <w:t xml:space="preserve">commonly </w:t>
      </w:r>
      <w:r w:rsidRPr="00F65A62">
        <w:rPr>
          <w:color w:val="222222"/>
          <w:lang w:val="en-AU"/>
        </w:rPr>
        <w:t xml:space="preserve">‘grow out’ of crime, protracted transitions from adolescence into adulthood </w:t>
      </w:r>
      <w:r w:rsidR="00061EF1">
        <w:rPr>
          <w:color w:val="222222"/>
          <w:lang w:val="en-AU"/>
        </w:rPr>
        <w:t>(Aldridge, 2011</w:t>
      </w:r>
      <w:r>
        <w:rPr>
          <w:color w:val="222222"/>
          <w:lang w:val="en-AU"/>
        </w:rPr>
        <w:t xml:space="preserve">) </w:t>
      </w:r>
      <w:r w:rsidRPr="00F65A62">
        <w:rPr>
          <w:color w:val="222222"/>
          <w:lang w:val="en-AU"/>
        </w:rPr>
        <w:t xml:space="preserve">have brought about a new </w:t>
      </w:r>
      <w:r>
        <w:rPr>
          <w:color w:val="222222"/>
          <w:lang w:val="en-AU"/>
        </w:rPr>
        <w:t xml:space="preserve">developmental </w:t>
      </w:r>
      <w:r w:rsidRPr="00F65A62">
        <w:rPr>
          <w:color w:val="222222"/>
          <w:lang w:val="en-AU"/>
        </w:rPr>
        <w:t xml:space="preserve">phase </w:t>
      </w:r>
      <w:r>
        <w:rPr>
          <w:color w:val="222222"/>
          <w:lang w:val="en-AU"/>
        </w:rPr>
        <w:t>where</w:t>
      </w:r>
      <w:r w:rsidRPr="00F65A62">
        <w:rPr>
          <w:color w:val="222222"/>
          <w:lang w:val="en-AU"/>
        </w:rPr>
        <w:t xml:space="preserve"> </w:t>
      </w:r>
      <w:r>
        <w:rPr>
          <w:color w:val="222222"/>
          <w:lang w:val="en-AU"/>
        </w:rPr>
        <w:t xml:space="preserve">many </w:t>
      </w:r>
      <w:r w:rsidRPr="00F65A62">
        <w:rPr>
          <w:color w:val="222222"/>
          <w:lang w:val="en-AU"/>
        </w:rPr>
        <w:t>young people are freer to engage in drug related leisure and other forms of subterranean play</w:t>
      </w:r>
      <w:r>
        <w:rPr>
          <w:color w:val="222222"/>
          <w:lang w:val="en-AU"/>
        </w:rPr>
        <w:t xml:space="preserve"> in a period of extended adolescence</w:t>
      </w:r>
      <w:r w:rsidRPr="00F65A62">
        <w:rPr>
          <w:color w:val="222222"/>
          <w:lang w:val="en-AU"/>
        </w:rPr>
        <w:t xml:space="preserve">. In this article, we look to this phase with focus upon those engaged in full time higher education and explore the extent to which </w:t>
      </w:r>
      <w:r>
        <w:rPr>
          <w:color w:val="222222"/>
          <w:lang w:val="en-AU"/>
        </w:rPr>
        <w:t xml:space="preserve">entry to </w:t>
      </w:r>
      <w:r w:rsidRPr="00F65A62">
        <w:rPr>
          <w:color w:val="222222"/>
          <w:lang w:val="en-AU"/>
        </w:rPr>
        <w:t xml:space="preserve">this new, unique environment can </w:t>
      </w:r>
      <w:r w:rsidR="009939DA">
        <w:rPr>
          <w:color w:val="222222"/>
          <w:lang w:val="en-AU"/>
        </w:rPr>
        <w:t xml:space="preserve">enable </w:t>
      </w:r>
      <w:r w:rsidRPr="00F65A62">
        <w:rPr>
          <w:color w:val="222222"/>
          <w:lang w:val="en-AU"/>
        </w:rPr>
        <w:t>particular changes in students’ level of involvement in recreational drug use and supply. Drawing on 30 in-depth interviews undertaken with university students in South West England, this article seeks to explore the ways in which the structural circumstances of the university environment can produce favourable conditions for ‘turning points’, where univ</w:t>
      </w:r>
      <w:r w:rsidR="00037FFA">
        <w:rPr>
          <w:color w:val="222222"/>
          <w:lang w:val="en-AU"/>
        </w:rPr>
        <w:t xml:space="preserve">ersity students transition regular </w:t>
      </w:r>
      <w:r w:rsidRPr="00F65A62">
        <w:rPr>
          <w:color w:val="222222"/>
          <w:lang w:val="en-AU"/>
        </w:rPr>
        <w:t>drug use into ‘social supply’. It is argued that the university can be understood as a specific ‘risk environment’ where certain cultural and environmental attributes </w:t>
      </w:r>
      <w:r w:rsidRPr="00F65A62">
        <w:rPr>
          <w:color w:val="222222"/>
          <w:lang w:val="en-US"/>
        </w:rPr>
        <w:t>including financial insecurity, distance from guardians and the interconnected nature of the populace can provide facilitative conditions for transitions into drug supply.</w:t>
      </w:r>
    </w:p>
    <w:p w14:paraId="38B8BDBA" w14:textId="77777777" w:rsidR="00060F8A" w:rsidRPr="00060F8A" w:rsidRDefault="00060F8A" w:rsidP="00060F8A">
      <w:pPr>
        <w:shd w:val="clear" w:color="auto" w:fill="FFFFFF"/>
        <w:rPr>
          <w:color w:val="222222"/>
          <w:lang w:val="en-AU"/>
        </w:rPr>
      </w:pPr>
    </w:p>
    <w:p w14:paraId="09C461D2" w14:textId="029D33BB" w:rsidR="00DC5935" w:rsidRPr="00425CE9" w:rsidRDefault="00DC5935" w:rsidP="009707B6">
      <w:pPr>
        <w:rPr>
          <w:rFonts w:cs="Arial"/>
          <w:iCs/>
          <w:sz w:val="24"/>
          <w:szCs w:val="24"/>
        </w:rPr>
      </w:pPr>
      <w:r w:rsidRPr="00425CE9">
        <w:rPr>
          <w:rFonts w:cs="Arial"/>
          <w:b/>
          <w:iCs/>
          <w:sz w:val="24"/>
          <w:szCs w:val="24"/>
        </w:rPr>
        <w:t>Keywords:</w:t>
      </w:r>
      <w:r w:rsidRPr="00425CE9">
        <w:rPr>
          <w:rFonts w:cs="Arial"/>
          <w:iCs/>
          <w:sz w:val="24"/>
          <w:szCs w:val="24"/>
        </w:rPr>
        <w:t xml:space="preserve"> </w:t>
      </w:r>
      <w:r w:rsidR="00341403">
        <w:rPr>
          <w:rFonts w:cs="Arial"/>
          <w:iCs/>
          <w:sz w:val="24"/>
          <w:szCs w:val="24"/>
        </w:rPr>
        <w:t>Drug supply; drug dealing;</w:t>
      </w:r>
      <w:r w:rsidR="006F65DF">
        <w:rPr>
          <w:rFonts w:cs="Arial"/>
          <w:iCs/>
          <w:sz w:val="24"/>
          <w:szCs w:val="24"/>
        </w:rPr>
        <w:t xml:space="preserve"> </w:t>
      </w:r>
      <w:r w:rsidR="0015442C">
        <w:rPr>
          <w:rFonts w:cs="Arial"/>
          <w:iCs/>
          <w:sz w:val="24"/>
          <w:szCs w:val="24"/>
        </w:rPr>
        <w:t xml:space="preserve">life course; </w:t>
      </w:r>
      <w:r w:rsidR="00D627FF">
        <w:rPr>
          <w:rFonts w:cs="Arial"/>
          <w:iCs/>
          <w:sz w:val="24"/>
          <w:szCs w:val="24"/>
        </w:rPr>
        <w:t xml:space="preserve">social supply; </w:t>
      </w:r>
      <w:r w:rsidR="00F51201">
        <w:rPr>
          <w:rFonts w:cs="Arial"/>
          <w:iCs/>
          <w:sz w:val="24"/>
          <w:szCs w:val="24"/>
        </w:rPr>
        <w:t>transition</w:t>
      </w:r>
      <w:r w:rsidR="00481DC7">
        <w:rPr>
          <w:rFonts w:cs="Arial"/>
          <w:iCs/>
          <w:sz w:val="24"/>
          <w:szCs w:val="24"/>
        </w:rPr>
        <w:t xml:space="preserve">; </w:t>
      </w:r>
      <w:r w:rsidR="00D627FF">
        <w:rPr>
          <w:rFonts w:cs="Arial"/>
          <w:iCs/>
          <w:sz w:val="24"/>
          <w:szCs w:val="24"/>
        </w:rPr>
        <w:t>turning point</w:t>
      </w:r>
      <w:r w:rsidR="00F32CFE">
        <w:rPr>
          <w:rFonts w:cs="Arial"/>
          <w:iCs/>
          <w:sz w:val="24"/>
          <w:szCs w:val="24"/>
        </w:rPr>
        <w:t>; higher education</w:t>
      </w:r>
    </w:p>
    <w:p w14:paraId="2D270F5F" w14:textId="5E7F396C" w:rsidR="00110C44" w:rsidRPr="00733E5B" w:rsidRDefault="003B3D56" w:rsidP="00730B7D">
      <w:pPr>
        <w:outlineLvl w:val="0"/>
        <w:rPr>
          <w:rFonts w:cs="Arial"/>
          <w:i/>
          <w:sz w:val="24"/>
          <w:szCs w:val="24"/>
        </w:rPr>
      </w:pPr>
      <w:r w:rsidRPr="00425CE9">
        <w:rPr>
          <w:rFonts w:cs="Arial"/>
          <w:b/>
          <w:bCs/>
          <w:iCs/>
          <w:sz w:val="24"/>
          <w:szCs w:val="24"/>
        </w:rPr>
        <w:t>Introduction</w:t>
      </w:r>
    </w:p>
    <w:p w14:paraId="0C205301" w14:textId="3DCDBDE9" w:rsidR="002A5682" w:rsidRPr="008B0D90" w:rsidRDefault="00302411">
      <w:pPr>
        <w:rPr>
          <w:rFonts w:cs="Arial"/>
          <w:sz w:val="26"/>
          <w:szCs w:val="26"/>
          <w:lang w:val="en-US"/>
        </w:rPr>
      </w:pPr>
      <w:r>
        <w:rPr>
          <w:rFonts w:cs="Arial"/>
          <w:sz w:val="24"/>
          <w:szCs w:val="24"/>
          <w:lang w:val="en-US"/>
        </w:rPr>
        <w:t>Analysis of t</w:t>
      </w:r>
      <w:r w:rsidR="00530E4A">
        <w:rPr>
          <w:rFonts w:cs="Arial"/>
          <w:sz w:val="24"/>
          <w:szCs w:val="24"/>
          <w:lang w:val="en-US"/>
        </w:rPr>
        <w:t xml:space="preserve">he relationship between crime, </w:t>
      </w:r>
      <w:r w:rsidR="008C069E">
        <w:rPr>
          <w:rFonts w:cs="Arial"/>
          <w:sz w:val="24"/>
          <w:szCs w:val="24"/>
          <w:lang w:val="en-US"/>
        </w:rPr>
        <w:t>place and space</w:t>
      </w:r>
      <w:r w:rsidR="00530E4A">
        <w:rPr>
          <w:rFonts w:cs="Arial"/>
          <w:sz w:val="24"/>
          <w:szCs w:val="24"/>
          <w:lang w:val="en-US"/>
        </w:rPr>
        <w:t xml:space="preserve"> </w:t>
      </w:r>
      <w:r>
        <w:rPr>
          <w:rFonts w:cs="Arial"/>
          <w:sz w:val="24"/>
          <w:szCs w:val="24"/>
          <w:lang w:val="en-US"/>
        </w:rPr>
        <w:t xml:space="preserve">has </w:t>
      </w:r>
      <w:r w:rsidR="0059687F">
        <w:rPr>
          <w:rFonts w:cs="Arial"/>
          <w:sz w:val="24"/>
          <w:szCs w:val="24"/>
          <w:lang w:val="en-US"/>
        </w:rPr>
        <w:t xml:space="preserve">formed an important yet </w:t>
      </w:r>
      <w:r w:rsidR="007A62F6">
        <w:rPr>
          <w:rFonts w:cs="Arial"/>
          <w:sz w:val="24"/>
          <w:szCs w:val="24"/>
          <w:lang w:val="en-US"/>
        </w:rPr>
        <w:t xml:space="preserve">comparatively underdeveloped </w:t>
      </w:r>
      <w:r w:rsidR="00AA5381">
        <w:rPr>
          <w:rFonts w:cs="Arial"/>
          <w:sz w:val="24"/>
          <w:szCs w:val="24"/>
          <w:lang w:val="en-US"/>
        </w:rPr>
        <w:t>aspect of the criminological research agenda since the early twentieth century</w:t>
      </w:r>
      <w:r w:rsidR="0073618B">
        <w:rPr>
          <w:rFonts w:cs="Arial"/>
          <w:sz w:val="24"/>
          <w:szCs w:val="24"/>
          <w:lang w:val="en-US"/>
        </w:rPr>
        <w:t xml:space="preserve"> (Bottoms, 2007</w:t>
      </w:r>
      <w:r w:rsidR="007A62F6">
        <w:rPr>
          <w:rFonts w:cs="Arial"/>
          <w:sz w:val="24"/>
          <w:szCs w:val="24"/>
          <w:lang w:val="en-US"/>
        </w:rPr>
        <w:t>)</w:t>
      </w:r>
      <w:r w:rsidR="00AA5381">
        <w:rPr>
          <w:rFonts w:cs="Arial"/>
          <w:sz w:val="24"/>
          <w:szCs w:val="24"/>
          <w:lang w:val="en-US"/>
        </w:rPr>
        <w:t xml:space="preserve">. The Chicago School’s ethnographic mapping of offender residences </w:t>
      </w:r>
      <w:r w:rsidR="0059687F">
        <w:rPr>
          <w:rFonts w:cs="Arial"/>
          <w:sz w:val="24"/>
          <w:szCs w:val="24"/>
          <w:lang w:val="en-US"/>
        </w:rPr>
        <w:t xml:space="preserve">created a space </w:t>
      </w:r>
      <w:r w:rsidR="00AA5381">
        <w:rPr>
          <w:rFonts w:cs="Arial"/>
          <w:sz w:val="24"/>
          <w:szCs w:val="24"/>
          <w:lang w:val="en-US"/>
        </w:rPr>
        <w:t>for a criminology that emphasized the social-structural and cultural conditions of neighbourhoods defined b</w:t>
      </w:r>
      <w:r w:rsidR="007A62F6">
        <w:rPr>
          <w:rFonts w:cs="Arial"/>
          <w:sz w:val="24"/>
          <w:szCs w:val="24"/>
          <w:lang w:val="en-US"/>
        </w:rPr>
        <w:t>y juvenile delinquency</w:t>
      </w:r>
      <w:r w:rsidR="0073618B">
        <w:rPr>
          <w:rFonts w:cs="Arial"/>
          <w:sz w:val="24"/>
          <w:szCs w:val="24"/>
          <w:lang w:val="en-US"/>
        </w:rPr>
        <w:t xml:space="preserve"> (ibid)</w:t>
      </w:r>
      <w:r w:rsidR="007A62F6">
        <w:rPr>
          <w:rFonts w:cs="Arial"/>
          <w:sz w:val="24"/>
          <w:szCs w:val="24"/>
          <w:lang w:val="en-US"/>
        </w:rPr>
        <w:t xml:space="preserve">. Though </w:t>
      </w:r>
      <w:r w:rsidR="0092003A">
        <w:rPr>
          <w:rFonts w:cs="Arial"/>
          <w:sz w:val="24"/>
          <w:szCs w:val="24"/>
          <w:lang w:val="en-US"/>
        </w:rPr>
        <w:t xml:space="preserve">places of crime have become a central concern for crime prevention scholars who have analysed </w:t>
      </w:r>
      <w:r w:rsidR="00CB280A">
        <w:rPr>
          <w:rFonts w:cs="Arial"/>
          <w:sz w:val="24"/>
          <w:szCs w:val="24"/>
          <w:lang w:val="en-US"/>
        </w:rPr>
        <w:t>factors such as crime concentration, patterns and target selection</w:t>
      </w:r>
      <w:r w:rsidR="007F42DF">
        <w:rPr>
          <w:rFonts w:cs="Arial"/>
          <w:sz w:val="24"/>
          <w:szCs w:val="24"/>
          <w:lang w:val="en-US"/>
        </w:rPr>
        <w:t xml:space="preserve"> in particular micro-spaces</w:t>
      </w:r>
      <w:r w:rsidR="0092003A">
        <w:rPr>
          <w:rFonts w:cs="Arial"/>
          <w:sz w:val="24"/>
          <w:szCs w:val="24"/>
          <w:lang w:val="en-US"/>
        </w:rPr>
        <w:t>,</w:t>
      </w:r>
      <w:r w:rsidR="007F42DF">
        <w:rPr>
          <w:rFonts w:cs="Arial"/>
          <w:sz w:val="24"/>
          <w:szCs w:val="24"/>
          <w:lang w:val="en-US"/>
        </w:rPr>
        <w:t xml:space="preserve"> </w:t>
      </w:r>
      <w:r w:rsidR="00FC779C">
        <w:rPr>
          <w:rFonts w:cs="Arial"/>
          <w:sz w:val="24"/>
          <w:szCs w:val="24"/>
          <w:lang w:val="en-US"/>
        </w:rPr>
        <w:t xml:space="preserve">far </w:t>
      </w:r>
      <w:r w:rsidR="005D0DCC">
        <w:rPr>
          <w:rFonts w:cs="Arial"/>
          <w:sz w:val="24"/>
          <w:szCs w:val="24"/>
          <w:lang w:val="en-US"/>
        </w:rPr>
        <w:t xml:space="preserve">less attention has been paid to </w:t>
      </w:r>
      <w:r w:rsidR="00886507">
        <w:rPr>
          <w:rFonts w:cs="Arial"/>
          <w:sz w:val="24"/>
          <w:szCs w:val="24"/>
          <w:lang w:val="en-US"/>
        </w:rPr>
        <w:t>the sociological</w:t>
      </w:r>
      <w:r w:rsidR="005D0DCC">
        <w:rPr>
          <w:rFonts w:cs="Arial"/>
          <w:sz w:val="24"/>
          <w:szCs w:val="24"/>
          <w:lang w:val="en-US"/>
        </w:rPr>
        <w:t xml:space="preserve"> features of this relationship</w:t>
      </w:r>
      <w:r w:rsidR="006934C4">
        <w:rPr>
          <w:rFonts w:cs="Arial"/>
          <w:sz w:val="24"/>
          <w:szCs w:val="24"/>
          <w:lang w:val="en-US"/>
        </w:rPr>
        <w:t xml:space="preserve"> </w:t>
      </w:r>
      <w:r w:rsidR="00AA1E0B">
        <w:rPr>
          <w:rFonts w:cs="Arial"/>
          <w:sz w:val="24"/>
          <w:szCs w:val="24"/>
          <w:lang w:val="en-US"/>
        </w:rPr>
        <w:t xml:space="preserve">first </w:t>
      </w:r>
      <w:r w:rsidR="006934C4">
        <w:rPr>
          <w:rFonts w:cs="Arial"/>
          <w:sz w:val="24"/>
          <w:szCs w:val="24"/>
          <w:lang w:val="en-US"/>
        </w:rPr>
        <w:t>pioneered by the Chicago tradition</w:t>
      </w:r>
      <w:r w:rsidR="005D0DCC">
        <w:rPr>
          <w:rFonts w:cs="Arial"/>
          <w:sz w:val="24"/>
          <w:szCs w:val="24"/>
          <w:lang w:val="en-US"/>
        </w:rPr>
        <w:t xml:space="preserve">. </w:t>
      </w:r>
      <w:r w:rsidR="008E2F27">
        <w:rPr>
          <w:rFonts w:cs="Arial"/>
          <w:sz w:val="24"/>
          <w:szCs w:val="24"/>
          <w:lang w:val="en-US"/>
        </w:rPr>
        <w:t>C</w:t>
      </w:r>
      <w:r w:rsidR="005D0DCC">
        <w:rPr>
          <w:rFonts w:cs="Arial"/>
          <w:sz w:val="24"/>
          <w:szCs w:val="24"/>
          <w:lang w:val="en-US"/>
        </w:rPr>
        <w:t xml:space="preserve">ontext is important, </w:t>
      </w:r>
      <w:r w:rsidR="005D0DCC" w:rsidRPr="00CB65A4">
        <w:rPr>
          <w:rFonts w:cs="Arial"/>
          <w:sz w:val="24"/>
          <w:szCs w:val="24"/>
          <w:lang w:val="en-US"/>
        </w:rPr>
        <w:t>and while action is volitional</w:t>
      </w:r>
      <w:r w:rsidR="00CB65A4">
        <w:rPr>
          <w:rFonts w:cs="Arial"/>
          <w:sz w:val="24"/>
          <w:szCs w:val="24"/>
          <w:lang w:val="en-US"/>
        </w:rPr>
        <w:t>,</w:t>
      </w:r>
      <w:r w:rsidR="00CB65A4" w:rsidRPr="00CB65A4">
        <w:rPr>
          <w:rFonts w:cs="Arial"/>
          <w:sz w:val="24"/>
          <w:szCs w:val="24"/>
          <w:lang w:val="en-US"/>
        </w:rPr>
        <w:t xml:space="preserve"> </w:t>
      </w:r>
      <w:r w:rsidR="00CB65A4">
        <w:rPr>
          <w:rFonts w:cs="Arial"/>
          <w:sz w:val="24"/>
          <w:szCs w:val="24"/>
          <w:lang w:val="en-US"/>
        </w:rPr>
        <w:t xml:space="preserve">an </w:t>
      </w:r>
      <w:r w:rsidR="00CB65A4">
        <w:rPr>
          <w:rFonts w:cs="Arial"/>
          <w:sz w:val="24"/>
          <w:szCs w:val="24"/>
          <w:lang w:val="en-US"/>
        </w:rPr>
        <w:lastRenderedPageBreak/>
        <w:t>increasing number of studies now</w:t>
      </w:r>
      <w:r w:rsidR="008E2F27">
        <w:rPr>
          <w:rFonts w:cs="Arial"/>
          <w:sz w:val="24"/>
          <w:szCs w:val="24"/>
          <w:lang w:val="en-US"/>
        </w:rPr>
        <w:t xml:space="preserve"> </w:t>
      </w:r>
      <w:r w:rsidR="008E2F27" w:rsidRPr="00DC3A8F">
        <w:rPr>
          <w:rFonts w:cs="Arial"/>
          <w:sz w:val="24"/>
          <w:szCs w:val="24"/>
          <w:lang w:val="en-US"/>
        </w:rPr>
        <w:t>acknowledge</w:t>
      </w:r>
      <w:r w:rsidR="00CB65A4" w:rsidRPr="00DC3A8F">
        <w:rPr>
          <w:rFonts w:cs="Arial"/>
          <w:sz w:val="24"/>
          <w:szCs w:val="24"/>
          <w:lang w:val="en-US"/>
        </w:rPr>
        <w:t xml:space="preserve"> the</w:t>
      </w:r>
      <w:r w:rsidR="00E02E4C" w:rsidRPr="00DC3A8F">
        <w:rPr>
          <w:rFonts w:cs="Arial"/>
          <w:sz w:val="24"/>
          <w:szCs w:val="24"/>
          <w:lang w:val="en-US"/>
        </w:rPr>
        <w:t xml:space="preserve"> broader</w:t>
      </w:r>
      <w:r w:rsidR="00CB65A4" w:rsidRPr="00DC3A8F">
        <w:rPr>
          <w:rFonts w:cs="Arial"/>
          <w:sz w:val="24"/>
          <w:szCs w:val="24"/>
          <w:lang w:val="en-US"/>
        </w:rPr>
        <w:t xml:space="preserve"> constraining or facilitative </w:t>
      </w:r>
      <w:r w:rsidR="007F42DF" w:rsidRPr="00DC3A8F">
        <w:rPr>
          <w:rFonts w:cs="Arial"/>
          <w:sz w:val="24"/>
          <w:szCs w:val="24"/>
          <w:lang w:val="en-US"/>
        </w:rPr>
        <w:t xml:space="preserve">structures </w:t>
      </w:r>
      <w:r w:rsidR="00E02E4C" w:rsidRPr="00DC3A8F">
        <w:rPr>
          <w:rFonts w:cs="Arial"/>
          <w:sz w:val="24"/>
          <w:szCs w:val="24"/>
          <w:lang w:val="en-US"/>
        </w:rPr>
        <w:t>on human action (</w:t>
      </w:r>
      <w:r w:rsidR="00653944">
        <w:rPr>
          <w:rFonts w:cs="Arial"/>
          <w:sz w:val="24"/>
          <w:szCs w:val="24"/>
          <w:lang w:val="en-US"/>
        </w:rPr>
        <w:t xml:space="preserve">e.g. </w:t>
      </w:r>
      <w:r w:rsidR="00E02E4C" w:rsidRPr="00DC3A8F">
        <w:rPr>
          <w:rFonts w:cs="Arial"/>
          <w:sz w:val="24"/>
          <w:szCs w:val="24"/>
          <w:lang w:val="en-US"/>
        </w:rPr>
        <w:t>Fleetwood, 2016</w:t>
      </w:r>
      <w:r w:rsidR="001765F2" w:rsidRPr="00DC3A8F">
        <w:rPr>
          <w:rFonts w:cs="Arial"/>
          <w:sz w:val="24"/>
          <w:szCs w:val="24"/>
          <w:lang w:val="en-US"/>
        </w:rPr>
        <w:t>). Yet</w:t>
      </w:r>
      <w:r w:rsidR="00D5517C" w:rsidRPr="00DC3A8F">
        <w:rPr>
          <w:rFonts w:cs="Arial"/>
          <w:sz w:val="24"/>
          <w:szCs w:val="24"/>
          <w:lang w:val="en-US"/>
        </w:rPr>
        <w:t xml:space="preserve"> in criminology</w:t>
      </w:r>
      <w:r w:rsidR="001765F2" w:rsidRPr="00DC3A8F">
        <w:rPr>
          <w:rFonts w:cs="Arial"/>
          <w:sz w:val="24"/>
          <w:szCs w:val="24"/>
          <w:lang w:val="en-US"/>
        </w:rPr>
        <w:t>,</w:t>
      </w:r>
      <w:r w:rsidR="00D5517C" w:rsidRPr="00DC3A8F">
        <w:rPr>
          <w:rFonts w:cs="Arial"/>
          <w:sz w:val="24"/>
          <w:szCs w:val="24"/>
          <w:lang w:val="en-US"/>
        </w:rPr>
        <w:t xml:space="preserve"> less is known about how specific</w:t>
      </w:r>
      <w:r w:rsidR="00E02E4C" w:rsidRPr="00DC3A8F">
        <w:rPr>
          <w:rFonts w:cs="Arial"/>
          <w:sz w:val="24"/>
          <w:szCs w:val="24"/>
          <w:lang w:val="en-US"/>
        </w:rPr>
        <w:t xml:space="preserve"> micro</w:t>
      </w:r>
      <w:r w:rsidR="00F337C6">
        <w:rPr>
          <w:rFonts w:cs="Arial"/>
          <w:sz w:val="24"/>
          <w:szCs w:val="24"/>
          <w:lang w:val="en-US"/>
        </w:rPr>
        <w:t>-</w:t>
      </w:r>
      <w:r w:rsidR="00D5517C" w:rsidRPr="00DC3A8F">
        <w:rPr>
          <w:rFonts w:cs="Arial"/>
          <w:sz w:val="24"/>
          <w:szCs w:val="24"/>
          <w:lang w:val="en-US"/>
        </w:rPr>
        <w:t xml:space="preserve">contexts </w:t>
      </w:r>
      <w:r w:rsidR="007F42DF" w:rsidRPr="00DC3A8F">
        <w:rPr>
          <w:rFonts w:cs="Arial"/>
          <w:sz w:val="24"/>
          <w:szCs w:val="24"/>
          <w:lang w:val="en-US"/>
        </w:rPr>
        <w:t>materially impact or transform ‘local’ interactions</w:t>
      </w:r>
      <w:r w:rsidR="0036325D">
        <w:rPr>
          <w:rFonts w:cs="Arial"/>
          <w:sz w:val="24"/>
          <w:szCs w:val="24"/>
          <w:lang w:val="en-US"/>
        </w:rPr>
        <w:t xml:space="preserve"> (Murdoch 1997: 329</w:t>
      </w:r>
      <w:r w:rsidR="003C3973">
        <w:rPr>
          <w:rFonts w:cs="Arial"/>
          <w:sz w:val="24"/>
          <w:szCs w:val="24"/>
          <w:lang w:val="en-US"/>
        </w:rPr>
        <w:t>-</w:t>
      </w:r>
      <w:r w:rsidR="007F42DF" w:rsidRPr="00DC3A8F">
        <w:rPr>
          <w:rFonts w:cs="Arial"/>
          <w:sz w:val="24"/>
          <w:szCs w:val="24"/>
          <w:lang w:val="en-US"/>
        </w:rPr>
        <w:t>332).</w:t>
      </w:r>
      <w:r w:rsidR="001765F2" w:rsidRPr="00DC3A8F">
        <w:rPr>
          <w:rFonts w:cs="Arial"/>
          <w:sz w:val="24"/>
          <w:szCs w:val="24"/>
          <w:lang w:val="en-US"/>
        </w:rPr>
        <w:t xml:space="preserve"> </w:t>
      </w:r>
      <w:r w:rsidR="00D5517C" w:rsidRPr="00DC3A8F">
        <w:rPr>
          <w:rFonts w:cs="Arial"/>
          <w:sz w:val="24"/>
          <w:szCs w:val="24"/>
          <w:lang w:val="en-US"/>
        </w:rPr>
        <w:t>In focusing on journeys into crime</w:t>
      </w:r>
      <w:r w:rsidR="001765F2" w:rsidRPr="00DC3A8F">
        <w:rPr>
          <w:rFonts w:cs="Arial"/>
          <w:sz w:val="24"/>
          <w:szCs w:val="24"/>
          <w:lang w:val="en-US"/>
        </w:rPr>
        <w:t xml:space="preserve"> or the sh</w:t>
      </w:r>
      <w:r w:rsidR="00D5517C" w:rsidRPr="00DC3A8F">
        <w:rPr>
          <w:rFonts w:cs="Arial"/>
          <w:sz w:val="24"/>
          <w:szCs w:val="24"/>
          <w:lang w:val="en-US"/>
        </w:rPr>
        <w:t xml:space="preserve">ift </w:t>
      </w:r>
      <w:r w:rsidR="00706D07" w:rsidRPr="00DC3A8F">
        <w:rPr>
          <w:rFonts w:cs="Arial"/>
          <w:sz w:val="24"/>
          <w:szCs w:val="24"/>
          <w:lang w:val="en-US"/>
        </w:rPr>
        <w:t>from the ‘conventional’ to the ‘criminal’</w:t>
      </w:r>
      <w:r w:rsidR="00EB5643" w:rsidRPr="00DC3A8F">
        <w:rPr>
          <w:rFonts w:cs="Arial"/>
          <w:sz w:val="24"/>
          <w:szCs w:val="24"/>
          <w:lang w:val="en-US"/>
        </w:rPr>
        <w:t>,</w:t>
      </w:r>
      <w:r w:rsidR="00DE61D7" w:rsidRPr="00DC3A8F">
        <w:rPr>
          <w:rFonts w:cs="Arial"/>
          <w:sz w:val="24"/>
          <w:szCs w:val="24"/>
          <w:lang w:val="en-US"/>
        </w:rPr>
        <w:t xml:space="preserve"> </w:t>
      </w:r>
      <w:r w:rsidR="00F95E65" w:rsidRPr="00DC3A8F">
        <w:rPr>
          <w:rFonts w:cs="Arial"/>
          <w:sz w:val="24"/>
          <w:szCs w:val="24"/>
          <w:lang w:val="en-US"/>
        </w:rPr>
        <w:t xml:space="preserve">scholars have drawn upon the concept of ‘drift’ </w:t>
      </w:r>
      <w:r w:rsidR="00D53B5A" w:rsidRPr="00DC3A8F">
        <w:rPr>
          <w:rFonts w:cs="Arial"/>
          <w:sz w:val="24"/>
          <w:szCs w:val="24"/>
          <w:lang w:val="en-US"/>
        </w:rPr>
        <w:t xml:space="preserve">(Matza, 1964; Sykes and Matza, 1957) </w:t>
      </w:r>
      <w:r w:rsidR="004E17F2" w:rsidRPr="00DC3A8F">
        <w:rPr>
          <w:rFonts w:cs="Arial"/>
          <w:sz w:val="24"/>
          <w:szCs w:val="24"/>
          <w:lang w:eastAsia="en-GB"/>
        </w:rPr>
        <w:t xml:space="preserve">to explain how youth could </w:t>
      </w:r>
      <w:r w:rsidR="00F7450F">
        <w:rPr>
          <w:rFonts w:cs="Arial"/>
          <w:sz w:val="24"/>
          <w:szCs w:val="24"/>
          <w:lang w:eastAsia="en-GB"/>
        </w:rPr>
        <w:t xml:space="preserve">effectively </w:t>
      </w:r>
      <w:r w:rsidR="00CA53BE" w:rsidRPr="00DC3A8F">
        <w:rPr>
          <w:rFonts w:cs="Arial"/>
          <w:sz w:val="24"/>
          <w:szCs w:val="24"/>
          <w:lang w:eastAsia="en-GB"/>
        </w:rPr>
        <w:t xml:space="preserve">move </w:t>
      </w:r>
      <w:r w:rsidR="004E17F2" w:rsidRPr="00DC3A8F">
        <w:rPr>
          <w:rFonts w:cs="Arial"/>
          <w:sz w:val="24"/>
          <w:szCs w:val="24"/>
          <w:lang w:eastAsia="en-GB"/>
        </w:rPr>
        <w:t xml:space="preserve">in and out of delinquency, experiencing </w:t>
      </w:r>
      <w:r w:rsidR="00F7450F">
        <w:rPr>
          <w:rFonts w:cs="Arial"/>
          <w:sz w:val="24"/>
          <w:szCs w:val="24"/>
          <w:lang w:eastAsia="en-GB"/>
        </w:rPr>
        <w:t xml:space="preserve">episodic </w:t>
      </w:r>
      <w:r w:rsidR="004E17F2" w:rsidRPr="00DC3A8F">
        <w:rPr>
          <w:rFonts w:cs="Arial"/>
          <w:sz w:val="24"/>
          <w:szCs w:val="24"/>
          <w:lang w:eastAsia="en-GB"/>
        </w:rPr>
        <w:t>release from ‘moral restraint’ (p.64) and embracing ‘subterranean values’</w:t>
      </w:r>
      <w:r w:rsidR="002E0ED8" w:rsidRPr="00DC3A8F">
        <w:rPr>
          <w:rFonts w:cs="Arial"/>
          <w:sz w:val="24"/>
          <w:szCs w:val="24"/>
          <w:lang w:eastAsia="en-GB"/>
        </w:rPr>
        <w:t xml:space="preserve"> synonymous with </w:t>
      </w:r>
      <w:r w:rsidR="004E17F2" w:rsidRPr="00DC3A8F">
        <w:rPr>
          <w:rFonts w:cs="Arial"/>
          <w:sz w:val="24"/>
          <w:szCs w:val="24"/>
          <w:lang w:eastAsia="en-GB"/>
        </w:rPr>
        <w:t>spontaneity, enjoyment and excitement (Matza and Sykes</w:t>
      </w:r>
      <w:r w:rsidR="00F7450F">
        <w:rPr>
          <w:rFonts w:cs="Arial"/>
          <w:sz w:val="24"/>
          <w:szCs w:val="24"/>
          <w:lang w:eastAsia="en-GB"/>
        </w:rPr>
        <w:t>,</w:t>
      </w:r>
      <w:r w:rsidR="004E17F2" w:rsidRPr="00DC3A8F">
        <w:rPr>
          <w:rFonts w:cs="Arial"/>
          <w:sz w:val="24"/>
          <w:szCs w:val="24"/>
          <w:lang w:eastAsia="en-GB"/>
        </w:rPr>
        <w:t xml:space="preserve"> 1961).</w:t>
      </w:r>
      <w:r w:rsidR="00B3319D" w:rsidRPr="00DC3A8F">
        <w:rPr>
          <w:rFonts w:cs="Arial"/>
          <w:sz w:val="24"/>
          <w:szCs w:val="24"/>
          <w:lang w:eastAsia="en-GB"/>
        </w:rPr>
        <w:t xml:space="preserve"> This theoretical framework has since been harnessed </w:t>
      </w:r>
      <w:r w:rsidR="00B3319D" w:rsidRPr="00DC3A8F">
        <w:rPr>
          <w:rFonts w:cs="Arial"/>
          <w:sz w:val="24"/>
          <w:szCs w:val="24"/>
          <w:lang w:val="en-US"/>
        </w:rPr>
        <w:t xml:space="preserve">to deconstruct the fluid movements from drug use into </w:t>
      </w:r>
      <w:r w:rsidR="00310F00" w:rsidRPr="00DC3A8F">
        <w:rPr>
          <w:rFonts w:cs="Arial"/>
          <w:sz w:val="24"/>
          <w:szCs w:val="24"/>
          <w:lang w:val="en-US"/>
        </w:rPr>
        <w:t xml:space="preserve">so-called </w:t>
      </w:r>
      <w:r w:rsidR="00B3319D" w:rsidRPr="00DC3A8F">
        <w:rPr>
          <w:rFonts w:cs="Arial"/>
          <w:sz w:val="24"/>
          <w:szCs w:val="24"/>
          <w:lang w:val="en-US"/>
        </w:rPr>
        <w:t xml:space="preserve">‘social supply’ </w:t>
      </w:r>
      <w:r w:rsidR="0085755A" w:rsidRPr="00DC3A8F">
        <w:rPr>
          <w:rFonts w:cs="Arial"/>
          <w:sz w:val="24"/>
          <w:szCs w:val="24"/>
          <w:lang w:val="en-US"/>
        </w:rPr>
        <w:t>(Murphy et al., 2004)</w:t>
      </w:r>
      <w:r w:rsidR="00310F00" w:rsidRPr="00DC3A8F">
        <w:rPr>
          <w:rFonts w:cs="Arial"/>
          <w:sz w:val="24"/>
          <w:szCs w:val="24"/>
          <w:lang w:val="en-US"/>
        </w:rPr>
        <w:t xml:space="preserve"> – the practice of sharing or distributing drugs to friends or acquaintances for little or no profit</w:t>
      </w:r>
      <w:r w:rsidRPr="00DC3A8F">
        <w:rPr>
          <w:rFonts w:cs="Arial"/>
          <w:sz w:val="24"/>
          <w:szCs w:val="24"/>
          <w:lang w:val="en-US"/>
        </w:rPr>
        <w:t xml:space="preserve"> (see xxxxxxx)</w:t>
      </w:r>
      <w:r w:rsidR="00310F00" w:rsidRPr="00DC3A8F">
        <w:rPr>
          <w:rFonts w:cs="Arial"/>
          <w:sz w:val="24"/>
          <w:szCs w:val="24"/>
          <w:lang w:val="en-US"/>
        </w:rPr>
        <w:t xml:space="preserve">. </w:t>
      </w:r>
      <w:r w:rsidR="00B3516C" w:rsidRPr="00DC3A8F">
        <w:rPr>
          <w:rFonts w:cs="Arial"/>
          <w:sz w:val="24"/>
          <w:szCs w:val="24"/>
          <w:lang w:val="en-US"/>
        </w:rPr>
        <w:t xml:space="preserve">Employing this theoretical vehicle has </w:t>
      </w:r>
      <w:r w:rsidR="00EF156A" w:rsidRPr="00DC3A8F">
        <w:rPr>
          <w:rFonts w:cs="Arial"/>
          <w:sz w:val="24"/>
          <w:szCs w:val="24"/>
          <w:lang w:val="en-US"/>
        </w:rPr>
        <w:t>afforded</w:t>
      </w:r>
      <w:r w:rsidR="00B3516C" w:rsidRPr="00DC3A8F">
        <w:rPr>
          <w:rFonts w:cs="Arial"/>
          <w:sz w:val="24"/>
          <w:szCs w:val="24"/>
          <w:lang w:val="en-US"/>
        </w:rPr>
        <w:t xml:space="preserve"> fruitful </w:t>
      </w:r>
      <w:r w:rsidR="00F5349C" w:rsidRPr="00DC3A8F">
        <w:rPr>
          <w:rFonts w:cs="Arial"/>
          <w:sz w:val="24"/>
          <w:szCs w:val="24"/>
          <w:lang w:val="en-US"/>
        </w:rPr>
        <w:t>discussion</w:t>
      </w:r>
      <w:r w:rsidR="003769E6" w:rsidRPr="00DC3A8F">
        <w:rPr>
          <w:rFonts w:cs="Arial"/>
          <w:sz w:val="24"/>
          <w:szCs w:val="24"/>
          <w:lang w:val="en-US"/>
        </w:rPr>
        <w:t xml:space="preserve"> of</w:t>
      </w:r>
      <w:r w:rsidR="006318C2" w:rsidRPr="00DC3A8F">
        <w:rPr>
          <w:rFonts w:cs="Arial"/>
          <w:sz w:val="24"/>
          <w:szCs w:val="24"/>
          <w:lang w:val="en-US"/>
        </w:rPr>
        <w:t xml:space="preserve"> </w:t>
      </w:r>
      <w:r w:rsidR="00EE6B77" w:rsidRPr="00DC3A8F">
        <w:rPr>
          <w:rFonts w:cs="Arial"/>
          <w:sz w:val="24"/>
          <w:szCs w:val="24"/>
          <w:lang w:val="en-US"/>
        </w:rPr>
        <w:t>micro</w:t>
      </w:r>
      <w:r w:rsidR="00DE1CF6" w:rsidRPr="00DC3A8F">
        <w:rPr>
          <w:rFonts w:cs="Arial"/>
          <w:sz w:val="24"/>
          <w:szCs w:val="24"/>
          <w:lang w:val="en-US"/>
        </w:rPr>
        <w:t xml:space="preserve"> decision</w:t>
      </w:r>
      <w:r w:rsidR="00562EB5" w:rsidRPr="00DC3A8F">
        <w:rPr>
          <w:rFonts w:cs="Arial"/>
          <w:sz w:val="24"/>
          <w:szCs w:val="24"/>
          <w:lang w:val="en-US"/>
        </w:rPr>
        <w:t>-</w:t>
      </w:r>
      <w:r w:rsidR="00DE1CF6" w:rsidRPr="00DC3A8F">
        <w:rPr>
          <w:rFonts w:cs="Arial"/>
          <w:sz w:val="24"/>
          <w:szCs w:val="24"/>
          <w:lang w:val="en-US"/>
        </w:rPr>
        <w:t>making processes</w:t>
      </w:r>
      <w:r w:rsidR="006318C2" w:rsidRPr="00DC3A8F">
        <w:rPr>
          <w:rFonts w:cs="Arial"/>
          <w:sz w:val="24"/>
          <w:szCs w:val="24"/>
          <w:lang w:val="en-US"/>
        </w:rPr>
        <w:t>,</w:t>
      </w:r>
      <w:r w:rsidR="00F5349C" w:rsidRPr="00DC3A8F">
        <w:rPr>
          <w:rFonts w:cs="Arial"/>
          <w:lang w:val="en-US"/>
        </w:rPr>
        <w:t xml:space="preserve"> </w:t>
      </w:r>
      <w:r w:rsidR="00F5349C" w:rsidRPr="00DC3A8F">
        <w:rPr>
          <w:rFonts w:cs="Arial"/>
          <w:sz w:val="24"/>
          <w:szCs w:val="24"/>
          <w:lang w:val="en-US"/>
        </w:rPr>
        <w:t xml:space="preserve">but has tended to do so </w:t>
      </w:r>
      <w:r w:rsidR="00B3516C" w:rsidRPr="00DC3A8F">
        <w:rPr>
          <w:rFonts w:cs="Arial"/>
          <w:bCs/>
          <w:iCs/>
          <w:sz w:val="24"/>
          <w:szCs w:val="24"/>
          <w:lang w:val="en-US"/>
        </w:rPr>
        <w:t xml:space="preserve">around the axiom that delinquency is </w:t>
      </w:r>
      <w:r w:rsidR="00B3516C" w:rsidRPr="0099433B">
        <w:rPr>
          <w:rFonts w:cs="Arial"/>
          <w:bCs/>
          <w:iCs/>
          <w:sz w:val="24"/>
          <w:szCs w:val="24"/>
          <w:lang w:val="en-US"/>
        </w:rPr>
        <w:t xml:space="preserve">willed </w:t>
      </w:r>
      <w:r w:rsidR="003769E6" w:rsidRPr="0099433B">
        <w:rPr>
          <w:rFonts w:cs="Arial"/>
          <w:bCs/>
          <w:iCs/>
          <w:sz w:val="24"/>
          <w:szCs w:val="24"/>
          <w:lang w:val="en-US"/>
        </w:rPr>
        <w:t>behavio</w:t>
      </w:r>
      <w:r w:rsidR="008037AF" w:rsidRPr="0099433B">
        <w:rPr>
          <w:rFonts w:cs="Arial"/>
          <w:bCs/>
          <w:iCs/>
          <w:sz w:val="24"/>
          <w:szCs w:val="24"/>
          <w:lang w:val="en-US"/>
        </w:rPr>
        <w:t>u</w:t>
      </w:r>
      <w:r w:rsidR="003769E6" w:rsidRPr="0099433B">
        <w:rPr>
          <w:rFonts w:cs="Arial"/>
          <w:bCs/>
          <w:iCs/>
          <w:sz w:val="24"/>
          <w:szCs w:val="24"/>
          <w:lang w:val="en-US"/>
        </w:rPr>
        <w:t>r</w:t>
      </w:r>
      <w:r w:rsidR="00B3516C" w:rsidRPr="00DC3A8F">
        <w:rPr>
          <w:rFonts w:cs="Arial"/>
          <w:bCs/>
          <w:iCs/>
          <w:sz w:val="24"/>
          <w:szCs w:val="24"/>
          <w:lang w:val="en-US"/>
        </w:rPr>
        <w:t xml:space="preserve"> and subject to a sharp diminution with the onset of adulthood (</w:t>
      </w:r>
      <w:r w:rsidR="008037AF" w:rsidRPr="00DC3A8F">
        <w:rPr>
          <w:rFonts w:cs="Arial"/>
          <w:bCs/>
          <w:iCs/>
          <w:sz w:val="24"/>
          <w:szCs w:val="24"/>
          <w:lang w:val="en-US"/>
        </w:rPr>
        <w:t xml:space="preserve">our emphasis </w:t>
      </w:r>
      <w:r w:rsidR="00B3516C" w:rsidRPr="00DC3A8F">
        <w:rPr>
          <w:rFonts w:cs="Arial"/>
          <w:bCs/>
          <w:iCs/>
          <w:sz w:val="24"/>
          <w:szCs w:val="24"/>
          <w:lang w:val="en-US"/>
        </w:rPr>
        <w:t>Downes and Rock,</w:t>
      </w:r>
      <w:r w:rsidR="000701BC" w:rsidRPr="00DC3A8F">
        <w:rPr>
          <w:rFonts w:cs="Arial"/>
          <w:bCs/>
          <w:iCs/>
          <w:sz w:val="24"/>
          <w:szCs w:val="24"/>
          <w:lang w:val="en-US"/>
        </w:rPr>
        <w:t xml:space="preserve"> 2003: 148)</w:t>
      </w:r>
      <w:r w:rsidR="001765F2" w:rsidRPr="00DC3A8F">
        <w:rPr>
          <w:rFonts w:cs="Arial"/>
          <w:bCs/>
          <w:iCs/>
          <w:sz w:val="24"/>
          <w:szCs w:val="24"/>
          <w:lang w:val="en-US"/>
        </w:rPr>
        <w:t xml:space="preserve">. </w:t>
      </w:r>
      <w:r w:rsidR="004D09DC" w:rsidRPr="00DC3A8F">
        <w:rPr>
          <w:rFonts w:cs="Arial"/>
          <w:bCs/>
          <w:iCs/>
          <w:sz w:val="24"/>
          <w:szCs w:val="24"/>
          <w:lang w:val="en-US"/>
        </w:rPr>
        <w:t xml:space="preserve">In this paper, </w:t>
      </w:r>
      <w:r w:rsidR="00732ABF" w:rsidRPr="00DC3A8F">
        <w:rPr>
          <w:rFonts w:cs="Arial"/>
          <w:bCs/>
          <w:iCs/>
          <w:sz w:val="24"/>
          <w:szCs w:val="24"/>
          <w:lang w:val="en-US"/>
        </w:rPr>
        <w:t>in understanding the journey from drug use into social supply</w:t>
      </w:r>
      <w:r w:rsidR="003C3973">
        <w:rPr>
          <w:rFonts w:cs="Arial"/>
          <w:bCs/>
          <w:iCs/>
          <w:sz w:val="24"/>
          <w:szCs w:val="24"/>
          <w:lang w:val="en-US"/>
        </w:rPr>
        <w:t>,</w:t>
      </w:r>
      <w:r w:rsidR="00732ABF" w:rsidRPr="00DC3A8F">
        <w:rPr>
          <w:rFonts w:cs="Arial"/>
          <w:bCs/>
          <w:iCs/>
          <w:sz w:val="24"/>
          <w:szCs w:val="24"/>
          <w:lang w:val="en-US"/>
        </w:rPr>
        <w:t xml:space="preserve"> </w:t>
      </w:r>
      <w:r w:rsidR="004D09DC" w:rsidRPr="00DC3A8F">
        <w:rPr>
          <w:rFonts w:cs="Arial"/>
          <w:bCs/>
          <w:iCs/>
          <w:sz w:val="24"/>
          <w:szCs w:val="24"/>
          <w:lang w:val="en-US"/>
        </w:rPr>
        <w:t xml:space="preserve">we emphasise the </w:t>
      </w:r>
      <w:r w:rsidR="000F41B4" w:rsidRPr="00DC3A8F">
        <w:rPr>
          <w:rFonts w:cs="Arial"/>
          <w:sz w:val="24"/>
          <w:szCs w:val="24"/>
          <w:lang w:eastAsia="en-GB"/>
        </w:rPr>
        <w:t>importance of the particular setting or background as a d</w:t>
      </w:r>
      <w:r w:rsidR="001D18EB" w:rsidRPr="00DC3A8F">
        <w:rPr>
          <w:rFonts w:cs="Arial"/>
          <w:sz w:val="24"/>
          <w:szCs w:val="24"/>
          <w:lang w:eastAsia="en-GB"/>
        </w:rPr>
        <w:t>istinct structural or cultural ‘environment</w:t>
      </w:r>
      <w:r w:rsidR="000F41B4" w:rsidRPr="00DC3A8F">
        <w:rPr>
          <w:rFonts w:cs="Arial"/>
          <w:sz w:val="24"/>
          <w:szCs w:val="24"/>
          <w:lang w:eastAsia="en-GB"/>
        </w:rPr>
        <w:t>’ that frames and situates human behaviour</w:t>
      </w:r>
      <w:r w:rsidR="004D09DC" w:rsidRPr="00DC3A8F">
        <w:rPr>
          <w:rFonts w:cs="Arial"/>
          <w:sz w:val="24"/>
          <w:szCs w:val="24"/>
          <w:lang w:eastAsia="en-GB"/>
        </w:rPr>
        <w:t xml:space="preserve"> (Duff</w:t>
      </w:r>
      <w:r w:rsidR="001861AC">
        <w:rPr>
          <w:rFonts w:cs="Arial"/>
          <w:sz w:val="24"/>
          <w:szCs w:val="24"/>
          <w:lang w:eastAsia="en-GB"/>
        </w:rPr>
        <w:t>,</w:t>
      </w:r>
      <w:r w:rsidR="004D09DC" w:rsidRPr="00DC3A8F">
        <w:rPr>
          <w:rFonts w:cs="Arial"/>
          <w:sz w:val="24"/>
          <w:szCs w:val="24"/>
          <w:lang w:eastAsia="en-GB"/>
        </w:rPr>
        <w:t xml:space="preserve"> 2007; 2011)</w:t>
      </w:r>
      <w:r w:rsidR="001765F2" w:rsidRPr="00DC3A8F">
        <w:rPr>
          <w:rFonts w:cs="Arial"/>
          <w:sz w:val="24"/>
          <w:szCs w:val="24"/>
          <w:lang w:eastAsia="en-GB"/>
        </w:rPr>
        <w:t>.</w:t>
      </w:r>
      <w:r w:rsidR="003C3973">
        <w:rPr>
          <w:rFonts w:cs="Arial"/>
          <w:sz w:val="24"/>
          <w:szCs w:val="24"/>
          <w:lang w:eastAsia="en-GB"/>
        </w:rPr>
        <w:t xml:space="preserve"> P</w:t>
      </w:r>
      <w:r w:rsidR="00FB0AEF" w:rsidRPr="00DC3A8F">
        <w:rPr>
          <w:rFonts w:cs="Arial"/>
          <w:sz w:val="24"/>
          <w:szCs w:val="24"/>
          <w:lang w:eastAsia="en-GB"/>
        </w:rPr>
        <w:t>resent</w:t>
      </w:r>
      <w:r w:rsidR="003C3973">
        <w:rPr>
          <w:rFonts w:cs="Arial"/>
          <w:sz w:val="24"/>
          <w:szCs w:val="24"/>
          <w:lang w:eastAsia="en-GB"/>
        </w:rPr>
        <w:t>ing</w:t>
      </w:r>
      <w:r w:rsidR="000546C6" w:rsidRPr="00DC3A8F">
        <w:rPr>
          <w:rFonts w:cs="Arial"/>
          <w:sz w:val="24"/>
          <w:szCs w:val="24"/>
          <w:lang w:eastAsia="en-GB"/>
        </w:rPr>
        <w:t xml:space="preserve"> the university as a specific ‘risk environment’ (Rhodes</w:t>
      </w:r>
      <w:r w:rsidR="001861AC">
        <w:rPr>
          <w:rFonts w:cs="Arial"/>
          <w:sz w:val="24"/>
          <w:szCs w:val="24"/>
          <w:lang w:eastAsia="en-GB"/>
        </w:rPr>
        <w:t>,</w:t>
      </w:r>
      <w:r w:rsidR="000546C6" w:rsidRPr="00DC3A8F">
        <w:rPr>
          <w:rFonts w:cs="Arial"/>
          <w:sz w:val="24"/>
          <w:szCs w:val="24"/>
          <w:lang w:eastAsia="en-GB"/>
        </w:rPr>
        <w:t xml:space="preserve"> 2002)</w:t>
      </w:r>
      <w:r w:rsidR="00FB0AEF" w:rsidRPr="00DC3A8F">
        <w:rPr>
          <w:rFonts w:cs="Arial"/>
          <w:sz w:val="24"/>
          <w:szCs w:val="24"/>
          <w:lang w:eastAsia="en-GB"/>
        </w:rPr>
        <w:t>,</w:t>
      </w:r>
      <w:r w:rsidR="00E32AE4" w:rsidRPr="00DC3A8F">
        <w:rPr>
          <w:rFonts w:cs="Arial"/>
          <w:sz w:val="24"/>
          <w:szCs w:val="24"/>
          <w:lang w:eastAsia="en-GB"/>
        </w:rPr>
        <w:t xml:space="preserve"> </w:t>
      </w:r>
      <w:r w:rsidR="003C3973">
        <w:rPr>
          <w:rFonts w:cs="Arial"/>
          <w:sz w:val="24"/>
          <w:szCs w:val="24"/>
          <w:lang w:eastAsia="en-GB"/>
        </w:rPr>
        <w:t xml:space="preserve">we </w:t>
      </w:r>
      <w:r w:rsidR="003C3973">
        <w:rPr>
          <w:rFonts w:cs="Arial"/>
          <w:bCs/>
          <w:iCs/>
          <w:sz w:val="24"/>
          <w:szCs w:val="24"/>
          <w:lang w:val="en-US"/>
        </w:rPr>
        <w:t>explicate</w:t>
      </w:r>
      <w:r w:rsidR="001202DD" w:rsidRPr="00DC3A8F">
        <w:rPr>
          <w:rFonts w:cs="Arial"/>
          <w:bCs/>
          <w:iCs/>
          <w:sz w:val="24"/>
          <w:szCs w:val="24"/>
          <w:lang w:val="en-US"/>
        </w:rPr>
        <w:t xml:space="preserve"> </w:t>
      </w:r>
      <w:r w:rsidR="00EE6B77" w:rsidRPr="00DC3A8F">
        <w:rPr>
          <w:rFonts w:cs="Arial"/>
          <w:bCs/>
          <w:iCs/>
          <w:sz w:val="24"/>
          <w:szCs w:val="24"/>
          <w:lang w:val="en-US"/>
        </w:rPr>
        <w:t>the ways in which</w:t>
      </w:r>
      <w:r w:rsidR="00C55022" w:rsidRPr="00DC3A8F">
        <w:rPr>
          <w:rFonts w:cs="Arial"/>
          <w:bCs/>
          <w:iCs/>
          <w:sz w:val="24"/>
          <w:szCs w:val="24"/>
          <w:lang w:val="en-US"/>
        </w:rPr>
        <w:t xml:space="preserve"> </w:t>
      </w:r>
      <w:r w:rsidR="00936BDA" w:rsidRPr="00DC3A8F">
        <w:rPr>
          <w:rFonts w:cs="Arial"/>
          <w:bCs/>
          <w:iCs/>
          <w:sz w:val="24"/>
          <w:szCs w:val="24"/>
          <w:lang w:val="en-US"/>
        </w:rPr>
        <w:t>the experience</w:t>
      </w:r>
      <w:r w:rsidR="00A64CB3" w:rsidRPr="00DC3A8F">
        <w:rPr>
          <w:rFonts w:cs="Arial"/>
          <w:bCs/>
          <w:iCs/>
          <w:sz w:val="24"/>
          <w:szCs w:val="24"/>
          <w:lang w:val="en-US"/>
        </w:rPr>
        <w:t xml:space="preserve"> of </w:t>
      </w:r>
      <w:r w:rsidR="00A64CB3" w:rsidRPr="0056350A">
        <w:rPr>
          <w:rFonts w:cs="Arial"/>
          <w:bCs/>
          <w:i/>
          <w:iCs/>
          <w:sz w:val="24"/>
          <w:szCs w:val="24"/>
          <w:lang w:val="en-US"/>
        </w:rPr>
        <w:t>being</w:t>
      </w:r>
      <w:r w:rsidR="00A64CB3" w:rsidRPr="00DC3A8F">
        <w:rPr>
          <w:rFonts w:cs="Arial"/>
          <w:bCs/>
          <w:iCs/>
          <w:sz w:val="24"/>
          <w:szCs w:val="24"/>
          <w:lang w:val="en-US"/>
        </w:rPr>
        <w:t xml:space="preserve"> a student</w:t>
      </w:r>
      <w:r w:rsidR="00936BDA" w:rsidRPr="00DC3A8F">
        <w:rPr>
          <w:rFonts w:cs="Arial"/>
          <w:bCs/>
          <w:iCs/>
          <w:sz w:val="24"/>
          <w:szCs w:val="24"/>
          <w:lang w:val="en-US"/>
        </w:rPr>
        <w:t xml:space="preserve"> can</w:t>
      </w:r>
      <w:r w:rsidR="00CD3360">
        <w:rPr>
          <w:rFonts w:cs="Arial"/>
          <w:bCs/>
          <w:iCs/>
          <w:sz w:val="24"/>
          <w:szCs w:val="24"/>
          <w:lang w:val="en-US"/>
        </w:rPr>
        <w:t xml:space="preserve"> </w:t>
      </w:r>
      <w:r w:rsidR="00AE5888">
        <w:rPr>
          <w:rFonts w:cs="Arial"/>
          <w:bCs/>
          <w:iCs/>
          <w:sz w:val="24"/>
          <w:szCs w:val="24"/>
          <w:lang w:val="en-US"/>
        </w:rPr>
        <w:t xml:space="preserve">be </w:t>
      </w:r>
      <w:r w:rsidR="000840FD">
        <w:rPr>
          <w:rFonts w:cs="Arial"/>
          <w:bCs/>
          <w:iCs/>
          <w:sz w:val="24"/>
          <w:szCs w:val="24"/>
          <w:lang w:val="en-US"/>
        </w:rPr>
        <w:t>understood</w:t>
      </w:r>
      <w:r w:rsidR="00AE5888">
        <w:rPr>
          <w:rFonts w:cs="Arial"/>
          <w:bCs/>
          <w:iCs/>
          <w:sz w:val="24"/>
          <w:szCs w:val="24"/>
          <w:lang w:val="en-US"/>
        </w:rPr>
        <w:t xml:space="preserve"> as a meaningful stage in the life course and one that can w</w:t>
      </w:r>
      <w:r w:rsidR="00CD3360">
        <w:rPr>
          <w:rFonts w:cs="Arial"/>
          <w:bCs/>
          <w:iCs/>
          <w:sz w:val="24"/>
          <w:szCs w:val="24"/>
          <w:lang w:val="en-US"/>
        </w:rPr>
        <w:t xml:space="preserve">ork </w:t>
      </w:r>
      <w:r w:rsidR="007C1660">
        <w:rPr>
          <w:rFonts w:cs="Arial"/>
          <w:bCs/>
          <w:iCs/>
          <w:sz w:val="24"/>
          <w:szCs w:val="24"/>
          <w:lang w:val="en-US"/>
        </w:rPr>
        <w:t xml:space="preserve">to </w:t>
      </w:r>
      <w:r w:rsidR="007C1660" w:rsidRPr="00DC3A8F">
        <w:rPr>
          <w:rFonts w:cs="Arial"/>
          <w:bCs/>
          <w:iCs/>
          <w:sz w:val="24"/>
          <w:szCs w:val="24"/>
          <w:lang w:val="en-US"/>
        </w:rPr>
        <w:t>accelerate</w:t>
      </w:r>
      <w:r w:rsidR="00936BDA" w:rsidRPr="00DC3A8F">
        <w:rPr>
          <w:rFonts w:cs="Arial"/>
          <w:bCs/>
          <w:iCs/>
          <w:sz w:val="24"/>
          <w:szCs w:val="24"/>
          <w:lang w:val="en-US"/>
        </w:rPr>
        <w:t xml:space="preserve"> </w:t>
      </w:r>
      <w:r w:rsidR="00264A2E">
        <w:rPr>
          <w:rFonts w:cs="Arial"/>
          <w:bCs/>
          <w:iCs/>
          <w:sz w:val="24"/>
          <w:szCs w:val="24"/>
          <w:lang w:val="en-US"/>
        </w:rPr>
        <w:t>trajectories from drug experimentation</w:t>
      </w:r>
      <w:r w:rsidR="00AE5888">
        <w:rPr>
          <w:rFonts w:cs="Arial"/>
          <w:bCs/>
          <w:iCs/>
          <w:sz w:val="24"/>
          <w:szCs w:val="24"/>
          <w:lang w:val="en-US"/>
        </w:rPr>
        <w:t>, to more involved drug use, into</w:t>
      </w:r>
      <w:r w:rsidR="00265F2E" w:rsidRPr="00DC3A8F">
        <w:rPr>
          <w:rFonts w:cs="Arial"/>
          <w:bCs/>
          <w:iCs/>
          <w:sz w:val="24"/>
          <w:szCs w:val="24"/>
          <w:lang w:val="en-US"/>
        </w:rPr>
        <w:t xml:space="preserve"> social </w:t>
      </w:r>
      <w:r w:rsidR="00936BDA" w:rsidRPr="00DC3A8F">
        <w:rPr>
          <w:rFonts w:cs="Arial"/>
          <w:bCs/>
          <w:iCs/>
          <w:sz w:val="24"/>
          <w:szCs w:val="24"/>
          <w:lang w:val="en-US"/>
        </w:rPr>
        <w:t>supply.</w:t>
      </w:r>
      <w:r w:rsidR="00265F2E" w:rsidRPr="00DC3A8F">
        <w:rPr>
          <w:rFonts w:cs="Arial"/>
          <w:bCs/>
          <w:iCs/>
          <w:sz w:val="24"/>
          <w:szCs w:val="24"/>
          <w:lang w:val="en-US"/>
        </w:rPr>
        <w:t xml:space="preserve"> We </w:t>
      </w:r>
      <w:r w:rsidR="00E143DB" w:rsidRPr="00DC3A8F">
        <w:rPr>
          <w:rFonts w:cs="Arial"/>
          <w:bCs/>
          <w:iCs/>
          <w:sz w:val="24"/>
          <w:szCs w:val="24"/>
          <w:lang w:val="en-US"/>
        </w:rPr>
        <w:t xml:space="preserve">postulate </w:t>
      </w:r>
      <w:r w:rsidR="00265F2E" w:rsidRPr="00DC3A8F">
        <w:rPr>
          <w:rFonts w:cs="Arial"/>
          <w:bCs/>
          <w:iCs/>
          <w:sz w:val="24"/>
          <w:szCs w:val="24"/>
          <w:lang w:val="en-US"/>
        </w:rPr>
        <w:t>that while students exhibit evidence</w:t>
      </w:r>
      <w:r w:rsidR="006B5360" w:rsidRPr="00DC3A8F">
        <w:rPr>
          <w:rFonts w:cs="Arial"/>
          <w:bCs/>
          <w:iCs/>
          <w:sz w:val="24"/>
          <w:szCs w:val="24"/>
          <w:lang w:val="en-US"/>
        </w:rPr>
        <w:t xml:space="preserve"> of </w:t>
      </w:r>
      <w:r w:rsidR="00CE6E8D" w:rsidRPr="00DC3A8F">
        <w:rPr>
          <w:rFonts w:cs="Arial"/>
          <w:bCs/>
          <w:iCs/>
          <w:sz w:val="24"/>
          <w:szCs w:val="24"/>
          <w:lang w:val="en-US"/>
        </w:rPr>
        <w:t>‘</w:t>
      </w:r>
      <w:r w:rsidR="006B5360" w:rsidRPr="00DC3A8F">
        <w:rPr>
          <w:rFonts w:cs="Arial"/>
          <w:bCs/>
          <w:iCs/>
          <w:sz w:val="24"/>
          <w:szCs w:val="24"/>
          <w:lang w:val="en-US"/>
        </w:rPr>
        <w:t>drift</w:t>
      </w:r>
      <w:r w:rsidR="002012B4">
        <w:rPr>
          <w:rFonts w:cs="Arial"/>
          <w:bCs/>
          <w:iCs/>
          <w:sz w:val="24"/>
          <w:szCs w:val="24"/>
          <w:lang w:val="en-US"/>
        </w:rPr>
        <w:t>ing</w:t>
      </w:r>
      <w:r w:rsidR="00CE6E8D" w:rsidRPr="00DC3A8F">
        <w:rPr>
          <w:rFonts w:cs="Arial"/>
          <w:bCs/>
          <w:iCs/>
          <w:sz w:val="24"/>
          <w:szCs w:val="24"/>
          <w:lang w:val="en-US"/>
        </w:rPr>
        <w:t>’</w:t>
      </w:r>
      <w:r w:rsidR="002012B4">
        <w:rPr>
          <w:rFonts w:cs="Arial"/>
          <w:bCs/>
          <w:iCs/>
          <w:sz w:val="24"/>
          <w:szCs w:val="24"/>
          <w:lang w:val="en-US"/>
        </w:rPr>
        <w:t xml:space="preserve"> into social supply</w:t>
      </w:r>
      <w:r w:rsidR="00E143DB" w:rsidRPr="00DC3A8F">
        <w:rPr>
          <w:rFonts w:cs="Arial"/>
          <w:bCs/>
          <w:iCs/>
          <w:sz w:val="24"/>
          <w:szCs w:val="24"/>
          <w:lang w:val="en-US"/>
        </w:rPr>
        <w:t xml:space="preserve"> by virtue of managing their own drug use (</w:t>
      </w:r>
      <w:r w:rsidR="0057692B" w:rsidRPr="00DC3A8F">
        <w:rPr>
          <w:rFonts w:cs="Arial"/>
          <w:bCs/>
          <w:iCs/>
          <w:sz w:val="24"/>
          <w:szCs w:val="24"/>
          <w:lang w:val="en-US"/>
        </w:rPr>
        <w:t xml:space="preserve">see </w:t>
      </w:r>
      <w:r w:rsidR="00E143DB" w:rsidRPr="00DC3A8F">
        <w:rPr>
          <w:rFonts w:cs="Arial"/>
          <w:bCs/>
          <w:iCs/>
          <w:sz w:val="24"/>
          <w:szCs w:val="24"/>
          <w:lang w:val="en-US"/>
        </w:rPr>
        <w:t>Murphy et al., 1990</w:t>
      </w:r>
      <w:r w:rsidR="003E6B02" w:rsidRPr="00DC3A8F">
        <w:rPr>
          <w:rFonts w:cs="Arial"/>
          <w:bCs/>
          <w:iCs/>
          <w:sz w:val="24"/>
          <w:szCs w:val="24"/>
          <w:lang w:val="en-US"/>
        </w:rPr>
        <w:t xml:space="preserve">; </w:t>
      </w:r>
      <w:r w:rsidR="00341403" w:rsidRPr="00DC3A8F">
        <w:rPr>
          <w:rFonts w:cs="Arial"/>
          <w:bCs/>
          <w:iCs/>
          <w:sz w:val="24"/>
          <w:szCs w:val="24"/>
          <w:lang w:val="en-US"/>
        </w:rPr>
        <w:t>Taylor and Po</w:t>
      </w:r>
      <w:r w:rsidR="00D85899">
        <w:rPr>
          <w:rFonts w:cs="Arial"/>
          <w:bCs/>
          <w:iCs/>
          <w:sz w:val="24"/>
          <w:szCs w:val="24"/>
          <w:lang w:val="en-US"/>
        </w:rPr>
        <w:t>tter, 2013</w:t>
      </w:r>
      <w:r w:rsidR="00341403" w:rsidRPr="00DC3A8F">
        <w:rPr>
          <w:rFonts w:cs="Arial"/>
          <w:bCs/>
          <w:iCs/>
          <w:sz w:val="24"/>
          <w:szCs w:val="24"/>
          <w:lang w:val="en-US"/>
        </w:rPr>
        <w:t>)</w:t>
      </w:r>
      <w:r w:rsidR="00E143DB" w:rsidRPr="00DC3A8F">
        <w:rPr>
          <w:rFonts w:cs="Arial"/>
          <w:bCs/>
          <w:iCs/>
          <w:sz w:val="24"/>
          <w:szCs w:val="24"/>
          <w:lang w:val="en-US"/>
        </w:rPr>
        <w:t xml:space="preserve">, </w:t>
      </w:r>
      <w:r w:rsidR="00A64CB3" w:rsidRPr="00DC3A8F">
        <w:rPr>
          <w:rFonts w:cs="Arial"/>
          <w:bCs/>
          <w:iCs/>
          <w:sz w:val="24"/>
          <w:szCs w:val="24"/>
          <w:lang w:val="en-US"/>
        </w:rPr>
        <w:t xml:space="preserve">it is </w:t>
      </w:r>
      <w:r w:rsidR="00E143DB" w:rsidRPr="00DC3A8F">
        <w:rPr>
          <w:rFonts w:cs="Arial"/>
          <w:bCs/>
          <w:iCs/>
          <w:sz w:val="24"/>
          <w:szCs w:val="24"/>
          <w:lang w:val="en-US"/>
        </w:rPr>
        <w:t>the</w:t>
      </w:r>
      <w:r w:rsidR="000810C6" w:rsidRPr="00DC3A8F">
        <w:rPr>
          <w:rFonts w:cs="Arial"/>
          <w:bCs/>
          <w:iCs/>
          <w:sz w:val="24"/>
          <w:szCs w:val="24"/>
          <w:lang w:val="en-US"/>
        </w:rPr>
        <w:t xml:space="preserve"> interaction of </w:t>
      </w:r>
      <w:r w:rsidR="00AF3CC9" w:rsidRPr="00DC3A8F">
        <w:rPr>
          <w:rFonts w:cs="Arial"/>
          <w:bCs/>
          <w:iCs/>
          <w:sz w:val="24"/>
          <w:szCs w:val="24"/>
          <w:lang w:val="en-US"/>
        </w:rPr>
        <w:t xml:space="preserve">the </w:t>
      </w:r>
      <w:r w:rsidR="00E143DB" w:rsidRPr="00DC3A8F">
        <w:rPr>
          <w:rFonts w:cs="Arial"/>
          <w:bCs/>
          <w:iCs/>
          <w:sz w:val="24"/>
          <w:szCs w:val="24"/>
          <w:lang w:val="en-US"/>
        </w:rPr>
        <w:t xml:space="preserve">important </w:t>
      </w:r>
      <w:r w:rsidR="000810C6" w:rsidRPr="00DC3A8F">
        <w:rPr>
          <w:rFonts w:cs="Arial"/>
          <w:bCs/>
          <w:iCs/>
          <w:sz w:val="24"/>
          <w:szCs w:val="24"/>
          <w:lang w:val="en-US"/>
        </w:rPr>
        <w:t xml:space="preserve">structural </w:t>
      </w:r>
      <w:r w:rsidR="00E143DB" w:rsidRPr="00DC3A8F">
        <w:rPr>
          <w:rFonts w:cs="Arial"/>
          <w:bCs/>
          <w:iCs/>
          <w:sz w:val="24"/>
          <w:szCs w:val="24"/>
          <w:lang w:val="en-US"/>
        </w:rPr>
        <w:t xml:space="preserve">conditions of the university </w:t>
      </w:r>
      <w:r w:rsidR="00BC5D69" w:rsidRPr="00DC3A8F">
        <w:rPr>
          <w:rFonts w:cs="Arial"/>
          <w:bCs/>
          <w:iCs/>
          <w:sz w:val="24"/>
          <w:szCs w:val="24"/>
          <w:lang w:val="en-US"/>
        </w:rPr>
        <w:t xml:space="preserve">context </w:t>
      </w:r>
      <w:r w:rsidR="003769E6" w:rsidRPr="00DC3A8F">
        <w:rPr>
          <w:rFonts w:cs="Arial"/>
          <w:bCs/>
          <w:iCs/>
          <w:sz w:val="24"/>
          <w:szCs w:val="24"/>
          <w:lang w:val="en-US"/>
        </w:rPr>
        <w:t xml:space="preserve">that can </w:t>
      </w:r>
      <w:r w:rsidR="002C0D07" w:rsidRPr="00DC3A8F">
        <w:rPr>
          <w:rFonts w:cs="Arial"/>
          <w:bCs/>
          <w:iCs/>
          <w:sz w:val="24"/>
          <w:szCs w:val="24"/>
          <w:lang w:val="en-US"/>
        </w:rPr>
        <w:t>engender a</w:t>
      </w:r>
      <w:r w:rsidR="00E87798" w:rsidRPr="00DC3A8F">
        <w:rPr>
          <w:rFonts w:cs="Arial"/>
          <w:bCs/>
          <w:iCs/>
          <w:sz w:val="24"/>
          <w:szCs w:val="24"/>
          <w:lang w:val="en-US"/>
        </w:rPr>
        <w:t xml:space="preserve"> </w:t>
      </w:r>
      <w:r w:rsidR="00E32AE4" w:rsidRPr="00DC3A8F">
        <w:rPr>
          <w:rFonts w:cs="Arial"/>
          <w:bCs/>
          <w:iCs/>
          <w:sz w:val="24"/>
          <w:szCs w:val="24"/>
          <w:lang w:val="en-US"/>
        </w:rPr>
        <w:t>meaningful moment</w:t>
      </w:r>
      <w:r w:rsidR="00E87798" w:rsidRPr="00DC3A8F">
        <w:rPr>
          <w:rFonts w:cs="Arial"/>
          <w:bCs/>
          <w:iCs/>
          <w:sz w:val="24"/>
          <w:szCs w:val="24"/>
          <w:lang w:val="en-US"/>
        </w:rPr>
        <w:t xml:space="preserve"> </w:t>
      </w:r>
      <w:r w:rsidR="002C0D07" w:rsidRPr="005307B4">
        <w:rPr>
          <w:rFonts w:cs="Arial"/>
          <w:bCs/>
          <w:iCs/>
          <w:sz w:val="24"/>
          <w:szCs w:val="24"/>
          <w:lang w:val="en-US"/>
        </w:rPr>
        <w:t xml:space="preserve">or ‘turning point’ </w:t>
      </w:r>
      <w:r w:rsidR="00CE6E8D" w:rsidRPr="005307B4">
        <w:rPr>
          <w:rFonts w:cs="Arial"/>
          <w:bCs/>
          <w:iCs/>
          <w:sz w:val="24"/>
          <w:szCs w:val="24"/>
          <w:lang w:val="en-US"/>
        </w:rPr>
        <w:t>in the life</w:t>
      </w:r>
      <w:r w:rsidR="002D2806" w:rsidRPr="005307B4">
        <w:rPr>
          <w:rFonts w:cs="Arial"/>
          <w:bCs/>
          <w:iCs/>
          <w:sz w:val="24"/>
          <w:szCs w:val="24"/>
          <w:lang w:val="en-US"/>
        </w:rPr>
        <w:t>-</w:t>
      </w:r>
      <w:r w:rsidR="00CE6E8D" w:rsidRPr="005307B4">
        <w:rPr>
          <w:rFonts w:cs="Arial"/>
          <w:bCs/>
          <w:iCs/>
          <w:sz w:val="24"/>
          <w:szCs w:val="24"/>
          <w:lang w:val="en-US"/>
        </w:rPr>
        <w:t xml:space="preserve">course </w:t>
      </w:r>
      <w:r w:rsidR="00264A2E" w:rsidRPr="005307B4">
        <w:rPr>
          <w:rFonts w:cs="Arial"/>
          <w:bCs/>
          <w:iCs/>
          <w:sz w:val="24"/>
          <w:szCs w:val="24"/>
          <w:lang w:val="en-US"/>
        </w:rPr>
        <w:t xml:space="preserve">for movement into drug supply. </w:t>
      </w:r>
      <w:r w:rsidR="002C0D07" w:rsidRPr="005307B4">
        <w:rPr>
          <w:rFonts w:cs="Arial"/>
          <w:bCs/>
          <w:iCs/>
          <w:sz w:val="24"/>
          <w:szCs w:val="24"/>
          <w:lang w:val="en-US"/>
        </w:rPr>
        <w:t xml:space="preserve">With an </w:t>
      </w:r>
      <w:r w:rsidR="002C0D07" w:rsidRPr="001E29F5">
        <w:rPr>
          <w:rFonts w:cs="Arial"/>
          <w:bCs/>
          <w:iCs/>
          <w:sz w:val="24"/>
          <w:szCs w:val="24"/>
          <w:lang w:val="en-US"/>
        </w:rPr>
        <w:t xml:space="preserve">estimated </w:t>
      </w:r>
      <w:r w:rsidR="00142F61" w:rsidRPr="001E29F5">
        <w:rPr>
          <w:rFonts w:cs="Arial"/>
          <w:bCs/>
          <w:iCs/>
          <w:sz w:val="24"/>
          <w:szCs w:val="24"/>
          <w:lang w:val="en-US"/>
        </w:rPr>
        <w:t xml:space="preserve">2.28 </w:t>
      </w:r>
      <w:r w:rsidR="00294974" w:rsidRPr="001E29F5">
        <w:rPr>
          <w:rFonts w:cs="Arial"/>
          <w:bCs/>
          <w:iCs/>
          <w:sz w:val="24"/>
          <w:szCs w:val="24"/>
          <w:lang w:val="en-US"/>
        </w:rPr>
        <w:t xml:space="preserve">million </w:t>
      </w:r>
      <w:r w:rsidR="001E29F5">
        <w:rPr>
          <w:rFonts w:cs="Arial"/>
          <w:bCs/>
          <w:iCs/>
          <w:sz w:val="24"/>
          <w:szCs w:val="24"/>
          <w:lang w:val="en-US"/>
        </w:rPr>
        <w:t>students enrolled at</w:t>
      </w:r>
      <w:r w:rsidR="00142F61" w:rsidRPr="005307B4">
        <w:rPr>
          <w:rFonts w:cs="Arial"/>
          <w:bCs/>
          <w:iCs/>
          <w:sz w:val="24"/>
          <w:szCs w:val="24"/>
          <w:lang w:val="en-US"/>
        </w:rPr>
        <w:t xml:space="preserve"> UK Higher Education Institutions in 2015/16 (Universities UK, 2017), th</w:t>
      </w:r>
      <w:r w:rsidR="00BD4607" w:rsidRPr="005307B4">
        <w:rPr>
          <w:rFonts w:cs="Arial"/>
          <w:bCs/>
          <w:iCs/>
          <w:sz w:val="24"/>
          <w:szCs w:val="24"/>
          <w:lang w:val="en-US"/>
        </w:rPr>
        <w:t>e</w:t>
      </w:r>
      <w:r w:rsidR="009D4547" w:rsidRPr="005307B4">
        <w:rPr>
          <w:rFonts w:cs="Arial"/>
          <w:bCs/>
          <w:iCs/>
          <w:sz w:val="24"/>
          <w:szCs w:val="24"/>
          <w:lang w:val="en-US"/>
        </w:rPr>
        <w:t>se</w:t>
      </w:r>
      <w:r w:rsidR="00BD4607" w:rsidRPr="005307B4">
        <w:rPr>
          <w:rFonts w:cs="Arial"/>
          <w:bCs/>
          <w:iCs/>
          <w:sz w:val="24"/>
          <w:szCs w:val="24"/>
          <w:lang w:val="en-US"/>
        </w:rPr>
        <w:t xml:space="preserve"> findings </w:t>
      </w:r>
      <w:r w:rsidR="00294974" w:rsidRPr="005307B4">
        <w:rPr>
          <w:rFonts w:cs="Arial"/>
          <w:bCs/>
          <w:iCs/>
          <w:sz w:val="24"/>
          <w:szCs w:val="24"/>
          <w:lang w:val="en-US"/>
        </w:rPr>
        <w:t>not only</w:t>
      </w:r>
      <w:r w:rsidR="00BD4607" w:rsidRPr="005307B4">
        <w:rPr>
          <w:rFonts w:cs="Arial"/>
          <w:bCs/>
          <w:iCs/>
          <w:sz w:val="24"/>
          <w:szCs w:val="24"/>
          <w:lang w:val="en-US"/>
        </w:rPr>
        <w:t xml:space="preserve"> have</w:t>
      </w:r>
      <w:r w:rsidR="00294974" w:rsidRPr="005307B4">
        <w:rPr>
          <w:rFonts w:cs="Arial"/>
          <w:bCs/>
          <w:iCs/>
          <w:sz w:val="24"/>
          <w:szCs w:val="24"/>
          <w:lang w:val="en-US"/>
        </w:rPr>
        <w:t xml:space="preserve"> implications</w:t>
      </w:r>
      <w:r w:rsidR="003801FA" w:rsidRPr="005307B4">
        <w:rPr>
          <w:rFonts w:cs="Arial"/>
          <w:bCs/>
          <w:iCs/>
          <w:sz w:val="24"/>
          <w:szCs w:val="24"/>
          <w:lang w:val="en-US"/>
        </w:rPr>
        <w:t xml:space="preserve"> for</w:t>
      </w:r>
      <w:r w:rsidR="00C91D01" w:rsidRPr="005307B4">
        <w:rPr>
          <w:rFonts w:cs="Arial"/>
          <w:bCs/>
          <w:iCs/>
          <w:sz w:val="24"/>
          <w:szCs w:val="24"/>
          <w:lang w:val="en-US"/>
        </w:rPr>
        <w:t xml:space="preserve"> </w:t>
      </w:r>
      <w:r w:rsidR="00AE5888" w:rsidRPr="005307B4">
        <w:rPr>
          <w:rFonts w:cs="Arial"/>
          <w:bCs/>
          <w:iCs/>
          <w:sz w:val="24"/>
          <w:szCs w:val="24"/>
          <w:lang w:val="en-US"/>
        </w:rPr>
        <w:t xml:space="preserve">identifying </w:t>
      </w:r>
      <w:r w:rsidR="00264A2E" w:rsidRPr="005307B4">
        <w:rPr>
          <w:rFonts w:cs="Arial"/>
          <w:bCs/>
          <w:iCs/>
          <w:sz w:val="24"/>
          <w:szCs w:val="24"/>
          <w:lang w:val="en-US"/>
        </w:rPr>
        <w:t xml:space="preserve">an </w:t>
      </w:r>
      <w:r w:rsidR="00AE5888" w:rsidRPr="005307B4">
        <w:rPr>
          <w:rFonts w:cs="Arial"/>
          <w:bCs/>
          <w:iCs/>
          <w:sz w:val="24"/>
          <w:szCs w:val="24"/>
          <w:lang w:val="en-US"/>
        </w:rPr>
        <w:t>important</w:t>
      </w:r>
      <w:r w:rsidR="00264A2E" w:rsidRPr="005307B4">
        <w:rPr>
          <w:rFonts w:cs="Arial"/>
          <w:bCs/>
          <w:iCs/>
          <w:sz w:val="24"/>
          <w:szCs w:val="24"/>
          <w:lang w:val="en-US"/>
        </w:rPr>
        <w:t xml:space="preserve"> environment for drug related transitions</w:t>
      </w:r>
      <w:r w:rsidR="00141966" w:rsidRPr="005307B4">
        <w:rPr>
          <w:rFonts w:cs="Arial"/>
          <w:bCs/>
          <w:iCs/>
          <w:sz w:val="24"/>
          <w:szCs w:val="24"/>
          <w:lang w:val="en-US"/>
        </w:rPr>
        <w:t>,</w:t>
      </w:r>
      <w:r w:rsidR="00141966" w:rsidRPr="00DC3A8F">
        <w:rPr>
          <w:rFonts w:cs="Arial"/>
          <w:bCs/>
          <w:iCs/>
          <w:sz w:val="24"/>
          <w:szCs w:val="24"/>
          <w:lang w:val="en-US"/>
        </w:rPr>
        <w:t xml:space="preserve"> </w:t>
      </w:r>
      <w:r w:rsidR="000840FD">
        <w:rPr>
          <w:rFonts w:cs="Arial"/>
          <w:bCs/>
          <w:iCs/>
          <w:sz w:val="24"/>
          <w:szCs w:val="24"/>
          <w:lang w:val="en-US"/>
        </w:rPr>
        <w:t xml:space="preserve">they also </w:t>
      </w:r>
      <w:r w:rsidR="00141966" w:rsidRPr="00DC3A8F">
        <w:rPr>
          <w:rFonts w:cs="Arial"/>
          <w:bCs/>
          <w:iCs/>
          <w:sz w:val="24"/>
          <w:szCs w:val="24"/>
          <w:lang w:val="en-US"/>
        </w:rPr>
        <w:t>throw</w:t>
      </w:r>
      <w:r w:rsidR="00294974" w:rsidRPr="00DC3A8F">
        <w:rPr>
          <w:rFonts w:cs="Arial"/>
          <w:bCs/>
          <w:iCs/>
          <w:sz w:val="24"/>
          <w:szCs w:val="24"/>
          <w:lang w:val="en-US"/>
        </w:rPr>
        <w:t xml:space="preserve"> up questions </w:t>
      </w:r>
      <w:r w:rsidR="00CB7F36">
        <w:rPr>
          <w:rFonts w:cs="Arial"/>
          <w:bCs/>
          <w:iCs/>
          <w:sz w:val="24"/>
          <w:szCs w:val="24"/>
          <w:lang w:val="en-US"/>
        </w:rPr>
        <w:t xml:space="preserve">concerning </w:t>
      </w:r>
      <w:r w:rsidR="00294974" w:rsidRPr="00DC3A8F">
        <w:rPr>
          <w:rFonts w:cs="Arial"/>
          <w:bCs/>
          <w:iCs/>
          <w:sz w:val="24"/>
          <w:szCs w:val="24"/>
          <w:lang w:val="en-US"/>
        </w:rPr>
        <w:t xml:space="preserve">the suitability of current </w:t>
      </w:r>
      <w:r w:rsidR="00AE5888">
        <w:rPr>
          <w:rFonts w:cs="Arial"/>
          <w:bCs/>
          <w:iCs/>
          <w:sz w:val="24"/>
          <w:szCs w:val="24"/>
          <w:lang w:val="en-US"/>
        </w:rPr>
        <w:t xml:space="preserve">drug supply </w:t>
      </w:r>
      <w:r w:rsidR="00294974" w:rsidRPr="00DC3A8F">
        <w:rPr>
          <w:rFonts w:cs="Arial"/>
          <w:bCs/>
          <w:iCs/>
          <w:sz w:val="24"/>
          <w:szCs w:val="24"/>
          <w:lang w:val="en-US"/>
        </w:rPr>
        <w:t xml:space="preserve">sentencing frameworks, </w:t>
      </w:r>
      <w:r w:rsidR="00141966" w:rsidRPr="00DC3A8F">
        <w:rPr>
          <w:rFonts w:cs="Arial"/>
          <w:bCs/>
          <w:iCs/>
          <w:sz w:val="24"/>
          <w:szCs w:val="24"/>
          <w:lang w:val="en-US"/>
        </w:rPr>
        <w:t>which effectively</w:t>
      </w:r>
      <w:r w:rsidR="009D4547" w:rsidRPr="00DC3A8F">
        <w:rPr>
          <w:rFonts w:cs="Arial"/>
          <w:bCs/>
          <w:iCs/>
          <w:sz w:val="24"/>
          <w:szCs w:val="24"/>
          <w:lang w:val="en-US"/>
        </w:rPr>
        <w:t xml:space="preserve"> class</w:t>
      </w:r>
      <w:r w:rsidR="00CD22D1">
        <w:rPr>
          <w:rFonts w:cs="Arial"/>
          <w:bCs/>
          <w:iCs/>
          <w:sz w:val="24"/>
          <w:szCs w:val="24"/>
          <w:lang w:val="en-US"/>
        </w:rPr>
        <w:t xml:space="preserve"> the activity of many of these </w:t>
      </w:r>
      <w:r w:rsidR="007E18DA">
        <w:rPr>
          <w:rFonts w:cs="Arial"/>
          <w:bCs/>
          <w:iCs/>
          <w:sz w:val="24"/>
          <w:szCs w:val="24"/>
          <w:lang w:val="en-US"/>
        </w:rPr>
        <w:t xml:space="preserve">students </w:t>
      </w:r>
      <w:r w:rsidR="00141966" w:rsidRPr="00DC3A8F">
        <w:rPr>
          <w:rFonts w:cs="Arial"/>
          <w:bCs/>
          <w:iCs/>
          <w:sz w:val="24"/>
          <w:szCs w:val="24"/>
          <w:lang w:val="en-US"/>
        </w:rPr>
        <w:t xml:space="preserve">as </w:t>
      </w:r>
      <w:r w:rsidR="009D4547" w:rsidRPr="00DC3A8F">
        <w:rPr>
          <w:rFonts w:cs="Arial"/>
          <w:bCs/>
          <w:iCs/>
          <w:sz w:val="24"/>
          <w:szCs w:val="24"/>
          <w:lang w:val="en-US"/>
        </w:rPr>
        <w:t>‘</w:t>
      </w:r>
      <w:r w:rsidR="00EC110F">
        <w:rPr>
          <w:rFonts w:cs="Arial"/>
          <w:bCs/>
          <w:iCs/>
          <w:sz w:val="24"/>
          <w:szCs w:val="24"/>
          <w:lang w:val="en-US"/>
        </w:rPr>
        <w:t>drug dealing</w:t>
      </w:r>
      <w:r w:rsidR="009D4547" w:rsidRPr="00DC3A8F">
        <w:rPr>
          <w:rFonts w:cs="Arial"/>
          <w:bCs/>
          <w:iCs/>
          <w:sz w:val="24"/>
          <w:szCs w:val="24"/>
          <w:lang w:val="en-US"/>
        </w:rPr>
        <w:t>’</w:t>
      </w:r>
      <w:r w:rsidR="00141966" w:rsidRPr="00DC3A8F">
        <w:rPr>
          <w:rFonts w:cs="Arial"/>
          <w:bCs/>
          <w:iCs/>
          <w:sz w:val="24"/>
          <w:szCs w:val="24"/>
          <w:lang w:val="en-US"/>
        </w:rPr>
        <w:t>.</w:t>
      </w:r>
    </w:p>
    <w:p w14:paraId="4F1CF4DA" w14:textId="353B6767" w:rsidR="00ED0982" w:rsidRPr="00425CE9" w:rsidRDefault="002E79FB" w:rsidP="00730B7D">
      <w:pPr>
        <w:outlineLvl w:val="0"/>
        <w:rPr>
          <w:rFonts w:cs="Arial"/>
          <w:b/>
          <w:bCs/>
          <w:iCs/>
          <w:sz w:val="24"/>
          <w:szCs w:val="24"/>
        </w:rPr>
      </w:pPr>
      <w:r w:rsidRPr="00425CE9">
        <w:rPr>
          <w:rFonts w:cs="Arial"/>
          <w:b/>
          <w:bCs/>
          <w:iCs/>
          <w:sz w:val="24"/>
          <w:szCs w:val="24"/>
        </w:rPr>
        <w:lastRenderedPageBreak/>
        <w:t>Crime</w:t>
      </w:r>
      <w:r w:rsidR="00346AA0">
        <w:rPr>
          <w:rFonts w:cs="Arial"/>
          <w:b/>
          <w:bCs/>
          <w:iCs/>
          <w:sz w:val="24"/>
          <w:szCs w:val="24"/>
        </w:rPr>
        <w:t>, T</w:t>
      </w:r>
      <w:r w:rsidR="00A85FFB">
        <w:rPr>
          <w:rFonts w:cs="Arial"/>
          <w:b/>
          <w:bCs/>
          <w:iCs/>
          <w:sz w:val="24"/>
          <w:szCs w:val="24"/>
        </w:rPr>
        <w:t>ransitions</w:t>
      </w:r>
      <w:r w:rsidRPr="00425CE9">
        <w:rPr>
          <w:rFonts w:cs="Arial"/>
          <w:b/>
          <w:bCs/>
          <w:iCs/>
          <w:sz w:val="24"/>
          <w:szCs w:val="24"/>
        </w:rPr>
        <w:t xml:space="preserve"> and </w:t>
      </w:r>
      <w:r w:rsidR="00555190" w:rsidRPr="00425CE9">
        <w:rPr>
          <w:rFonts w:cs="Arial"/>
          <w:b/>
          <w:bCs/>
          <w:iCs/>
          <w:sz w:val="24"/>
          <w:szCs w:val="24"/>
        </w:rPr>
        <w:t>t</w:t>
      </w:r>
      <w:r w:rsidR="00BF72FF">
        <w:rPr>
          <w:rFonts w:cs="Arial"/>
          <w:b/>
          <w:bCs/>
          <w:iCs/>
          <w:sz w:val="24"/>
          <w:szCs w:val="24"/>
        </w:rPr>
        <w:t>he Life</w:t>
      </w:r>
      <w:r w:rsidR="002D2806">
        <w:rPr>
          <w:rFonts w:cs="Arial"/>
          <w:b/>
          <w:bCs/>
          <w:iCs/>
          <w:sz w:val="24"/>
          <w:szCs w:val="24"/>
        </w:rPr>
        <w:t>-C</w:t>
      </w:r>
      <w:r w:rsidR="003D059A" w:rsidRPr="00425CE9">
        <w:rPr>
          <w:rFonts w:cs="Arial"/>
          <w:b/>
          <w:bCs/>
          <w:iCs/>
          <w:sz w:val="24"/>
          <w:szCs w:val="24"/>
        </w:rPr>
        <w:t>ourse</w:t>
      </w:r>
    </w:p>
    <w:p w14:paraId="24EA1E79" w14:textId="2B000A3F" w:rsidR="001524A8" w:rsidRPr="003A2285" w:rsidRDefault="00932914" w:rsidP="003A2285">
      <w:pPr>
        <w:pStyle w:val="CommentText"/>
      </w:pPr>
      <w:r>
        <w:rPr>
          <w:rFonts w:cs="Arial"/>
          <w:sz w:val="24"/>
          <w:szCs w:val="24"/>
        </w:rPr>
        <w:t xml:space="preserve">In seeking to understand </w:t>
      </w:r>
      <w:r w:rsidR="00BD2FEA">
        <w:rPr>
          <w:rFonts w:cs="Arial"/>
          <w:sz w:val="24"/>
          <w:szCs w:val="24"/>
        </w:rPr>
        <w:t xml:space="preserve">patterns of continuity and change in offending behaviour, </w:t>
      </w:r>
      <w:r>
        <w:rPr>
          <w:rFonts w:cs="Arial"/>
          <w:sz w:val="24"/>
          <w:szCs w:val="24"/>
        </w:rPr>
        <w:t xml:space="preserve">developmental and </w:t>
      </w:r>
      <w:r w:rsidR="00B03975">
        <w:rPr>
          <w:rFonts w:cs="Arial"/>
          <w:sz w:val="24"/>
          <w:szCs w:val="24"/>
        </w:rPr>
        <w:t>life</w:t>
      </w:r>
      <w:r w:rsidR="002D2806">
        <w:rPr>
          <w:rFonts w:cs="Arial"/>
          <w:sz w:val="24"/>
          <w:szCs w:val="24"/>
        </w:rPr>
        <w:t>-</w:t>
      </w:r>
      <w:r w:rsidR="00B03975">
        <w:rPr>
          <w:rFonts w:cs="Arial"/>
          <w:sz w:val="24"/>
          <w:szCs w:val="24"/>
        </w:rPr>
        <w:t>course</w:t>
      </w:r>
      <w:r>
        <w:rPr>
          <w:rFonts w:cs="Arial"/>
          <w:sz w:val="24"/>
          <w:szCs w:val="24"/>
        </w:rPr>
        <w:t xml:space="preserve"> criminology</w:t>
      </w:r>
      <w:r w:rsidR="0057692B">
        <w:rPr>
          <w:rFonts w:cs="Arial"/>
          <w:sz w:val="24"/>
          <w:szCs w:val="24"/>
        </w:rPr>
        <w:t xml:space="preserve"> (DLC)</w:t>
      </w:r>
      <w:r w:rsidR="00E01E89">
        <w:rPr>
          <w:rFonts w:cs="Arial"/>
          <w:sz w:val="24"/>
          <w:szCs w:val="24"/>
        </w:rPr>
        <w:t xml:space="preserve"> locate how changes to the indiv</w:t>
      </w:r>
      <w:r w:rsidR="00957F82">
        <w:rPr>
          <w:rFonts w:cs="Arial"/>
          <w:sz w:val="24"/>
          <w:szCs w:val="24"/>
        </w:rPr>
        <w:t xml:space="preserve">iduals </w:t>
      </w:r>
      <w:r w:rsidR="009B180B">
        <w:rPr>
          <w:rFonts w:cs="Arial"/>
          <w:sz w:val="24"/>
          <w:szCs w:val="24"/>
        </w:rPr>
        <w:t>and their life</w:t>
      </w:r>
      <w:r w:rsidR="00E01E89">
        <w:rPr>
          <w:rFonts w:cs="Arial"/>
          <w:sz w:val="24"/>
          <w:szCs w:val="24"/>
        </w:rPr>
        <w:t xml:space="preserve"> circumstances can affect onset and d</w:t>
      </w:r>
      <w:r w:rsidR="00DE1CF6">
        <w:rPr>
          <w:rFonts w:cs="Arial"/>
          <w:sz w:val="24"/>
          <w:szCs w:val="24"/>
        </w:rPr>
        <w:t>esistence from criminality (Fran</w:t>
      </w:r>
      <w:r w:rsidR="00E01E89">
        <w:rPr>
          <w:rFonts w:cs="Arial"/>
          <w:sz w:val="24"/>
          <w:szCs w:val="24"/>
        </w:rPr>
        <w:t>ce and Homel, 2008).</w:t>
      </w:r>
      <w:r>
        <w:rPr>
          <w:rFonts w:cs="Arial"/>
          <w:sz w:val="24"/>
          <w:szCs w:val="24"/>
        </w:rPr>
        <w:t xml:space="preserve"> </w:t>
      </w:r>
      <w:r w:rsidR="003A2285" w:rsidRPr="00425CE9">
        <w:rPr>
          <w:rFonts w:cs="Arial"/>
          <w:sz w:val="24"/>
          <w:szCs w:val="24"/>
        </w:rPr>
        <w:t>Gaining prominence in the 1980’s (Blumstein et al 1986)</w:t>
      </w:r>
      <w:r w:rsidR="003A2285">
        <w:rPr>
          <w:rFonts w:cs="Arial"/>
          <w:sz w:val="24"/>
          <w:szCs w:val="24"/>
        </w:rPr>
        <w:t xml:space="preserve">, </w:t>
      </w:r>
      <w:r w:rsidR="003A2285" w:rsidRPr="00425CE9">
        <w:rPr>
          <w:rFonts w:cs="Arial"/>
          <w:sz w:val="24"/>
          <w:szCs w:val="24"/>
        </w:rPr>
        <w:t>both developmental and life course criminology</w:t>
      </w:r>
      <w:r w:rsidR="003A2285">
        <w:rPr>
          <w:rFonts w:cs="Arial"/>
          <w:sz w:val="24"/>
          <w:szCs w:val="24"/>
        </w:rPr>
        <w:t xml:space="preserve"> (DLC)</w:t>
      </w:r>
      <w:r w:rsidR="003A2285" w:rsidRPr="00425CE9">
        <w:rPr>
          <w:rFonts w:cs="Arial"/>
          <w:sz w:val="24"/>
          <w:szCs w:val="24"/>
        </w:rPr>
        <w:t xml:space="preserve"> emerged as a response to a largely atheore</w:t>
      </w:r>
      <w:r w:rsidR="00D85899">
        <w:rPr>
          <w:rFonts w:cs="Arial"/>
          <w:sz w:val="24"/>
          <w:szCs w:val="24"/>
        </w:rPr>
        <w:t xml:space="preserve">tical criminal career paradigm, </w:t>
      </w:r>
      <w:r w:rsidR="003A2285" w:rsidRPr="00425CE9">
        <w:rPr>
          <w:rFonts w:cs="Arial"/>
          <w:sz w:val="24"/>
          <w:szCs w:val="24"/>
        </w:rPr>
        <w:t>attempting to</w:t>
      </w:r>
      <w:r w:rsidR="003A2285">
        <w:rPr>
          <w:rFonts w:cs="Arial"/>
          <w:sz w:val="24"/>
          <w:szCs w:val="24"/>
        </w:rPr>
        <w:t xml:space="preserve"> provide</w:t>
      </w:r>
      <w:r w:rsidR="003A2285" w:rsidRPr="00425CE9">
        <w:rPr>
          <w:rFonts w:cs="Arial"/>
          <w:sz w:val="24"/>
          <w:szCs w:val="24"/>
        </w:rPr>
        <w:t xml:space="preserve"> conceptual grounding through observing individual changes in delinquency over time</w:t>
      </w:r>
      <w:r w:rsidR="003A2285">
        <w:rPr>
          <w:rFonts w:cs="Arial"/>
          <w:sz w:val="24"/>
          <w:szCs w:val="24"/>
        </w:rPr>
        <w:t xml:space="preserve"> </w:t>
      </w:r>
      <w:r w:rsidR="00D85899">
        <w:rPr>
          <w:rFonts w:cs="Arial"/>
          <w:sz w:val="24"/>
          <w:szCs w:val="24"/>
        </w:rPr>
        <w:t>(Farrington 2003</w:t>
      </w:r>
      <w:r w:rsidR="003A2285" w:rsidRPr="00425CE9">
        <w:rPr>
          <w:rFonts w:cs="Arial"/>
          <w:sz w:val="24"/>
          <w:szCs w:val="24"/>
        </w:rPr>
        <w:t>).</w:t>
      </w:r>
      <w:r w:rsidR="003A2285">
        <w:rPr>
          <w:rFonts w:cs="Arial"/>
          <w:sz w:val="24"/>
          <w:szCs w:val="24"/>
        </w:rPr>
        <w:t xml:space="preserve"> </w:t>
      </w:r>
      <w:r w:rsidR="0057692B">
        <w:rPr>
          <w:rFonts w:cs="Arial"/>
          <w:sz w:val="24"/>
          <w:szCs w:val="24"/>
          <w:lang w:eastAsia="en-GB"/>
        </w:rPr>
        <w:t>General findings from DLC</w:t>
      </w:r>
      <w:r w:rsidR="008204A9" w:rsidRPr="00425CE9">
        <w:rPr>
          <w:rFonts w:cs="Arial"/>
          <w:sz w:val="24"/>
          <w:szCs w:val="24"/>
          <w:lang w:eastAsia="en-GB"/>
        </w:rPr>
        <w:t xml:space="preserve"> analysis of crime </w:t>
      </w:r>
      <w:r w:rsidR="002D2806">
        <w:rPr>
          <w:rFonts w:cs="Arial"/>
          <w:sz w:val="24"/>
          <w:szCs w:val="24"/>
          <w:lang w:eastAsia="en-GB"/>
        </w:rPr>
        <w:t>through the life-</w:t>
      </w:r>
      <w:r w:rsidR="008204A9" w:rsidRPr="00425CE9">
        <w:rPr>
          <w:rFonts w:cs="Arial"/>
          <w:sz w:val="24"/>
          <w:szCs w:val="24"/>
          <w:lang w:eastAsia="en-GB"/>
        </w:rPr>
        <w:t>course ha</w:t>
      </w:r>
      <w:r w:rsidR="00637970" w:rsidRPr="00425CE9">
        <w:rPr>
          <w:rFonts w:cs="Arial"/>
          <w:sz w:val="24"/>
          <w:szCs w:val="24"/>
          <w:lang w:eastAsia="en-GB"/>
        </w:rPr>
        <w:t xml:space="preserve">ve popularly seen </w:t>
      </w:r>
      <w:r w:rsidR="00BF4D08" w:rsidRPr="00425CE9">
        <w:rPr>
          <w:rFonts w:cs="Arial"/>
          <w:sz w:val="24"/>
          <w:szCs w:val="24"/>
          <w:lang w:eastAsia="en-GB"/>
        </w:rPr>
        <w:t>individual crime rates</w:t>
      </w:r>
      <w:r w:rsidR="005D6EDD" w:rsidRPr="00425CE9">
        <w:rPr>
          <w:rFonts w:cs="Arial"/>
          <w:sz w:val="24"/>
          <w:szCs w:val="24"/>
          <w:lang w:eastAsia="en-GB"/>
        </w:rPr>
        <w:t xml:space="preserve"> increase</w:t>
      </w:r>
      <w:r w:rsidR="009870C9" w:rsidRPr="00425CE9">
        <w:rPr>
          <w:rFonts w:cs="Arial"/>
          <w:sz w:val="24"/>
          <w:szCs w:val="24"/>
          <w:lang w:eastAsia="en-GB"/>
        </w:rPr>
        <w:t xml:space="preserve"> rapidly in early</w:t>
      </w:r>
      <w:r w:rsidR="005D6EDD" w:rsidRPr="00425CE9">
        <w:rPr>
          <w:rFonts w:cs="Arial"/>
          <w:sz w:val="24"/>
          <w:szCs w:val="24"/>
          <w:lang w:eastAsia="en-GB"/>
        </w:rPr>
        <w:t xml:space="preserve"> adolescence </w:t>
      </w:r>
      <w:r w:rsidR="009870C9" w:rsidRPr="00425CE9">
        <w:rPr>
          <w:rFonts w:cs="Arial"/>
          <w:sz w:val="24"/>
          <w:szCs w:val="24"/>
          <w:lang w:eastAsia="en-GB"/>
        </w:rPr>
        <w:t>(Moffitt 1997)</w:t>
      </w:r>
      <w:r w:rsidR="00637970" w:rsidRPr="00425CE9">
        <w:rPr>
          <w:rFonts w:cs="Arial"/>
          <w:sz w:val="24"/>
          <w:szCs w:val="24"/>
          <w:lang w:eastAsia="en-GB"/>
        </w:rPr>
        <w:t xml:space="preserve"> </w:t>
      </w:r>
      <w:r w:rsidR="009630C8" w:rsidRPr="00425CE9">
        <w:rPr>
          <w:rFonts w:cs="Arial"/>
          <w:sz w:val="24"/>
          <w:szCs w:val="24"/>
          <w:lang w:eastAsia="en-GB"/>
        </w:rPr>
        <w:t>whilst declining from the age of 25</w:t>
      </w:r>
      <w:r w:rsidR="00735E28" w:rsidRPr="00425CE9">
        <w:rPr>
          <w:rFonts w:cs="Arial"/>
          <w:sz w:val="24"/>
          <w:szCs w:val="24"/>
          <w:lang w:eastAsia="en-GB"/>
        </w:rPr>
        <w:t xml:space="preserve"> and continuing to fall indefinitely into old age (Farrington</w:t>
      </w:r>
      <w:r w:rsidR="00DF6063">
        <w:rPr>
          <w:rFonts w:cs="Arial"/>
          <w:sz w:val="24"/>
          <w:szCs w:val="24"/>
          <w:lang w:eastAsia="en-GB"/>
        </w:rPr>
        <w:t>,</w:t>
      </w:r>
      <w:r w:rsidR="003A1CA2">
        <w:rPr>
          <w:rFonts w:cs="Arial"/>
          <w:sz w:val="24"/>
          <w:szCs w:val="24"/>
          <w:lang w:eastAsia="en-GB"/>
        </w:rPr>
        <w:t xml:space="preserve"> 2003</w:t>
      </w:r>
      <w:r w:rsidR="00735E28" w:rsidRPr="00425CE9">
        <w:rPr>
          <w:rFonts w:cs="Arial"/>
          <w:sz w:val="24"/>
          <w:szCs w:val="24"/>
          <w:lang w:eastAsia="en-GB"/>
        </w:rPr>
        <w:t xml:space="preserve">). </w:t>
      </w:r>
      <w:r w:rsidR="005D6EDD" w:rsidRPr="00425CE9">
        <w:rPr>
          <w:rFonts w:cs="Arial"/>
          <w:sz w:val="24"/>
          <w:szCs w:val="24"/>
          <w:lang w:eastAsia="en-GB"/>
        </w:rPr>
        <w:t>Significantly, e</w:t>
      </w:r>
      <w:r w:rsidR="00735E28" w:rsidRPr="00425CE9">
        <w:rPr>
          <w:rFonts w:cs="Arial"/>
          <w:sz w:val="24"/>
          <w:szCs w:val="24"/>
          <w:lang w:eastAsia="en-GB"/>
        </w:rPr>
        <w:t>xplanations for</w:t>
      </w:r>
      <w:r w:rsidR="005D6EDD" w:rsidRPr="00425CE9">
        <w:rPr>
          <w:rFonts w:cs="Arial"/>
          <w:sz w:val="24"/>
          <w:szCs w:val="24"/>
          <w:lang w:eastAsia="en-GB"/>
        </w:rPr>
        <w:t xml:space="preserve"> such patterns have</w:t>
      </w:r>
      <w:r w:rsidR="00FE2423" w:rsidRPr="00425CE9">
        <w:rPr>
          <w:rFonts w:cs="Arial"/>
          <w:sz w:val="24"/>
          <w:szCs w:val="24"/>
          <w:lang w:eastAsia="en-GB"/>
        </w:rPr>
        <w:t xml:space="preserve"> drawn heavily on Hirschi’s (1969)</w:t>
      </w:r>
      <w:r w:rsidR="00404BC7" w:rsidRPr="00425CE9">
        <w:rPr>
          <w:rFonts w:cs="Arial"/>
          <w:sz w:val="24"/>
          <w:szCs w:val="24"/>
          <w:lang w:eastAsia="en-GB"/>
        </w:rPr>
        <w:t xml:space="preserve"> control theory and </w:t>
      </w:r>
      <w:r w:rsidR="00FE2423" w:rsidRPr="00425CE9">
        <w:rPr>
          <w:rFonts w:cs="Arial"/>
          <w:sz w:val="24"/>
          <w:szCs w:val="24"/>
          <w:lang w:eastAsia="en-GB"/>
        </w:rPr>
        <w:t>concepts of attachment, involvement and social bonds</w:t>
      </w:r>
      <w:r w:rsidR="00E1225A">
        <w:rPr>
          <w:rFonts w:cs="Arial"/>
          <w:sz w:val="24"/>
          <w:szCs w:val="24"/>
          <w:lang w:eastAsia="en-GB"/>
        </w:rPr>
        <w:t>,</w:t>
      </w:r>
      <w:r w:rsidR="00FE2423" w:rsidRPr="00425CE9">
        <w:rPr>
          <w:rFonts w:cs="Arial"/>
          <w:sz w:val="24"/>
          <w:szCs w:val="24"/>
          <w:lang w:eastAsia="en-GB"/>
        </w:rPr>
        <w:t xml:space="preserve"> postul</w:t>
      </w:r>
      <w:r w:rsidR="00CF13AF" w:rsidRPr="00425CE9">
        <w:rPr>
          <w:rFonts w:cs="Arial"/>
          <w:sz w:val="24"/>
          <w:szCs w:val="24"/>
          <w:lang w:eastAsia="en-GB"/>
        </w:rPr>
        <w:t>at</w:t>
      </w:r>
      <w:r w:rsidR="00FE2423" w:rsidRPr="00425CE9">
        <w:rPr>
          <w:rFonts w:cs="Arial"/>
          <w:sz w:val="24"/>
          <w:szCs w:val="24"/>
          <w:lang w:eastAsia="en-GB"/>
        </w:rPr>
        <w:t>ing</w:t>
      </w:r>
      <w:r w:rsidR="00033E93" w:rsidRPr="00425CE9">
        <w:rPr>
          <w:rFonts w:cs="Arial"/>
          <w:sz w:val="24"/>
          <w:szCs w:val="24"/>
          <w:lang w:eastAsia="en-GB"/>
        </w:rPr>
        <w:t xml:space="preserve"> a</w:t>
      </w:r>
      <w:r w:rsidR="00FE2423" w:rsidRPr="00425CE9">
        <w:rPr>
          <w:rFonts w:cs="Arial"/>
          <w:sz w:val="24"/>
          <w:szCs w:val="24"/>
          <w:lang w:eastAsia="en-GB"/>
        </w:rPr>
        <w:t xml:space="preserve"> reduction in deviance</w:t>
      </w:r>
      <w:r w:rsidR="005D6EDD" w:rsidRPr="00425CE9">
        <w:rPr>
          <w:rFonts w:cs="Arial"/>
          <w:sz w:val="24"/>
          <w:szCs w:val="24"/>
          <w:lang w:eastAsia="en-GB"/>
        </w:rPr>
        <w:t xml:space="preserve"> as resulting from age-graded social control (Laub and Sampson 1993)</w:t>
      </w:r>
      <w:r w:rsidR="00C3082B" w:rsidRPr="00425CE9">
        <w:rPr>
          <w:rFonts w:cs="Arial"/>
          <w:sz w:val="24"/>
          <w:szCs w:val="24"/>
          <w:lang w:eastAsia="en-GB"/>
        </w:rPr>
        <w:t>. Here,</w:t>
      </w:r>
      <w:r w:rsidR="005D6EDD" w:rsidRPr="00425CE9">
        <w:rPr>
          <w:rFonts w:cs="Arial"/>
          <w:sz w:val="24"/>
          <w:szCs w:val="24"/>
          <w:lang w:eastAsia="en-GB"/>
        </w:rPr>
        <w:t xml:space="preserve"> differing </w:t>
      </w:r>
      <w:r w:rsidR="002365E7" w:rsidRPr="00425CE9">
        <w:rPr>
          <w:rFonts w:cs="Arial"/>
          <w:sz w:val="24"/>
          <w:szCs w:val="24"/>
          <w:lang w:eastAsia="en-GB"/>
        </w:rPr>
        <w:t>structures</w:t>
      </w:r>
      <w:r w:rsidR="005D6EDD" w:rsidRPr="00425CE9">
        <w:rPr>
          <w:rFonts w:cs="Arial"/>
          <w:sz w:val="24"/>
          <w:szCs w:val="24"/>
          <w:lang w:eastAsia="en-GB"/>
        </w:rPr>
        <w:t xml:space="preserve"> </w:t>
      </w:r>
      <w:r w:rsidR="002365E7" w:rsidRPr="00425CE9">
        <w:rPr>
          <w:rFonts w:cs="Arial"/>
          <w:sz w:val="24"/>
          <w:szCs w:val="24"/>
          <w:lang w:eastAsia="en-GB"/>
        </w:rPr>
        <w:t xml:space="preserve">such as education, </w:t>
      </w:r>
      <w:r w:rsidR="00FE2423" w:rsidRPr="00425CE9">
        <w:rPr>
          <w:rFonts w:cs="Arial"/>
          <w:sz w:val="24"/>
          <w:szCs w:val="24"/>
          <w:lang w:eastAsia="en-GB"/>
        </w:rPr>
        <w:t>clas</w:t>
      </w:r>
      <w:r w:rsidR="00C80614">
        <w:rPr>
          <w:rFonts w:cs="Arial"/>
          <w:sz w:val="24"/>
          <w:szCs w:val="24"/>
          <w:lang w:eastAsia="en-GB"/>
        </w:rPr>
        <w:t>s and reciprocal relationships</w:t>
      </w:r>
      <w:r w:rsidR="00FE2423" w:rsidRPr="00425CE9">
        <w:rPr>
          <w:rFonts w:cs="Arial"/>
          <w:sz w:val="24"/>
          <w:szCs w:val="24"/>
          <w:lang w:eastAsia="en-GB"/>
        </w:rPr>
        <w:t>,</w:t>
      </w:r>
      <w:r w:rsidR="002365E7" w:rsidRPr="00425CE9">
        <w:rPr>
          <w:rFonts w:cs="Arial"/>
          <w:sz w:val="24"/>
          <w:szCs w:val="24"/>
          <w:lang w:eastAsia="en-GB"/>
        </w:rPr>
        <w:t xml:space="preserve"> </w:t>
      </w:r>
      <w:r w:rsidR="00FE2423" w:rsidRPr="00425CE9">
        <w:rPr>
          <w:rFonts w:cs="Arial"/>
          <w:sz w:val="24"/>
          <w:szCs w:val="24"/>
          <w:lang w:eastAsia="en-GB"/>
        </w:rPr>
        <w:t xml:space="preserve">as well as </w:t>
      </w:r>
      <w:r w:rsidR="00DE1CF6" w:rsidRPr="00425CE9">
        <w:rPr>
          <w:rFonts w:cs="Arial"/>
          <w:sz w:val="24"/>
          <w:szCs w:val="24"/>
          <w:lang w:eastAsia="en-GB"/>
        </w:rPr>
        <w:t>moves</w:t>
      </w:r>
      <w:r w:rsidR="00FE2423" w:rsidRPr="00425CE9">
        <w:rPr>
          <w:rFonts w:cs="Arial"/>
          <w:sz w:val="24"/>
          <w:szCs w:val="24"/>
          <w:lang w:eastAsia="en-GB"/>
        </w:rPr>
        <w:t xml:space="preserve"> into </w:t>
      </w:r>
      <w:r w:rsidR="002365E7" w:rsidRPr="00425CE9">
        <w:rPr>
          <w:rFonts w:cs="Arial"/>
          <w:sz w:val="24"/>
          <w:szCs w:val="24"/>
          <w:lang w:eastAsia="en-GB"/>
        </w:rPr>
        <w:t>marriage</w:t>
      </w:r>
      <w:r w:rsidR="00C739D7" w:rsidRPr="00425CE9">
        <w:rPr>
          <w:rFonts w:cs="Arial"/>
          <w:sz w:val="24"/>
          <w:szCs w:val="24"/>
          <w:lang w:eastAsia="en-GB"/>
        </w:rPr>
        <w:t xml:space="preserve"> (</w:t>
      </w:r>
      <w:r w:rsidR="00BF4D08" w:rsidRPr="00425CE9">
        <w:rPr>
          <w:rFonts w:cs="Arial"/>
          <w:sz w:val="24"/>
          <w:szCs w:val="24"/>
          <w:lang w:eastAsia="en-GB"/>
        </w:rPr>
        <w:t xml:space="preserve">see </w:t>
      </w:r>
      <w:r w:rsidR="00C739D7" w:rsidRPr="00425CE9">
        <w:rPr>
          <w:rFonts w:cs="Arial"/>
          <w:sz w:val="24"/>
          <w:szCs w:val="24"/>
          <w:lang w:eastAsia="en-GB"/>
        </w:rPr>
        <w:t>King et al</w:t>
      </w:r>
      <w:r w:rsidR="00DF6063">
        <w:rPr>
          <w:rFonts w:cs="Arial"/>
          <w:sz w:val="24"/>
          <w:szCs w:val="24"/>
          <w:lang w:eastAsia="en-GB"/>
        </w:rPr>
        <w:t>.,</w:t>
      </w:r>
      <w:r w:rsidR="00C739D7" w:rsidRPr="00425CE9">
        <w:rPr>
          <w:rFonts w:cs="Arial"/>
          <w:sz w:val="24"/>
          <w:szCs w:val="24"/>
          <w:lang w:eastAsia="en-GB"/>
        </w:rPr>
        <w:t xml:space="preserve"> 2007)</w:t>
      </w:r>
      <w:r w:rsidR="002365E7" w:rsidRPr="00425CE9">
        <w:rPr>
          <w:rFonts w:cs="Arial"/>
          <w:sz w:val="24"/>
          <w:szCs w:val="24"/>
          <w:lang w:eastAsia="en-GB"/>
        </w:rPr>
        <w:t xml:space="preserve"> and parenting</w:t>
      </w:r>
      <w:r w:rsidR="00BF4D08" w:rsidRPr="00425CE9">
        <w:rPr>
          <w:rFonts w:cs="Arial"/>
          <w:sz w:val="24"/>
          <w:szCs w:val="24"/>
          <w:lang w:eastAsia="en-GB"/>
        </w:rPr>
        <w:t xml:space="preserve"> (Aldridge et al</w:t>
      </w:r>
      <w:r w:rsidR="000157EE">
        <w:rPr>
          <w:rFonts w:cs="Arial"/>
          <w:sz w:val="24"/>
          <w:szCs w:val="24"/>
          <w:lang w:eastAsia="en-GB"/>
        </w:rPr>
        <w:t>.</w:t>
      </w:r>
      <w:r w:rsidR="00BF4D08" w:rsidRPr="00425CE9">
        <w:rPr>
          <w:rFonts w:cs="Arial"/>
          <w:sz w:val="24"/>
          <w:szCs w:val="24"/>
          <w:lang w:eastAsia="en-GB"/>
        </w:rPr>
        <w:t xml:space="preserve"> 2011)</w:t>
      </w:r>
      <w:r w:rsidR="00C3082B" w:rsidRPr="00425CE9">
        <w:rPr>
          <w:rFonts w:cs="Arial"/>
          <w:sz w:val="24"/>
          <w:szCs w:val="24"/>
          <w:lang w:eastAsia="en-GB"/>
        </w:rPr>
        <w:t xml:space="preserve"> are suggested to constrain</w:t>
      </w:r>
      <w:r w:rsidR="00FE2423" w:rsidRPr="00425CE9">
        <w:rPr>
          <w:rFonts w:cs="Arial"/>
          <w:sz w:val="24"/>
          <w:szCs w:val="24"/>
          <w:lang w:eastAsia="en-GB"/>
        </w:rPr>
        <w:t xml:space="preserve"> the propensity to offend, </w:t>
      </w:r>
      <w:r w:rsidR="00A92A71" w:rsidRPr="00425CE9">
        <w:rPr>
          <w:rFonts w:cs="Arial"/>
          <w:sz w:val="24"/>
          <w:szCs w:val="24"/>
          <w:lang w:eastAsia="en-GB"/>
        </w:rPr>
        <w:t>effectively locking individuals</w:t>
      </w:r>
      <w:r w:rsidR="009870C9" w:rsidRPr="00425CE9">
        <w:rPr>
          <w:rFonts w:cs="Arial"/>
          <w:sz w:val="24"/>
          <w:szCs w:val="24"/>
          <w:lang w:eastAsia="en-GB"/>
        </w:rPr>
        <w:t xml:space="preserve"> into conformity (</w:t>
      </w:r>
      <w:r w:rsidR="000157EE">
        <w:rPr>
          <w:rFonts w:cs="Arial"/>
          <w:sz w:val="24"/>
          <w:szCs w:val="24"/>
          <w:lang w:eastAsia="en-GB"/>
        </w:rPr>
        <w:t>Forrest and H</w:t>
      </w:r>
      <w:r w:rsidR="00C739D7" w:rsidRPr="00425CE9">
        <w:rPr>
          <w:rFonts w:cs="Arial"/>
          <w:sz w:val="24"/>
          <w:szCs w:val="24"/>
          <w:lang w:eastAsia="en-GB"/>
        </w:rPr>
        <w:t>ay</w:t>
      </w:r>
      <w:r w:rsidR="00DF6063">
        <w:rPr>
          <w:rFonts w:cs="Arial"/>
          <w:sz w:val="24"/>
          <w:szCs w:val="24"/>
          <w:lang w:eastAsia="en-GB"/>
        </w:rPr>
        <w:t>,</w:t>
      </w:r>
      <w:r w:rsidR="00C739D7" w:rsidRPr="00425CE9">
        <w:rPr>
          <w:rFonts w:cs="Arial"/>
          <w:sz w:val="24"/>
          <w:szCs w:val="24"/>
          <w:lang w:eastAsia="en-GB"/>
        </w:rPr>
        <w:t xml:space="preserve"> 2011</w:t>
      </w:r>
      <w:r w:rsidR="009870C9" w:rsidRPr="00425CE9">
        <w:rPr>
          <w:rFonts w:cs="Arial"/>
          <w:sz w:val="24"/>
          <w:szCs w:val="24"/>
          <w:lang w:eastAsia="en-GB"/>
        </w:rPr>
        <w:t>)</w:t>
      </w:r>
      <w:r w:rsidR="00596C51" w:rsidRPr="00425CE9">
        <w:rPr>
          <w:rFonts w:cs="Arial"/>
          <w:sz w:val="24"/>
          <w:szCs w:val="24"/>
          <w:lang w:eastAsia="en-GB"/>
        </w:rPr>
        <w:t>.</w:t>
      </w:r>
      <w:r w:rsidR="00A02587">
        <w:rPr>
          <w:rFonts w:cs="Arial"/>
          <w:sz w:val="24"/>
          <w:szCs w:val="24"/>
          <w:lang w:eastAsia="en-GB"/>
        </w:rPr>
        <w:t xml:space="preserve"> </w:t>
      </w:r>
      <w:r w:rsidR="00A02587" w:rsidRPr="00425CE9">
        <w:rPr>
          <w:rFonts w:cs="Arial"/>
          <w:sz w:val="24"/>
          <w:szCs w:val="24"/>
        </w:rPr>
        <w:t>Utilising life course conceptualisations and the etiological principles of control theory (Warr</w:t>
      </w:r>
      <w:r w:rsidR="00DF6063">
        <w:rPr>
          <w:rFonts w:cs="Arial"/>
          <w:sz w:val="24"/>
          <w:szCs w:val="24"/>
        </w:rPr>
        <w:t>,</w:t>
      </w:r>
      <w:r w:rsidR="00A02587" w:rsidRPr="00425CE9">
        <w:rPr>
          <w:rFonts w:cs="Arial"/>
          <w:sz w:val="24"/>
          <w:szCs w:val="24"/>
        </w:rPr>
        <w:t xml:space="preserve"> 1998), </w:t>
      </w:r>
      <w:r w:rsidR="00E1225A">
        <w:rPr>
          <w:rFonts w:cs="Arial"/>
          <w:sz w:val="24"/>
          <w:szCs w:val="24"/>
        </w:rPr>
        <w:t xml:space="preserve">DLC </w:t>
      </w:r>
      <w:r w:rsidR="00A02587" w:rsidRPr="00425CE9">
        <w:rPr>
          <w:rFonts w:cs="Arial"/>
          <w:sz w:val="24"/>
          <w:szCs w:val="24"/>
        </w:rPr>
        <w:t xml:space="preserve">perspectives allow a focus on the effects of life events and life </w:t>
      </w:r>
      <w:r w:rsidR="00A02587" w:rsidRPr="00CE6E8D">
        <w:rPr>
          <w:rFonts w:cs="Arial"/>
          <w:i/>
          <w:sz w:val="24"/>
          <w:szCs w:val="24"/>
        </w:rPr>
        <w:t>t</w:t>
      </w:r>
      <w:r w:rsidR="00A02587" w:rsidRPr="00A02587">
        <w:rPr>
          <w:rFonts w:cs="Arial"/>
          <w:i/>
          <w:sz w:val="24"/>
          <w:szCs w:val="24"/>
        </w:rPr>
        <w:t>ransitions</w:t>
      </w:r>
      <w:r w:rsidR="00A02587" w:rsidRPr="00425CE9">
        <w:rPr>
          <w:rFonts w:cs="Arial"/>
          <w:sz w:val="24"/>
          <w:szCs w:val="24"/>
        </w:rPr>
        <w:t xml:space="preserve"> on offending behaviour (Farrington</w:t>
      </w:r>
      <w:r w:rsidR="00DE1CF6">
        <w:rPr>
          <w:rFonts w:cs="Arial"/>
          <w:sz w:val="24"/>
          <w:szCs w:val="24"/>
        </w:rPr>
        <w:t>,</w:t>
      </w:r>
      <w:r w:rsidR="00A02587" w:rsidRPr="00425CE9">
        <w:rPr>
          <w:rFonts w:cs="Arial"/>
          <w:sz w:val="24"/>
          <w:szCs w:val="24"/>
        </w:rPr>
        <w:t xml:space="preserve"> 2003) whilst considering appropriate risk factors and controls on such offending (Sampson and Laub, 1993). </w:t>
      </w:r>
      <w:r w:rsidR="00A02587" w:rsidRPr="00425CE9">
        <w:rPr>
          <w:rFonts w:cs="Arial"/>
          <w:sz w:val="24"/>
          <w:szCs w:val="24"/>
          <w:lang w:eastAsia="en-GB"/>
        </w:rPr>
        <w:t>Transitions can thus be see</w:t>
      </w:r>
      <w:r w:rsidR="00B25BA1">
        <w:rPr>
          <w:rFonts w:cs="Arial"/>
          <w:sz w:val="24"/>
          <w:szCs w:val="24"/>
          <w:lang w:eastAsia="en-GB"/>
        </w:rPr>
        <w:t xml:space="preserve">n as discrete changes in status, </w:t>
      </w:r>
      <w:r w:rsidR="004E2BD1">
        <w:rPr>
          <w:rFonts w:cs="Arial"/>
          <w:sz w:val="24"/>
          <w:szCs w:val="24"/>
          <w:lang w:eastAsia="en-GB"/>
        </w:rPr>
        <w:t>with embedded</w:t>
      </w:r>
      <w:r w:rsidR="00A02587" w:rsidRPr="00425CE9">
        <w:rPr>
          <w:rFonts w:cs="Arial"/>
          <w:sz w:val="24"/>
          <w:szCs w:val="24"/>
          <w:lang w:eastAsia="en-GB"/>
        </w:rPr>
        <w:t xml:space="preserve"> consequences (George</w:t>
      </w:r>
      <w:r w:rsidR="004E2BD1">
        <w:rPr>
          <w:rFonts w:cs="Arial"/>
          <w:sz w:val="24"/>
          <w:szCs w:val="24"/>
          <w:lang w:eastAsia="en-GB"/>
        </w:rPr>
        <w:t>,</w:t>
      </w:r>
      <w:r w:rsidR="00A02587" w:rsidRPr="00425CE9">
        <w:rPr>
          <w:rFonts w:cs="Arial"/>
          <w:sz w:val="24"/>
          <w:szCs w:val="24"/>
          <w:lang w:eastAsia="en-GB"/>
        </w:rPr>
        <w:t xml:space="preserve"> 2003) in relation to offending behaviours, prevalence and desistance from crime (Sampson and Laub, 1993).</w:t>
      </w:r>
      <w:r w:rsidR="00A02587">
        <w:rPr>
          <w:rFonts w:cs="Arial"/>
          <w:sz w:val="24"/>
          <w:szCs w:val="24"/>
          <w:lang w:eastAsia="en-GB"/>
        </w:rPr>
        <w:t xml:space="preserve"> While </w:t>
      </w:r>
      <w:r w:rsidR="00891B69">
        <w:rPr>
          <w:rFonts w:cs="Arial"/>
          <w:sz w:val="24"/>
          <w:szCs w:val="24"/>
          <w:lang w:eastAsia="en-GB"/>
        </w:rPr>
        <w:t>transitions</w:t>
      </w:r>
      <w:r w:rsidR="00A02587">
        <w:rPr>
          <w:rFonts w:cs="Arial"/>
          <w:sz w:val="24"/>
          <w:szCs w:val="24"/>
          <w:lang w:eastAsia="en-GB"/>
        </w:rPr>
        <w:t xml:space="preserve"> refer to changes in </w:t>
      </w:r>
      <w:r w:rsidR="00891B69">
        <w:rPr>
          <w:rFonts w:cs="Arial"/>
          <w:sz w:val="24"/>
          <w:szCs w:val="24"/>
          <w:lang w:eastAsia="en-GB"/>
        </w:rPr>
        <w:t>‘</w:t>
      </w:r>
      <w:r w:rsidR="00A02587">
        <w:rPr>
          <w:rFonts w:cs="Arial"/>
          <w:sz w:val="24"/>
          <w:szCs w:val="24"/>
          <w:lang w:eastAsia="en-GB"/>
        </w:rPr>
        <w:t>stages or roles</w:t>
      </w:r>
      <w:r w:rsidR="00891B69">
        <w:rPr>
          <w:rFonts w:cs="Arial"/>
          <w:sz w:val="24"/>
          <w:szCs w:val="24"/>
          <w:lang w:eastAsia="en-GB"/>
        </w:rPr>
        <w:t>’ t</w:t>
      </w:r>
      <w:r w:rsidR="00A02587">
        <w:rPr>
          <w:rFonts w:cs="Arial"/>
          <w:sz w:val="24"/>
          <w:szCs w:val="24"/>
          <w:lang w:eastAsia="en-GB"/>
        </w:rPr>
        <w:t>he concept of ‘turning points’</w:t>
      </w:r>
      <w:r w:rsidR="00B371F5">
        <w:rPr>
          <w:rFonts w:cs="Arial"/>
          <w:sz w:val="24"/>
          <w:szCs w:val="24"/>
          <w:lang w:eastAsia="en-GB"/>
        </w:rPr>
        <w:t xml:space="preserve"> (Rutter, 1996)</w:t>
      </w:r>
      <w:r w:rsidR="00891B69">
        <w:rPr>
          <w:rFonts w:cs="Arial"/>
          <w:sz w:val="24"/>
          <w:szCs w:val="24"/>
          <w:lang w:eastAsia="en-GB"/>
        </w:rPr>
        <w:t xml:space="preserve"> elicits something</w:t>
      </w:r>
      <w:r w:rsidR="00BD419D">
        <w:rPr>
          <w:rFonts w:cs="Arial"/>
          <w:sz w:val="24"/>
          <w:szCs w:val="24"/>
          <w:lang w:eastAsia="en-GB"/>
        </w:rPr>
        <w:t xml:space="preserve"> perceived as</w:t>
      </w:r>
      <w:r w:rsidR="00891B69">
        <w:rPr>
          <w:rFonts w:cs="Arial"/>
          <w:sz w:val="24"/>
          <w:szCs w:val="24"/>
          <w:lang w:eastAsia="en-GB"/>
        </w:rPr>
        <w:t xml:space="preserve"> </w:t>
      </w:r>
      <w:r w:rsidR="00D91D6A">
        <w:rPr>
          <w:rFonts w:cs="Arial"/>
          <w:sz w:val="24"/>
          <w:szCs w:val="24"/>
          <w:lang w:eastAsia="en-GB"/>
        </w:rPr>
        <w:t xml:space="preserve">more long lasting, </w:t>
      </w:r>
      <w:r w:rsidR="00A02587">
        <w:rPr>
          <w:rFonts w:cs="Arial"/>
          <w:sz w:val="24"/>
          <w:szCs w:val="24"/>
          <w:lang w:eastAsia="en-GB"/>
        </w:rPr>
        <w:t>act</w:t>
      </w:r>
      <w:r w:rsidR="008C0ED3">
        <w:rPr>
          <w:rFonts w:cs="Arial"/>
          <w:sz w:val="24"/>
          <w:szCs w:val="24"/>
          <w:lang w:eastAsia="en-GB"/>
        </w:rPr>
        <w:t>ing</w:t>
      </w:r>
      <w:r w:rsidR="00A02587">
        <w:rPr>
          <w:rFonts w:cs="Arial"/>
          <w:sz w:val="24"/>
          <w:szCs w:val="24"/>
          <w:lang w:eastAsia="en-GB"/>
        </w:rPr>
        <w:t xml:space="preserve"> as</w:t>
      </w:r>
      <w:r w:rsidR="008C0ED3">
        <w:rPr>
          <w:rFonts w:cs="Arial"/>
          <w:sz w:val="24"/>
          <w:szCs w:val="24"/>
          <w:lang w:eastAsia="en-GB"/>
        </w:rPr>
        <w:t xml:space="preserve"> </w:t>
      </w:r>
      <w:r w:rsidR="00D91D6A">
        <w:rPr>
          <w:rFonts w:cs="Arial"/>
          <w:sz w:val="24"/>
          <w:szCs w:val="24"/>
          <w:lang w:eastAsia="en-GB"/>
        </w:rPr>
        <w:t>‘hooks</w:t>
      </w:r>
      <w:r w:rsidR="00210E29">
        <w:rPr>
          <w:rFonts w:cs="Arial"/>
          <w:sz w:val="24"/>
          <w:szCs w:val="24"/>
          <w:lang w:eastAsia="en-GB"/>
        </w:rPr>
        <w:t>’</w:t>
      </w:r>
      <w:r w:rsidR="00D91D6A">
        <w:rPr>
          <w:rFonts w:cs="Arial"/>
          <w:sz w:val="24"/>
          <w:szCs w:val="24"/>
          <w:lang w:eastAsia="en-GB"/>
        </w:rPr>
        <w:t xml:space="preserve"> </w:t>
      </w:r>
      <w:r w:rsidR="00DF48D7">
        <w:rPr>
          <w:rFonts w:cs="Arial"/>
          <w:sz w:val="24"/>
          <w:szCs w:val="24"/>
          <w:lang w:eastAsia="en-GB"/>
        </w:rPr>
        <w:t>or</w:t>
      </w:r>
      <w:r w:rsidR="00A02587">
        <w:rPr>
          <w:rFonts w:cs="Arial"/>
          <w:sz w:val="24"/>
          <w:szCs w:val="24"/>
          <w:lang w:eastAsia="en-GB"/>
        </w:rPr>
        <w:t xml:space="preserve"> </w:t>
      </w:r>
      <w:r w:rsidR="008C0ED3">
        <w:rPr>
          <w:rFonts w:cs="Arial"/>
          <w:sz w:val="24"/>
          <w:szCs w:val="24"/>
          <w:lang w:eastAsia="en-GB"/>
        </w:rPr>
        <w:t>catalyst</w:t>
      </w:r>
      <w:r w:rsidR="00DF48D7">
        <w:rPr>
          <w:rFonts w:cs="Arial"/>
          <w:sz w:val="24"/>
          <w:szCs w:val="24"/>
          <w:lang w:eastAsia="en-GB"/>
        </w:rPr>
        <w:t>s</w:t>
      </w:r>
      <w:r w:rsidR="00A02587">
        <w:rPr>
          <w:rFonts w:cs="Arial"/>
          <w:sz w:val="24"/>
          <w:szCs w:val="24"/>
          <w:lang w:eastAsia="en-GB"/>
        </w:rPr>
        <w:t xml:space="preserve"> for long term behaviour change (Laub and Sampson, 2003:279). </w:t>
      </w:r>
      <w:r w:rsidR="00E32AE4">
        <w:rPr>
          <w:rFonts w:eastAsia="Times New Roman" w:cs="Arial"/>
          <w:sz w:val="24"/>
          <w:szCs w:val="24"/>
          <w:lang w:val="en-US"/>
        </w:rPr>
        <w:t>Therefore,</w:t>
      </w:r>
      <w:r w:rsidR="00E32AE4" w:rsidRPr="00637651">
        <w:rPr>
          <w:rFonts w:eastAsia="Times New Roman" w:cs="Arial"/>
          <w:sz w:val="24"/>
          <w:szCs w:val="24"/>
          <w:lang w:val="en-US"/>
        </w:rPr>
        <w:t xml:space="preserve"> the transition to employment may be a turning point if it makes the individual desist from offending, but if it does not, it is merely a transition (Rutter, 1996</w:t>
      </w:r>
      <w:r w:rsidR="00E32AE4">
        <w:rPr>
          <w:rFonts w:eastAsia="Times New Roman" w:cs="Arial"/>
          <w:sz w:val="24"/>
          <w:szCs w:val="24"/>
          <w:lang w:val="en-US"/>
        </w:rPr>
        <w:t>; Laub and Sampson, 2003</w:t>
      </w:r>
      <w:r w:rsidR="00E32AE4" w:rsidRPr="00637651">
        <w:rPr>
          <w:rFonts w:eastAsia="Times New Roman" w:cs="Arial"/>
          <w:sz w:val="24"/>
          <w:szCs w:val="24"/>
          <w:lang w:val="en-US"/>
        </w:rPr>
        <w:t>).</w:t>
      </w:r>
    </w:p>
    <w:p w14:paraId="52A4FE2F" w14:textId="77777777" w:rsidR="00385685" w:rsidRDefault="00385685" w:rsidP="00BD419D">
      <w:pPr>
        <w:spacing w:after="0"/>
        <w:rPr>
          <w:rFonts w:cs="Arial"/>
          <w:b/>
          <w:bCs/>
          <w:iCs/>
          <w:sz w:val="24"/>
          <w:szCs w:val="24"/>
          <w:lang w:eastAsia="en-GB"/>
        </w:rPr>
      </w:pPr>
    </w:p>
    <w:p w14:paraId="3FE9175B" w14:textId="24101739" w:rsidR="00B46BEA" w:rsidRDefault="00B46BEA" w:rsidP="00730B7D">
      <w:pPr>
        <w:spacing w:after="0"/>
        <w:outlineLvl w:val="0"/>
        <w:rPr>
          <w:rFonts w:cs="Arial"/>
          <w:b/>
          <w:bCs/>
          <w:iCs/>
          <w:sz w:val="24"/>
          <w:szCs w:val="24"/>
          <w:lang w:eastAsia="en-GB"/>
        </w:rPr>
      </w:pPr>
      <w:r>
        <w:rPr>
          <w:rFonts w:cs="Arial"/>
          <w:b/>
          <w:bCs/>
          <w:iCs/>
          <w:sz w:val="24"/>
          <w:szCs w:val="24"/>
          <w:lang w:eastAsia="en-GB"/>
        </w:rPr>
        <w:t>Journeys into Adulthood and Drug Pathways.</w:t>
      </w:r>
    </w:p>
    <w:p w14:paraId="18579B49" w14:textId="77777777" w:rsidR="00BD419D" w:rsidRPr="00BD419D" w:rsidRDefault="00BD419D" w:rsidP="00BD419D">
      <w:pPr>
        <w:spacing w:after="0"/>
        <w:rPr>
          <w:rFonts w:cs="Arial"/>
          <w:b/>
          <w:bCs/>
          <w:iCs/>
          <w:sz w:val="24"/>
          <w:szCs w:val="24"/>
          <w:lang w:eastAsia="en-GB"/>
        </w:rPr>
      </w:pPr>
    </w:p>
    <w:p w14:paraId="510BCF04" w14:textId="24722C09" w:rsidR="00C6556A" w:rsidRPr="00D65A76" w:rsidRDefault="000A5D97" w:rsidP="00574FD2">
      <w:pPr>
        <w:rPr>
          <w:rFonts w:cs="Arial"/>
          <w:sz w:val="24"/>
          <w:szCs w:val="24"/>
          <w:lang w:eastAsia="en-GB"/>
        </w:rPr>
      </w:pPr>
      <w:r w:rsidRPr="00151775">
        <w:rPr>
          <w:rFonts w:eastAsia="Times New Roman" w:cs="Arial"/>
          <w:sz w:val="24"/>
          <w:szCs w:val="24"/>
        </w:rPr>
        <w:t xml:space="preserve">The concept of turning points </w:t>
      </w:r>
      <w:r w:rsidR="00BB46E2">
        <w:rPr>
          <w:rFonts w:eastAsia="Times New Roman" w:cs="Arial"/>
          <w:sz w:val="24"/>
          <w:szCs w:val="24"/>
        </w:rPr>
        <w:t xml:space="preserve">represents </w:t>
      </w:r>
      <w:r w:rsidRPr="00151775">
        <w:rPr>
          <w:rFonts w:eastAsia="Times New Roman" w:cs="Arial"/>
          <w:sz w:val="24"/>
          <w:szCs w:val="24"/>
        </w:rPr>
        <w:t>an area of growing interest among substance abuse researchers</w:t>
      </w:r>
      <w:r>
        <w:rPr>
          <w:rFonts w:eastAsia="Times New Roman" w:cs="Arial"/>
          <w:sz w:val="24"/>
          <w:szCs w:val="24"/>
        </w:rPr>
        <w:t xml:space="preserve"> (Hser et al., 2007), but has tended to be more concerned with trajectories spanning addiction and recovery (Teruya and Hser, 2010). Variations in drug use across early adulthood are however symptomatic of broader patterns of lifestyle and consumption</w:t>
      </w:r>
      <w:r>
        <w:rPr>
          <w:rFonts w:eastAsia="Times New Roman" w:cs="Arial"/>
          <w:sz w:val="24"/>
          <w:szCs w:val="24"/>
          <w:lang w:val="en-US"/>
        </w:rPr>
        <w:t xml:space="preserve"> (Jones and Martin, 1997) and recreational drug using decisions and journeys can be meaningfully explored through the deployment of these frameworks. In ‘</w:t>
      </w:r>
      <w:r>
        <w:rPr>
          <w:rFonts w:eastAsia="Times New Roman" w:cs="Arial"/>
          <w:i/>
          <w:sz w:val="24"/>
          <w:szCs w:val="24"/>
          <w:lang w:val="en-US"/>
        </w:rPr>
        <w:t>Changing lives, Changing Drug J</w:t>
      </w:r>
      <w:r w:rsidRPr="00BC254C">
        <w:rPr>
          <w:rFonts w:eastAsia="Times New Roman" w:cs="Arial"/>
          <w:i/>
          <w:sz w:val="24"/>
          <w:szCs w:val="24"/>
          <w:lang w:val="en-US"/>
        </w:rPr>
        <w:t>ourneys</w:t>
      </w:r>
      <w:r>
        <w:rPr>
          <w:rFonts w:eastAsia="Times New Roman" w:cs="Arial"/>
          <w:i/>
          <w:sz w:val="24"/>
          <w:szCs w:val="24"/>
          <w:lang w:val="en-US"/>
        </w:rPr>
        <w:t>’</w:t>
      </w:r>
      <w:r>
        <w:rPr>
          <w:rFonts w:eastAsia="Times New Roman" w:cs="Arial"/>
          <w:sz w:val="24"/>
          <w:szCs w:val="24"/>
          <w:lang w:val="en-US"/>
        </w:rPr>
        <w:t xml:space="preserve"> for example Williams (2013) utilises a longitudinal methodology to show how social relationships and transitions into adulthood can accelerate or limit drug use. </w:t>
      </w:r>
      <w:r w:rsidR="00F822CD">
        <w:rPr>
          <w:rFonts w:eastAsia="Times New Roman" w:cs="Arial"/>
          <w:sz w:val="24"/>
          <w:szCs w:val="24"/>
          <w:lang w:val="en-US"/>
        </w:rPr>
        <w:t>Here</w:t>
      </w:r>
      <w:r w:rsidR="00BC254C">
        <w:rPr>
          <w:rFonts w:eastAsia="Times New Roman" w:cs="Arial"/>
          <w:sz w:val="24"/>
          <w:szCs w:val="24"/>
          <w:lang w:val="en-US"/>
        </w:rPr>
        <w:t>,</w:t>
      </w:r>
      <w:r w:rsidR="00F822CD">
        <w:rPr>
          <w:rFonts w:eastAsia="Times New Roman" w:cs="Arial"/>
          <w:sz w:val="24"/>
          <w:szCs w:val="24"/>
          <w:lang w:val="en-US"/>
        </w:rPr>
        <w:t xml:space="preserve"> Williams</w:t>
      </w:r>
      <w:r w:rsidR="00BC254C">
        <w:rPr>
          <w:rFonts w:eastAsia="Times New Roman" w:cs="Arial"/>
          <w:sz w:val="24"/>
          <w:szCs w:val="24"/>
          <w:lang w:val="en-US"/>
        </w:rPr>
        <w:t xml:space="preserve"> provides examples of how the breakdown of romantic </w:t>
      </w:r>
      <w:r w:rsidR="001524A8">
        <w:rPr>
          <w:rFonts w:eastAsia="Times New Roman" w:cs="Arial"/>
          <w:sz w:val="24"/>
          <w:szCs w:val="24"/>
          <w:lang w:val="en-US"/>
        </w:rPr>
        <w:t>partnership</w:t>
      </w:r>
      <w:r w:rsidR="00BC254C">
        <w:rPr>
          <w:rFonts w:eastAsia="Times New Roman" w:cs="Arial"/>
          <w:sz w:val="24"/>
          <w:szCs w:val="24"/>
          <w:lang w:val="en-US"/>
        </w:rPr>
        <w:t xml:space="preserve"> curtailed one respondents</w:t>
      </w:r>
      <w:r w:rsidR="00181A30">
        <w:rPr>
          <w:rFonts w:eastAsia="Times New Roman" w:cs="Arial"/>
          <w:sz w:val="24"/>
          <w:szCs w:val="24"/>
          <w:lang w:val="en-US"/>
        </w:rPr>
        <w:t>’</w:t>
      </w:r>
      <w:r w:rsidR="00BC254C">
        <w:rPr>
          <w:rFonts w:eastAsia="Times New Roman" w:cs="Arial"/>
          <w:sz w:val="24"/>
          <w:szCs w:val="24"/>
          <w:lang w:val="en-US"/>
        </w:rPr>
        <w:t xml:space="preserve"> drug taking, but later a new relationship with a cocaine user facilitated regular use of the drug (</w:t>
      </w:r>
      <w:r w:rsidR="00717704">
        <w:rPr>
          <w:rFonts w:eastAsia="Times New Roman" w:cs="Arial"/>
          <w:sz w:val="24"/>
          <w:szCs w:val="24"/>
          <w:lang w:val="en-US"/>
        </w:rPr>
        <w:t>p</w:t>
      </w:r>
      <w:r w:rsidR="00BC254C">
        <w:rPr>
          <w:rFonts w:eastAsia="Times New Roman" w:cs="Arial"/>
          <w:sz w:val="24"/>
          <w:szCs w:val="24"/>
          <w:lang w:val="en-US"/>
        </w:rPr>
        <w:t>87).</w:t>
      </w:r>
      <w:r w:rsidR="00DB18F7">
        <w:rPr>
          <w:rFonts w:eastAsia="Times New Roman" w:cs="Arial"/>
          <w:sz w:val="24"/>
          <w:szCs w:val="24"/>
          <w:lang w:val="en-US"/>
        </w:rPr>
        <w:t xml:space="preserve"> </w:t>
      </w:r>
      <w:r w:rsidR="00574FD2" w:rsidRPr="0031356C">
        <w:rPr>
          <w:rFonts w:cs="Arial"/>
          <w:sz w:val="24"/>
          <w:szCs w:val="24"/>
          <w:lang w:eastAsia="en-GB"/>
        </w:rPr>
        <w:t>In focussing on transitions in relation to drug use and supply, research shows the onset of age normatively have a broad association with desistance and moderation of drug use (Forrest and Hay</w:t>
      </w:r>
      <w:r w:rsidR="00FE5A06">
        <w:rPr>
          <w:rFonts w:cs="Arial"/>
          <w:sz w:val="24"/>
          <w:szCs w:val="24"/>
          <w:lang w:eastAsia="en-GB"/>
        </w:rPr>
        <w:t>,</w:t>
      </w:r>
      <w:r w:rsidR="00574FD2" w:rsidRPr="0031356C">
        <w:rPr>
          <w:rFonts w:cs="Arial"/>
          <w:sz w:val="24"/>
          <w:szCs w:val="24"/>
          <w:lang w:eastAsia="en-GB"/>
        </w:rPr>
        <w:t xml:space="preserve"> 2011). </w:t>
      </w:r>
      <w:r w:rsidR="00574FD2" w:rsidRPr="0060285E">
        <w:rPr>
          <w:rFonts w:cs="Arial"/>
          <w:sz w:val="24"/>
          <w:szCs w:val="24"/>
          <w:highlight w:val="yellow"/>
          <w:lang w:eastAsia="en-GB"/>
        </w:rPr>
        <w:t>Despite this, an emerging trend can be identified whereby ‘protracted transitions’ and ‘delayed adult lifestyle markers’ (Aldridge et al, 2011:186) can be conducive to the continuat</w:t>
      </w:r>
      <w:r w:rsidR="00F341F6" w:rsidRPr="0060285E">
        <w:rPr>
          <w:rFonts w:cs="Arial"/>
          <w:sz w:val="24"/>
          <w:szCs w:val="24"/>
          <w:highlight w:val="yellow"/>
          <w:lang w:eastAsia="en-GB"/>
        </w:rPr>
        <w:t>ion of drug use into adulthood.</w:t>
      </w:r>
      <w:r w:rsidR="00170BD7">
        <w:rPr>
          <w:rFonts w:cs="Arial"/>
          <w:sz w:val="24"/>
          <w:szCs w:val="24"/>
          <w:highlight w:val="yellow"/>
          <w:lang w:eastAsia="en-GB"/>
        </w:rPr>
        <w:t xml:space="preserve"> As Shiner (2009) notes,</w:t>
      </w:r>
      <w:r w:rsidR="00F65DA6">
        <w:rPr>
          <w:rFonts w:cs="Arial"/>
          <w:sz w:val="24"/>
          <w:szCs w:val="24"/>
          <w:highlight w:val="yellow"/>
          <w:lang w:eastAsia="en-GB"/>
        </w:rPr>
        <w:t xml:space="preserve"> in the 1950’</w:t>
      </w:r>
      <w:r w:rsidR="007242DF">
        <w:rPr>
          <w:rFonts w:cs="Arial"/>
          <w:sz w:val="24"/>
          <w:szCs w:val="24"/>
          <w:highlight w:val="yellow"/>
          <w:lang w:eastAsia="en-GB"/>
        </w:rPr>
        <w:t xml:space="preserve">s and </w:t>
      </w:r>
      <w:r w:rsidR="00F65DA6">
        <w:rPr>
          <w:rFonts w:cs="Arial"/>
          <w:sz w:val="24"/>
          <w:szCs w:val="24"/>
          <w:highlight w:val="yellow"/>
          <w:lang w:eastAsia="en-GB"/>
        </w:rPr>
        <w:t xml:space="preserve">60’s ‘youth’ was </w:t>
      </w:r>
      <w:r w:rsidR="00140AA6">
        <w:rPr>
          <w:rFonts w:cs="Arial"/>
          <w:sz w:val="24"/>
          <w:szCs w:val="24"/>
          <w:highlight w:val="yellow"/>
          <w:lang w:eastAsia="en-GB"/>
        </w:rPr>
        <w:t>strongly associated with the teenage years</w:t>
      </w:r>
      <w:r w:rsidR="00A61BD0">
        <w:rPr>
          <w:rFonts w:cs="Arial"/>
          <w:sz w:val="24"/>
          <w:szCs w:val="24"/>
          <w:highlight w:val="yellow"/>
          <w:lang w:eastAsia="en-GB"/>
        </w:rPr>
        <w:t xml:space="preserve">, but this period is now </w:t>
      </w:r>
      <w:r w:rsidR="0089418B">
        <w:rPr>
          <w:rFonts w:cs="Arial"/>
          <w:sz w:val="24"/>
          <w:szCs w:val="24"/>
          <w:highlight w:val="yellow"/>
          <w:lang w:eastAsia="en-GB"/>
        </w:rPr>
        <w:t xml:space="preserve">considered to extend into the </w:t>
      </w:r>
      <w:r w:rsidR="0075749E">
        <w:rPr>
          <w:rFonts w:cs="Arial"/>
          <w:sz w:val="24"/>
          <w:szCs w:val="24"/>
          <w:highlight w:val="yellow"/>
          <w:lang w:eastAsia="en-GB"/>
        </w:rPr>
        <w:t>mid-twenties</w:t>
      </w:r>
      <w:r w:rsidR="0089418B">
        <w:rPr>
          <w:rFonts w:cs="Arial"/>
          <w:sz w:val="24"/>
          <w:szCs w:val="24"/>
          <w:highlight w:val="yellow"/>
          <w:lang w:eastAsia="en-GB"/>
        </w:rPr>
        <w:t>. W</w:t>
      </w:r>
      <w:r w:rsidR="00574FD2" w:rsidRPr="0060285E">
        <w:rPr>
          <w:rFonts w:cs="Arial"/>
          <w:sz w:val="24"/>
          <w:szCs w:val="24"/>
          <w:highlight w:val="yellow"/>
          <w:lang w:eastAsia="en-GB"/>
        </w:rPr>
        <w:t>ith the length of engagement in full time education substantially lengthened</w:t>
      </w:r>
      <w:r w:rsidR="007242DF">
        <w:rPr>
          <w:rFonts w:cs="Arial"/>
          <w:sz w:val="24"/>
          <w:szCs w:val="24"/>
          <w:highlight w:val="yellow"/>
          <w:lang w:eastAsia="en-GB"/>
        </w:rPr>
        <w:t xml:space="preserve">, and entry into further and higher education increasing, </w:t>
      </w:r>
      <w:r w:rsidR="00574FD2" w:rsidRPr="0060285E">
        <w:rPr>
          <w:rFonts w:cs="Arial"/>
          <w:sz w:val="24"/>
          <w:szCs w:val="24"/>
          <w:highlight w:val="yellow"/>
          <w:lang w:eastAsia="en-GB"/>
        </w:rPr>
        <w:t>this has</w:t>
      </w:r>
      <w:r w:rsidR="007242DF">
        <w:rPr>
          <w:rFonts w:cs="Arial"/>
          <w:sz w:val="24"/>
          <w:szCs w:val="24"/>
          <w:highlight w:val="yellow"/>
          <w:lang w:eastAsia="en-GB"/>
        </w:rPr>
        <w:t xml:space="preserve"> phase has</w:t>
      </w:r>
      <w:r w:rsidR="00574FD2" w:rsidRPr="0060285E">
        <w:rPr>
          <w:rFonts w:cs="Arial"/>
          <w:sz w:val="24"/>
          <w:szCs w:val="24"/>
          <w:highlight w:val="yellow"/>
          <w:lang w:eastAsia="en-GB"/>
        </w:rPr>
        <w:t xml:space="preserve"> been related as unique period in which attachment to adult institutions are weakened and reciprocal relationships with friends and acquaintances become fortified (see Warr, 1993).</w:t>
      </w:r>
      <w:r w:rsidR="007242DF">
        <w:rPr>
          <w:rFonts w:cs="Arial"/>
          <w:sz w:val="24"/>
          <w:szCs w:val="24"/>
          <w:lang w:eastAsia="en-GB"/>
        </w:rPr>
        <w:t xml:space="preserve"> </w:t>
      </w:r>
      <w:r w:rsidR="00574FD2">
        <w:rPr>
          <w:rFonts w:cs="Arial"/>
          <w:sz w:val="24"/>
          <w:szCs w:val="24"/>
          <w:lang w:eastAsia="en-GB"/>
        </w:rPr>
        <w:t xml:space="preserve">Given </w:t>
      </w:r>
      <w:r w:rsidR="00860732">
        <w:rPr>
          <w:rFonts w:cs="Arial"/>
          <w:sz w:val="24"/>
          <w:szCs w:val="24"/>
          <w:lang w:eastAsia="en-GB"/>
        </w:rPr>
        <w:t>that young people</w:t>
      </w:r>
      <w:r w:rsidR="00574FD2" w:rsidRPr="0031356C">
        <w:rPr>
          <w:rFonts w:cs="Arial"/>
          <w:sz w:val="24"/>
          <w:szCs w:val="24"/>
          <w:lang w:eastAsia="en-GB"/>
        </w:rPr>
        <w:t>s</w:t>
      </w:r>
      <w:r w:rsidR="00860732">
        <w:rPr>
          <w:rFonts w:cs="Arial"/>
          <w:sz w:val="24"/>
          <w:szCs w:val="24"/>
          <w:lang w:eastAsia="en-GB"/>
        </w:rPr>
        <w:t>’</w:t>
      </w:r>
      <w:r w:rsidR="00574FD2" w:rsidRPr="0031356C">
        <w:rPr>
          <w:rFonts w:cs="Arial"/>
          <w:sz w:val="24"/>
          <w:szCs w:val="24"/>
          <w:lang w:eastAsia="en-GB"/>
        </w:rPr>
        <w:t xml:space="preserve"> drug use is strongly associated with the level of drug use among their </w:t>
      </w:r>
      <w:r w:rsidR="00574FD2">
        <w:rPr>
          <w:rFonts w:cs="Arial"/>
          <w:sz w:val="24"/>
          <w:szCs w:val="24"/>
          <w:lang w:eastAsia="en-GB"/>
        </w:rPr>
        <w:t xml:space="preserve">peers </w:t>
      </w:r>
      <w:r w:rsidR="001D18EB">
        <w:rPr>
          <w:rFonts w:cs="Arial"/>
          <w:sz w:val="24"/>
          <w:szCs w:val="24"/>
          <w:lang w:eastAsia="en-GB"/>
        </w:rPr>
        <w:t>(</w:t>
      </w:r>
      <w:r w:rsidR="007931AD">
        <w:rPr>
          <w:rFonts w:cs="Arial"/>
          <w:sz w:val="24"/>
          <w:szCs w:val="24"/>
          <w:lang w:eastAsia="en-GB"/>
        </w:rPr>
        <w:t xml:space="preserve">see </w:t>
      </w:r>
      <w:r w:rsidR="00044291">
        <w:rPr>
          <w:rFonts w:cs="Arial"/>
          <w:sz w:val="24"/>
          <w:szCs w:val="24"/>
          <w:lang w:eastAsia="en-GB"/>
        </w:rPr>
        <w:t xml:space="preserve">Järvinen and </w:t>
      </w:r>
      <w:r w:rsidR="00044291" w:rsidRPr="00425CE9">
        <w:rPr>
          <w:rFonts w:cs="Arial"/>
          <w:sz w:val="24"/>
          <w:szCs w:val="24"/>
          <w:lang w:eastAsia="en-GB"/>
        </w:rPr>
        <w:t>Østergaard</w:t>
      </w:r>
      <w:r w:rsidR="00574FD2">
        <w:rPr>
          <w:rFonts w:cs="Arial"/>
          <w:sz w:val="24"/>
          <w:szCs w:val="24"/>
          <w:lang w:eastAsia="en-GB"/>
        </w:rPr>
        <w:t>, 2011)</w:t>
      </w:r>
      <w:r w:rsidR="001D18EB">
        <w:rPr>
          <w:rFonts w:cs="Arial"/>
          <w:sz w:val="24"/>
          <w:szCs w:val="24"/>
          <w:lang w:eastAsia="en-GB"/>
        </w:rPr>
        <w:t>,</w:t>
      </w:r>
      <w:r w:rsidR="00574FD2" w:rsidRPr="0031356C">
        <w:rPr>
          <w:rFonts w:cs="Arial"/>
          <w:sz w:val="24"/>
          <w:szCs w:val="24"/>
          <w:lang w:eastAsia="en-GB"/>
        </w:rPr>
        <w:t xml:space="preserve"> the university context presents a landscape in which students are able to gain access to new and wider friendship circles, are provided with exposure to new </w:t>
      </w:r>
      <w:r w:rsidR="003A1CA2">
        <w:rPr>
          <w:rFonts w:cs="Arial"/>
          <w:sz w:val="24"/>
          <w:szCs w:val="24"/>
          <w:lang w:eastAsia="en-GB"/>
        </w:rPr>
        <w:t xml:space="preserve">and accepted behavioural mores, </w:t>
      </w:r>
      <w:r w:rsidR="00574FD2" w:rsidRPr="0031356C">
        <w:rPr>
          <w:rFonts w:cs="Arial"/>
          <w:sz w:val="24"/>
          <w:szCs w:val="24"/>
          <w:lang w:eastAsia="en-GB"/>
        </w:rPr>
        <w:t>whilst</w:t>
      </w:r>
      <w:r w:rsidR="00860732">
        <w:rPr>
          <w:rFonts w:cs="Arial"/>
          <w:sz w:val="24"/>
          <w:szCs w:val="24"/>
          <w:lang w:eastAsia="en-GB"/>
        </w:rPr>
        <w:t xml:space="preserve"> at the same time</w:t>
      </w:r>
      <w:r w:rsidR="00574FD2" w:rsidRPr="0031356C">
        <w:rPr>
          <w:rFonts w:cs="Arial"/>
          <w:sz w:val="24"/>
          <w:szCs w:val="24"/>
          <w:lang w:eastAsia="en-GB"/>
        </w:rPr>
        <w:t xml:space="preserve"> experiencing a relative release from moralistic value systems and parental</w:t>
      </w:r>
      <w:r w:rsidR="00574FD2" w:rsidRPr="00425CE9">
        <w:rPr>
          <w:rFonts w:cs="Arial"/>
          <w:sz w:val="24"/>
          <w:szCs w:val="24"/>
          <w:lang w:eastAsia="en-GB"/>
        </w:rPr>
        <w:t xml:space="preserve"> supervision (Aldridge et al., 2011</w:t>
      </w:r>
      <w:r w:rsidR="00574FD2">
        <w:rPr>
          <w:rFonts w:cs="Arial"/>
          <w:sz w:val="24"/>
          <w:szCs w:val="24"/>
          <w:lang w:eastAsia="en-GB"/>
        </w:rPr>
        <w:t>;</w:t>
      </w:r>
      <w:r w:rsidR="008E09FB">
        <w:rPr>
          <w:rFonts w:cs="Arial"/>
          <w:sz w:val="24"/>
          <w:szCs w:val="24"/>
          <w:lang w:eastAsia="en-GB"/>
        </w:rPr>
        <w:t xml:space="preserve"> Blum et al., 1972</w:t>
      </w:r>
      <w:r w:rsidR="00574FD2" w:rsidRPr="00425CE9">
        <w:rPr>
          <w:rFonts w:cs="Arial"/>
          <w:sz w:val="24"/>
          <w:szCs w:val="24"/>
          <w:lang w:eastAsia="en-GB"/>
        </w:rPr>
        <w:t>).</w:t>
      </w:r>
      <w:r w:rsidR="00574FD2" w:rsidRPr="00425CE9">
        <w:rPr>
          <w:rFonts w:cs="Arial"/>
          <w:sz w:val="24"/>
          <w:szCs w:val="24"/>
          <w:lang w:eastAsia="zh-CN"/>
        </w:rPr>
        <w:t xml:space="preserve"> Young’s (1971) influential concept of ‘subterranean play’ is useful here,</w:t>
      </w:r>
      <w:r w:rsidR="00574FD2">
        <w:rPr>
          <w:rFonts w:cs="Arial"/>
          <w:sz w:val="24"/>
          <w:szCs w:val="24"/>
          <w:lang w:eastAsia="zh-CN"/>
        </w:rPr>
        <w:t xml:space="preserve"> elucidating the ways in which values such as hedonism, spontaneity and the search for new experiences can be realised through ‘play’, and occur when man ‘steps out of the workday world, beyond the limitations of economic reality as we know it’ (p.152).</w:t>
      </w:r>
      <w:r w:rsidR="001861AC">
        <w:rPr>
          <w:rFonts w:cs="Arial"/>
          <w:sz w:val="24"/>
          <w:szCs w:val="24"/>
          <w:lang w:eastAsia="zh-CN"/>
        </w:rPr>
        <w:t xml:space="preserve"> </w:t>
      </w:r>
      <w:r w:rsidR="00574FD2">
        <w:rPr>
          <w:rFonts w:eastAsia="Times New Roman" w:cs="Arial"/>
          <w:sz w:val="24"/>
          <w:szCs w:val="24"/>
          <w:lang w:val="en-US"/>
        </w:rPr>
        <w:t>T</w:t>
      </w:r>
      <w:r w:rsidR="009D423D">
        <w:rPr>
          <w:rFonts w:cs="Arial"/>
          <w:sz w:val="24"/>
          <w:szCs w:val="24"/>
          <w:lang w:eastAsia="zh-CN"/>
        </w:rPr>
        <w:t xml:space="preserve">he protracted </w:t>
      </w:r>
      <w:r w:rsidR="00490ABB">
        <w:rPr>
          <w:rFonts w:cs="Arial"/>
          <w:sz w:val="24"/>
          <w:szCs w:val="24"/>
          <w:lang w:eastAsia="zh-CN"/>
        </w:rPr>
        <w:t xml:space="preserve">transition into </w:t>
      </w:r>
      <w:r w:rsidR="00490ABB">
        <w:rPr>
          <w:rFonts w:cs="Arial"/>
          <w:sz w:val="24"/>
          <w:szCs w:val="24"/>
          <w:lang w:eastAsia="zh-CN"/>
        </w:rPr>
        <w:lastRenderedPageBreak/>
        <w:t>adulthood</w:t>
      </w:r>
      <w:r w:rsidR="00D03D94">
        <w:rPr>
          <w:rFonts w:cs="Arial"/>
          <w:sz w:val="24"/>
          <w:szCs w:val="24"/>
          <w:lang w:eastAsia="zh-CN"/>
        </w:rPr>
        <w:t xml:space="preserve"> </w:t>
      </w:r>
      <w:r w:rsidR="009F2FB3">
        <w:rPr>
          <w:rFonts w:cs="Arial"/>
          <w:sz w:val="24"/>
          <w:szCs w:val="24"/>
          <w:lang w:eastAsia="zh-CN"/>
        </w:rPr>
        <w:t>therefore creates</w:t>
      </w:r>
      <w:r w:rsidR="00490ABB">
        <w:rPr>
          <w:rFonts w:cs="Arial"/>
          <w:sz w:val="24"/>
          <w:szCs w:val="24"/>
          <w:lang w:eastAsia="zh-CN"/>
        </w:rPr>
        <w:t xml:space="preserve"> </w:t>
      </w:r>
      <w:r w:rsidR="009F2FB3">
        <w:rPr>
          <w:rFonts w:cs="Arial"/>
          <w:sz w:val="24"/>
          <w:szCs w:val="24"/>
          <w:lang w:eastAsia="zh-CN"/>
        </w:rPr>
        <w:t xml:space="preserve">further </w:t>
      </w:r>
      <w:r w:rsidR="00490ABB">
        <w:rPr>
          <w:rFonts w:cs="Arial"/>
          <w:sz w:val="24"/>
          <w:szCs w:val="24"/>
          <w:lang w:eastAsia="zh-CN"/>
        </w:rPr>
        <w:t>space for hedonistic pursuits</w:t>
      </w:r>
      <w:r w:rsidR="008F1B7C">
        <w:rPr>
          <w:rFonts w:cs="Arial"/>
          <w:sz w:val="24"/>
          <w:szCs w:val="24"/>
          <w:lang w:eastAsia="zh-CN"/>
        </w:rPr>
        <w:t xml:space="preserve"> such as drug taking</w:t>
      </w:r>
      <w:r w:rsidR="00490ABB">
        <w:rPr>
          <w:rFonts w:cs="Arial"/>
          <w:sz w:val="24"/>
          <w:szCs w:val="24"/>
          <w:lang w:eastAsia="zh-CN"/>
        </w:rPr>
        <w:t xml:space="preserve"> (Shiner, 2009</w:t>
      </w:r>
      <w:r w:rsidR="00C6556A">
        <w:rPr>
          <w:rFonts w:cs="Arial"/>
          <w:sz w:val="24"/>
          <w:szCs w:val="24"/>
          <w:lang w:eastAsia="zh-CN"/>
        </w:rPr>
        <w:t>)</w:t>
      </w:r>
      <w:r w:rsidR="003A1CA2">
        <w:rPr>
          <w:rFonts w:cs="Arial"/>
          <w:sz w:val="24"/>
          <w:szCs w:val="24"/>
          <w:lang w:eastAsia="zh-CN"/>
        </w:rPr>
        <w:t>,</w:t>
      </w:r>
      <w:r w:rsidR="00C6556A">
        <w:rPr>
          <w:rFonts w:cs="Arial"/>
          <w:sz w:val="24"/>
          <w:szCs w:val="24"/>
          <w:lang w:eastAsia="zh-CN"/>
        </w:rPr>
        <w:t xml:space="preserve"> and the university may be argued as an example par excellence of a site in which </w:t>
      </w:r>
      <w:r w:rsidR="00CE55FF">
        <w:rPr>
          <w:rFonts w:cs="Arial"/>
          <w:sz w:val="24"/>
          <w:szCs w:val="24"/>
          <w:lang w:eastAsia="zh-CN"/>
        </w:rPr>
        <w:t xml:space="preserve">this </w:t>
      </w:r>
      <w:r w:rsidR="00385685">
        <w:rPr>
          <w:rFonts w:cs="Arial"/>
          <w:sz w:val="24"/>
          <w:szCs w:val="24"/>
          <w:lang w:eastAsia="zh-CN"/>
        </w:rPr>
        <w:t>‘</w:t>
      </w:r>
      <w:r w:rsidR="00C6556A">
        <w:rPr>
          <w:rFonts w:cs="Arial"/>
          <w:sz w:val="24"/>
          <w:szCs w:val="24"/>
          <w:lang w:eastAsia="zh-CN"/>
        </w:rPr>
        <w:t>play</w:t>
      </w:r>
      <w:r w:rsidR="00385685">
        <w:rPr>
          <w:rFonts w:cs="Arial"/>
          <w:sz w:val="24"/>
          <w:szCs w:val="24"/>
          <w:lang w:eastAsia="zh-CN"/>
        </w:rPr>
        <w:t>’</w:t>
      </w:r>
      <w:r w:rsidR="00C6556A">
        <w:rPr>
          <w:rFonts w:cs="Arial"/>
          <w:sz w:val="24"/>
          <w:szCs w:val="24"/>
          <w:lang w:eastAsia="zh-CN"/>
        </w:rPr>
        <w:t xml:space="preserve"> </w:t>
      </w:r>
      <w:r w:rsidR="004D4042">
        <w:rPr>
          <w:rFonts w:cs="Arial"/>
          <w:sz w:val="24"/>
          <w:szCs w:val="24"/>
          <w:lang w:eastAsia="zh-CN"/>
        </w:rPr>
        <w:t xml:space="preserve">might </w:t>
      </w:r>
      <w:r w:rsidR="00C6556A">
        <w:rPr>
          <w:rFonts w:cs="Arial"/>
          <w:sz w:val="24"/>
          <w:szCs w:val="24"/>
          <w:lang w:eastAsia="zh-CN"/>
        </w:rPr>
        <w:t xml:space="preserve">be </w:t>
      </w:r>
      <w:r w:rsidR="00CE55FF">
        <w:rPr>
          <w:rFonts w:cs="Arial"/>
          <w:sz w:val="24"/>
          <w:szCs w:val="24"/>
          <w:lang w:eastAsia="zh-CN"/>
        </w:rPr>
        <w:t>enacted.</w:t>
      </w:r>
    </w:p>
    <w:p w14:paraId="3B4D4417" w14:textId="254AD3C0" w:rsidR="00B61113" w:rsidRDefault="00D3554B" w:rsidP="00730B7D">
      <w:pPr>
        <w:spacing w:after="0"/>
        <w:outlineLvl w:val="0"/>
        <w:rPr>
          <w:rFonts w:cs="Arial"/>
          <w:b/>
          <w:sz w:val="24"/>
          <w:szCs w:val="24"/>
          <w:lang w:eastAsia="zh-CN"/>
        </w:rPr>
      </w:pPr>
      <w:r>
        <w:rPr>
          <w:rFonts w:cs="Arial"/>
          <w:b/>
          <w:sz w:val="24"/>
          <w:szCs w:val="24"/>
          <w:lang w:eastAsia="zh-CN"/>
        </w:rPr>
        <w:t>Drug Use Contexts: The University as a ‘Risk E</w:t>
      </w:r>
      <w:r w:rsidR="00574983">
        <w:rPr>
          <w:rFonts w:cs="Arial"/>
          <w:b/>
          <w:sz w:val="24"/>
          <w:szCs w:val="24"/>
          <w:lang w:eastAsia="zh-CN"/>
        </w:rPr>
        <w:t>nvironment’</w:t>
      </w:r>
      <w:r w:rsidR="00B61113">
        <w:rPr>
          <w:rFonts w:cs="Arial"/>
          <w:b/>
          <w:sz w:val="24"/>
          <w:szCs w:val="24"/>
          <w:lang w:eastAsia="zh-CN"/>
        </w:rPr>
        <w:t xml:space="preserve"> </w:t>
      </w:r>
    </w:p>
    <w:p w14:paraId="1E39E7C5" w14:textId="77777777" w:rsidR="00B61113" w:rsidRPr="000F41B4" w:rsidRDefault="00B61113" w:rsidP="009F7909">
      <w:pPr>
        <w:spacing w:after="0"/>
        <w:rPr>
          <w:rFonts w:cs="Arial"/>
          <w:b/>
          <w:sz w:val="24"/>
          <w:szCs w:val="24"/>
          <w:lang w:eastAsia="zh-CN"/>
        </w:rPr>
      </w:pPr>
    </w:p>
    <w:p w14:paraId="2E7D39FF" w14:textId="45E5B3EE" w:rsidR="008E09FB" w:rsidRPr="00346AA0" w:rsidRDefault="00026BB4" w:rsidP="00B61113">
      <w:pPr>
        <w:spacing w:after="0"/>
        <w:rPr>
          <w:rFonts w:eastAsia="Times New Roman" w:cs="Arial"/>
          <w:sz w:val="24"/>
          <w:szCs w:val="24"/>
        </w:rPr>
      </w:pPr>
      <w:r w:rsidRPr="00B61113">
        <w:rPr>
          <w:rFonts w:cs="Arial"/>
          <w:sz w:val="24"/>
          <w:szCs w:val="24"/>
          <w:lang w:val="en-US"/>
        </w:rPr>
        <w:t>The notion of ‘c</w:t>
      </w:r>
      <w:r w:rsidR="003C653F" w:rsidRPr="00B61113">
        <w:rPr>
          <w:rFonts w:cs="Arial"/>
          <w:sz w:val="24"/>
          <w:szCs w:val="24"/>
          <w:lang w:val="en-US"/>
        </w:rPr>
        <w:t xml:space="preserve">ontext’ </w:t>
      </w:r>
      <w:r w:rsidRPr="00B61113">
        <w:rPr>
          <w:rFonts w:cs="Arial"/>
          <w:sz w:val="24"/>
          <w:szCs w:val="24"/>
          <w:lang w:val="en-US"/>
        </w:rPr>
        <w:t xml:space="preserve">is </w:t>
      </w:r>
      <w:r w:rsidR="003C653F" w:rsidRPr="00B61113">
        <w:rPr>
          <w:rFonts w:cs="Arial"/>
          <w:sz w:val="24"/>
          <w:szCs w:val="24"/>
          <w:lang w:val="en-US"/>
        </w:rPr>
        <w:t xml:space="preserve">used in </w:t>
      </w:r>
      <w:r w:rsidRPr="00B61113">
        <w:rPr>
          <w:rFonts w:cs="Arial"/>
          <w:sz w:val="24"/>
          <w:szCs w:val="24"/>
          <w:lang w:val="en-US"/>
        </w:rPr>
        <w:t xml:space="preserve">the drugs field to refer </w:t>
      </w:r>
      <w:r w:rsidR="003C653F" w:rsidRPr="00B61113">
        <w:rPr>
          <w:rFonts w:cs="Arial"/>
          <w:sz w:val="24"/>
          <w:szCs w:val="24"/>
          <w:lang w:val="en-US"/>
        </w:rPr>
        <w:t>to a set of broad structural factors such as economic, social and political forces that affect rates and patterns of dru</w:t>
      </w:r>
      <w:r w:rsidRPr="00B61113">
        <w:rPr>
          <w:rFonts w:cs="Arial"/>
          <w:sz w:val="24"/>
          <w:szCs w:val="24"/>
          <w:lang w:val="en-US"/>
        </w:rPr>
        <w:t>g</w:t>
      </w:r>
      <w:r w:rsidR="000B6707" w:rsidRPr="00B61113">
        <w:rPr>
          <w:rFonts w:cs="Arial"/>
          <w:sz w:val="24"/>
          <w:szCs w:val="24"/>
          <w:lang w:val="en-US"/>
        </w:rPr>
        <w:t xml:space="preserve"> use (see</w:t>
      </w:r>
      <w:r w:rsidR="00654639">
        <w:rPr>
          <w:rFonts w:cs="Arial"/>
          <w:sz w:val="24"/>
          <w:szCs w:val="24"/>
          <w:lang w:val="en-US"/>
        </w:rPr>
        <w:t xml:space="preserve"> Duff</w:t>
      </w:r>
      <w:r w:rsidR="00FE5A06">
        <w:rPr>
          <w:rFonts w:cs="Arial"/>
          <w:sz w:val="24"/>
          <w:szCs w:val="24"/>
          <w:lang w:val="en-US"/>
        </w:rPr>
        <w:t>,</w:t>
      </w:r>
      <w:r w:rsidR="00653944">
        <w:rPr>
          <w:rFonts w:cs="Arial"/>
          <w:sz w:val="24"/>
          <w:szCs w:val="24"/>
          <w:lang w:val="en-US"/>
        </w:rPr>
        <w:t xml:space="preserve"> 2007</w:t>
      </w:r>
      <w:r w:rsidR="00913090" w:rsidRPr="00B61113">
        <w:rPr>
          <w:rFonts w:eastAsia="Times New Roman" w:cs="Arial"/>
          <w:sz w:val="24"/>
          <w:szCs w:val="24"/>
          <w:lang w:val="en-US"/>
        </w:rPr>
        <w:t>)</w:t>
      </w:r>
      <w:r w:rsidR="00361D1D" w:rsidRPr="00B61113">
        <w:rPr>
          <w:rFonts w:eastAsia="Times New Roman" w:cs="Arial"/>
          <w:sz w:val="24"/>
          <w:szCs w:val="24"/>
          <w:lang w:val="en-US"/>
        </w:rPr>
        <w:t>,</w:t>
      </w:r>
      <w:r w:rsidR="000B6707" w:rsidRPr="00B61113">
        <w:rPr>
          <w:rFonts w:eastAsia="Times New Roman" w:cs="Arial"/>
          <w:sz w:val="24"/>
          <w:szCs w:val="24"/>
          <w:lang w:val="en-US"/>
        </w:rPr>
        <w:t xml:space="preserve"> and there now exists a comprehensive stock of research literature </w:t>
      </w:r>
      <w:r w:rsidR="000B6707" w:rsidRPr="00B61113">
        <w:rPr>
          <w:rFonts w:eastAsia="Times New Roman" w:cs="Arial"/>
          <w:color w:val="333333"/>
          <w:sz w:val="24"/>
          <w:szCs w:val="24"/>
          <w:lang w:val="en-US"/>
        </w:rPr>
        <w:t>which analyses how drug use differs from one social context to another, along with and the distinct meanings and values associated w</w:t>
      </w:r>
      <w:r w:rsidR="00044291">
        <w:rPr>
          <w:rFonts w:eastAsia="Times New Roman" w:cs="Arial"/>
          <w:color w:val="333333"/>
          <w:sz w:val="24"/>
          <w:szCs w:val="24"/>
          <w:lang w:val="en-US"/>
        </w:rPr>
        <w:t>ith these behaviours (Duff, 2007</w:t>
      </w:r>
      <w:r w:rsidR="000B6707" w:rsidRPr="00B61113">
        <w:rPr>
          <w:rFonts w:eastAsia="Times New Roman" w:cs="Arial"/>
          <w:color w:val="333333"/>
          <w:sz w:val="24"/>
          <w:szCs w:val="24"/>
          <w:lang w:val="en-US"/>
        </w:rPr>
        <w:t xml:space="preserve">). </w:t>
      </w:r>
      <w:r w:rsidR="00361D1D" w:rsidRPr="00B61113">
        <w:rPr>
          <w:rFonts w:eastAsia="Times New Roman" w:cs="Arial"/>
          <w:color w:val="333333"/>
          <w:sz w:val="24"/>
          <w:szCs w:val="24"/>
          <w:lang w:val="en-US"/>
        </w:rPr>
        <w:t>The concept of ‘context’ or ‘setting’</w:t>
      </w:r>
      <w:r w:rsidR="003A7F5F" w:rsidRPr="00B61113">
        <w:rPr>
          <w:rFonts w:eastAsia="Times New Roman" w:cs="Arial"/>
          <w:color w:val="333333"/>
          <w:sz w:val="24"/>
          <w:szCs w:val="24"/>
          <w:lang w:val="en-US"/>
        </w:rPr>
        <w:t xml:space="preserve"> is best associated with Zinberg’s (1984) highly influential text ‘</w:t>
      </w:r>
      <w:r w:rsidR="003A7F5F" w:rsidRPr="00B61113">
        <w:rPr>
          <w:rFonts w:eastAsia="Times New Roman" w:cs="Arial"/>
          <w:i/>
          <w:color w:val="333333"/>
          <w:sz w:val="24"/>
          <w:szCs w:val="24"/>
          <w:lang w:val="en-US"/>
        </w:rPr>
        <w:t xml:space="preserve">drug, set and setting’ </w:t>
      </w:r>
      <w:r w:rsidR="003A7F5F" w:rsidRPr="00B61113">
        <w:rPr>
          <w:rFonts w:eastAsia="Times New Roman" w:cs="Arial"/>
          <w:color w:val="333333"/>
          <w:sz w:val="24"/>
          <w:szCs w:val="24"/>
          <w:lang w:val="en-US"/>
        </w:rPr>
        <w:t xml:space="preserve">where it is </w:t>
      </w:r>
      <w:r w:rsidR="002751CA">
        <w:rPr>
          <w:rFonts w:eastAsia="Times New Roman" w:cs="Arial"/>
          <w:color w:val="333333"/>
          <w:sz w:val="24"/>
          <w:szCs w:val="24"/>
          <w:lang w:val="en-US"/>
        </w:rPr>
        <w:t>argued</w:t>
      </w:r>
      <w:r w:rsidR="002751CA" w:rsidRPr="00B61113">
        <w:rPr>
          <w:rFonts w:eastAsia="Times New Roman" w:cs="Arial"/>
          <w:color w:val="333333"/>
          <w:sz w:val="24"/>
          <w:szCs w:val="24"/>
          <w:lang w:val="en-US"/>
        </w:rPr>
        <w:t xml:space="preserve"> </w:t>
      </w:r>
      <w:r w:rsidR="003A7F5F" w:rsidRPr="00B61113">
        <w:rPr>
          <w:rFonts w:eastAsia="Times New Roman" w:cs="Arial"/>
          <w:color w:val="333333"/>
          <w:sz w:val="24"/>
          <w:szCs w:val="24"/>
          <w:lang w:val="en-US"/>
        </w:rPr>
        <w:t xml:space="preserve">that experiences of drug effects are </w:t>
      </w:r>
      <w:r w:rsidR="002751CA">
        <w:rPr>
          <w:rFonts w:eastAsia="Times New Roman" w:cs="Arial"/>
          <w:color w:val="333333"/>
          <w:sz w:val="24"/>
          <w:szCs w:val="24"/>
          <w:lang w:val="en-US"/>
        </w:rPr>
        <w:t>mediated</w:t>
      </w:r>
      <w:r w:rsidR="002751CA" w:rsidRPr="00B61113">
        <w:rPr>
          <w:rFonts w:eastAsia="Times New Roman" w:cs="Arial"/>
          <w:color w:val="333333"/>
          <w:sz w:val="24"/>
          <w:szCs w:val="24"/>
          <w:lang w:val="en-US"/>
        </w:rPr>
        <w:t xml:space="preserve"> </w:t>
      </w:r>
      <w:r w:rsidR="003A7F5F" w:rsidRPr="00B61113">
        <w:rPr>
          <w:rFonts w:eastAsia="Times New Roman" w:cs="Arial"/>
          <w:color w:val="333333"/>
          <w:sz w:val="24"/>
          <w:szCs w:val="24"/>
          <w:lang w:val="en-US"/>
        </w:rPr>
        <w:t xml:space="preserve">by the combination of </w:t>
      </w:r>
      <w:r w:rsidR="00B61113" w:rsidRPr="00B61113">
        <w:rPr>
          <w:rFonts w:eastAsia="Times New Roman" w:cs="Arial"/>
          <w:color w:val="333333"/>
          <w:sz w:val="24"/>
          <w:szCs w:val="24"/>
          <w:lang w:val="en-US"/>
        </w:rPr>
        <w:t xml:space="preserve">the </w:t>
      </w:r>
      <w:r w:rsidR="003A7F5F" w:rsidRPr="00B61113">
        <w:rPr>
          <w:rFonts w:eastAsia="Times New Roman" w:cs="Arial"/>
          <w:color w:val="333333"/>
          <w:sz w:val="24"/>
          <w:szCs w:val="24"/>
          <w:lang w:val="en-US"/>
        </w:rPr>
        <w:t>pharmacological qualities of a drug, individual psychology (set)</w:t>
      </w:r>
      <w:r w:rsidR="00D279DF">
        <w:rPr>
          <w:rFonts w:eastAsia="Times New Roman" w:cs="Arial"/>
          <w:color w:val="333333"/>
          <w:sz w:val="24"/>
          <w:szCs w:val="24"/>
          <w:lang w:val="en-US"/>
        </w:rPr>
        <w:t>,</w:t>
      </w:r>
      <w:r w:rsidR="003A7F5F" w:rsidRPr="00B61113">
        <w:rPr>
          <w:rFonts w:eastAsia="Times New Roman" w:cs="Arial"/>
          <w:color w:val="333333"/>
          <w:sz w:val="24"/>
          <w:szCs w:val="24"/>
          <w:lang w:val="en-US"/>
        </w:rPr>
        <w:t xml:space="preserve"> and </w:t>
      </w:r>
      <w:r w:rsidR="003A7F5F" w:rsidRPr="00B61113">
        <w:rPr>
          <w:rFonts w:eastAsia="Times New Roman" w:cs="Arial"/>
          <w:sz w:val="24"/>
          <w:szCs w:val="24"/>
          <w:lang w:val="en-US"/>
        </w:rPr>
        <w:t>social context (setting) - the influence of the physical and social setting within which use occurs' (</w:t>
      </w:r>
      <w:r w:rsidR="002751CA">
        <w:rPr>
          <w:rFonts w:eastAsia="Times New Roman" w:cs="Arial"/>
          <w:sz w:val="24"/>
          <w:szCs w:val="24"/>
          <w:lang w:val="en-US"/>
        </w:rPr>
        <w:t>p</w:t>
      </w:r>
      <w:r w:rsidR="003A7F5F" w:rsidRPr="00B61113">
        <w:rPr>
          <w:rFonts w:eastAsia="Times New Roman" w:cs="Arial"/>
          <w:sz w:val="24"/>
          <w:szCs w:val="24"/>
          <w:lang w:val="en-US"/>
        </w:rPr>
        <w:t xml:space="preserve">3). </w:t>
      </w:r>
      <w:r w:rsidR="00AE1907" w:rsidRPr="00B61113">
        <w:rPr>
          <w:rFonts w:eastAsia="Times New Roman" w:cs="Arial"/>
          <w:sz w:val="24"/>
          <w:szCs w:val="24"/>
          <w:lang w:val="en-US"/>
        </w:rPr>
        <w:t xml:space="preserve">Recent studies have </w:t>
      </w:r>
      <w:r w:rsidR="002751CA">
        <w:rPr>
          <w:rFonts w:eastAsia="Times New Roman" w:cs="Arial"/>
          <w:sz w:val="24"/>
          <w:szCs w:val="24"/>
          <w:lang w:val="en-US"/>
        </w:rPr>
        <w:t>sought to develop this position further by positing</w:t>
      </w:r>
      <w:r w:rsidR="002751CA" w:rsidRPr="00B61113">
        <w:rPr>
          <w:rFonts w:eastAsia="Times New Roman" w:cs="Arial"/>
          <w:sz w:val="24"/>
          <w:szCs w:val="24"/>
          <w:lang w:val="en-US"/>
        </w:rPr>
        <w:t xml:space="preserve"> </w:t>
      </w:r>
      <w:r w:rsidR="00AE1907" w:rsidRPr="00B61113">
        <w:rPr>
          <w:rFonts w:eastAsia="Times New Roman" w:cs="Arial"/>
          <w:sz w:val="24"/>
          <w:szCs w:val="24"/>
          <w:lang w:val="en-US"/>
        </w:rPr>
        <w:t>that our understanding of context or</w:t>
      </w:r>
      <w:r w:rsidR="00361D1D" w:rsidRPr="00B61113">
        <w:rPr>
          <w:rFonts w:eastAsia="Times New Roman" w:cs="Arial"/>
          <w:sz w:val="24"/>
          <w:szCs w:val="24"/>
          <w:lang w:val="en-US"/>
        </w:rPr>
        <w:t xml:space="preserve"> setting should also include the social and cultural milieu in which the specific incident or situation takes place (Moore, 1993)</w:t>
      </w:r>
      <w:r w:rsidR="00DA6FDF">
        <w:rPr>
          <w:rFonts w:eastAsia="Times New Roman" w:cs="Arial"/>
          <w:sz w:val="24"/>
          <w:szCs w:val="24"/>
          <w:lang w:val="en-US"/>
        </w:rPr>
        <w:t>,</w:t>
      </w:r>
      <w:r w:rsidR="00AE1907" w:rsidRPr="00B61113">
        <w:rPr>
          <w:rFonts w:eastAsia="Times New Roman" w:cs="Arial"/>
          <w:sz w:val="24"/>
          <w:szCs w:val="24"/>
          <w:lang w:val="en-US"/>
        </w:rPr>
        <w:t xml:space="preserve"> with a recogn</w:t>
      </w:r>
      <w:r w:rsidR="00267C7A">
        <w:rPr>
          <w:rFonts w:eastAsia="Times New Roman" w:cs="Arial"/>
          <w:sz w:val="24"/>
          <w:szCs w:val="24"/>
          <w:lang w:val="en-US"/>
        </w:rPr>
        <w:t>ition of the embodied practices</w:t>
      </w:r>
      <w:r w:rsidR="00AE1907" w:rsidRPr="00B61113">
        <w:rPr>
          <w:rFonts w:eastAsia="Times New Roman" w:cs="Arial"/>
          <w:sz w:val="24"/>
          <w:szCs w:val="24"/>
          <w:lang w:val="en-US"/>
        </w:rPr>
        <w:t xml:space="preserve"> of groups and individuals in distinct l</w:t>
      </w:r>
      <w:r w:rsidR="00267C7A">
        <w:rPr>
          <w:rFonts w:eastAsia="Times New Roman" w:cs="Arial"/>
          <w:sz w:val="24"/>
          <w:szCs w:val="24"/>
          <w:lang w:val="en-US"/>
        </w:rPr>
        <w:t>ocal spaces</w:t>
      </w:r>
      <w:r w:rsidR="00F337C6">
        <w:rPr>
          <w:rFonts w:eastAsia="Times New Roman" w:cs="Arial"/>
          <w:sz w:val="24"/>
          <w:szCs w:val="24"/>
          <w:lang w:val="en-US"/>
        </w:rPr>
        <w:t xml:space="preserve"> (Duff</w:t>
      </w:r>
      <w:r w:rsidR="00FE5A06">
        <w:rPr>
          <w:rFonts w:eastAsia="Times New Roman" w:cs="Arial"/>
          <w:sz w:val="24"/>
          <w:szCs w:val="24"/>
          <w:lang w:val="en-US"/>
        </w:rPr>
        <w:t>,</w:t>
      </w:r>
      <w:r w:rsidR="009F4F48">
        <w:rPr>
          <w:rFonts w:eastAsia="Times New Roman" w:cs="Arial"/>
          <w:sz w:val="24"/>
          <w:szCs w:val="24"/>
          <w:lang w:val="en-US"/>
        </w:rPr>
        <w:t xml:space="preserve"> 2007</w:t>
      </w:r>
      <w:r w:rsidR="00AE1907" w:rsidRPr="00B61113">
        <w:rPr>
          <w:rFonts w:eastAsia="Times New Roman" w:cs="Arial"/>
          <w:sz w:val="24"/>
          <w:szCs w:val="24"/>
          <w:lang w:val="en-US"/>
        </w:rPr>
        <w:t>)</w:t>
      </w:r>
      <w:r w:rsidR="00483EB0">
        <w:rPr>
          <w:rFonts w:eastAsia="Times New Roman" w:cs="Arial"/>
          <w:sz w:val="24"/>
          <w:szCs w:val="24"/>
          <w:lang w:val="en-US"/>
        </w:rPr>
        <w:t>.</w:t>
      </w:r>
      <w:r w:rsidR="00C43FCC">
        <w:rPr>
          <w:rFonts w:eastAsia="Times New Roman" w:cs="Arial"/>
          <w:sz w:val="24"/>
          <w:szCs w:val="24"/>
          <w:lang w:val="en-US"/>
        </w:rPr>
        <w:t xml:space="preserve"> </w:t>
      </w:r>
      <w:r w:rsidR="0036303C">
        <w:rPr>
          <w:rFonts w:eastAsia="Times New Roman" w:cs="Arial"/>
          <w:sz w:val="24"/>
          <w:szCs w:val="24"/>
          <w:lang w:val="en-US"/>
        </w:rPr>
        <w:t xml:space="preserve">In </w:t>
      </w:r>
      <w:r w:rsidR="002751CA">
        <w:rPr>
          <w:rFonts w:eastAsia="Times New Roman" w:cs="Arial"/>
          <w:sz w:val="24"/>
          <w:szCs w:val="24"/>
          <w:lang w:val="en-US"/>
        </w:rPr>
        <w:t xml:space="preserve">a </w:t>
      </w:r>
      <w:r w:rsidR="0036303C">
        <w:rPr>
          <w:rFonts w:eastAsia="Times New Roman" w:cs="Arial"/>
          <w:sz w:val="24"/>
          <w:szCs w:val="24"/>
          <w:lang w:val="en-US"/>
        </w:rPr>
        <w:t>study of drug use at music festivals</w:t>
      </w:r>
      <w:r w:rsidR="002751CA">
        <w:rPr>
          <w:rFonts w:eastAsia="Times New Roman" w:cs="Arial"/>
          <w:sz w:val="24"/>
          <w:szCs w:val="24"/>
          <w:lang w:val="en-US"/>
        </w:rPr>
        <w:t>,</w:t>
      </w:r>
      <w:r w:rsidR="0036303C">
        <w:rPr>
          <w:rFonts w:eastAsia="Times New Roman" w:cs="Arial"/>
          <w:sz w:val="24"/>
          <w:szCs w:val="24"/>
          <w:lang w:val="en-US"/>
        </w:rPr>
        <w:t xml:space="preserve"> </w:t>
      </w:r>
      <w:r w:rsidR="00D12E91">
        <w:rPr>
          <w:rFonts w:eastAsia="Times New Roman" w:cs="Arial"/>
          <w:sz w:val="24"/>
          <w:szCs w:val="24"/>
          <w:lang w:val="en-US"/>
        </w:rPr>
        <w:t>Dilkes Frayne (2016)</w:t>
      </w:r>
      <w:r w:rsidR="00C43FCC">
        <w:rPr>
          <w:rFonts w:eastAsia="Times New Roman" w:cs="Arial"/>
          <w:sz w:val="24"/>
          <w:szCs w:val="24"/>
          <w:lang w:val="en-US"/>
        </w:rPr>
        <w:t xml:space="preserve"> provides a valuable example of </w:t>
      </w:r>
      <w:r w:rsidR="002751CA">
        <w:rPr>
          <w:rFonts w:eastAsia="Times New Roman" w:cs="Arial"/>
          <w:sz w:val="24"/>
          <w:szCs w:val="24"/>
          <w:lang w:val="en-US"/>
        </w:rPr>
        <w:t xml:space="preserve">the ways </w:t>
      </w:r>
      <w:r w:rsidR="00D12E91" w:rsidRPr="00D12E91">
        <w:rPr>
          <w:rFonts w:eastAsia="Times New Roman" w:cs="Arial"/>
          <w:sz w:val="24"/>
          <w:szCs w:val="24"/>
        </w:rPr>
        <w:t>spatial, material, temporal and affective dynamics</w:t>
      </w:r>
      <w:r w:rsidR="0005388B">
        <w:rPr>
          <w:rFonts w:eastAsia="Times New Roman" w:cs="Arial"/>
          <w:sz w:val="24"/>
          <w:szCs w:val="24"/>
        </w:rPr>
        <w:t xml:space="preserve"> of drug use settings</w:t>
      </w:r>
      <w:r w:rsidR="002751CA">
        <w:rPr>
          <w:rFonts w:eastAsia="Times New Roman" w:cs="Arial"/>
          <w:sz w:val="24"/>
          <w:szCs w:val="24"/>
        </w:rPr>
        <w:t xml:space="preserve"> can be captured by </w:t>
      </w:r>
      <w:r w:rsidR="002751CA">
        <w:rPr>
          <w:rFonts w:eastAsia="Times New Roman" w:cs="Arial"/>
          <w:sz w:val="24"/>
          <w:szCs w:val="24"/>
          <w:lang w:val="en-US"/>
        </w:rPr>
        <w:t>empirical research</w:t>
      </w:r>
      <w:r w:rsidR="0005388B">
        <w:rPr>
          <w:rFonts w:eastAsia="Times New Roman" w:cs="Arial"/>
          <w:sz w:val="24"/>
          <w:szCs w:val="24"/>
        </w:rPr>
        <w:t>. Here</w:t>
      </w:r>
      <w:r w:rsidR="004013E7">
        <w:rPr>
          <w:rFonts w:eastAsia="Times New Roman" w:cs="Arial"/>
          <w:sz w:val="24"/>
          <w:szCs w:val="24"/>
        </w:rPr>
        <w:t>, acknowledgement of so</w:t>
      </w:r>
      <w:r w:rsidR="003A1CA2">
        <w:rPr>
          <w:rFonts w:eastAsia="Times New Roman" w:cs="Arial"/>
          <w:sz w:val="24"/>
          <w:szCs w:val="24"/>
        </w:rPr>
        <w:t xml:space="preserve">cio-spatial relations </w:t>
      </w:r>
      <w:r w:rsidR="001861AC">
        <w:rPr>
          <w:rFonts w:eastAsia="Times New Roman" w:cs="Arial"/>
          <w:sz w:val="24"/>
          <w:szCs w:val="24"/>
        </w:rPr>
        <w:t>elucidates</w:t>
      </w:r>
      <w:r w:rsidR="004013E7">
        <w:rPr>
          <w:rFonts w:eastAsia="Times New Roman" w:cs="Arial"/>
          <w:sz w:val="24"/>
          <w:szCs w:val="24"/>
        </w:rPr>
        <w:t xml:space="preserve"> the ways in which </w:t>
      </w:r>
      <w:r w:rsidR="00DA6FDF">
        <w:rPr>
          <w:rFonts w:eastAsia="Times New Roman" w:cs="Arial"/>
          <w:sz w:val="24"/>
          <w:szCs w:val="24"/>
        </w:rPr>
        <w:t>the micro</w:t>
      </w:r>
      <w:r w:rsidR="002751CA">
        <w:rPr>
          <w:rFonts w:eastAsia="Times New Roman" w:cs="Arial"/>
          <w:sz w:val="24"/>
          <w:szCs w:val="24"/>
        </w:rPr>
        <w:t xml:space="preserve">-site of </w:t>
      </w:r>
      <w:r w:rsidR="00DA6FDF">
        <w:rPr>
          <w:rFonts w:eastAsia="Times New Roman" w:cs="Arial"/>
          <w:sz w:val="24"/>
          <w:szCs w:val="24"/>
        </w:rPr>
        <w:t xml:space="preserve">the </w:t>
      </w:r>
      <w:r w:rsidR="004013E7">
        <w:rPr>
          <w:rFonts w:eastAsia="Times New Roman" w:cs="Arial"/>
          <w:sz w:val="24"/>
          <w:szCs w:val="24"/>
        </w:rPr>
        <w:t>festival and campsite environment ‘</w:t>
      </w:r>
      <w:r w:rsidR="004013E7" w:rsidRPr="004013E7">
        <w:rPr>
          <w:rFonts w:eastAsia="Times New Roman" w:cs="Arial"/>
          <w:sz w:val="24"/>
          <w:szCs w:val="24"/>
        </w:rPr>
        <w:t>mediate drug use, drug knowledge, use norms, informal harm reduction practices, access to and exchange of drugs, and rest and recovery following drug use</w:t>
      </w:r>
      <w:r w:rsidR="004013E7">
        <w:rPr>
          <w:rFonts w:eastAsia="Times New Roman" w:cs="Arial"/>
          <w:sz w:val="24"/>
          <w:szCs w:val="24"/>
        </w:rPr>
        <w:t>’ (</w:t>
      </w:r>
      <w:r w:rsidR="002751CA">
        <w:rPr>
          <w:rFonts w:eastAsia="Times New Roman" w:cs="Arial"/>
          <w:sz w:val="24"/>
          <w:szCs w:val="24"/>
        </w:rPr>
        <w:t>p</w:t>
      </w:r>
      <w:r w:rsidR="00186435">
        <w:rPr>
          <w:rFonts w:eastAsia="Times New Roman" w:cs="Arial"/>
          <w:sz w:val="24"/>
          <w:szCs w:val="24"/>
        </w:rPr>
        <w:t>3)</w:t>
      </w:r>
      <w:r w:rsidR="004013E7" w:rsidRPr="004013E7">
        <w:rPr>
          <w:rFonts w:eastAsia="Times New Roman" w:cs="Arial"/>
          <w:sz w:val="24"/>
          <w:szCs w:val="24"/>
        </w:rPr>
        <w:t>.</w:t>
      </w:r>
      <w:r w:rsidR="00346AA0">
        <w:rPr>
          <w:rFonts w:eastAsia="Times New Roman" w:cs="Arial"/>
          <w:sz w:val="24"/>
          <w:szCs w:val="24"/>
        </w:rPr>
        <w:t xml:space="preserve"> </w:t>
      </w:r>
      <w:r w:rsidR="00457ED8">
        <w:rPr>
          <w:rFonts w:eastAsia="Times New Roman" w:cs="Arial"/>
          <w:sz w:val="24"/>
          <w:szCs w:val="24"/>
        </w:rPr>
        <w:t>The festival, in many ways, could be understood as a unique ‘risk environment’ (Rhodes</w:t>
      </w:r>
      <w:r w:rsidR="009047E2">
        <w:rPr>
          <w:rFonts w:eastAsia="Times New Roman" w:cs="Arial"/>
          <w:sz w:val="24"/>
          <w:szCs w:val="24"/>
        </w:rPr>
        <w:t>, 2002)</w:t>
      </w:r>
      <w:r w:rsidR="00244353">
        <w:rPr>
          <w:rFonts w:eastAsia="Times New Roman" w:cs="Arial"/>
          <w:sz w:val="24"/>
          <w:szCs w:val="24"/>
        </w:rPr>
        <w:t>,</w:t>
      </w:r>
      <w:r w:rsidR="00457ED8">
        <w:rPr>
          <w:rFonts w:eastAsia="Times New Roman" w:cs="Arial"/>
          <w:sz w:val="24"/>
          <w:szCs w:val="24"/>
        </w:rPr>
        <w:t xml:space="preserve"> for </w:t>
      </w:r>
      <w:r w:rsidR="00B01196">
        <w:rPr>
          <w:rFonts w:eastAsia="Times New Roman" w:cs="Arial"/>
          <w:sz w:val="24"/>
          <w:szCs w:val="24"/>
        </w:rPr>
        <w:t>specific kinds of drug use,</w:t>
      </w:r>
      <w:r w:rsidR="009047E2">
        <w:rPr>
          <w:rFonts w:eastAsia="Times New Roman" w:cs="Arial"/>
          <w:sz w:val="24"/>
          <w:szCs w:val="24"/>
        </w:rPr>
        <w:t xml:space="preserve"> or as Rhodes asserts</w:t>
      </w:r>
      <w:r w:rsidR="00600012">
        <w:rPr>
          <w:rFonts w:eastAsia="Times New Roman" w:cs="Arial"/>
          <w:sz w:val="24"/>
          <w:szCs w:val="24"/>
        </w:rPr>
        <w:t>,</w:t>
      </w:r>
      <w:r w:rsidR="009047E2">
        <w:rPr>
          <w:rFonts w:eastAsia="Times New Roman" w:cs="Arial"/>
          <w:sz w:val="24"/>
          <w:szCs w:val="24"/>
        </w:rPr>
        <w:t xml:space="preserve"> a ‘</w:t>
      </w:r>
      <w:r w:rsidR="002751CA">
        <w:rPr>
          <w:rFonts w:eastAsia="Times New Roman" w:cs="Arial"/>
          <w:color w:val="2E2E2E"/>
          <w:sz w:val="24"/>
          <w:szCs w:val="24"/>
          <w:shd w:val="clear" w:color="auto" w:fill="FFFFFF"/>
          <w:lang w:val="en-US"/>
        </w:rPr>
        <w:t>situation</w:t>
      </w:r>
      <w:r w:rsidR="009047E2">
        <w:rPr>
          <w:rFonts w:eastAsia="Times New Roman" w:cs="Arial"/>
          <w:color w:val="2E2E2E"/>
          <w:sz w:val="24"/>
          <w:szCs w:val="24"/>
          <w:shd w:val="clear" w:color="auto" w:fill="FFFFFF"/>
          <w:lang w:val="en-US"/>
        </w:rPr>
        <w:t>’ or place</w:t>
      </w:r>
      <w:r w:rsidR="009047E2" w:rsidRPr="00193D3E">
        <w:rPr>
          <w:rFonts w:eastAsia="Times New Roman" w:cs="Arial"/>
          <w:color w:val="2E2E2E"/>
          <w:sz w:val="24"/>
          <w:szCs w:val="24"/>
          <w:shd w:val="clear" w:color="auto" w:fill="FFFFFF"/>
          <w:lang w:val="en-US"/>
        </w:rPr>
        <w:t xml:space="preserve"> in which </w:t>
      </w:r>
      <w:r w:rsidR="002751CA">
        <w:rPr>
          <w:rFonts w:eastAsia="Times New Roman" w:cs="Arial"/>
          <w:color w:val="2E2E2E"/>
          <w:sz w:val="24"/>
          <w:szCs w:val="24"/>
          <w:shd w:val="clear" w:color="auto" w:fill="FFFFFF"/>
          <w:lang w:val="en-US"/>
        </w:rPr>
        <w:t xml:space="preserve">specific </w:t>
      </w:r>
      <w:r w:rsidR="009047E2" w:rsidRPr="00193D3E">
        <w:rPr>
          <w:rFonts w:eastAsia="Times New Roman" w:cs="Arial"/>
          <w:color w:val="2E2E2E"/>
          <w:sz w:val="24"/>
          <w:szCs w:val="24"/>
          <w:shd w:val="clear" w:color="auto" w:fill="FFFFFF"/>
          <w:lang w:val="en-US"/>
        </w:rPr>
        <w:t xml:space="preserve">harm is produced </w:t>
      </w:r>
      <w:r w:rsidR="009047E2" w:rsidRPr="00DA6FDF">
        <w:rPr>
          <w:rFonts w:eastAsia="Times New Roman" w:cs="Arial"/>
          <w:i/>
          <w:color w:val="2E2E2E"/>
          <w:sz w:val="24"/>
          <w:szCs w:val="24"/>
          <w:shd w:val="clear" w:color="auto" w:fill="FFFFFF"/>
          <w:lang w:val="en-US"/>
        </w:rPr>
        <w:t>and</w:t>
      </w:r>
      <w:r w:rsidR="009047E2" w:rsidRPr="00193D3E">
        <w:rPr>
          <w:rFonts w:eastAsia="Times New Roman" w:cs="Arial"/>
          <w:color w:val="2E2E2E"/>
          <w:sz w:val="24"/>
          <w:szCs w:val="24"/>
          <w:shd w:val="clear" w:color="auto" w:fill="FFFFFF"/>
          <w:lang w:val="en-US"/>
        </w:rPr>
        <w:t xml:space="preserve"> reduced</w:t>
      </w:r>
      <w:r w:rsidR="00ED73C4">
        <w:rPr>
          <w:rFonts w:eastAsia="Times New Roman" w:cs="Arial"/>
          <w:color w:val="2E2E2E"/>
          <w:sz w:val="24"/>
          <w:szCs w:val="24"/>
          <w:shd w:val="clear" w:color="auto" w:fill="FFFFFF"/>
          <w:lang w:val="en-US"/>
        </w:rPr>
        <w:t xml:space="preserve"> (p.88)</w:t>
      </w:r>
      <w:r w:rsidR="009047E2" w:rsidRPr="00193D3E">
        <w:rPr>
          <w:rFonts w:eastAsia="Times New Roman" w:cs="Arial"/>
          <w:color w:val="2E2E2E"/>
          <w:sz w:val="24"/>
          <w:szCs w:val="24"/>
          <w:shd w:val="clear" w:color="auto" w:fill="FFFFFF"/>
          <w:lang w:val="en-US"/>
        </w:rPr>
        <w:t>.</w:t>
      </w:r>
      <w:r w:rsidR="00244353" w:rsidRPr="00244353">
        <w:rPr>
          <w:rFonts w:eastAsia="Times New Roman" w:cs="Arial"/>
          <w:color w:val="2E2E2E"/>
          <w:sz w:val="24"/>
          <w:szCs w:val="24"/>
          <w:shd w:val="clear" w:color="auto" w:fill="FFFFFF"/>
          <w:lang w:val="en-US"/>
        </w:rPr>
        <w:t xml:space="preserve"> </w:t>
      </w:r>
      <w:r w:rsidR="00244353">
        <w:rPr>
          <w:rFonts w:eastAsia="Times New Roman" w:cs="Arial"/>
          <w:color w:val="2E2E2E"/>
          <w:sz w:val="24"/>
          <w:szCs w:val="24"/>
          <w:shd w:val="clear" w:color="auto" w:fill="FFFFFF"/>
          <w:lang w:val="en-US"/>
        </w:rPr>
        <w:t>While Rhodes (2002) utili</w:t>
      </w:r>
      <w:r w:rsidR="002751CA">
        <w:rPr>
          <w:rFonts w:eastAsia="Times New Roman" w:cs="Arial"/>
          <w:color w:val="2E2E2E"/>
          <w:sz w:val="24"/>
          <w:szCs w:val="24"/>
          <w:shd w:val="clear" w:color="auto" w:fill="FFFFFF"/>
          <w:lang w:val="en-US"/>
        </w:rPr>
        <w:t>s</w:t>
      </w:r>
      <w:r w:rsidR="00244353">
        <w:rPr>
          <w:rFonts w:eastAsia="Times New Roman" w:cs="Arial"/>
          <w:color w:val="2E2E2E"/>
          <w:sz w:val="24"/>
          <w:szCs w:val="24"/>
          <w:shd w:val="clear" w:color="auto" w:fill="FFFFFF"/>
          <w:lang w:val="en-US"/>
        </w:rPr>
        <w:t xml:space="preserve">es the risk environment framework to understand </w:t>
      </w:r>
      <w:r w:rsidR="001B574E">
        <w:rPr>
          <w:rFonts w:eastAsia="Times New Roman" w:cs="Arial"/>
          <w:color w:val="2E2E2E"/>
          <w:sz w:val="24"/>
          <w:szCs w:val="24"/>
          <w:shd w:val="clear" w:color="auto" w:fill="FFFFFF"/>
          <w:lang w:val="en-US"/>
        </w:rPr>
        <w:t xml:space="preserve">settings </w:t>
      </w:r>
      <w:r w:rsidR="002751CA">
        <w:rPr>
          <w:rFonts w:eastAsia="Times New Roman" w:cs="Arial"/>
          <w:color w:val="2E2E2E"/>
          <w:sz w:val="24"/>
          <w:szCs w:val="24"/>
          <w:shd w:val="clear" w:color="auto" w:fill="FFFFFF"/>
          <w:lang w:val="en-US"/>
        </w:rPr>
        <w:t xml:space="preserve">and interrelationships </w:t>
      </w:r>
      <w:r w:rsidR="001B574E">
        <w:rPr>
          <w:rFonts w:eastAsia="Times New Roman" w:cs="Arial"/>
          <w:color w:val="2E2E2E"/>
          <w:sz w:val="24"/>
          <w:szCs w:val="24"/>
          <w:shd w:val="clear" w:color="auto" w:fill="FFFFFF"/>
          <w:lang w:val="en-US"/>
        </w:rPr>
        <w:t>that might increase drug related harms for injecting drug users</w:t>
      </w:r>
      <w:r w:rsidR="000F30C9">
        <w:rPr>
          <w:rFonts w:eastAsia="Times New Roman" w:cs="Arial"/>
          <w:color w:val="2E2E2E"/>
          <w:sz w:val="24"/>
          <w:szCs w:val="24"/>
          <w:shd w:val="clear" w:color="auto" w:fill="FFFFFF"/>
          <w:lang w:val="en-US"/>
        </w:rPr>
        <w:t xml:space="preserve">, </w:t>
      </w:r>
      <w:r w:rsidR="001B574E">
        <w:rPr>
          <w:rFonts w:eastAsia="Times New Roman" w:cs="Arial"/>
          <w:color w:val="2E2E2E"/>
          <w:sz w:val="24"/>
          <w:szCs w:val="24"/>
          <w:shd w:val="clear" w:color="auto" w:fill="FFFFFF"/>
          <w:lang w:val="en-US"/>
        </w:rPr>
        <w:t xml:space="preserve">the </w:t>
      </w:r>
      <w:r w:rsidR="00244353" w:rsidRPr="00193D3E">
        <w:rPr>
          <w:rFonts w:eastAsia="Times New Roman" w:cs="Arial"/>
          <w:color w:val="2E2E2E"/>
          <w:sz w:val="24"/>
          <w:szCs w:val="24"/>
          <w:shd w:val="clear" w:color="auto" w:fill="FFFFFF"/>
          <w:lang w:val="en-US"/>
        </w:rPr>
        <w:t xml:space="preserve">model </w:t>
      </w:r>
      <w:r w:rsidR="004807DD">
        <w:rPr>
          <w:rFonts w:eastAsia="Times New Roman" w:cs="Arial"/>
          <w:color w:val="2E2E2E"/>
          <w:sz w:val="24"/>
          <w:szCs w:val="24"/>
          <w:shd w:val="clear" w:color="auto" w:fill="FFFFFF"/>
          <w:lang w:val="en-US"/>
        </w:rPr>
        <w:t>can be applied</w:t>
      </w:r>
      <w:r w:rsidR="00D54B58">
        <w:rPr>
          <w:rFonts w:eastAsia="Times New Roman" w:cs="Arial"/>
          <w:color w:val="2E2E2E"/>
          <w:sz w:val="24"/>
          <w:szCs w:val="24"/>
          <w:shd w:val="clear" w:color="auto" w:fill="FFFFFF"/>
          <w:lang w:val="en-US"/>
        </w:rPr>
        <w:t xml:space="preserve"> more broadly through focus on the following dimensions or ‘</w:t>
      </w:r>
      <w:r w:rsidR="00244353" w:rsidRPr="00193D3E">
        <w:rPr>
          <w:rFonts w:eastAsia="Times New Roman" w:cs="Arial"/>
          <w:color w:val="2E2E2E"/>
          <w:sz w:val="24"/>
          <w:szCs w:val="24"/>
          <w:shd w:val="clear" w:color="auto" w:fill="FFFFFF"/>
          <w:lang w:val="en-US"/>
        </w:rPr>
        <w:t>ideal types</w:t>
      </w:r>
      <w:r w:rsidR="00D54B58">
        <w:rPr>
          <w:rFonts w:eastAsia="Times New Roman" w:cs="Arial"/>
          <w:color w:val="2E2E2E"/>
          <w:sz w:val="24"/>
          <w:szCs w:val="24"/>
          <w:shd w:val="clear" w:color="auto" w:fill="FFFFFF"/>
          <w:lang w:val="en-US"/>
        </w:rPr>
        <w:t>’</w:t>
      </w:r>
      <w:r w:rsidR="00244353" w:rsidRPr="00193D3E">
        <w:rPr>
          <w:rFonts w:eastAsia="Times New Roman" w:cs="Arial"/>
          <w:color w:val="2E2E2E"/>
          <w:sz w:val="24"/>
          <w:szCs w:val="24"/>
          <w:shd w:val="clear" w:color="auto" w:fill="FFFFFF"/>
          <w:lang w:val="en-US"/>
        </w:rPr>
        <w:t xml:space="preserve"> of environment—physical; social; economic; and policy—and two ideal levels of environmental influence—micro and macro</w:t>
      </w:r>
      <w:r w:rsidR="00D54B58">
        <w:rPr>
          <w:rFonts w:eastAsia="Times New Roman" w:cs="Arial"/>
          <w:color w:val="2E2E2E"/>
          <w:sz w:val="24"/>
          <w:szCs w:val="24"/>
          <w:shd w:val="clear" w:color="auto" w:fill="FFFFFF"/>
          <w:lang w:val="en-US"/>
        </w:rPr>
        <w:t xml:space="preserve"> (p.88-89)</w:t>
      </w:r>
      <w:r w:rsidR="00244353" w:rsidRPr="00193D3E">
        <w:rPr>
          <w:rFonts w:eastAsia="Times New Roman" w:cs="Arial"/>
          <w:color w:val="2E2E2E"/>
          <w:sz w:val="24"/>
          <w:szCs w:val="24"/>
          <w:shd w:val="clear" w:color="auto" w:fill="FFFFFF"/>
          <w:lang w:val="en-US"/>
        </w:rPr>
        <w:t>.</w:t>
      </w:r>
      <w:r w:rsidR="00D54B58">
        <w:rPr>
          <w:rFonts w:eastAsia="Times New Roman" w:cs="Arial"/>
          <w:color w:val="2E2E2E"/>
          <w:sz w:val="24"/>
          <w:szCs w:val="24"/>
          <w:shd w:val="clear" w:color="auto" w:fill="FFFFFF"/>
          <w:lang w:val="en-US"/>
        </w:rPr>
        <w:t xml:space="preserve"> </w:t>
      </w:r>
    </w:p>
    <w:p w14:paraId="1526C5C7" w14:textId="77777777" w:rsidR="008E09FB" w:rsidRDefault="008E09FB" w:rsidP="00B61113">
      <w:pPr>
        <w:spacing w:after="0"/>
        <w:rPr>
          <w:rFonts w:eastAsia="Times New Roman" w:cs="Arial"/>
          <w:color w:val="2E2E2E"/>
          <w:sz w:val="24"/>
          <w:szCs w:val="24"/>
          <w:shd w:val="clear" w:color="auto" w:fill="FFFFFF"/>
          <w:lang w:val="en-US"/>
        </w:rPr>
      </w:pPr>
    </w:p>
    <w:p w14:paraId="0230533B" w14:textId="04B42BCC" w:rsidR="008E09FB" w:rsidRPr="00574983" w:rsidRDefault="00D54B58" w:rsidP="00C562AB">
      <w:pPr>
        <w:spacing w:after="0"/>
        <w:rPr>
          <w:rFonts w:cs="Arial"/>
          <w:i/>
          <w:sz w:val="24"/>
          <w:lang w:val="en-US" w:eastAsia="en-GB"/>
        </w:rPr>
      </w:pPr>
      <w:r>
        <w:rPr>
          <w:rFonts w:eastAsia="Times New Roman" w:cs="Arial"/>
          <w:color w:val="2E2E2E"/>
          <w:sz w:val="24"/>
          <w:szCs w:val="24"/>
          <w:shd w:val="clear" w:color="auto" w:fill="FFFFFF"/>
          <w:lang w:val="en-US"/>
        </w:rPr>
        <w:t xml:space="preserve">In their study exploring </w:t>
      </w:r>
      <w:r w:rsidR="00600012">
        <w:rPr>
          <w:rFonts w:eastAsia="Times New Roman" w:cs="Arial"/>
          <w:color w:val="2E2E2E"/>
          <w:sz w:val="24"/>
          <w:szCs w:val="24"/>
          <w:shd w:val="clear" w:color="auto" w:fill="FFFFFF"/>
          <w:lang w:val="en-US"/>
        </w:rPr>
        <w:t>student drinking behaviours</w:t>
      </w:r>
      <w:r w:rsidR="007B1CC0">
        <w:rPr>
          <w:rFonts w:eastAsia="Times New Roman" w:cs="Arial"/>
          <w:color w:val="2E2E2E"/>
          <w:sz w:val="24"/>
          <w:szCs w:val="24"/>
          <w:shd w:val="clear" w:color="auto" w:fill="FFFFFF"/>
          <w:lang w:val="en-US"/>
        </w:rPr>
        <w:t>,</w:t>
      </w:r>
      <w:r w:rsidR="00600012">
        <w:rPr>
          <w:rFonts w:eastAsia="Times New Roman" w:cs="Arial"/>
          <w:color w:val="2E2E2E"/>
          <w:sz w:val="24"/>
          <w:szCs w:val="24"/>
          <w:shd w:val="clear" w:color="auto" w:fill="FFFFFF"/>
          <w:lang w:val="en-US"/>
        </w:rPr>
        <w:t xml:space="preserve"> </w:t>
      </w:r>
      <w:r>
        <w:rPr>
          <w:rFonts w:eastAsia="Times New Roman" w:cs="Arial"/>
          <w:color w:val="2E2E2E"/>
          <w:sz w:val="24"/>
          <w:szCs w:val="24"/>
          <w:shd w:val="clear" w:color="auto" w:fill="FFFFFF"/>
          <w:lang w:val="en-US"/>
        </w:rPr>
        <w:t xml:space="preserve">Barton </w:t>
      </w:r>
      <w:r w:rsidR="00600012">
        <w:rPr>
          <w:rFonts w:eastAsia="Times New Roman" w:cs="Arial"/>
          <w:color w:val="2E2E2E"/>
          <w:sz w:val="24"/>
          <w:szCs w:val="24"/>
          <w:shd w:val="clear" w:color="auto" w:fill="FFFFFF"/>
          <w:lang w:val="en-US"/>
        </w:rPr>
        <w:t>and colleagues (</w:t>
      </w:r>
      <w:r>
        <w:rPr>
          <w:rFonts w:eastAsia="Times New Roman" w:cs="Arial"/>
          <w:color w:val="2E2E2E"/>
          <w:sz w:val="24"/>
          <w:szCs w:val="24"/>
          <w:shd w:val="clear" w:color="auto" w:fill="FFFFFF"/>
          <w:lang w:val="en-US"/>
        </w:rPr>
        <w:t xml:space="preserve">2013) </w:t>
      </w:r>
      <w:r w:rsidR="00E65412">
        <w:rPr>
          <w:rFonts w:eastAsia="Times New Roman" w:cs="Arial"/>
          <w:color w:val="2E2E2E"/>
          <w:sz w:val="24"/>
          <w:szCs w:val="24"/>
          <w:shd w:val="clear" w:color="auto" w:fill="FFFFFF"/>
          <w:lang w:val="en-US"/>
        </w:rPr>
        <w:t>contend that the university can</w:t>
      </w:r>
      <w:r w:rsidRPr="00D54B58">
        <w:rPr>
          <w:rFonts w:eastAsia="Times New Roman" w:cs="Arial"/>
          <w:color w:val="2E2E2E"/>
          <w:sz w:val="24"/>
          <w:szCs w:val="24"/>
          <w:shd w:val="clear" w:color="auto" w:fill="FFFFFF"/>
          <w:lang w:val="en-US"/>
        </w:rPr>
        <w:t xml:space="preserve"> be seen as a specific ‘risk environment’ </w:t>
      </w:r>
      <w:r w:rsidR="00DD5855">
        <w:rPr>
          <w:rFonts w:eastAsia="Times New Roman" w:cs="Arial"/>
          <w:color w:val="2E2E2E"/>
          <w:sz w:val="24"/>
          <w:szCs w:val="24"/>
          <w:shd w:val="clear" w:color="auto" w:fill="FFFFFF"/>
          <w:lang w:val="en-US"/>
        </w:rPr>
        <w:t xml:space="preserve">for alcohol related harms </w:t>
      </w:r>
      <w:r w:rsidR="00600012">
        <w:rPr>
          <w:rFonts w:eastAsia="Times New Roman" w:cs="Arial"/>
          <w:color w:val="2E2E2E"/>
          <w:sz w:val="24"/>
          <w:szCs w:val="24"/>
          <w:shd w:val="clear" w:color="auto" w:fill="FFFFFF"/>
          <w:lang w:val="en-US"/>
        </w:rPr>
        <w:t>in a number</w:t>
      </w:r>
      <w:r w:rsidRPr="00D54B58">
        <w:rPr>
          <w:rFonts w:eastAsia="Times New Roman" w:cs="Arial"/>
          <w:color w:val="2E2E2E"/>
          <w:sz w:val="24"/>
          <w:szCs w:val="24"/>
          <w:shd w:val="clear" w:color="auto" w:fill="FFFFFF"/>
          <w:lang w:val="en-US"/>
        </w:rPr>
        <w:t xml:space="preserve"> of</w:t>
      </w:r>
      <w:r w:rsidR="0059579B">
        <w:rPr>
          <w:rFonts w:eastAsia="Times New Roman" w:cs="Arial"/>
          <w:color w:val="2E2E2E"/>
          <w:sz w:val="24"/>
          <w:szCs w:val="24"/>
          <w:shd w:val="clear" w:color="auto" w:fill="FFFFFF"/>
          <w:lang w:val="en-US"/>
        </w:rPr>
        <w:t xml:space="preserve"> the ways Rhodes (2002)</w:t>
      </w:r>
      <w:r w:rsidRPr="00D54B58">
        <w:rPr>
          <w:rFonts w:eastAsia="Times New Roman" w:cs="Arial"/>
          <w:color w:val="2E2E2E"/>
          <w:sz w:val="24"/>
          <w:szCs w:val="24"/>
          <w:shd w:val="clear" w:color="auto" w:fill="FFFFFF"/>
          <w:lang w:val="en-US"/>
        </w:rPr>
        <w:t xml:space="preserve"> </w:t>
      </w:r>
      <w:r w:rsidR="00BB01F3">
        <w:rPr>
          <w:rFonts w:eastAsia="Times New Roman" w:cs="Arial"/>
          <w:color w:val="2E2E2E"/>
          <w:sz w:val="24"/>
          <w:szCs w:val="24"/>
          <w:shd w:val="clear" w:color="auto" w:fill="FFFFFF"/>
          <w:lang w:val="en-US"/>
        </w:rPr>
        <w:t>outlines</w:t>
      </w:r>
      <w:r w:rsidR="0059579B">
        <w:rPr>
          <w:rFonts w:eastAsia="Times New Roman" w:cs="Arial"/>
          <w:color w:val="2E2E2E"/>
          <w:sz w:val="24"/>
          <w:szCs w:val="24"/>
          <w:shd w:val="clear" w:color="auto" w:fill="FFFFFF"/>
          <w:lang w:val="en-US"/>
        </w:rPr>
        <w:t xml:space="preserve">. </w:t>
      </w:r>
      <w:r w:rsidR="002751CA">
        <w:rPr>
          <w:rFonts w:eastAsia="Times New Roman" w:cs="Arial"/>
          <w:color w:val="2E2E2E"/>
          <w:sz w:val="24"/>
          <w:szCs w:val="24"/>
          <w:shd w:val="clear" w:color="auto" w:fill="FFFFFF"/>
          <w:lang w:val="en-US"/>
        </w:rPr>
        <w:t xml:space="preserve">Direct structural </w:t>
      </w:r>
      <w:r w:rsidR="0059579B">
        <w:rPr>
          <w:rFonts w:eastAsia="Times New Roman" w:cs="Arial"/>
          <w:color w:val="2E2E2E"/>
          <w:sz w:val="24"/>
          <w:szCs w:val="24"/>
          <w:shd w:val="clear" w:color="auto" w:fill="FFFFFF"/>
          <w:lang w:val="en-US"/>
        </w:rPr>
        <w:t xml:space="preserve">factors such as </w:t>
      </w:r>
      <w:r w:rsidR="002751CA">
        <w:rPr>
          <w:rFonts w:eastAsia="Times New Roman" w:cs="Arial"/>
          <w:color w:val="2E2E2E"/>
          <w:sz w:val="24"/>
          <w:szCs w:val="24"/>
          <w:shd w:val="clear" w:color="auto" w:fill="FFFFFF"/>
          <w:lang w:val="en-US"/>
        </w:rPr>
        <w:t xml:space="preserve">student </w:t>
      </w:r>
      <w:r w:rsidRPr="00D54B58">
        <w:rPr>
          <w:rFonts w:eastAsia="Times New Roman" w:cs="Arial"/>
          <w:color w:val="2E2E2E"/>
          <w:sz w:val="24"/>
          <w:szCs w:val="24"/>
          <w:shd w:val="clear" w:color="auto" w:fill="FFFFFF"/>
          <w:lang w:val="en-US"/>
        </w:rPr>
        <w:t>accommodation type</w:t>
      </w:r>
      <w:r w:rsidR="0059579B">
        <w:rPr>
          <w:rFonts w:eastAsia="Times New Roman" w:cs="Arial"/>
          <w:color w:val="2E2E2E"/>
          <w:sz w:val="24"/>
          <w:szCs w:val="24"/>
          <w:shd w:val="clear" w:color="auto" w:fill="FFFFFF"/>
          <w:lang w:val="en-US"/>
        </w:rPr>
        <w:t xml:space="preserve"> </w:t>
      </w:r>
      <w:r w:rsidR="002751CA">
        <w:rPr>
          <w:rFonts w:eastAsia="Times New Roman" w:cs="Arial"/>
          <w:color w:val="2E2E2E"/>
          <w:sz w:val="24"/>
          <w:szCs w:val="24"/>
          <w:shd w:val="clear" w:color="auto" w:fill="FFFFFF"/>
          <w:lang w:val="en-US"/>
        </w:rPr>
        <w:t xml:space="preserve">for example, </w:t>
      </w:r>
      <w:r w:rsidR="000909F3">
        <w:rPr>
          <w:rFonts w:eastAsia="Times New Roman" w:cs="Arial"/>
          <w:color w:val="2E2E2E"/>
          <w:sz w:val="24"/>
          <w:szCs w:val="24"/>
          <w:shd w:val="clear" w:color="auto" w:fill="FFFFFF"/>
          <w:lang w:val="en-US"/>
        </w:rPr>
        <w:t>were</w:t>
      </w:r>
      <w:r w:rsidR="002751CA">
        <w:rPr>
          <w:rFonts w:eastAsia="Times New Roman" w:cs="Arial"/>
          <w:color w:val="2E2E2E"/>
          <w:sz w:val="24"/>
          <w:szCs w:val="24"/>
          <w:shd w:val="clear" w:color="auto" w:fill="FFFFFF"/>
          <w:lang w:val="en-US"/>
        </w:rPr>
        <w:t xml:space="preserve"> found to</w:t>
      </w:r>
      <w:r w:rsidR="002751CA">
        <w:rPr>
          <w:rFonts w:ascii="MS Mincho" w:eastAsia="MS Mincho" w:hAnsi="MS Mincho" w:cs="MS Mincho"/>
          <w:color w:val="2E2E2E"/>
          <w:sz w:val="24"/>
          <w:szCs w:val="24"/>
          <w:shd w:val="clear" w:color="auto" w:fill="FFFFFF"/>
          <w:lang w:val="en-US"/>
        </w:rPr>
        <w:t xml:space="preserve"> </w:t>
      </w:r>
      <w:r w:rsidR="00600012">
        <w:rPr>
          <w:rFonts w:eastAsia="Times New Roman" w:cs="Arial"/>
          <w:color w:val="2E2E2E"/>
          <w:sz w:val="24"/>
          <w:szCs w:val="24"/>
          <w:shd w:val="clear" w:color="auto" w:fill="FFFFFF"/>
          <w:lang w:val="en-US"/>
        </w:rPr>
        <w:t>increase/</w:t>
      </w:r>
      <w:r w:rsidR="000909F3">
        <w:rPr>
          <w:rFonts w:eastAsia="Times New Roman" w:cs="Arial"/>
          <w:color w:val="2E2E2E"/>
          <w:sz w:val="24"/>
          <w:szCs w:val="24"/>
          <w:shd w:val="clear" w:color="auto" w:fill="FFFFFF"/>
          <w:lang w:val="en-US"/>
        </w:rPr>
        <w:t>mitigate</w:t>
      </w:r>
      <w:r w:rsidR="000909F3" w:rsidRPr="00D54B58">
        <w:rPr>
          <w:rFonts w:eastAsia="Times New Roman" w:cs="Arial"/>
          <w:color w:val="2E2E2E"/>
          <w:sz w:val="24"/>
          <w:szCs w:val="24"/>
          <w:shd w:val="clear" w:color="auto" w:fill="FFFFFF"/>
          <w:lang w:val="en-US"/>
        </w:rPr>
        <w:t xml:space="preserve"> </w:t>
      </w:r>
      <w:r w:rsidRPr="00D54B58">
        <w:rPr>
          <w:rFonts w:eastAsia="Times New Roman" w:cs="Arial"/>
          <w:color w:val="2E2E2E"/>
          <w:sz w:val="24"/>
          <w:szCs w:val="24"/>
          <w:shd w:val="clear" w:color="auto" w:fill="FFFFFF"/>
          <w:lang w:val="en-US"/>
        </w:rPr>
        <w:t>drinking levels</w:t>
      </w:r>
      <w:r w:rsidR="00600012">
        <w:rPr>
          <w:rFonts w:eastAsia="Times New Roman" w:cs="Arial"/>
          <w:color w:val="2E2E2E"/>
          <w:sz w:val="24"/>
          <w:szCs w:val="24"/>
          <w:shd w:val="clear" w:color="auto" w:fill="FFFFFF"/>
          <w:lang w:val="en-US"/>
        </w:rPr>
        <w:t>,</w:t>
      </w:r>
      <w:r w:rsidRPr="00D54B58">
        <w:rPr>
          <w:rFonts w:eastAsia="Times New Roman" w:cs="Arial"/>
          <w:color w:val="2E2E2E"/>
          <w:sz w:val="24"/>
          <w:szCs w:val="24"/>
          <w:shd w:val="clear" w:color="auto" w:fill="FFFFFF"/>
          <w:lang w:val="en-US"/>
        </w:rPr>
        <w:t xml:space="preserve"> </w:t>
      </w:r>
      <w:r w:rsidR="0059579B">
        <w:rPr>
          <w:rFonts w:eastAsia="Times New Roman" w:cs="Arial"/>
          <w:color w:val="2E2E2E"/>
          <w:sz w:val="24"/>
          <w:szCs w:val="24"/>
          <w:shd w:val="clear" w:color="auto" w:fill="FFFFFF"/>
          <w:lang w:val="en-US"/>
        </w:rPr>
        <w:t xml:space="preserve">with </w:t>
      </w:r>
      <w:r w:rsidR="000909F3">
        <w:rPr>
          <w:rFonts w:eastAsia="Times New Roman" w:cs="Arial"/>
          <w:color w:val="2E2E2E"/>
          <w:sz w:val="24"/>
          <w:szCs w:val="24"/>
          <w:shd w:val="clear" w:color="auto" w:fill="FFFFFF"/>
          <w:lang w:val="en-US"/>
        </w:rPr>
        <w:t xml:space="preserve">university </w:t>
      </w:r>
      <w:r w:rsidRPr="00D54B58">
        <w:rPr>
          <w:rFonts w:eastAsia="Times New Roman" w:cs="Arial"/>
          <w:color w:val="2E2E2E"/>
          <w:sz w:val="24"/>
          <w:szCs w:val="24"/>
          <w:shd w:val="clear" w:color="auto" w:fill="FFFFFF"/>
          <w:lang w:val="en-US"/>
        </w:rPr>
        <w:t xml:space="preserve">halls of residence </w:t>
      </w:r>
      <w:r w:rsidR="00600012">
        <w:rPr>
          <w:rFonts w:eastAsia="Times New Roman" w:cs="Arial"/>
          <w:color w:val="2E2E2E"/>
          <w:sz w:val="24"/>
          <w:szCs w:val="24"/>
          <w:shd w:val="clear" w:color="auto" w:fill="FFFFFF"/>
          <w:lang w:val="en-US"/>
        </w:rPr>
        <w:t xml:space="preserve">and </w:t>
      </w:r>
      <w:r w:rsidR="0059579B">
        <w:rPr>
          <w:rFonts w:eastAsia="Times New Roman" w:cs="Arial"/>
          <w:color w:val="2E2E2E"/>
          <w:sz w:val="24"/>
          <w:szCs w:val="24"/>
          <w:shd w:val="clear" w:color="auto" w:fill="FFFFFF"/>
          <w:lang w:val="en-US"/>
        </w:rPr>
        <w:t xml:space="preserve">large shared houses carrying </w:t>
      </w:r>
      <w:r w:rsidR="00600012">
        <w:rPr>
          <w:rFonts w:eastAsia="Times New Roman" w:cs="Arial"/>
          <w:color w:val="2E2E2E"/>
          <w:sz w:val="24"/>
          <w:szCs w:val="24"/>
          <w:shd w:val="clear" w:color="auto" w:fill="FFFFFF"/>
          <w:lang w:val="en-US"/>
        </w:rPr>
        <w:t>most risk.</w:t>
      </w:r>
      <w:r w:rsidRPr="00D54B58">
        <w:rPr>
          <w:rFonts w:eastAsia="Times New Roman" w:cs="Arial"/>
          <w:color w:val="2E2E2E"/>
          <w:sz w:val="24"/>
          <w:szCs w:val="24"/>
          <w:shd w:val="clear" w:color="auto" w:fill="FFFFFF"/>
          <w:lang w:val="en-US"/>
        </w:rPr>
        <w:t xml:space="preserve"> </w:t>
      </w:r>
      <w:r w:rsidR="00600012">
        <w:rPr>
          <w:rFonts w:eastAsia="Times New Roman" w:cs="Arial"/>
          <w:color w:val="2E2E2E"/>
          <w:sz w:val="24"/>
          <w:szCs w:val="24"/>
          <w:shd w:val="clear" w:color="auto" w:fill="FFFFFF"/>
          <w:lang w:val="en-US"/>
        </w:rPr>
        <w:t>A</w:t>
      </w:r>
      <w:r w:rsidR="0093436D">
        <w:rPr>
          <w:rFonts w:eastAsia="Times New Roman" w:cs="Arial"/>
          <w:color w:val="2E2E2E"/>
          <w:sz w:val="24"/>
          <w:szCs w:val="24"/>
          <w:shd w:val="clear" w:color="auto" w:fill="FFFFFF"/>
          <w:lang w:val="en-US"/>
        </w:rPr>
        <w:t>t a socio</w:t>
      </w:r>
      <w:r w:rsidR="00600012">
        <w:rPr>
          <w:rFonts w:eastAsia="Times New Roman" w:cs="Arial"/>
          <w:color w:val="2E2E2E"/>
          <w:sz w:val="24"/>
          <w:szCs w:val="24"/>
          <w:shd w:val="clear" w:color="auto" w:fill="FFFFFF"/>
          <w:lang w:val="en-US"/>
        </w:rPr>
        <w:t>-</w:t>
      </w:r>
      <w:r w:rsidR="006366D0">
        <w:rPr>
          <w:rFonts w:eastAsia="Times New Roman" w:cs="Arial"/>
          <w:color w:val="2E2E2E"/>
          <w:sz w:val="24"/>
          <w:szCs w:val="24"/>
          <w:shd w:val="clear" w:color="auto" w:fill="FFFFFF"/>
          <w:lang w:val="en-US"/>
        </w:rPr>
        <w:t>cultural level</w:t>
      </w:r>
      <w:r w:rsidR="00600012">
        <w:rPr>
          <w:rFonts w:eastAsia="Times New Roman" w:cs="Arial"/>
          <w:color w:val="2E2E2E"/>
          <w:sz w:val="24"/>
          <w:szCs w:val="24"/>
          <w:shd w:val="clear" w:color="auto" w:fill="FFFFFF"/>
          <w:lang w:val="en-US"/>
        </w:rPr>
        <w:t>,</w:t>
      </w:r>
      <w:r w:rsidR="0059579B">
        <w:rPr>
          <w:rFonts w:eastAsia="Times New Roman" w:cs="Arial"/>
          <w:color w:val="2E2E2E"/>
          <w:sz w:val="24"/>
          <w:szCs w:val="24"/>
          <w:shd w:val="clear" w:color="auto" w:fill="FFFFFF"/>
          <w:lang w:val="en-US"/>
        </w:rPr>
        <w:t xml:space="preserve"> </w:t>
      </w:r>
      <w:r w:rsidRPr="00D54B58">
        <w:rPr>
          <w:rFonts w:eastAsia="Times New Roman" w:cs="Arial"/>
          <w:color w:val="2E2E2E"/>
          <w:sz w:val="24"/>
          <w:szCs w:val="24"/>
          <w:shd w:val="clear" w:color="auto" w:fill="FFFFFF"/>
          <w:lang w:val="en-US"/>
        </w:rPr>
        <w:t>students</w:t>
      </w:r>
      <w:r w:rsidR="00600012">
        <w:rPr>
          <w:rFonts w:eastAsia="Times New Roman" w:cs="Arial"/>
          <w:color w:val="2E2E2E"/>
          <w:sz w:val="24"/>
          <w:szCs w:val="24"/>
          <w:shd w:val="clear" w:color="auto" w:fill="FFFFFF"/>
          <w:lang w:val="en-US"/>
        </w:rPr>
        <w:t xml:space="preserve"> also</w:t>
      </w:r>
      <w:r w:rsidRPr="00D54B58">
        <w:rPr>
          <w:rFonts w:eastAsia="Times New Roman" w:cs="Arial"/>
          <w:color w:val="2E2E2E"/>
          <w:sz w:val="24"/>
          <w:szCs w:val="24"/>
          <w:shd w:val="clear" w:color="auto" w:fill="FFFFFF"/>
          <w:lang w:val="en-US"/>
        </w:rPr>
        <w:t xml:space="preserve"> felt that</w:t>
      </w:r>
      <w:r w:rsidR="0059579B">
        <w:rPr>
          <w:rFonts w:eastAsia="Times New Roman" w:cs="Arial"/>
          <w:color w:val="2E2E2E"/>
          <w:sz w:val="24"/>
          <w:szCs w:val="24"/>
          <w:shd w:val="clear" w:color="auto" w:fill="FFFFFF"/>
          <w:lang w:val="en-US"/>
        </w:rPr>
        <w:t xml:space="preserve"> the university context provided</w:t>
      </w:r>
      <w:r w:rsidRPr="00D54B58">
        <w:rPr>
          <w:rFonts w:eastAsia="Times New Roman" w:cs="Arial"/>
          <w:color w:val="2E2E2E"/>
          <w:sz w:val="24"/>
          <w:szCs w:val="24"/>
          <w:shd w:val="clear" w:color="auto" w:fill="FFFFFF"/>
          <w:lang w:val="en-US"/>
        </w:rPr>
        <w:t xml:space="preserve"> a </w:t>
      </w:r>
      <w:r w:rsidR="0059579B">
        <w:rPr>
          <w:rFonts w:eastAsia="Times New Roman" w:cs="Arial"/>
          <w:color w:val="2E2E2E"/>
          <w:sz w:val="24"/>
          <w:szCs w:val="24"/>
          <w:shd w:val="clear" w:color="auto" w:fill="FFFFFF"/>
          <w:lang w:val="en-US"/>
        </w:rPr>
        <w:t>‘</w:t>
      </w:r>
      <w:r w:rsidRPr="00D54B58">
        <w:rPr>
          <w:rFonts w:eastAsia="Times New Roman" w:cs="Arial"/>
          <w:color w:val="2E2E2E"/>
          <w:sz w:val="24"/>
          <w:szCs w:val="24"/>
          <w:shd w:val="clear" w:color="auto" w:fill="FFFFFF"/>
          <w:lang w:val="en-US"/>
        </w:rPr>
        <w:t>heavier drinking culture</w:t>
      </w:r>
      <w:r w:rsidR="0059579B">
        <w:rPr>
          <w:rFonts w:eastAsia="Times New Roman" w:cs="Arial"/>
          <w:color w:val="2E2E2E"/>
          <w:sz w:val="24"/>
          <w:szCs w:val="24"/>
          <w:shd w:val="clear" w:color="auto" w:fill="FFFFFF"/>
          <w:lang w:val="en-US"/>
        </w:rPr>
        <w:t>’</w:t>
      </w:r>
      <w:r w:rsidRPr="00D54B58">
        <w:rPr>
          <w:rFonts w:eastAsia="Times New Roman" w:cs="Arial"/>
          <w:color w:val="2E2E2E"/>
          <w:sz w:val="24"/>
          <w:szCs w:val="24"/>
          <w:shd w:val="clear" w:color="auto" w:fill="FFFFFF"/>
          <w:lang w:val="en-US"/>
        </w:rPr>
        <w:t xml:space="preserve"> compared to non-university contexts</w:t>
      </w:r>
      <w:r w:rsidR="00432608">
        <w:rPr>
          <w:rFonts w:eastAsia="Times New Roman" w:cs="Arial"/>
          <w:color w:val="2E2E2E"/>
          <w:sz w:val="24"/>
          <w:szCs w:val="24"/>
          <w:shd w:val="clear" w:color="auto" w:fill="FFFFFF"/>
          <w:lang w:val="en-US"/>
        </w:rPr>
        <w:t>,</w:t>
      </w:r>
      <w:r w:rsidR="00BB01F3">
        <w:rPr>
          <w:rFonts w:eastAsia="Times New Roman" w:cs="Arial"/>
          <w:color w:val="2E2E2E"/>
          <w:sz w:val="24"/>
          <w:szCs w:val="24"/>
          <w:shd w:val="clear" w:color="auto" w:fill="FFFFFF"/>
          <w:lang w:val="en-US"/>
        </w:rPr>
        <w:t xml:space="preserve"> and</w:t>
      </w:r>
      <w:r w:rsidR="00432608">
        <w:rPr>
          <w:rFonts w:eastAsia="Times New Roman" w:cs="Arial"/>
          <w:color w:val="2E2E2E"/>
          <w:sz w:val="24"/>
          <w:szCs w:val="24"/>
          <w:shd w:val="clear" w:color="auto" w:fill="FFFFFF"/>
          <w:lang w:val="en-US"/>
        </w:rPr>
        <w:t xml:space="preserve"> </w:t>
      </w:r>
      <w:r w:rsidR="000909F3">
        <w:rPr>
          <w:rFonts w:eastAsia="Times New Roman" w:cs="Arial"/>
          <w:color w:val="2E2E2E"/>
          <w:sz w:val="24"/>
          <w:szCs w:val="24"/>
          <w:shd w:val="clear" w:color="auto" w:fill="FFFFFF"/>
          <w:lang w:val="en-US"/>
        </w:rPr>
        <w:t xml:space="preserve">active, but even tangential, </w:t>
      </w:r>
      <w:r w:rsidR="00432608">
        <w:rPr>
          <w:rFonts w:eastAsia="Times New Roman" w:cs="Arial"/>
          <w:color w:val="2E2E2E"/>
          <w:sz w:val="24"/>
          <w:szCs w:val="24"/>
          <w:shd w:val="clear" w:color="auto" w:fill="FFFFFF"/>
          <w:lang w:val="en-US"/>
        </w:rPr>
        <w:t>participation in</w:t>
      </w:r>
      <w:r w:rsidR="00BB01F3">
        <w:rPr>
          <w:rFonts w:eastAsia="Times New Roman" w:cs="Arial"/>
          <w:color w:val="2E2E2E"/>
          <w:sz w:val="24"/>
          <w:szCs w:val="24"/>
          <w:shd w:val="clear" w:color="auto" w:fill="FFFFFF"/>
          <w:lang w:val="en-US"/>
        </w:rPr>
        <w:t xml:space="preserve"> ‘societies and clubs’</w:t>
      </w:r>
      <w:r w:rsidR="00432608">
        <w:rPr>
          <w:rFonts w:eastAsia="Times New Roman" w:cs="Arial"/>
          <w:color w:val="2E2E2E"/>
          <w:sz w:val="24"/>
          <w:szCs w:val="24"/>
          <w:shd w:val="clear" w:color="auto" w:fill="FFFFFF"/>
          <w:lang w:val="en-US"/>
        </w:rPr>
        <w:t xml:space="preserve"> was found to be especially risky</w:t>
      </w:r>
      <w:r w:rsidRPr="00D54B58">
        <w:rPr>
          <w:rFonts w:eastAsia="Times New Roman" w:cs="Arial"/>
          <w:color w:val="2E2E2E"/>
          <w:sz w:val="24"/>
          <w:szCs w:val="24"/>
          <w:shd w:val="clear" w:color="auto" w:fill="FFFFFF"/>
          <w:lang w:val="en-US"/>
        </w:rPr>
        <w:t>.</w:t>
      </w:r>
      <w:r w:rsidR="0059579B">
        <w:rPr>
          <w:rFonts w:eastAsia="Times New Roman" w:cs="Arial"/>
          <w:color w:val="2E2E2E"/>
          <w:sz w:val="24"/>
          <w:szCs w:val="24"/>
          <w:shd w:val="clear" w:color="auto" w:fill="FFFFFF"/>
          <w:lang w:val="en-US"/>
        </w:rPr>
        <w:t xml:space="preserve"> In addition to alcohol use</w:t>
      </w:r>
      <w:r w:rsidR="007664E4" w:rsidRPr="00DF48D7">
        <w:rPr>
          <w:rFonts w:cs="Arial"/>
          <w:sz w:val="24"/>
          <w:lang w:eastAsia="en-GB"/>
        </w:rPr>
        <w:t xml:space="preserve">, data suggests that nationally and internationally, students are more likely to exhibit higher </w:t>
      </w:r>
      <w:r w:rsidR="00432608">
        <w:rPr>
          <w:rFonts w:cs="Arial"/>
          <w:sz w:val="24"/>
          <w:lang w:eastAsia="en-GB"/>
        </w:rPr>
        <w:t>illicit</w:t>
      </w:r>
      <w:r w:rsidR="00BB01F3">
        <w:rPr>
          <w:rFonts w:cs="Arial"/>
          <w:sz w:val="24"/>
          <w:lang w:eastAsia="en-GB"/>
        </w:rPr>
        <w:t xml:space="preserve"> </w:t>
      </w:r>
      <w:r w:rsidR="007664E4" w:rsidRPr="00DF48D7">
        <w:rPr>
          <w:rFonts w:cs="Arial"/>
          <w:sz w:val="24"/>
          <w:lang w:eastAsia="en-GB"/>
        </w:rPr>
        <w:t>drug use than the general population (Birch et al</w:t>
      </w:r>
      <w:r w:rsidR="007664E4">
        <w:rPr>
          <w:rFonts w:cs="Arial"/>
          <w:sz w:val="24"/>
          <w:lang w:eastAsia="en-GB"/>
        </w:rPr>
        <w:t>.</w:t>
      </w:r>
      <w:r w:rsidR="007664E4" w:rsidRPr="00DF48D7">
        <w:rPr>
          <w:rFonts w:cs="Arial"/>
          <w:sz w:val="24"/>
          <w:lang w:eastAsia="en-GB"/>
        </w:rPr>
        <w:t xml:space="preserve"> 2001; Johnson et al 2012)</w:t>
      </w:r>
      <w:r w:rsidR="00B711A2">
        <w:rPr>
          <w:rFonts w:cs="Arial"/>
          <w:sz w:val="24"/>
          <w:lang w:eastAsia="en-GB"/>
        </w:rPr>
        <w:t>.</w:t>
      </w:r>
      <w:r w:rsidR="007664E4" w:rsidRPr="00DF48D7">
        <w:rPr>
          <w:rFonts w:cs="Arial"/>
          <w:sz w:val="24"/>
          <w:lang w:eastAsia="en-GB"/>
        </w:rPr>
        <w:t xml:space="preserve"> </w:t>
      </w:r>
      <w:r w:rsidR="000A640E">
        <w:rPr>
          <w:rFonts w:cs="Arial"/>
          <w:sz w:val="24"/>
          <w:lang w:eastAsia="en-GB"/>
        </w:rPr>
        <w:t>According to Bennett (2014), drug involvement amongst non-students peaks between the ages of 18-20 then begin</w:t>
      </w:r>
      <w:r w:rsidR="00B47844">
        <w:rPr>
          <w:rFonts w:cs="Arial"/>
          <w:sz w:val="24"/>
          <w:lang w:eastAsia="en-GB"/>
        </w:rPr>
        <w:t>s</w:t>
      </w:r>
      <w:r w:rsidR="000A640E">
        <w:rPr>
          <w:rFonts w:cs="Arial"/>
          <w:sz w:val="24"/>
          <w:lang w:eastAsia="en-GB"/>
        </w:rPr>
        <w:t xml:space="preserve"> to decline. In contrast, drug use prevalence amon</w:t>
      </w:r>
      <w:r w:rsidR="004A7BA4">
        <w:rPr>
          <w:rFonts w:cs="Arial"/>
          <w:sz w:val="24"/>
          <w:lang w:eastAsia="en-GB"/>
        </w:rPr>
        <w:t>g</w:t>
      </w:r>
      <w:r w:rsidR="000A640E">
        <w:rPr>
          <w:rFonts w:cs="Arial"/>
          <w:sz w:val="24"/>
          <w:lang w:eastAsia="en-GB"/>
        </w:rPr>
        <w:t xml:space="preserve">st university students </w:t>
      </w:r>
      <w:r w:rsidR="004A7BA4">
        <w:rPr>
          <w:rFonts w:cs="Arial"/>
          <w:sz w:val="24"/>
          <w:lang w:eastAsia="en-GB"/>
        </w:rPr>
        <w:t>remains stable or ‘continues to increase for a few more years until around age 22, where it too starts to decline’ (1).</w:t>
      </w:r>
      <w:r w:rsidR="00BB01F3">
        <w:rPr>
          <w:rFonts w:cs="Arial"/>
          <w:sz w:val="24"/>
          <w:lang w:eastAsia="en-GB"/>
        </w:rPr>
        <w:t xml:space="preserve"> </w:t>
      </w:r>
      <w:r w:rsidR="00B711A2" w:rsidRPr="00DF48D7">
        <w:rPr>
          <w:rFonts w:cs="Arial"/>
          <w:sz w:val="24"/>
          <w:lang w:eastAsia="en-GB"/>
        </w:rPr>
        <w:t>In a recent study exploring the characteristics</w:t>
      </w:r>
      <w:r w:rsidR="00B711A2">
        <w:rPr>
          <w:rFonts w:cs="Arial"/>
          <w:sz w:val="24"/>
          <w:lang w:eastAsia="en-GB"/>
        </w:rPr>
        <w:t xml:space="preserve"> and correlates of drug use in seven</w:t>
      </w:r>
      <w:r w:rsidR="00B711A2" w:rsidRPr="00DF48D7">
        <w:rPr>
          <w:rFonts w:cs="Arial"/>
          <w:sz w:val="24"/>
          <w:lang w:eastAsia="en-GB"/>
        </w:rPr>
        <w:t xml:space="preserve"> universities in Wa</w:t>
      </w:r>
      <w:r w:rsidR="00DA6FDF">
        <w:rPr>
          <w:rFonts w:cs="Arial"/>
          <w:sz w:val="24"/>
          <w:lang w:eastAsia="en-GB"/>
        </w:rPr>
        <w:t>les, Bennett and Holloway (2017</w:t>
      </w:r>
      <w:r w:rsidR="00B711A2" w:rsidRPr="00DF48D7">
        <w:rPr>
          <w:rFonts w:cs="Arial"/>
          <w:sz w:val="24"/>
          <w:lang w:eastAsia="en-GB"/>
        </w:rPr>
        <w:t>) reported cannabis, ecstasy, nitrous oxide and powder cocaine as the most widely used illicit drug across all sites, noting the significant variation in prevalence recorded in different institutions.</w:t>
      </w:r>
      <w:r w:rsidR="006724B1">
        <w:rPr>
          <w:rFonts w:cs="Arial"/>
          <w:sz w:val="24"/>
          <w:lang w:eastAsia="en-GB"/>
        </w:rPr>
        <w:t xml:space="preserve"> </w:t>
      </w:r>
      <w:r w:rsidR="00586B08">
        <w:rPr>
          <w:rFonts w:cs="Arial"/>
          <w:sz w:val="24"/>
          <w:lang w:eastAsia="en-GB"/>
        </w:rPr>
        <w:t xml:space="preserve">Though </w:t>
      </w:r>
      <w:r w:rsidR="0045662A" w:rsidRPr="0045662A">
        <w:rPr>
          <w:rFonts w:cs="Arial"/>
          <w:sz w:val="24"/>
          <w:lang w:val="en-US" w:eastAsia="en-GB"/>
        </w:rPr>
        <w:t xml:space="preserve">little </w:t>
      </w:r>
      <w:r w:rsidR="006724B1">
        <w:rPr>
          <w:rFonts w:cs="Arial"/>
          <w:sz w:val="24"/>
          <w:lang w:val="en-US" w:eastAsia="en-GB"/>
        </w:rPr>
        <w:t xml:space="preserve">is </w:t>
      </w:r>
      <w:r w:rsidR="0045662A" w:rsidRPr="0045662A">
        <w:rPr>
          <w:rFonts w:cs="Arial"/>
          <w:sz w:val="24"/>
          <w:lang w:val="en-US" w:eastAsia="en-GB"/>
        </w:rPr>
        <w:t>known about illegal drug taking among students in further and higher education in the UK</w:t>
      </w:r>
      <w:r w:rsidR="006724B1">
        <w:rPr>
          <w:rFonts w:cs="Arial"/>
          <w:sz w:val="24"/>
          <w:lang w:val="en-US" w:eastAsia="en-GB"/>
        </w:rPr>
        <w:t xml:space="preserve"> (Bennett and Holloway, 2014),</w:t>
      </w:r>
      <w:r w:rsidR="00B47844">
        <w:rPr>
          <w:rFonts w:cs="Arial"/>
          <w:sz w:val="24"/>
          <w:lang w:val="en-US" w:eastAsia="en-GB"/>
        </w:rPr>
        <w:t xml:space="preserve"> there exists a</w:t>
      </w:r>
      <w:r w:rsidR="00465B96">
        <w:rPr>
          <w:rFonts w:cs="Arial"/>
          <w:sz w:val="24"/>
          <w:lang w:val="en-US" w:eastAsia="en-GB"/>
        </w:rPr>
        <w:t xml:space="preserve"> </w:t>
      </w:r>
      <w:r w:rsidR="00974ACA">
        <w:rPr>
          <w:rFonts w:cs="Arial"/>
          <w:sz w:val="24"/>
          <w:lang w:val="en-US" w:eastAsia="en-GB"/>
        </w:rPr>
        <w:t xml:space="preserve">residual </w:t>
      </w:r>
      <w:r w:rsidR="00465B96">
        <w:rPr>
          <w:rFonts w:cs="Arial"/>
          <w:sz w:val="24"/>
          <w:lang w:val="en-US" w:eastAsia="en-GB"/>
        </w:rPr>
        <w:t xml:space="preserve">curiosity surrounding </w:t>
      </w:r>
      <w:r w:rsidR="00127213">
        <w:rPr>
          <w:rFonts w:cs="Arial"/>
          <w:sz w:val="24"/>
          <w:lang w:val="en-US" w:eastAsia="en-GB"/>
        </w:rPr>
        <w:t>student drug use</w:t>
      </w:r>
      <w:r w:rsidR="00974ACA">
        <w:rPr>
          <w:rFonts w:cs="Arial"/>
          <w:sz w:val="24"/>
          <w:lang w:val="en-US" w:eastAsia="en-GB"/>
        </w:rPr>
        <w:t xml:space="preserve"> (see Daly 2015)</w:t>
      </w:r>
      <w:r w:rsidR="00127213">
        <w:rPr>
          <w:rFonts w:cs="Arial"/>
          <w:sz w:val="24"/>
          <w:lang w:val="en-US" w:eastAsia="en-GB"/>
        </w:rPr>
        <w:t>, and</w:t>
      </w:r>
      <w:r w:rsidR="00B711A2" w:rsidRPr="00DF48D7">
        <w:rPr>
          <w:rFonts w:ascii="Helvetica" w:eastAsia="Times New Roman" w:hAnsi="Helvetica"/>
          <w:color w:val="333333"/>
          <w:sz w:val="24"/>
          <w:lang w:eastAsia="en-GB"/>
        </w:rPr>
        <w:t xml:space="preserve"> </w:t>
      </w:r>
      <w:r w:rsidR="006366D0">
        <w:rPr>
          <w:rFonts w:cs="Arial"/>
          <w:sz w:val="24"/>
          <w:lang w:eastAsia="en-GB"/>
        </w:rPr>
        <w:t>r</w:t>
      </w:r>
      <w:r w:rsidR="00B711A2" w:rsidRPr="00DF48D7">
        <w:rPr>
          <w:rFonts w:cs="Arial"/>
          <w:sz w:val="24"/>
          <w:lang w:eastAsia="en-GB"/>
        </w:rPr>
        <w:t xml:space="preserve">ecently there has been a surge of media interest in so-called </w:t>
      </w:r>
      <w:r w:rsidR="00B47844">
        <w:rPr>
          <w:rFonts w:cs="Arial"/>
          <w:sz w:val="24"/>
          <w:lang w:eastAsia="en-GB"/>
        </w:rPr>
        <w:t>‘</w:t>
      </w:r>
      <w:r w:rsidR="00B711A2" w:rsidRPr="00DF48D7">
        <w:rPr>
          <w:rFonts w:cs="Arial"/>
          <w:sz w:val="24"/>
          <w:lang w:eastAsia="en-GB"/>
        </w:rPr>
        <w:t>study drugs</w:t>
      </w:r>
      <w:r w:rsidR="00B47844">
        <w:rPr>
          <w:rFonts w:cs="Arial"/>
          <w:sz w:val="24"/>
          <w:lang w:eastAsia="en-GB"/>
        </w:rPr>
        <w:t>’</w:t>
      </w:r>
      <w:r w:rsidR="00B711A2" w:rsidRPr="00DF48D7">
        <w:rPr>
          <w:rFonts w:cs="Arial"/>
          <w:sz w:val="24"/>
          <w:lang w:eastAsia="en-GB"/>
        </w:rPr>
        <w:t xml:space="preserve"> such as Adderall and Modafil</w:t>
      </w:r>
      <w:r w:rsidR="00B47844">
        <w:rPr>
          <w:rFonts w:cs="Arial"/>
          <w:sz w:val="24"/>
          <w:lang w:eastAsia="en-GB"/>
        </w:rPr>
        <w:t xml:space="preserve"> </w:t>
      </w:r>
      <w:r w:rsidR="00B47844" w:rsidRPr="00DF48D7">
        <w:rPr>
          <w:rFonts w:cs="Arial"/>
          <w:sz w:val="24"/>
          <w:lang w:eastAsia="en-GB"/>
        </w:rPr>
        <w:t>(</w:t>
      </w:r>
      <w:r w:rsidR="004A7A47">
        <w:rPr>
          <w:rFonts w:cs="Arial"/>
          <w:sz w:val="24"/>
          <w:lang w:eastAsia="en-GB"/>
        </w:rPr>
        <w:t xml:space="preserve">e.g. </w:t>
      </w:r>
      <w:r w:rsidR="00197631">
        <w:rPr>
          <w:rFonts w:cs="Arial"/>
          <w:sz w:val="24"/>
          <w:lang w:eastAsia="en-GB"/>
        </w:rPr>
        <w:t>Whitehouse, 2016</w:t>
      </w:r>
      <w:r w:rsidR="00B47844" w:rsidRPr="00DF48D7">
        <w:rPr>
          <w:rFonts w:cs="Arial"/>
          <w:sz w:val="24"/>
          <w:lang w:eastAsia="en-GB"/>
        </w:rPr>
        <w:t>)</w:t>
      </w:r>
      <w:r w:rsidR="00B711A2" w:rsidRPr="00DF48D7">
        <w:rPr>
          <w:rFonts w:cs="Arial"/>
          <w:sz w:val="24"/>
          <w:lang w:eastAsia="en-GB"/>
        </w:rPr>
        <w:t>, with reports suggesting students in the US and UK are experimenting with these substances to improve concentration and enhance their academic performance</w:t>
      </w:r>
      <w:r w:rsidR="00B711A2">
        <w:rPr>
          <w:rFonts w:cs="Arial"/>
          <w:sz w:val="24"/>
          <w:lang w:eastAsia="en-GB"/>
        </w:rPr>
        <w:t>.</w:t>
      </w:r>
      <w:r w:rsidR="00974ACA">
        <w:rPr>
          <w:rFonts w:cs="Arial"/>
          <w:sz w:val="24"/>
          <w:lang w:eastAsia="en-GB"/>
        </w:rPr>
        <w:t xml:space="preserve"> </w:t>
      </w:r>
      <w:r w:rsidR="00C95004">
        <w:rPr>
          <w:rFonts w:cs="Arial"/>
          <w:sz w:val="24"/>
          <w:lang w:eastAsia="en-GB"/>
        </w:rPr>
        <w:t>The emerging</w:t>
      </w:r>
      <w:r w:rsidR="004E1A20">
        <w:rPr>
          <w:rFonts w:cs="Arial"/>
          <w:sz w:val="24"/>
          <w:lang w:eastAsia="en-GB"/>
        </w:rPr>
        <w:t xml:space="preserve"> research</w:t>
      </w:r>
      <w:r w:rsidR="00C95004">
        <w:rPr>
          <w:rFonts w:cs="Arial"/>
          <w:sz w:val="24"/>
          <w:lang w:eastAsia="en-GB"/>
        </w:rPr>
        <w:t xml:space="preserve"> base</w:t>
      </w:r>
      <w:r w:rsidR="00C562AB">
        <w:rPr>
          <w:rFonts w:cs="Arial"/>
          <w:sz w:val="24"/>
          <w:lang w:eastAsia="en-GB"/>
        </w:rPr>
        <w:t xml:space="preserve"> (</w:t>
      </w:r>
      <w:r w:rsidR="003E4513">
        <w:rPr>
          <w:rFonts w:cs="Arial"/>
          <w:sz w:val="24"/>
          <w:lang w:eastAsia="en-GB"/>
        </w:rPr>
        <w:t xml:space="preserve">e.g. </w:t>
      </w:r>
      <w:r w:rsidR="00990036">
        <w:rPr>
          <w:rFonts w:cs="Arial"/>
          <w:sz w:val="24"/>
          <w:lang w:eastAsia="en-GB"/>
        </w:rPr>
        <w:t>Petersen et al., 2017</w:t>
      </w:r>
      <w:r w:rsidR="00C562AB">
        <w:rPr>
          <w:rFonts w:cs="Arial"/>
          <w:sz w:val="24"/>
          <w:lang w:eastAsia="en-GB"/>
        </w:rPr>
        <w:t>)</w:t>
      </w:r>
      <w:r w:rsidR="00C95004">
        <w:rPr>
          <w:rFonts w:cs="Arial"/>
          <w:sz w:val="24"/>
          <w:lang w:eastAsia="en-GB"/>
        </w:rPr>
        <w:t xml:space="preserve"> </w:t>
      </w:r>
      <w:r w:rsidR="00C562AB">
        <w:rPr>
          <w:rFonts w:cs="Arial"/>
          <w:sz w:val="24"/>
          <w:lang w:eastAsia="en-GB"/>
        </w:rPr>
        <w:t>therefore suggests that i</w:t>
      </w:r>
      <w:r w:rsidR="00974ACA" w:rsidRPr="00DF48D7">
        <w:rPr>
          <w:rFonts w:cs="Arial"/>
          <w:sz w:val="24"/>
          <w:lang w:eastAsia="en-GB"/>
        </w:rPr>
        <w:t>n addition to</w:t>
      </w:r>
      <w:r w:rsidR="00EC3F13">
        <w:rPr>
          <w:rFonts w:cs="Arial"/>
          <w:sz w:val="24"/>
          <w:lang w:eastAsia="en-GB"/>
        </w:rPr>
        <w:t xml:space="preserve"> </w:t>
      </w:r>
      <w:r w:rsidR="00C562AB">
        <w:rPr>
          <w:rFonts w:cs="Arial"/>
          <w:sz w:val="24"/>
          <w:lang w:eastAsia="en-GB"/>
        </w:rPr>
        <w:t>embodying</w:t>
      </w:r>
      <w:r w:rsidR="00EC3F13">
        <w:rPr>
          <w:rFonts w:cs="Arial"/>
          <w:sz w:val="24"/>
          <w:lang w:eastAsia="en-GB"/>
        </w:rPr>
        <w:t xml:space="preserve"> an environment that encourages </w:t>
      </w:r>
      <w:r w:rsidR="00C562AB">
        <w:rPr>
          <w:rFonts w:cs="Arial"/>
          <w:sz w:val="24"/>
          <w:lang w:eastAsia="en-GB"/>
        </w:rPr>
        <w:t>‘</w:t>
      </w:r>
      <w:r w:rsidR="006174DA">
        <w:rPr>
          <w:rFonts w:cs="Arial"/>
          <w:sz w:val="24"/>
          <w:lang w:eastAsia="en-GB"/>
        </w:rPr>
        <w:t>subterranean</w:t>
      </w:r>
      <w:r w:rsidR="00EC3F13">
        <w:rPr>
          <w:rFonts w:cs="Arial"/>
          <w:sz w:val="24"/>
          <w:lang w:eastAsia="en-GB"/>
        </w:rPr>
        <w:t xml:space="preserve"> play</w:t>
      </w:r>
      <w:r w:rsidR="00B47844">
        <w:rPr>
          <w:rFonts w:cs="Arial"/>
          <w:sz w:val="24"/>
          <w:lang w:eastAsia="en-GB"/>
        </w:rPr>
        <w:t>’</w:t>
      </w:r>
      <w:r w:rsidR="00EC3F13">
        <w:rPr>
          <w:rFonts w:cs="Arial"/>
          <w:sz w:val="24"/>
          <w:lang w:eastAsia="en-GB"/>
        </w:rPr>
        <w:t xml:space="preserve"> (Young 1971) where students use</w:t>
      </w:r>
      <w:r w:rsidR="00C562AB">
        <w:rPr>
          <w:rFonts w:cs="Arial"/>
          <w:sz w:val="24"/>
          <w:lang w:eastAsia="en-GB"/>
        </w:rPr>
        <w:t xml:space="preserve"> drugs for pleasure</w:t>
      </w:r>
      <w:r w:rsidR="00D85899">
        <w:rPr>
          <w:rFonts w:cs="Arial"/>
          <w:sz w:val="24"/>
          <w:lang w:eastAsia="en-GB"/>
        </w:rPr>
        <w:t xml:space="preserve"> (Duff, 2007</w:t>
      </w:r>
      <w:r w:rsidR="00D4795C">
        <w:rPr>
          <w:rFonts w:cs="Arial"/>
          <w:sz w:val="24"/>
          <w:lang w:eastAsia="en-GB"/>
        </w:rPr>
        <w:t xml:space="preserve">), </w:t>
      </w:r>
      <w:r w:rsidR="00EC3F13">
        <w:rPr>
          <w:rFonts w:cs="Arial"/>
          <w:sz w:val="24"/>
          <w:lang w:eastAsia="en-GB"/>
        </w:rPr>
        <w:t xml:space="preserve">the </w:t>
      </w:r>
      <w:r w:rsidR="00974ACA" w:rsidRPr="00DF48D7">
        <w:rPr>
          <w:rFonts w:ascii="Helvetica" w:eastAsia="Times New Roman" w:hAnsi="Helvetica"/>
          <w:color w:val="333333"/>
          <w:sz w:val="24"/>
          <w:lang w:eastAsia="en-GB"/>
        </w:rPr>
        <w:t>university environment might also facilitate drug use by generating academic str</w:t>
      </w:r>
      <w:r w:rsidR="003A1CA2">
        <w:rPr>
          <w:rFonts w:ascii="Helvetica" w:eastAsia="Times New Roman" w:hAnsi="Helvetica"/>
          <w:color w:val="333333"/>
          <w:sz w:val="24"/>
          <w:lang w:eastAsia="en-GB"/>
        </w:rPr>
        <w:t>ess (Bennett and Holloway, 2017</w:t>
      </w:r>
      <w:r w:rsidR="00974ACA">
        <w:rPr>
          <w:rFonts w:ascii="Helvetica" w:eastAsia="Times New Roman" w:hAnsi="Helvetica"/>
          <w:color w:val="333333"/>
          <w:sz w:val="24"/>
          <w:lang w:eastAsia="en-GB"/>
        </w:rPr>
        <w:t>)</w:t>
      </w:r>
      <w:r w:rsidR="00C562AB">
        <w:rPr>
          <w:rFonts w:ascii="Helvetica" w:eastAsia="Times New Roman" w:hAnsi="Helvetica"/>
          <w:color w:val="333333"/>
          <w:sz w:val="24"/>
          <w:lang w:eastAsia="en-GB"/>
        </w:rPr>
        <w:t>.</w:t>
      </w:r>
    </w:p>
    <w:p w14:paraId="7A5DB2E3" w14:textId="77777777" w:rsidR="00A85FFB" w:rsidRDefault="00A85FFB" w:rsidP="00574983">
      <w:pPr>
        <w:spacing w:after="0"/>
        <w:rPr>
          <w:rFonts w:cs="Arial"/>
          <w:b/>
          <w:sz w:val="24"/>
          <w:szCs w:val="24"/>
          <w:lang w:eastAsia="zh-CN"/>
        </w:rPr>
      </w:pPr>
    </w:p>
    <w:p w14:paraId="7532FAC6" w14:textId="1E31A3C3" w:rsidR="00955C2B" w:rsidRDefault="00B711A2" w:rsidP="00730B7D">
      <w:pPr>
        <w:spacing w:after="0"/>
        <w:outlineLvl w:val="0"/>
        <w:rPr>
          <w:rFonts w:cs="Arial"/>
          <w:b/>
          <w:sz w:val="24"/>
          <w:szCs w:val="24"/>
          <w:lang w:eastAsia="zh-CN"/>
        </w:rPr>
      </w:pPr>
      <w:r>
        <w:rPr>
          <w:rFonts w:cs="Arial"/>
          <w:b/>
          <w:sz w:val="24"/>
          <w:szCs w:val="24"/>
          <w:lang w:eastAsia="zh-CN"/>
        </w:rPr>
        <w:t xml:space="preserve">Student </w:t>
      </w:r>
      <w:r w:rsidR="00F341F6">
        <w:rPr>
          <w:rFonts w:cs="Arial"/>
          <w:b/>
          <w:sz w:val="24"/>
          <w:szCs w:val="24"/>
          <w:lang w:eastAsia="zh-CN"/>
        </w:rPr>
        <w:t xml:space="preserve">Drug </w:t>
      </w:r>
      <w:r>
        <w:rPr>
          <w:rFonts w:cs="Arial"/>
          <w:b/>
          <w:sz w:val="24"/>
          <w:szCs w:val="24"/>
          <w:lang w:eastAsia="zh-CN"/>
        </w:rPr>
        <w:t>Dealers</w:t>
      </w:r>
    </w:p>
    <w:p w14:paraId="7D7C9FB0" w14:textId="77777777" w:rsidR="00574983" w:rsidRPr="00574983" w:rsidRDefault="00574983" w:rsidP="00574983">
      <w:pPr>
        <w:spacing w:after="0"/>
        <w:rPr>
          <w:rFonts w:cs="Arial"/>
          <w:b/>
          <w:sz w:val="24"/>
          <w:szCs w:val="24"/>
          <w:lang w:eastAsia="zh-CN"/>
        </w:rPr>
      </w:pPr>
    </w:p>
    <w:p w14:paraId="3FCB8194" w14:textId="77777777" w:rsidR="008E09FB" w:rsidRDefault="00063354" w:rsidP="001221C0">
      <w:pPr>
        <w:widowControl w:val="0"/>
        <w:tabs>
          <w:tab w:val="left" w:pos="220"/>
          <w:tab w:val="left" w:pos="720"/>
        </w:tabs>
        <w:autoSpaceDE w:val="0"/>
        <w:autoSpaceDN w:val="0"/>
        <w:adjustRightInd w:val="0"/>
        <w:spacing w:after="293"/>
        <w:rPr>
          <w:rFonts w:ascii="Helvetica" w:eastAsia="Times New Roman" w:hAnsi="Helvetica"/>
          <w:color w:val="333333"/>
          <w:sz w:val="24"/>
          <w:lang w:eastAsia="en-GB"/>
        </w:rPr>
      </w:pPr>
      <w:r w:rsidRPr="00DF48D7">
        <w:rPr>
          <w:rFonts w:cs="Arial"/>
          <w:sz w:val="24"/>
          <w:lang w:eastAsia="en-GB"/>
        </w:rPr>
        <w:t>Along</w:t>
      </w:r>
      <w:r w:rsidR="004E1A20">
        <w:rPr>
          <w:rFonts w:cs="Arial"/>
          <w:sz w:val="24"/>
          <w:lang w:eastAsia="en-GB"/>
        </w:rPr>
        <w:t>side the emergent literature base</w:t>
      </w:r>
      <w:r w:rsidR="00751784">
        <w:rPr>
          <w:rFonts w:cs="Arial"/>
          <w:sz w:val="24"/>
          <w:lang w:eastAsia="en-GB"/>
        </w:rPr>
        <w:t xml:space="preserve">, </w:t>
      </w:r>
      <w:r w:rsidR="004E1A20">
        <w:rPr>
          <w:rFonts w:cs="Arial"/>
          <w:sz w:val="24"/>
          <w:lang w:eastAsia="en-GB"/>
        </w:rPr>
        <w:t>which analyses</w:t>
      </w:r>
      <w:r w:rsidR="000B13B4">
        <w:rPr>
          <w:rFonts w:cs="Arial"/>
          <w:sz w:val="24"/>
          <w:lang w:eastAsia="en-GB"/>
        </w:rPr>
        <w:t xml:space="preserve"> patterns of illicit</w:t>
      </w:r>
      <w:r w:rsidRPr="00DF48D7">
        <w:rPr>
          <w:rFonts w:cs="Arial"/>
          <w:sz w:val="24"/>
          <w:lang w:eastAsia="en-GB"/>
        </w:rPr>
        <w:t xml:space="preserve"> drug use</w:t>
      </w:r>
      <w:r w:rsidR="008A320A">
        <w:rPr>
          <w:rFonts w:cs="Arial"/>
          <w:sz w:val="24"/>
          <w:lang w:eastAsia="en-GB"/>
        </w:rPr>
        <w:t xml:space="preserve"> in </w:t>
      </w:r>
      <w:r w:rsidR="008A320A">
        <w:rPr>
          <w:rFonts w:cs="Arial"/>
          <w:sz w:val="24"/>
          <w:lang w:eastAsia="en-GB"/>
        </w:rPr>
        <w:lastRenderedPageBreak/>
        <w:t>student populations</w:t>
      </w:r>
      <w:r w:rsidRPr="00DF48D7">
        <w:rPr>
          <w:rFonts w:cs="Arial"/>
          <w:sz w:val="24"/>
          <w:lang w:eastAsia="en-GB"/>
        </w:rPr>
        <w:t xml:space="preserve">, </w:t>
      </w:r>
      <w:r w:rsidR="008A320A">
        <w:rPr>
          <w:rFonts w:cs="Arial"/>
          <w:sz w:val="24"/>
          <w:lang w:eastAsia="en-GB"/>
        </w:rPr>
        <w:t>a small number of</w:t>
      </w:r>
      <w:r w:rsidRPr="00DF48D7">
        <w:rPr>
          <w:rFonts w:cs="Arial"/>
          <w:sz w:val="24"/>
          <w:lang w:eastAsia="en-GB"/>
        </w:rPr>
        <w:t xml:space="preserve"> qualitative studies have </w:t>
      </w:r>
      <w:r w:rsidR="008A320A">
        <w:rPr>
          <w:rFonts w:cs="Arial"/>
          <w:sz w:val="24"/>
          <w:lang w:eastAsia="en-GB"/>
        </w:rPr>
        <w:t xml:space="preserve">also </w:t>
      </w:r>
      <w:r w:rsidRPr="00DF48D7">
        <w:rPr>
          <w:rFonts w:cs="Arial"/>
          <w:sz w:val="24"/>
          <w:lang w:eastAsia="en-GB"/>
        </w:rPr>
        <w:t>delved into the worlds of student drug dealers</w:t>
      </w:r>
      <w:r w:rsidR="008A320A">
        <w:rPr>
          <w:rFonts w:cs="Arial"/>
          <w:sz w:val="24"/>
          <w:lang w:eastAsia="en-GB"/>
        </w:rPr>
        <w:t>, with insightful results</w:t>
      </w:r>
      <w:r w:rsidRPr="00DF48D7">
        <w:rPr>
          <w:rFonts w:cs="Arial"/>
          <w:sz w:val="24"/>
          <w:lang w:eastAsia="en-GB"/>
        </w:rPr>
        <w:t xml:space="preserve">. </w:t>
      </w:r>
      <w:r w:rsidR="008A320A">
        <w:rPr>
          <w:rFonts w:cs="Arial"/>
          <w:sz w:val="24"/>
          <w:lang w:eastAsia="en-GB"/>
        </w:rPr>
        <w:t>One</w:t>
      </w:r>
      <w:r w:rsidR="006126FA" w:rsidRPr="00DF48D7">
        <w:rPr>
          <w:rFonts w:cs="Arial"/>
          <w:sz w:val="24"/>
          <w:lang w:eastAsia="en-GB"/>
        </w:rPr>
        <w:t xml:space="preserve"> early </w:t>
      </w:r>
      <w:r w:rsidR="008A320A">
        <w:rPr>
          <w:rFonts w:cs="Arial"/>
          <w:sz w:val="24"/>
          <w:lang w:eastAsia="en-GB"/>
        </w:rPr>
        <w:t>study undertaken by</w:t>
      </w:r>
      <w:r w:rsidR="004A1E0F" w:rsidRPr="00DF48D7">
        <w:rPr>
          <w:rFonts w:cs="Arial"/>
          <w:sz w:val="24"/>
          <w:lang w:eastAsia="en-GB"/>
        </w:rPr>
        <w:t xml:space="preserve"> Blum and Associates (1972)</w:t>
      </w:r>
      <w:r w:rsidR="00206C0F">
        <w:rPr>
          <w:rFonts w:cs="Arial"/>
          <w:sz w:val="24"/>
          <w:lang w:eastAsia="en-GB"/>
        </w:rPr>
        <w:t xml:space="preserve"> focu</w:t>
      </w:r>
      <w:r w:rsidR="002E0749" w:rsidRPr="00DF48D7">
        <w:rPr>
          <w:rFonts w:cs="Arial"/>
          <w:sz w:val="24"/>
          <w:lang w:eastAsia="en-GB"/>
        </w:rPr>
        <w:t xml:space="preserve">sed on college ‘dorms’ as a </w:t>
      </w:r>
      <w:r w:rsidR="008A320A">
        <w:rPr>
          <w:rFonts w:cs="Arial"/>
          <w:sz w:val="24"/>
          <w:lang w:eastAsia="en-GB"/>
        </w:rPr>
        <w:t>setting for</w:t>
      </w:r>
      <w:r w:rsidR="002E0749" w:rsidRPr="00DF48D7">
        <w:rPr>
          <w:rFonts w:cs="Arial"/>
          <w:sz w:val="24"/>
          <w:lang w:eastAsia="en-GB"/>
        </w:rPr>
        <w:t xml:space="preserve"> drug supply</w:t>
      </w:r>
      <w:r w:rsidR="000F30C9">
        <w:rPr>
          <w:rFonts w:cs="Arial"/>
          <w:sz w:val="24"/>
          <w:lang w:eastAsia="en-GB"/>
        </w:rPr>
        <w:t xml:space="preserve"> activity</w:t>
      </w:r>
      <w:r w:rsidR="002E0749" w:rsidRPr="00DF48D7">
        <w:rPr>
          <w:rFonts w:cs="Arial"/>
          <w:sz w:val="24"/>
          <w:lang w:eastAsia="en-GB"/>
        </w:rPr>
        <w:t xml:space="preserve">, </w:t>
      </w:r>
      <w:r w:rsidR="008A320A">
        <w:rPr>
          <w:rFonts w:cs="Arial"/>
          <w:sz w:val="24"/>
          <w:lang w:eastAsia="en-GB"/>
        </w:rPr>
        <w:t xml:space="preserve">highlighting the propensity for </w:t>
      </w:r>
      <w:r w:rsidR="001F7100" w:rsidRPr="00DF48D7">
        <w:rPr>
          <w:rFonts w:cs="Arial"/>
          <w:sz w:val="24"/>
          <w:lang w:eastAsia="en-GB"/>
        </w:rPr>
        <w:t xml:space="preserve">drug users to </w:t>
      </w:r>
      <w:r w:rsidR="00C50D4E" w:rsidRPr="00DF48D7">
        <w:rPr>
          <w:rFonts w:cs="Arial"/>
          <w:sz w:val="24"/>
          <w:lang w:eastAsia="en-GB"/>
        </w:rPr>
        <w:t xml:space="preserve">undertake </w:t>
      </w:r>
      <w:r w:rsidR="008A320A">
        <w:rPr>
          <w:rFonts w:cs="Arial"/>
          <w:sz w:val="24"/>
          <w:lang w:eastAsia="en-GB"/>
        </w:rPr>
        <w:t>‘</w:t>
      </w:r>
      <w:r w:rsidR="00C50D4E" w:rsidRPr="00DF48D7">
        <w:rPr>
          <w:rFonts w:cs="Arial"/>
          <w:sz w:val="24"/>
          <w:lang w:eastAsia="en-GB"/>
        </w:rPr>
        <w:t>social dealing</w:t>
      </w:r>
      <w:r w:rsidR="008A320A">
        <w:rPr>
          <w:rFonts w:cs="Arial"/>
          <w:sz w:val="24"/>
          <w:lang w:eastAsia="en-GB"/>
        </w:rPr>
        <w:t>’ -</w:t>
      </w:r>
      <w:r w:rsidR="00C50D4E" w:rsidRPr="00DF48D7">
        <w:rPr>
          <w:rFonts w:cs="Arial"/>
          <w:sz w:val="24"/>
          <w:lang w:eastAsia="en-GB"/>
        </w:rPr>
        <w:t xml:space="preserve"> violating</w:t>
      </w:r>
      <w:r w:rsidR="001F7100" w:rsidRPr="00DF48D7">
        <w:rPr>
          <w:rFonts w:cs="Arial"/>
          <w:sz w:val="24"/>
          <w:lang w:eastAsia="en-GB"/>
        </w:rPr>
        <w:t xml:space="preserve"> supply laws by sharing drugs with friends</w:t>
      </w:r>
      <w:r w:rsidR="00510D55" w:rsidRPr="00DF48D7">
        <w:rPr>
          <w:rFonts w:cs="Arial"/>
          <w:sz w:val="24"/>
          <w:lang w:eastAsia="en-GB"/>
        </w:rPr>
        <w:t>.</w:t>
      </w:r>
      <w:r w:rsidR="00206C0F">
        <w:rPr>
          <w:rFonts w:cs="Arial"/>
          <w:sz w:val="24"/>
          <w:lang w:eastAsia="en-GB"/>
        </w:rPr>
        <w:t xml:space="preserve"> </w:t>
      </w:r>
      <w:r w:rsidR="00EA241B">
        <w:rPr>
          <w:rFonts w:cs="Arial"/>
          <w:sz w:val="24"/>
          <w:lang w:eastAsia="en-GB"/>
        </w:rPr>
        <w:t xml:space="preserve">In contrast to common-sense understandings of professional, profit motivated drug dealing, </w:t>
      </w:r>
      <w:r w:rsidR="00371D74">
        <w:rPr>
          <w:rFonts w:cs="Arial"/>
          <w:sz w:val="24"/>
          <w:lang w:eastAsia="en-GB"/>
        </w:rPr>
        <w:t>Blum</w:t>
      </w:r>
      <w:r w:rsidR="00EB0D01">
        <w:rPr>
          <w:rFonts w:cs="Arial"/>
          <w:sz w:val="24"/>
          <w:lang w:eastAsia="en-GB"/>
        </w:rPr>
        <w:t xml:space="preserve"> </w:t>
      </w:r>
      <w:r w:rsidR="00EF7862">
        <w:rPr>
          <w:rFonts w:cs="Arial"/>
          <w:sz w:val="24"/>
          <w:lang w:eastAsia="en-GB"/>
        </w:rPr>
        <w:t xml:space="preserve">notes the complexity of motivation and </w:t>
      </w:r>
      <w:r w:rsidR="000E18B0">
        <w:rPr>
          <w:rFonts w:cs="Arial"/>
          <w:sz w:val="24"/>
          <w:lang w:eastAsia="en-GB"/>
        </w:rPr>
        <w:t>supply entry, conceiving</w:t>
      </w:r>
      <w:r w:rsidR="003D2319">
        <w:rPr>
          <w:rFonts w:cs="Arial"/>
          <w:sz w:val="24"/>
          <w:lang w:eastAsia="en-GB"/>
        </w:rPr>
        <w:t xml:space="preserve"> </w:t>
      </w:r>
      <w:r w:rsidR="00EA241B">
        <w:rPr>
          <w:rFonts w:cs="Arial"/>
          <w:sz w:val="24"/>
          <w:lang w:eastAsia="en-GB"/>
        </w:rPr>
        <w:t xml:space="preserve">drug supply </w:t>
      </w:r>
      <w:r w:rsidR="003D2319">
        <w:rPr>
          <w:rFonts w:cs="Arial"/>
          <w:sz w:val="24"/>
          <w:lang w:eastAsia="en-GB"/>
        </w:rPr>
        <w:t>not only as an ’evolving adjustme</w:t>
      </w:r>
      <w:r w:rsidR="000876B5">
        <w:rPr>
          <w:rFonts w:cs="Arial"/>
          <w:sz w:val="24"/>
          <w:lang w:eastAsia="en-GB"/>
        </w:rPr>
        <w:t>nt to drug using needs’ but as an aid to sociability, and a</w:t>
      </w:r>
      <w:r w:rsidR="003D2319">
        <w:rPr>
          <w:rFonts w:cs="Arial"/>
          <w:sz w:val="24"/>
          <w:lang w:eastAsia="en-GB"/>
        </w:rPr>
        <w:t xml:space="preserve"> means for dealers to enjoy experiences which they would not have without drugs (</w:t>
      </w:r>
      <w:r w:rsidR="00751784">
        <w:rPr>
          <w:rFonts w:cs="Arial"/>
          <w:sz w:val="24"/>
          <w:lang w:eastAsia="en-GB"/>
        </w:rPr>
        <w:t>p</w:t>
      </w:r>
      <w:r w:rsidR="003D2319">
        <w:rPr>
          <w:rFonts w:cs="Arial"/>
          <w:sz w:val="24"/>
          <w:lang w:eastAsia="en-GB"/>
        </w:rPr>
        <w:t xml:space="preserve">110). </w:t>
      </w:r>
      <w:r w:rsidR="00C50D4E" w:rsidRPr="00DF48D7">
        <w:rPr>
          <w:rFonts w:cs="Arial"/>
          <w:sz w:val="24"/>
          <w:lang w:eastAsia="en-GB"/>
        </w:rPr>
        <w:t>More recently</w:t>
      </w:r>
      <w:r w:rsidR="00E87798">
        <w:rPr>
          <w:rFonts w:cs="Arial"/>
          <w:sz w:val="24"/>
          <w:lang w:eastAsia="en-GB"/>
        </w:rPr>
        <w:t>,</w:t>
      </w:r>
      <w:r w:rsidR="004A1E0F" w:rsidRPr="00DF48D7">
        <w:rPr>
          <w:rFonts w:cs="Arial"/>
          <w:sz w:val="24"/>
          <w:lang w:eastAsia="en-GB"/>
        </w:rPr>
        <w:t xml:space="preserve"> </w:t>
      </w:r>
      <w:r w:rsidRPr="00DF48D7">
        <w:rPr>
          <w:rFonts w:cs="Arial"/>
          <w:sz w:val="24"/>
          <w:lang w:eastAsia="en-GB"/>
        </w:rPr>
        <w:t>Mohamed and Fritzvold</w:t>
      </w:r>
      <w:r w:rsidR="00F55AD9" w:rsidRPr="00DF48D7">
        <w:rPr>
          <w:rFonts w:cs="Arial"/>
          <w:sz w:val="24"/>
          <w:lang w:eastAsia="en-GB"/>
        </w:rPr>
        <w:t xml:space="preserve"> (2010)</w:t>
      </w:r>
      <w:r w:rsidRPr="00DF48D7">
        <w:rPr>
          <w:rFonts w:cs="Arial"/>
          <w:sz w:val="24"/>
          <w:lang w:eastAsia="en-GB"/>
        </w:rPr>
        <w:t xml:space="preserve"> </w:t>
      </w:r>
      <w:r w:rsidR="00C50D4E" w:rsidRPr="00DF48D7">
        <w:rPr>
          <w:rFonts w:cs="Arial"/>
          <w:sz w:val="24"/>
          <w:lang w:eastAsia="en-GB"/>
        </w:rPr>
        <w:t>described a college dealing scene that could be under</w:t>
      </w:r>
      <w:r w:rsidR="00F26C85" w:rsidRPr="00DF48D7">
        <w:rPr>
          <w:rFonts w:cs="Arial"/>
          <w:sz w:val="24"/>
          <w:lang w:eastAsia="en-GB"/>
        </w:rPr>
        <w:t>s</w:t>
      </w:r>
      <w:r w:rsidR="00C50D4E" w:rsidRPr="00DF48D7">
        <w:rPr>
          <w:rFonts w:cs="Arial"/>
          <w:sz w:val="24"/>
          <w:lang w:eastAsia="en-GB"/>
        </w:rPr>
        <w:t xml:space="preserve">tood as more instrumental in nature, with </w:t>
      </w:r>
      <w:r w:rsidRPr="00DF48D7">
        <w:rPr>
          <w:rFonts w:ascii="Helvetica" w:eastAsia="Times New Roman" w:hAnsi="Helvetica"/>
          <w:color w:val="333333"/>
          <w:sz w:val="24"/>
          <w:lang w:eastAsia="en-GB"/>
        </w:rPr>
        <w:t>Southern Californian college students</w:t>
      </w:r>
      <w:r w:rsidR="00C50D4E" w:rsidRPr="00DF48D7">
        <w:rPr>
          <w:rFonts w:ascii="Helvetica" w:eastAsia="Times New Roman" w:hAnsi="Helvetica"/>
          <w:color w:val="333333"/>
          <w:sz w:val="24"/>
          <w:lang w:eastAsia="en-GB"/>
        </w:rPr>
        <w:t xml:space="preserve"> describing motivations for dealing as tied up with underwriting</w:t>
      </w:r>
      <w:r w:rsidRPr="00DF48D7">
        <w:rPr>
          <w:rFonts w:ascii="Helvetica" w:eastAsia="Times New Roman" w:hAnsi="Helvetica"/>
          <w:color w:val="333333"/>
          <w:sz w:val="24"/>
          <w:lang w:eastAsia="en-GB"/>
        </w:rPr>
        <w:t xml:space="preserve"> the costs of both personal drug use and other incidental, pleasurable consumption. </w:t>
      </w:r>
      <w:r w:rsidR="005E0699" w:rsidRPr="00DF48D7">
        <w:rPr>
          <w:rFonts w:ascii="Helvetica" w:eastAsia="Times New Roman" w:hAnsi="Helvetica"/>
          <w:color w:val="333333"/>
          <w:sz w:val="24"/>
          <w:lang w:eastAsia="en-GB"/>
        </w:rPr>
        <w:t xml:space="preserve">Elsewhere, in </w:t>
      </w:r>
      <w:r w:rsidR="002946F7" w:rsidRPr="00DF48D7">
        <w:rPr>
          <w:rFonts w:ascii="Helvetica" w:eastAsia="Times New Roman" w:hAnsi="Helvetica"/>
          <w:color w:val="333333"/>
          <w:sz w:val="24"/>
          <w:lang w:eastAsia="en-GB"/>
        </w:rPr>
        <w:t xml:space="preserve">their ethnography of a suburban high school in </w:t>
      </w:r>
      <w:r w:rsidR="005E0699" w:rsidRPr="00DF48D7">
        <w:rPr>
          <w:rFonts w:ascii="Helvetica" w:eastAsia="Times New Roman" w:hAnsi="Helvetica"/>
          <w:color w:val="333333"/>
          <w:sz w:val="24"/>
          <w:lang w:eastAsia="en-GB"/>
        </w:rPr>
        <w:t>Atl</w:t>
      </w:r>
      <w:r w:rsidRPr="00DF48D7">
        <w:rPr>
          <w:rFonts w:ascii="Helvetica" w:eastAsia="Times New Roman" w:hAnsi="Helvetica"/>
          <w:color w:val="333333"/>
          <w:sz w:val="24"/>
          <w:lang w:eastAsia="en-GB"/>
        </w:rPr>
        <w:t>anta, Jacques and Wright</w:t>
      </w:r>
      <w:r w:rsidR="00C50B82">
        <w:rPr>
          <w:rFonts w:ascii="Helvetica" w:eastAsia="Times New Roman" w:hAnsi="Helvetica"/>
          <w:color w:val="333333"/>
          <w:sz w:val="24"/>
          <w:lang w:eastAsia="en-GB"/>
        </w:rPr>
        <w:t xml:space="preserve"> (2015</w:t>
      </w:r>
      <w:r w:rsidR="007B6F95" w:rsidRPr="00DF48D7">
        <w:rPr>
          <w:rFonts w:ascii="Helvetica" w:eastAsia="Times New Roman" w:hAnsi="Helvetica"/>
          <w:color w:val="333333"/>
          <w:sz w:val="24"/>
          <w:lang w:eastAsia="en-GB"/>
        </w:rPr>
        <w:t>)</w:t>
      </w:r>
      <w:r w:rsidRPr="00DF48D7">
        <w:rPr>
          <w:rFonts w:ascii="Helvetica" w:eastAsia="Times New Roman" w:hAnsi="Helvetica"/>
          <w:color w:val="333333"/>
          <w:sz w:val="24"/>
          <w:lang w:eastAsia="en-GB"/>
        </w:rPr>
        <w:t xml:space="preserve"> pick up similar themes</w:t>
      </w:r>
      <w:r w:rsidR="00C66A72" w:rsidRPr="00DF48D7">
        <w:rPr>
          <w:rFonts w:ascii="Helvetica" w:eastAsia="Times New Roman" w:hAnsi="Helvetica"/>
          <w:color w:val="333333"/>
          <w:sz w:val="24"/>
          <w:lang w:eastAsia="en-GB"/>
        </w:rPr>
        <w:t xml:space="preserve">, </w:t>
      </w:r>
      <w:r w:rsidR="002918C8" w:rsidRPr="00DF48D7">
        <w:rPr>
          <w:rFonts w:ascii="Helvetica" w:eastAsia="Times New Roman" w:hAnsi="Helvetica"/>
          <w:color w:val="333333"/>
          <w:sz w:val="24"/>
          <w:lang w:eastAsia="en-GB"/>
        </w:rPr>
        <w:t xml:space="preserve">with students </w:t>
      </w:r>
      <w:r w:rsidR="00836572" w:rsidRPr="00DF48D7">
        <w:rPr>
          <w:rFonts w:ascii="Helvetica" w:eastAsia="Times New Roman" w:hAnsi="Helvetica"/>
          <w:color w:val="333333"/>
          <w:sz w:val="24"/>
          <w:lang w:eastAsia="en-GB"/>
        </w:rPr>
        <w:t>highlighting that dealing ‘was a way to save money’</w:t>
      </w:r>
      <w:r w:rsidR="008566F3" w:rsidRPr="00DF48D7">
        <w:rPr>
          <w:rFonts w:ascii="Helvetica" w:eastAsia="Times New Roman" w:hAnsi="Helvetica"/>
          <w:color w:val="333333"/>
          <w:sz w:val="24"/>
          <w:lang w:eastAsia="en-GB"/>
        </w:rPr>
        <w:t>,</w:t>
      </w:r>
      <w:r w:rsidR="00836572" w:rsidRPr="00DF48D7">
        <w:rPr>
          <w:rFonts w:ascii="Helvetica" w:eastAsia="Times New Roman" w:hAnsi="Helvetica"/>
          <w:color w:val="333333"/>
          <w:sz w:val="24"/>
          <w:lang w:eastAsia="en-GB"/>
        </w:rPr>
        <w:t xml:space="preserve"> to ‘offset’ use and</w:t>
      </w:r>
      <w:r w:rsidR="00CE55FF">
        <w:rPr>
          <w:rFonts w:ascii="Helvetica" w:eastAsia="Times New Roman" w:hAnsi="Helvetica"/>
          <w:color w:val="333333"/>
          <w:sz w:val="24"/>
          <w:lang w:eastAsia="en-GB"/>
        </w:rPr>
        <w:t xml:space="preserve"> ‘to eat free pills’;</w:t>
      </w:r>
      <w:r w:rsidR="00836572" w:rsidRPr="00DF48D7">
        <w:rPr>
          <w:rFonts w:ascii="Helvetica" w:eastAsia="Times New Roman" w:hAnsi="Helvetica"/>
          <w:color w:val="333333"/>
          <w:sz w:val="24"/>
          <w:lang w:eastAsia="en-GB"/>
        </w:rPr>
        <w:t xml:space="preserve"> in this respect, dealing was primarily a </w:t>
      </w:r>
      <w:r w:rsidR="004355A9" w:rsidRPr="00DF48D7">
        <w:rPr>
          <w:rFonts w:ascii="Helvetica" w:eastAsia="Times New Roman" w:hAnsi="Helvetica"/>
          <w:color w:val="333333"/>
          <w:sz w:val="24"/>
          <w:lang w:eastAsia="en-GB"/>
        </w:rPr>
        <w:t>‘</w:t>
      </w:r>
      <w:r w:rsidR="00836572" w:rsidRPr="00DF48D7">
        <w:rPr>
          <w:rFonts w:ascii="Helvetica" w:eastAsia="Times New Roman" w:hAnsi="Helvetica"/>
          <w:color w:val="333333"/>
          <w:sz w:val="24"/>
          <w:lang w:eastAsia="en-GB"/>
        </w:rPr>
        <w:t>money-saving venture as opp</w:t>
      </w:r>
      <w:r w:rsidR="00B87A79" w:rsidRPr="00DF48D7">
        <w:rPr>
          <w:rFonts w:ascii="Helvetica" w:eastAsia="Times New Roman" w:hAnsi="Helvetica"/>
          <w:color w:val="333333"/>
          <w:sz w:val="24"/>
          <w:lang w:eastAsia="en-GB"/>
        </w:rPr>
        <w:t>osed to a money-making one</w:t>
      </w:r>
      <w:r w:rsidR="000F41B4">
        <w:rPr>
          <w:rFonts w:ascii="Helvetica" w:eastAsia="Times New Roman" w:hAnsi="Helvetica"/>
          <w:color w:val="333333"/>
          <w:sz w:val="24"/>
          <w:lang w:eastAsia="en-GB"/>
        </w:rPr>
        <w:t>’</w:t>
      </w:r>
      <w:r w:rsidR="00B87A79" w:rsidRPr="00DF48D7">
        <w:rPr>
          <w:rFonts w:ascii="Helvetica" w:eastAsia="Times New Roman" w:hAnsi="Helvetica"/>
          <w:color w:val="333333"/>
          <w:sz w:val="24"/>
          <w:lang w:eastAsia="en-GB"/>
        </w:rPr>
        <w:t xml:space="preserve"> (</w:t>
      </w:r>
      <w:r w:rsidR="00751784">
        <w:rPr>
          <w:rFonts w:ascii="Helvetica" w:eastAsia="Times New Roman" w:hAnsi="Helvetica"/>
          <w:color w:val="333333"/>
          <w:sz w:val="24"/>
          <w:lang w:eastAsia="en-GB"/>
        </w:rPr>
        <w:t>p</w:t>
      </w:r>
      <w:r w:rsidR="00B87A79" w:rsidRPr="00DF48D7">
        <w:rPr>
          <w:rFonts w:ascii="Helvetica" w:eastAsia="Times New Roman" w:hAnsi="Helvetica"/>
          <w:color w:val="333333"/>
          <w:sz w:val="24"/>
          <w:lang w:eastAsia="en-GB"/>
        </w:rPr>
        <w:t xml:space="preserve">11). The situation of youth </w:t>
      </w:r>
      <w:r w:rsidR="001A0323" w:rsidRPr="00DF48D7">
        <w:rPr>
          <w:rFonts w:ascii="Helvetica" w:eastAsia="Times New Roman" w:hAnsi="Helvetica"/>
          <w:color w:val="333333"/>
          <w:sz w:val="24"/>
          <w:lang w:eastAsia="en-GB"/>
        </w:rPr>
        <w:t>also ensured that</w:t>
      </w:r>
      <w:r w:rsidR="008566F3" w:rsidRPr="00DF48D7">
        <w:rPr>
          <w:rFonts w:ascii="Helvetica" w:eastAsia="Times New Roman" w:hAnsi="Helvetica"/>
          <w:color w:val="333333"/>
          <w:sz w:val="24"/>
          <w:lang w:eastAsia="en-GB"/>
        </w:rPr>
        <w:t xml:space="preserve"> </w:t>
      </w:r>
      <w:r w:rsidR="008A12E5">
        <w:rPr>
          <w:rFonts w:ascii="Helvetica" w:eastAsia="Times New Roman" w:hAnsi="Helvetica"/>
          <w:color w:val="333333"/>
          <w:sz w:val="24"/>
          <w:lang w:eastAsia="en-GB"/>
        </w:rPr>
        <w:t>i</w:t>
      </w:r>
      <w:r w:rsidR="00F55AD9" w:rsidRPr="00DF48D7">
        <w:rPr>
          <w:rFonts w:ascii="Helvetica" w:eastAsia="Times New Roman" w:hAnsi="Helvetica"/>
          <w:color w:val="333333"/>
          <w:sz w:val="24"/>
          <w:lang w:eastAsia="en-GB"/>
        </w:rPr>
        <w:t>mpression manageme</w:t>
      </w:r>
      <w:r w:rsidR="00EE3545">
        <w:rPr>
          <w:rFonts w:ascii="Helvetica" w:eastAsia="Times New Roman" w:hAnsi="Helvetica"/>
          <w:color w:val="333333"/>
          <w:sz w:val="24"/>
          <w:lang w:eastAsia="en-GB"/>
        </w:rPr>
        <w:t>nt was</w:t>
      </w:r>
      <w:r w:rsidR="008A320A">
        <w:rPr>
          <w:rFonts w:ascii="Helvetica" w:eastAsia="Times New Roman" w:hAnsi="Helvetica"/>
          <w:color w:val="333333"/>
          <w:sz w:val="24"/>
          <w:lang w:eastAsia="en-GB"/>
        </w:rPr>
        <w:t xml:space="preserve"> believed to be</w:t>
      </w:r>
      <w:r w:rsidR="00EE3545">
        <w:rPr>
          <w:rFonts w:ascii="Helvetica" w:eastAsia="Times New Roman" w:hAnsi="Helvetica"/>
          <w:color w:val="333333"/>
          <w:sz w:val="24"/>
          <w:lang w:eastAsia="en-GB"/>
        </w:rPr>
        <w:t xml:space="preserve"> of great value;</w:t>
      </w:r>
      <w:r w:rsidR="001A0323" w:rsidRPr="00DF48D7">
        <w:rPr>
          <w:rFonts w:ascii="Helvetica" w:eastAsia="Times New Roman" w:hAnsi="Helvetica"/>
          <w:color w:val="333333"/>
          <w:sz w:val="24"/>
          <w:lang w:eastAsia="en-GB"/>
        </w:rPr>
        <w:t xml:space="preserve"> </w:t>
      </w:r>
      <w:r w:rsidR="00EE3545">
        <w:rPr>
          <w:rFonts w:ascii="Helvetica" w:eastAsia="Times New Roman" w:hAnsi="Helvetica"/>
          <w:color w:val="333333"/>
          <w:sz w:val="24"/>
          <w:lang w:eastAsia="en-GB"/>
        </w:rPr>
        <w:t xml:space="preserve">involvement in </w:t>
      </w:r>
      <w:r w:rsidR="00C66A72" w:rsidRPr="00DF48D7">
        <w:rPr>
          <w:rFonts w:ascii="Helvetica" w:eastAsia="Times New Roman" w:hAnsi="Helvetica"/>
          <w:color w:val="333333"/>
          <w:sz w:val="24"/>
          <w:lang w:eastAsia="en-GB"/>
        </w:rPr>
        <w:t xml:space="preserve">drug dealing </w:t>
      </w:r>
      <w:r w:rsidR="008A320A">
        <w:rPr>
          <w:rFonts w:ascii="Helvetica" w:eastAsia="Times New Roman" w:hAnsi="Helvetica"/>
          <w:color w:val="333333"/>
          <w:sz w:val="24"/>
          <w:lang w:eastAsia="en-GB"/>
        </w:rPr>
        <w:t>was said to offer</w:t>
      </w:r>
      <w:r w:rsidR="00C66A72" w:rsidRPr="00DF48D7">
        <w:rPr>
          <w:rFonts w:ascii="Helvetica" w:eastAsia="Times New Roman" w:hAnsi="Helvetica"/>
          <w:color w:val="333333"/>
          <w:sz w:val="24"/>
          <w:lang w:eastAsia="en-GB"/>
        </w:rPr>
        <w:t xml:space="preserve"> ‘a place among peers’</w:t>
      </w:r>
      <w:r w:rsidR="00594BCE" w:rsidRPr="00DF48D7">
        <w:rPr>
          <w:rFonts w:ascii="Helvetica" w:eastAsia="Times New Roman" w:hAnsi="Helvetica"/>
          <w:color w:val="333333"/>
          <w:sz w:val="24"/>
          <w:lang w:eastAsia="en-GB"/>
        </w:rPr>
        <w:t>,</w:t>
      </w:r>
      <w:r w:rsidR="00FF3C8E" w:rsidRPr="00DF48D7">
        <w:rPr>
          <w:rFonts w:ascii="Helvetica" w:eastAsia="Times New Roman" w:hAnsi="Helvetica"/>
          <w:color w:val="333333"/>
          <w:sz w:val="24"/>
          <w:lang w:eastAsia="en-GB"/>
        </w:rPr>
        <w:t xml:space="preserve"> with drug sales</w:t>
      </w:r>
      <w:r w:rsidR="00F55AD9" w:rsidRPr="00DF48D7">
        <w:rPr>
          <w:rFonts w:ascii="Helvetica" w:eastAsia="Times New Roman" w:hAnsi="Helvetica"/>
          <w:color w:val="333333"/>
          <w:sz w:val="24"/>
          <w:lang w:eastAsia="en-GB"/>
        </w:rPr>
        <w:t xml:space="preserve"> and sharing</w:t>
      </w:r>
      <w:r w:rsidR="00FF3C8E" w:rsidRPr="00DF48D7">
        <w:rPr>
          <w:rFonts w:ascii="Helvetica" w:eastAsia="Times New Roman" w:hAnsi="Helvetica"/>
          <w:color w:val="333333"/>
          <w:sz w:val="24"/>
          <w:lang w:eastAsia="en-GB"/>
        </w:rPr>
        <w:t xml:space="preserve"> </w:t>
      </w:r>
      <w:r w:rsidR="00254151" w:rsidRPr="00DF48D7">
        <w:rPr>
          <w:rFonts w:ascii="Helvetica" w:eastAsia="Times New Roman" w:hAnsi="Helvetica"/>
          <w:color w:val="333333"/>
          <w:sz w:val="24"/>
          <w:lang w:eastAsia="en-GB"/>
        </w:rPr>
        <w:t>transactions</w:t>
      </w:r>
      <w:r w:rsidR="00FF3C8E" w:rsidRPr="00DF48D7">
        <w:rPr>
          <w:rFonts w:ascii="Helvetica" w:eastAsia="Times New Roman" w:hAnsi="Helvetica"/>
          <w:color w:val="333333"/>
          <w:sz w:val="24"/>
          <w:lang w:eastAsia="en-GB"/>
        </w:rPr>
        <w:t xml:space="preserve"> boosting social capital and sending out important</w:t>
      </w:r>
      <w:r w:rsidR="00594BCE" w:rsidRPr="00DF48D7">
        <w:rPr>
          <w:rFonts w:ascii="Helvetica" w:eastAsia="Times New Roman" w:hAnsi="Helvetica"/>
          <w:color w:val="333333"/>
          <w:sz w:val="24"/>
          <w:lang w:eastAsia="en-GB"/>
        </w:rPr>
        <w:t xml:space="preserve"> message</w:t>
      </w:r>
      <w:r w:rsidR="008A320A">
        <w:rPr>
          <w:rFonts w:ascii="Helvetica" w:eastAsia="Times New Roman" w:hAnsi="Helvetica"/>
          <w:color w:val="333333"/>
          <w:sz w:val="24"/>
          <w:lang w:eastAsia="en-GB"/>
        </w:rPr>
        <w:t>s regarding</w:t>
      </w:r>
      <w:r w:rsidR="00FF3C8E" w:rsidRPr="00DF48D7">
        <w:rPr>
          <w:rFonts w:ascii="Helvetica" w:eastAsia="Times New Roman" w:hAnsi="Helvetica"/>
          <w:color w:val="333333"/>
          <w:sz w:val="24"/>
          <w:lang w:eastAsia="en-GB"/>
        </w:rPr>
        <w:t xml:space="preserve"> status, namely</w:t>
      </w:r>
      <w:r w:rsidR="008A320A">
        <w:rPr>
          <w:rFonts w:ascii="Helvetica" w:eastAsia="Times New Roman" w:hAnsi="Helvetica"/>
          <w:color w:val="333333"/>
          <w:sz w:val="24"/>
          <w:lang w:eastAsia="en-GB"/>
        </w:rPr>
        <w:t>,</w:t>
      </w:r>
      <w:r w:rsidR="00594BCE" w:rsidRPr="00DF48D7">
        <w:rPr>
          <w:rFonts w:ascii="Helvetica" w:eastAsia="Times New Roman" w:hAnsi="Helvetica"/>
          <w:color w:val="333333"/>
          <w:sz w:val="24"/>
          <w:lang w:eastAsia="en-GB"/>
        </w:rPr>
        <w:t xml:space="preserve"> that </w:t>
      </w:r>
      <w:r w:rsidR="00AE5B40">
        <w:rPr>
          <w:rFonts w:ascii="Helvetica" w:eastAsia="Times New Roman" w:hAnsi="Helvetica"/>
          <w:color w:val="333333"/>
          <w:sz w:val="24"/>
          <w:lang w:eastAsia="en-GB"/>
        </w:rPr>
        <w:t xml:space="preserve">student dealers were </w:t>
      </w:r>
      <w:r w:rsidR="00594BCE" w:rsidRPr="00DF48D7">
        <w:rPr>
          <w:rFonts w:ascii="Helvetica" w:eastAsia="Times New Roman" w:hAnsi="Helvetica"/>
          <w:color w:val="333333"/>
          <w:sz w:val="24"/>
          <w:lang w:eastAsia="en-GB"/>
        </w:rPr>
        <w:t>‘cool’</w:t>
      </w:r>
      <w:r w:rsidR="00F55AD9" w:rsidRPr="00DF48D7">
        <w:rPr>
          <w:rFonts w:ascii="Helvetica" w:eastAsia="Times New Roman" w:hAnsi="Helvetica"/>
          <w:color w:val="333333"/>
          <w:sz w:val="24"/>
          <w:lang w:eastAsia="en-GB"/>
        </w:rPr>
        <w:t>, ‘generous’</w:t>
      </w:r>
      <w:r w:rsidR="00FF3C8E" w:rsidRPr="00DF48D7">
        <w:rPr>
          <w:rFonts w:ascii="Helvetica" w:eastAsia="Times New Roman" w:hAnsi="Helvetica"/>
          <w:color w:val="333333"/>
          <w:sz w:val="24"/>
          <w:lang w:eastAsia="en-GB"/>
        </w:rPr>
        <w:t xml:space="preserve"> and</w:t>
      </w:r>
      <w:r w:rsidR="00C66A72" w:rsidRPr="00DF48D7">
        <w:rPr>
          <w:rFonts w:ascii="Helvetica" w:eastAsia="Times New Roman" w:hAnsi="Helvetica"/>
          <w:color w:val="333333"/>
          <w:sz w:val="24"/>
          <w:lang w:eastAsia="en-GB"/>
        </w:rPr>
        <w:t xml:space="preserve"> </w:t>
      </w:r>
      <w:r w:rsidR="00594BCE" w:rsidRPr="00DF48D7">
        <w:rPr>
          <w:rFonts w:ascii="Helvetica" w:eastAsia="Times New Roman" w:hAnsi="Helvetica"/>
          <w:color w:val="333333"/>
          <w:sz w:val="24"/>
          <w:lang w:eastAsia="en-GB"/>
        </w:rPr>
        <w:t>‘</w:t>
      </w:r>
      <w:r w:rsidR="00C66A72" w:rsidRPr="00DF48D7">
        <w:rPr>
          <w:rFonts w:ascii="Helvetica" w:eastAsia="Times New Roman" w:hAnsi="Helvetica"/>
          <w:color w:val="333333"/>
          <w:sz w:val="24"/>
          <w:lang w:eastAsia="en-GB"/>
        </w:rPr>
        <w:t xml:space="preserve">socially </w:t>
      </w:r>
      <w:r w:rsidR="00214E05" w:rsidRPr="00DF48D7">
        <w:rPr>
          <w:rFonts w:ascii="Helvetica" w:eastAsia="Times New Roman" w:hAnsi="Helvetica"/>
          <w:color w:val="333333"/>
          <w:sz w:val="24"/>
          <w:lang w:eastAsia="en-GB"/>
        </w:rPr>
        <w:t>desirable</w:t>
      </w:r>
      <w:r w:rsidR="00594BCE" w:rsidRPr="00DF48D7">
        <w:rPr>
          <w:rFonts w:ascii="Helvetica" w:eastAsia="Times New Roman" w:hAnsi="Helvetica"/>
          <w:color w:val="333333"/>
          <w:sz w:val="24"/>
          <w:lang w:eastAsia="en-GB"/>
        </w:rPr>
        <w:t>’</w:t>
      </w:r>
      <w:r w:rsidR="00254151" w:rsidRPr="00DF48D7">
        <w:rPr>
          <w:rFonts w:ascii="Helvetica" w:eastAsia="Times New Roman" w:hAnsi="Helvetica"/>
          <w:color w:val="333333"/>
          <w:sz w:val="24"/>
          <w:lang w:eastAsia="en-GB"/>
        </w:rPr>
        <w:t>.</w:t>
      </w:r>
      <w:r w:rsidR="00650018">
        <w:rPr>
          <w:rFonts w:ascii="Helvetica" w:eastAsia="Times New Roman" w:hAnsi="Helvetica"/>
          <w:color w:val="333333"/>
          <w:sz w:val="24"/>
          <w:lang w:eastAsia="en-GB"/>
        </w:rPr>
        <w:t xml:space="preserve"> </w:t>
      </w:r>
      <w:r w:rsidR="008A0605">
        <w:rPr>
          <w:rFonts w:ascii="Helvetica" w:eastAsia="Times New Roman" w:hAnsi="Helvetica"/>
          <w:color w:val="333333"/>
          <w:sz w:val="24"/>
          <w:lang w:eastAsia="en-GB"/>
        </w:rPr>
        <w:t xml:space="preserve">Moving from an American to </w:t>
      </w:r>
      <w:r w:rsidR="00650018">
        <w:rPr>
          <w:rFonts w:ascii="Helvetica" w:eastAsia="Times New Roman" w:hAnsi="Helvetica"/>
          <w:color w:val="333333"/>
          <w:sz w:val="24"/>
          <w:lang w:eastAsia="en-GB"/>
        </w:rPr>
        <w:t>UK context, despite media interest charting the ‘rise and rise of student drug dealers’ (</w:t>
      </w:r>
      <w:r w:rsidR="004E48C2">
        <w:rPr>
          <w:rFonts w:ascii="Helvetica" w:eastAsia="Times New Roman" w:hAnsi="Helvetica"/>
          <w:color w:val="333333"/>
          <w:sz w:val="24"/>
          <w:lang w:eastAsia="en-GB"/>
        </w:rPr>
        <w:t xml:space="preserve">see </w:t>
      </w:r>
      <w:r w:rsidR="00650018">
        <w:rPr>
          <w:rFonts w:ascii="Helvetica" w:eastAsia="Times New Roman" w:hAnsi="Helvetica"/>
          <w:color w:val="333333"/>
          <w:sz w:val="24"/>
          <w:lang w:eastAsia="en-GB"/>
        </w:rPr>
        <w:t>Daly, 2014</w:t>
      </w:r>
      <w:r w:rsidR="000F30C9">
        <w:rPr>
          <w:rFonts w:ascii="Helvetica" w:eastAsia="Times New Roman" w:hAnsi="Helvetica"/>
          <w:color w:val="333333"/>
          <w:sz w:val="24"/>
          <w:lang w:eastAsia="en-GB"/>
        </w:rPr>
        <w:t>), there is a notable</w:t>
      </w:r>
      <w:r w:rsidR="00117F8D">
        <w:rPr>
          <w:rFonts w:ascii="Helvetica" w:eastAsia="Times New Roman" w:hAnsi="Helvetica"/>
          <w:color w:val="333333"/>
          <w:sz w:val="24"/>
          <w:lang w:eastAsia="en-GB"/>
        </w:rPr>
        <w:t xml:space="preserve"> absence of academic research which </w:t>
      </w:r>
      <w:r w:rsidR="00E01C0A">
        <w:rPr>
          <w:rFonts w:ascii="Helvetica" w:eastAsia="Times New Roman" w:hAnsi="Helvetica"/>
          <w:color w:val="333333"/>
          <w:sz w:val="24"/>
          <w:lang w:eastAsia="en-GB"/>
        </w:rPr>
        <w:t>investigates</w:t>
      </w:r>
      <w:r w:rsidR="004E48C2">
        <w:rPr>
          <w:rFonts w:ascii="Helvetica" w:eastAsia="Times New Roman" w:hAnsi="Helvetica"/>
          <w:color w:val="333333"/>
          <w:sz w:val="24"/>
          <w:lang w:eastAsia="en-GB"/>
        </w:rPr>
        <w:t xml:space="preserve"> the worlds of student drug dealers or which</w:t>
      </w:r>
      <w:r w:rsidR="00254151" w:rsidRPr="00DF48D7">
        <w:rPr>
          <w:rFonts w:ascii="Helvetica" w:eastAsia="Times New Roman" w:hAnsi="Helvetica"/>
          <w:color w:val="333333"/>
          <w:sz w:val="24"/>
          <w:lang w:eastAsia="en-GB"/>
        </w:rPr>
        <w:t xml:space="preserve"> </w:t>
      </w:r>
      <w:r w:rsidR="000B13B4">
        <w:rPr>
          <w:rFonts w:ascii="Helvetica" w:eastAsia="Times New Roman" w:hAnsi="Helvetica"/>
          <w:color w:val="333333"/>
          <w:sz w:val="24"/>
          <w:lang w:eastAsia="en-GB"/>
        </w:rPr>
        <w:t xml:space="preserve">explores </w:t>
      </w:r>
      <w:r w:rsidR="00012622">
        <w:rPr>
          <w:rFonts w:ascii="Helvetica" w:eastAsia="Times New Roman" w:hAnsi="Helvetica"/>
          <w:color w:val="333333"/>
          <w:sz w:val="24"/>
          <w:lang w:eastAsia="en-GB"/>
        </w:rPr>
        <w:t>the university as a context for criminal activity.</w:t>
      </w:r>
      <w:r w:rsidR="00600012">
        <w:rPr>
          <w:rFonts w:ascii="Helvetica" w:eastAsia="Times New Roman" w:hAnsi="Helvetica"/>
          <w:color w:val="333333"/>
          <w:sz w:val="24"/>
          <w:lang w:eastAsia="en-GB"/>
        </w:rPr>
        <w:t xml:space="preserve"> </w:t>
      </w:r>
    </w:p>
    <w:p w14:paraId="24749313" w14:textId="1D46A3BF" w:rsidR="00346AA0" w:rsidRPr="00346AA0" w:rsidRDefault="00346AA0" w:rsidP="00730B7D">
      <w:pPr>
        <w:widowControl w:val="0"/>
        <w:tabs>
          <w:tab w:val="left" w:pos="220"/>
          <w:tab w:val="left" w:pos="720"/>
        </w:tabs>
        <w:autoSpaceDE w:val="0"/>
        <w:autoSpaceDN w:val="0"/>
        <w:adjustRightInd w:val="0"/>
        <w:spacing w:after="293"/>
        <w:outlineLvl w:val="0"/>
        <w:rPr>
          <w:rFonts w:ascii="Helvetica" w:eastAsia="Times New Roman" w:hAnsi="Helvetica"/>
          <w:b/>
          <w:color w:val="333333"/>
          <w:sz w:val="24"/>
          <w:lang w:eastAsia="en-GB"/>
        </w:rPr>
      </w:pPr>
      <w:r w:rsidRPr="00346AA0">
        <w:rPr>
          <w:rFonts w:ascii="Helvetica" w:eastAsia="Times New Roman" w:hAnsi="Helvetica"/>
          <w:b/>
          <w:color w:val="333333"/>
          <w:sz w:val="24"/>
          <w:lang w:eastAsia="en-GB"/>
        </w:rPr>
        <w:t>Current Study</w:t>
      </w:r>
    </w:p>
    <w:p w14:paraId="7D36EA25" w14:textId="634FF710" w:rsidR="00F65B12" w:rsidRPr="001221C0" w:rsidRDefault="008A320A" w:rsidP="001221C0">
      <w:pPr>
        <w:widowControl w:val="0"/>
        <w:tabs>
          <w:tab w:val="left" w:pos="220"/>
          <w:tab w:val="left" w:pos="720"/>
        </w:tabs>
        <w:autoSpaceDE w:val="0"/>
        <w:autoSpaceDN w:val="0"/>
        <w:adjustRightInd w:val="0"/>
        <w:spacing w:after="293"/>
        <w:rPr>
          <w:rFonts w:ascii="Times New Roman" w:hAnsi="Times New Roman"/>
          <w:sz w:val="30"/>
          <w:szCs w:val="30"/>
          <w:lang w:val="en-US"/>
        </w:rPr>
      </w:pPr>
      <w:r>
        <w:rPr>
          <w:rFonts w:ascii="Helvetica" w:eastAsia="Times New Roman" w:hAnsi="Helvetica"/>
          <w:color w:val="333333"/>
          <w:sz w:val="24"/>
          <w:lang w:eastAsia="en-GB"/>
        </w:rPr>
        <w:t>This study aims</w:t>
      </w:r>
      <w:r w:rsidR="00AE5B40">
        <w:rPr>
          <w:rFonts w:ascii="Helvetica" w:eastAsia="Times New Roman" w:hAnsi="Helvetica"/>
          <w:color w:val="333333"/>
          <w:sz w:val="24"/>
          <w:lang w:eastAsia="en-GB"/>
        </w:rPr>
        <w:t xml:space="preserve"> to fill this gap by offering some</w:t>
      </w:r>
      <w:r>
        <w:rPr>
          <w:rFonts w:ascii="Helvetica" w:eastAsia="Times New Roman" w:hAnsi="Helvetica"/>
          <w:color w:val="333333"/>
          <w:sz w:val="24"/>
          <w:lang w:eastAsia="en-GB"/>
        </w:rPr>
        <w:t xml:space="preserve"> initial</w:t>
      </w:r>
      <w:r w:rsidR="00AE5B40">
        <w:rPr>
          <w:rFonts w:ascii="Helvetica" w:eastAsia="Times New Roman" w:hAnsi="Helvetica"/>
          <w:color w:val="333333"/>
          <w:sz w:val="24"/>
          <w:lang w:eastAsia="en-GB"/>
        </w:rPr>
        <w:t xml:space="preserve"> observation</w:t>
      </w:r>
      <w:r w:rsidR="002B3C3E">
        <w:rPr>
          <w:rFonts w:ascii="Helvetica" w:eastAsia="Times New Roman" w:hAnsi="Helvetica"/>
          <w:color w:val="333333"/>
          <w:sz w:val="24"/>
          <w:lang w:eastAsia="en-GB"/>
        </w:rPr>
        <w:t>s</w:t>
      </w:r>
      <w:r w:rsidR="00137607">
        <w:rPr>
          <w:rFonts w:ascii="Helvetica" w:eastAsia="Times New Roman" w:hAnsi="Helvetica"/>
          <w:color w:val="333333"/>
          <w:sz w:val="24"/>
          <w:lang w:eastAsia="en-GB"/>
        </w:rPr>
        <w:t xml:space="preserve"> of the nature of</w:t>
      </w:r>
      <w:r w:rsidR="002B3C3E">
        <w:rPr>
          <w:rFonts w:ascii="Helvetica" w:eastAsia="Times New Roman" w:hAnsi="Helvetica"/>
          <w:color w:val="333333"/>
          <w:sz w:val="24"/>
          <w:lang w:eastAsia="en-GB"/>
        </w:rPr>
        <w:t xml:space="preserve"> drug supply in the university context</w:t>
      </w:r>
      <w:r w:rsidR="00137607">
        <w:rPr>
          <w:rFonts w:ascii="Helvetica" w:eastAsia="Times New Roman" w:hAnsi="Helvetica"/>
          <w:color w:val="333333"/>
          <w:sz w:val="24"/>
          <w:lang w:eastAsia="en-GB"/>
        </w:rPr>
        <w:t>, with a specific focus on how the university itself can act as a ‘risk environment’ (Rhodes, 2002)</w:t>
      </w:r>
      <w:r w:rsidR="00D4364E">
        <w:rPr>
          <w:rFonts w:ascii="Helvetica" w:eastAsia="Times New Roman" w:hAnsi="Helvetica"/>
          <w:color w:val="333333"/>
          <w:sz w:val="24"/>
          <w:lang w:eastAsia="en-GB"/>
        </w:rPr>
        <w:t xml:space="preserve"> in which students transition from drug use into social supply behaviours.</w:t>
      </w:r>
      <w:r w:rsidR="004110AC">
        <w:rPr>
          <w:rFonts w:ascii="Helvetica" w:eastAsia="Times New Roman" w:hAnsi="Helvetica"/>
          <w:color w:val="333333"/>
          <w:sz w:val="24"/>
          <w:lang w:eastAsia="en-GB"/>
        </w:rPr>
        <w:t xml:space="preserve"> </w:t>
      </w:r>
      <w:r w:rsidR="00962ADC">
        <w:rPr>
          <w:rFonts w:ascii="Helvetica" w:eastAsia="Times New Roman" w:hAnsi="Helvetica"/>
          <w:color w:val="333333"/>
          <w:sz w:val="24"/>
          <w:lang w:eastAsia="en-GB"/>
        </w:rPr>
        <w:t xml:space="preserve">In order to outline how the unique structural conditions of the university can </w:t>
      </w:r>
      <w:r w:rsidR="00D534A9">
        <w:rPr>
          <w:rFonts w:ascii="Helvetica" w:eastAsia="Times New Roman" w:hAnsi="Helvetica"/>
          <w:color w:val="333333"/>
          <w:sz w:val="24"/>
          <w:lang w:eastAsia="en-GB"/>
        </w:rPr>
        <w:t>provoke entry into drug supply, we first explore h</w:t>
      </w:r>
      <w:r w:rsidR="00366A81">
        <w:rPr>
          <w:rFonts w:ascii="Helvetica" w:eastAsia="Times New Roman" w:hAnsi="Helvetica"/>
          <w:color w:val="333333"/>
          <w:sz w:val="24"/>
          <w:lang w:eastAsia="en-GB"/>
        </w:rPr>
        <w:t xml:space="preserve">ow </w:t>
      </w:r>
      <w:r w:rsidR="00366A81">
        <w:rPr>
          <w:rFonts w:ascii="Helvetica" w:eastAsia="Times New Roman" w:hAnsi="Helvetica"/>
          <w:color w:val="333333"/>
          <w:sz w:val="24"/>
          <w:lang w:eastAsia="en-GB"/>
        </w:rPr>
        <w:lastRenderedPageBreak/>
        <w:t xml:space="preserve">the university </w:t>
      </w:r>
      <w:r w:rsidR="00AB5776">
        <w:rPr>
          <w:rFonts w:ascii="Helvetica" w:eastAsia="Times New Roman" w:hAnsi="Helvetica"/>
          <w:color w:val="333333"/>
          <w:sz w:val="24"/>
          <w:lang w:eastAsia="en-GB"/>
        </w:rPr>
        <w:t xml:space="preserve">represents a space in which </w:t>
      </w:r>
      <w:r w:rsidR="001E2DD2">
        <w:rPr>
          <w:rFonts w:ascii="Helvetica" w:eastAsia="Times New Roman" w:hAnsi="Helvetica"/>
          <w:color w:val="333333"/>
          <w:sz w:val="24"/>
          <w:lang w:eastAsia="en-GB"/>
        </w:rPr>
        <w:t xml:space="preserve">the majority of </w:t>
      </w:r>
      <w:r w:rsidR="00AB5776">
        <w:rPr>
          <w:rFonts w:ascii="Helvetica" w:eastAsia="Times New Roman" w:hAnsi="Helvetica"/>
          <w:color w:val="333333"/>
          <w:sz w:val="24"/>
          <w:lang w:eastAsia="en-GB"/>
        </w:rPr>
        <w:t xml:space="preserve">students are freed from </w:t>
      </w:r>
      <w:r w:rsidR="001E2DD2">
        <w:rPr>
          <w:rFonts w:ascii="Helvetica" w:eastAsia="Times New Roman" w:hAnsi="Helvetica"/>
          <w:color w:val="333333"/>
          <w:sz w:val="24"/>
          <w:lang w:eastAsia="en-GB"/>
        </w:rPr>
        <w:t xml:space="preserve">the supervision of guardians and thus encounter for the first time the space and freedom to experiment in </w:t>
      </w:r>
      <w:r w:rsidR="0050074B">
        <w:rPr>
          <w:rFonts w:ascii="Helvetica" w:eastAsia="Times New Roman" w:hAnsi="Helvetica"/>
          <w:color w:val="333333"/>
          <w:sz w:val="24"/>
          <w:lang w:eastAsia="en-GB"/>
        </w:rPr>
        <w:t>‘</w:t>
      </w:r>
      <w:r w:rsidR="001E2DD2">
        <w:rPr>
          <w:rFonts w:ascii="Helvetica" w:eastAsia="Times New Roman" w:hAnsi="Helvetica"/>
          <w:color w:val="333333"/>
          <w:sz w:val="24"/>
          <w:lang w:eastAsia="en-GB"/>
        </w:rPr>
        <w:t>subterranean play</w:t>
      </w:r>
      <w:r w:rsidR="0050074B">
        <w:rPr>
          <w:rFonts w:ascii="Helvetica" w:eastAsia="Times New Roman" w:hAnsi="Helvetica"/>
          <w:color w:val="333333"/>
          <w:sz w:val="24"/>
          <w:lang w:eastAsia="en-GB"/>
        </w:rPr>
        <w:t>’ (Young, 1971)</w:t>
      </w:r>
      <w:r w:rsidR="001E2DD2">
        <w:rPr>
          <w:rFonts w:ascii="Helvetica" w:eastAsia="Times New Roman" w:hAnsi="Helvetica"/>
          <w:color w:val="333333"/>
          <w:sz w:val="24"/>
          <w:lang w:eastAsia="en-GB"/>
        </w:rPr>
        <w:t xml:space="preserve"> without fear of reprimand. Next, it is argued that the university can</w:t>
      </w:r>
      <w:r w:rsidR="00366A81">
        <w:rPr>
          <w:rFonts w:ascii="Helvetica" w:eastAsia="Times New Roman" w:hAnsi="Helvetica"/>
          <w:color w:val="333333"/>
          <w:sz w:val="24"/>
          <w:lang w:eastAsia="en-GB"/>
        </w:rPr>
        <w:t xml:space="preserve"> act as a cultural </w:t>
      </w:r>
      <w:r w:rsidR="00D534A9">
        <w:rPr>
          <w:rFonts w:ascii="Helvetica" w:eastAsia="Times New Roman" w:hAnsi="Helvetica"/>
          <w:color w:val="333333"/>
          <w:sz w:val="24"/>
          <w:lang w:eastAsia="en-GB"/>
        </w:rPr>
        <w:t xml:space="preserve">environment </w:t>
      </w:r>
      <w:r w:rsidR="007773FB">
        <w:rPr>
          <w:rFonts w:ascii="Helvetica" w:eastAsia="Times New Roman" w:hAnsi="Helvetica"/>
          <w:color w:val="333333"/>
          <w:sz w:val="24"/>
          <w:lang w:eastAsia="en-GB"/>
        </w:rPr>
        <w:t xml:space="preserve">that </w:t>
      </w:r>
      <w:r w:rsidR="00D534A9">
        <w:rPr>
          <w:rFonts w:ascii="Helvetica" w:eastAsia="Times New Roman" w:hAnsi="Helvetica"/>
          <w:color w:val="333333"/>
          <w:sz w:val="24"/>
          <w:lang w:eastAsia="en-GB"/>
        </w:rPr>
        <w:t xml:space="preserve">encourages </w:t>
      </w:r>
      <w:r w:rsidR="007773FB">
        <w:rPr>
          <w:rFonts w:ascii="Helvetica" w:eastAsia="Times New Roman" w:hAnsi="Helvetica"/>
          <w:color w:val="333333"/>
          <w:sz w:val="24"/>
          <w:lang w:eastAsia="en-GB"/>
        </w:rPr>
        <w:t xml:space="preserve">drug </w:t>
      </w:r>
      <w:r w:rsidR="007773FB" w:rsidRPr="007773FB">
        <w:rPr>
          <w:rFonts w:ascii="Helvetica" w:eastAsia="Times New Roman" w:hAnsi="Helvetica"/>
          <w:i/>
          <w:color w:val="333333"/>
          <w:sz w:val="24"/>
          <w:lang w:eastAsia="en-GB"/>
        </w:rPr>
        <w:t>experimentation</w:t>
      </w:r>
      <w:r w:rsidR="007773FB">
        <w:rPr>
          <w:rFonts w:ascii="Helvetica" w:eastAsia="Times New Roman" w:hAnsi="Helvetica"/>
          <w:color w:val="333333"/>
          <w:sz w:val="24"/>
          <w:lang w:eastAsia="en-GB"/>
        </w:rPr>
        <w:t xml:space="preserve"> and increased </w:t>
      </w:r>
      <w:r w:rsidR="00400EFA">
        <w:rPr>
          <w:rFonts w:ascii="Helvetica" w:eastAsia="Times New Roman" w:hAnsi="Helvetica"/>
          <w:color w:val="333333"/>
          <w:sz w:val="24"/>
          <w:lang w:eastAsia="en-GB"/>
        </w:rPr>
        <w:t xml:space="preserve">drug </w:t>
      </w:r>
      <w:r w:rsidR="007773FB">
        <w:rPr>
          <w:rFonts w:ascii="Helvetica" w:eastAsia="Times New Roman" w:hAnsi="Helvetica"/>
          <w:color w:val="333333"/>
          <w:sz w:val="24"/>
          <w:lang w:eastAsia="en-GB"/>
        </w:rPr>
        <w:t xml:space="preserve">involvement in relation to frequency and repertoires of use. </w:t>
      </w:r>
      <w:r w:rsidR="0049775D">
        <w:rPr>
          <w:rFonts w:ascii="Helvetica" w:eastAsia="Times New Roman" w:hAnsi="Helvetica"/>
          <w:color w:val="333333"/>
          <w:sz w:val="24"/>
          <w:lang w:eastAsia="en-GB"/>
        </w:rPr>
        <w:t xml:space="preserve">We suggest </w:t>
      </w:r>
      <w:r w:rsidR="007773FB">
        <w:rPr>
          <w:rFonts w:ascii="Helvetica" w:eastAsia="Times New Roman" w:hAnsi="Helvetica"/>
          <w:color w:val="333333"/>
          <w:sz w:val="24"/>
          <w:lang w:eastAsia="en-GB"/>
        </w:rPr>
        <w:t>that this relative normalisation</w:t>
      </w:r>
      <w:r w:rsidR="00366A81">
        <w:rPr>
          <w:rFonts w:ascii="Helvetica" w:eastAsia="Times New Roman" w:hAnsi="Helvetica"/>
          <w:color w:val="333333"/>
          <w:sz w:val="24"/>
          <w:lang w:eastAsia="en-GB"/>
        </w:rPr>
        <w:t xml:space="preserve"> (Parker et</w:t>
      </w:r>
      <w:r w:rsidR="00433421">
        <w:rPr>
          <w:rFonts w:ascii="Helvetica" w:eastAsia="Times New Roman" w:hAnsi="Helvetica"/>
          <w:color w:val="333333"/>
          <w:sz w:val="24"/>
          <w:lang w:eastAsia="en-GB"/>
        </w:rPr>
        <w:t xml:space="preserve"> al., 1998;</w:t>
      </w:r>
      <w:r w:rsidR="00C223E4">
        <w:rPr>
          <w:rFonts w:ascii="Helvetica" w:eastAsia="Times New Roman" w:hAnsi="Helvetica"/>
          <w:color w:val="333333"/>
          <w:sz w:val="24"/>
          <w:lang w:eastAsia="en-GB"/>
        </w:rPr>
        <w:t xml:space="preserve"> </w:t>
      </w:r>
      <w:r w:rsidR="002C0D07">
        <w:rPr>
          <w:rFonts w:ascii="Helvetica" w:eastAsia="Times New Roman" w:hAnsi="Helvetica"/>
          <w:color w:val="333333"/>
          <w:sz w:val="24"/>
          <w:lang w:eastAsia="en-GB"/>
        </w:rPr>
        <w:t>xxxxxx</w:t>
      </w:r>
      <w:r w:rsidR="00C223E4">
        <w:rPr>
          <w:rFonts w:ascii="Helvetica" w:eastAsia="Times New Roman" w:hAnsi="Helvetica"/>
          <w:color w:val="333333"/>
          <w:sz w:val="24"/>
          <w:lang w:eastAsia="en-GB"/>
        </w:rPr>
        <w:t xml:space="preserve"> 2015</w:t>
      </w:r>
      <w:r w:rsidR="00366A81">
        <w:rPr>
          <w:rFonts w:ascii="Helvetica" w:eastAsia="Times New Roman" w:hAnsi="Helvetica"/>
          <w:color w:val="333333"/>
          <w:sz w:val="24"/>
          <w:lang w:eastAsia="en-GB"/>
        </w:rPr>
        <w:t>)</w:t>
      </w:r>
      <w:r w:rsidR="007773FB">
        <w:rPr>
          <w:rFonts w:ascii="Helvetica" w:eastAsia="Times New Roman" w:hAnsi="Helvetica"/>
          <w:color w:val="333333"/>
          <w:sz w:val="24"/>
          <w:lang w:eastAsia="en-GB"/>
        </w:rPr>
        <w:t>, naturalises drug use and to</w:t>
      </w:r>
      <w:r w:rsidR="00366A81">
        <w:rPr>
          <w:rFonts w:ascii="Helvetica" w:eastAsia="Times New Roman" w:hAnsi="Helvetica"/>
          <w:color w:val="333333"/>
          <w:sz w:val="24"/>
          <w:lang w:eastAsia="en-GB"/>
        </w:rPr>
        <w:t xml:space="preserve"> some extent supply, which, in the absence of established supply routes, is more likely to be taken on by drug users. The paper outlines how </w:t>
      </w:r>
      <w:r w:rsidR="00A01A16">
        <w:rPr>
          <w:rFonts w:ascii="Helvetica" w:eastAsia="Times New Roman" w:hAnsi="Helvetica"/>
          <w:color w:val="333333"/>
          <w:sz w:val="24"/>
          <w:lang w:eastAsia="en-GB"/>
        </w:rPr>
        <w:t xml:space="preserve">these </w:t>
      </w:r>
      <w:r w:rsidR="00400EFA">
        <w:rPr>
          <w:rFonts w:ascii="Helvetica" w:eastAsia="Times New Roman" w:hAnsi="Helvetica"/>
          <w:color w:val="333333"/>
          <w:sz w:val="24"/>
          <w:lang w:eastAsia="en-GB"/>
        </w:rPr>
        <w:t xml:space="preserve">factors, as well as the connectedness of the student population and </w:t>
      </w:r>
      <w:r w:rsidR="0037735B">
        <w:rPr>
          <w:rFonts w:ascii="Helvetica" w:eastAsia="Times New Roman" w:hAnsi="Helvetica"/>
          <w:color w:val="333333"/>
          <w:sz w:val="24"/>
          <w:lang w:eastAsia="en-GB"/>
        </w:rPr>
        <w:t xml:space="preserve">the </w:t>
      </w:r>
      <w:r w:rsidR="001C4693">
        <w:rPr>
          <w:rFonts w:ascii="Helvetica" w:eastAsia="Times New Roman" w:hAnsi="Helvetica"/>
          <w:color w:val="333333"/>
          <w:sz w:val="24"/>
          <w:lang w:eastAsia="en-GB"/>
        </w:rPr>
        <w:t xml:space="preserve">realisation of the </w:t>
      </w:r>
      <w:r w:rsidR="0037735B">
        <w:rPr>
          <w:rFonts w:ascii="Helvetica" w:eastAsia="Times New Roman" w:hAnsi="Helvetica"/>
          <w:color w:val="333333"/>
          <w:sz w:val="24"/>
          <w:lang w:eastAsia="en-GB"/>
        </w:rPr>
        <w:t>university as a new space for important socialisation</w:t>
      </w:r>
      <w:r w:rsidR="00273CE8">
        <w:rPr>
          <w:rFonts w:ascii="Helvetica" w:eastAsia="Times New Roman" w:hAnsi="Helvetica"/>
          <w:color w:val="333333"/>
          <w:sz w:val="24"/>
          <w:lang w:eastAsia="en-GB"/>
        </w:rPr>
        <w:t>,</w:t>
      </w:r>
      <w:r w:rsidR="0037735B">
        <w:rPr>
          <w:rFonts w:ascii="Helvetica" w:eastAsia="Times New Roman" w:hAnsi="Helvetica"/>
          <w:color w:val="333333"/>
          <w:sz w:val="24"/>
          <w:lang w:eastAsia="en-GB"/>
        </w:rPr>
        <w:t xml:space="preserve"> identity </w:t>
      </w:r>
      <w:r w:rsidR="001C4693">
        <w:rPr>
          <w:rFonts w:ascii="Helvetica" w:eastAsia="Times New Roman" w:hAnsi="Helvetica"/>
          <w:color w:val="333333"/>
          <w:sz w:val="24"/>
          <w:lang w:eastAsia="en-GB"/>
        </w:rPr>
        <w:t xml:space="preserve">and relationship </w:t>
      </w:r>
      <w:r w:rsidR="0037735B">
        <w:rPr>
          <w:rFonts w:ascii="Helvetica" w:eastAsia="Times New Roman" w:hAnsi="Helvetica"/>
          <w:color w:val="333333"/>
          <w:sz w:val="24"/>
          <w:lang w:eastAsia="en-GB"/>
        </w:rPr>
        <w:t xml:space="preserve">formation can encourage </w:t>
      </w:r>
      <w:r w:rsidR="001C4693">
        <w:rPr>
          <w:rFonts w:ascii="Helvetica" w:eastAsia="Times New Roman" w:hAnsi="Helvetica"/>
          <w:color w:val="333333"/>
          <w:sz w:val="24"/>
          <w:lang w:eastAsia="en-GB"/>
        </w:rPr>
        <w:t xml:space="preserve">drug use and symbolic </w:t>
      </w:r>
      <w:r w:rsidR="0037735B">
        <w:rPr>
          <w:rFonts w:ascii="Helvetica" w:eastAsia="Times New Roman" w:hAnsi="Helvetica"/>
          <w:color w:val="333333"/>
          <w:sz w:val="24"/>
          <w:lang w:eastAsia="en-GB"/>
        </w:rPr>
        <w:t xml:space="preserve">reciprocal supply events. </w:t>
      </w:r>
      <w:r w:rsidR="001C4693">
        <w:rPr>
          <w:rFonts w:ascii="Helvetica" w:eastAsia="Times New Roman" w:hAnsi="Helvetica"/>
          <w:color w:val="333333"/>
          <w:sz w:val="24"/>
          <w:lang w:eastAsia="en-GB"/>
        </w:rPr>
        <w:t xml:space="preserve">In addition to these social-cultural characteristics, we </w:t>
      </w:r>
      <w:r w:rsidR="0049775D">
        <w:rPr>
          <w:rFonts w:ascii="Helvetica" w:eastAsia="Times New Roman" w:hAnsi="Helvetica"/>
          <w:color w:val="333333"/>
          <w:sz w:val="24"/>
          <w:lang w:eastAsia="en-GB"/>
        </w:rPr>
        <w:t>propose</w:t>
      </w:r>
      <w:r w:rsidR="001C4693">
        <w:rPr>
          <w:rFonts w:ascii="Helvetica" w:eastAsia="Times New Roman" w:hAnsi="Helvetica"/>
          <w:color w:val="333333"/>
          <w:sz w:val="24"/>
          <w:lang w:eastAsia="en-GB"/>
        </w:rPr>
        <w:t xml:space="preserve"> that the specific economic circumstances often associated with </w:t>
      </w:r>
      <w:r w:rsidR="0050074B">
        <w:rPr>
          <w:rFonts w:ascii="Helvetica" w:eastAsia="Times New Roman" w:hAnsi="Helvetica"/>
          <w:color w:val="333333"/>
          <w:sz w:val="24"/>
          <w:lang w:eastAsia="en-GB"/>
        </w:rPr>
        <w:t>‘</w:t>
      </w:r>
      <w:r w:rsidR="001C4693">
        <w:rPr>
          <w:rFonts w:ascii="Helvetica" w:eastAsia="Times New Roman" w:hAnsi="Helvetica"/>
          <w:color w:val="333333"/>
          <w:sz w:val="24"/>
          <w:lang w:eastAsia="en-GB"/>
        </w:rPr>
        <w:t>being</w:t>
      </w:r>
      <w:r w:rsidR="0050074B">
        <w:rPr>
          <w:rFonts w:ascii="Helvetica" w:eastAsia="Times New Roman" w:hAnsi="Helvetica"/>
          <w:color w:val="333333"/>
          <w:sz w:val="24"/>
          <w:lang w:eastAsia="en-GB"/>
        </w:rPr>
        <w:t>’</w:t>
      </w:r>
      <w:r w:rsidR="001C4693">
        <w:rPr>
          <w:rFonts w:ascii="Helvetica" w:eastAsia="Times New Roman" w:hAnsi="Helvetica"/>
          <w:color w:val="333333"/>
          <w:sz w:val="24"/>
          <w:lang w:eastAsia="en-GB"/>
        </w:rPr>
        <w:t xml:space="preserve"> a student can lead to cost-cutting </w:t>
      </w:r>
      <w:r w:rsidR="001C4693" w:rsidRPr="00476FB5">
        <w:rPr>
          <w:rFonts w:ascii="Helvetica" w:eastAsia="Times New Roman" w:hAnsi="Helvetica"/>
          <w:color w:val="333333"/>
          <w:sz w:val="24"/>
          <w:lang w:eastAsia="en-GB"/>
        </w:rPr>
        <w:t>strategies such</w:t>
      </w:r>
      <w:r w:rsidR="00220D1B" w:rsidRPr="00476FB5">
        <w:rPr>
          <w:rFonts w:ascii="Helvetica" w:eastAsia="Times New Roman" w:hAnsi="Helvetica"/>
          <w:color w:val="333333"/>
          <w:sz w:val="24"/>
          <w:lang w:eastAsia="en-GB"/>
        </w:rPr>
        <w:t xml:space="preserve"> as buying in bulk -</w:t>
      </w:r>
      <w:r w:rsidR="001221C0" w:rsidRPr="00476FB5">
        <w:rPr>
          <w:rFonts w:ascii="Helvetica" w:eastAsia="Times New Roman" w:hAnsi="Helvetica"/>
          <w:color w:val="333333"/>
          <w:sz w:val="24"/>
          <w:lang w:eastAsia="en-GB"/>
        </w:rPr>
        <w:t xml:space="preserve"> allowing respondents to reduce the cost of drugs or acquire ‘free drugs’.</w:t>
      </w:r>
      <w:r w:rsidR="00A01A16" w:rsidRPr="00476FB5">
        <w:rPr>
          <w:rFonts w:ascii="Helvetica" w:eastAsia="Times New Roman" w:hAnsi="Helvetica"/>
          <w:color w:val="333333"/>
          <w:sz w:val="24"/>
          <w:lang w:eastAsia="en-GB"/>
        </w:rPr>
        <w:t xml:space="preserve"> It is argued that </w:t>
      </w:r>
      <w:r w:rsidR="00081C94" w:rsidRPr="00476FB5">
        <w:rPr>
          <w:rFonts w:ascii="Helvetica" w:eastAsia="Times New Roman" w:hAnsi="Helvetica"/>
          <w:color w:val="333333"/>
          <w:sz w:val="24"/>
          <w:lang w:eastAsia="en-GB"/>
        </w:rPr>
        <w:t xml:space="preserve">though cultures of reciprocity and notions of ‘drift’ </w:t>
      </w:r>
      <w:r w:rsidR="00053950">
        <w:rPr>
          <w:rFonts w:ascii="Helvetica" w:eastAsia="Times New Roman" w:hAnsi="Helvetica"/>
          <w:color w:val="333333"/>
          <w:sz w:val="24"/>
          <w:lang w:eastAsia="en-GB"/>
        </w:rPr>
        <w:t xml:space="preserve">also </w:t>
      </w:r>
      <w:r w:rsidR="00081C94" w:rsidRPr="00476FB5">
        <w:rPr>
          <w:rFonts w:ascii="Helvetica" w:eastAsia="Times New Roman" w:hAnsi="Helvetica"/>
          <w:color w:val="333333"/>
          <w:sz w:val="24"/>
          <w:lang w:eastAsia="en-GB"/>
        </w:rPr>
        <w:t>have wider relevance to non-student populations, that the university can be con</w:t>
      </w:r>
      <w:r w:rsidR="00E32AE4" w:rsidRPr="00476FB5">
        <w:rPr>
          <w:rFonts w:ascii="Helvetica" w:eastAsia="Times New Roman" w:hAnsi="Helvetica"/>
          <w:color w:val="333333"/>
          <w:sz w:val="24"/>
          <w:lang w:eastAsia="en-GB"/>
        </w:rPr>
        <w:t>sidered a specific site for</w:t>
      </w:r>
      <w:r w:rsidR="00081C94" w:rsidRPr="00476FB5">
        <w:rPr>
          <w:rFonts w:ascii="Helvetica" w:eastAsia="Times New Roman" w:hAnsi="Helvetica"/>
          <w:color w:val="333333"/>
          <w:sz w:val="24"/>
          <w:lang w:eastAsia="en-GB"/>
        </w:rPr>
        <w:t xml:space="preserve"> social supply transition</w:t>
      </w:r>
      <w:r w:rsidR="003F083E" w:rsidRPr="00476FB5">
        <w:rPr>
          <w:rFonts w:ascii="Helvetica" w:eastAsia="Times New Roman" w:hAnsi="Helvetica"/>
          <w:color w:val="333333"/>
          <w:sz w:val="24"/>
          <w:lang w:eastAsia="en-GB"/>
        </w:rPr>
        <w:t xml:space="preserve"> where its particular </w:t>
      </w:r>
      <w:r w:rsidR="00E32AE4" w:rsidRPr="00476FB5">
        <w:rPr>
          <w:rFonts w:ascii="Helvetica" w:eastAsia="Times New Roman" w:hAnsi="Helvetica"/>
          <w:color w:val="333333"/>
          <w:sz w:val="24"/>
          <w:lang w:eastAsia="en-GB"/>
        </w:rPr>
        <w:t>cu</w:t>
      </w:r>
      <w:r w:rsidR="001E2DD2" w:rsidRPr="00476FB5">
        <w:rPr>
          <w:rFonts w:ascii="Helvetica" w:eastAsia="Times New Roman" w:hAnsi="Helvetica"/>
          <w:color w:val="333333"/>
          <w:sz w:val="24"/>
          <w:lang w:eastAsia="en-GB"/>
        </w:rPr>
        <w:t>ltural,</w:t>
      </w:r>
      <w:r w:rsidR="00E32AE4" w:rsidRPr="00476FB5">
        <w:rPr>
          <w:rFonts w:ascii="Helvetica" w:eastAsia="Times New Roman" w:hAnsi="Helvetica"/>
          <w:color w:val="333333"/>
          <w:sz w:val="24"/>
          <w:lang w:eastAsia="en-GB"/>
        </w:rPr>
        <w:t xml:space="preserve"> structural</w:t>
      </w:r>
      <w:r w:rsidR="001E2DD2" w:rsidRPr="00476FB5">
        <w:rPr>
          <w:rFonts w:ascii="Helvetica" w:eastAsia="Times New Roman" w:hAnsi="Helvetica"/>
          <w:color w:val="333333"/>
          <w:sz w:val="24"/>
          <w:lang w:eastAsia="en-GB"/>
        </w:rPr>
        <w:t xml:space="preserve"> and situational</w:t>
      </w:r>
      <w:r w:rsidR="00E32AE4" w:rsidRPr="00476FB5">
        <w:rPr>
          <w:rFonts w:ascii="Helvetica" w:eastAsia="Times New Roman" w:hAnsi="Helvetica"/>
          <w:color w:val="333333"/>
          <w:sz w:val="24"/>
          <w:lang w:eastAsia="en-GB"/>
        </w:rPr>
        <w:t xml:space="preserve"> characteristics can work as an enabling context for </w:t>
      </w:r>
      <w:r w:rsidR="00B21958" w:rsidRPr="00476FB5">
        <w:rPr>
          <w:rFonts w:ascii="Helvetica" w:eastAsia="Times New Roman" w:hAnsi="Helvetica"/>
          <w:color w:val="333333"/>
          <w:sz w:val="24"/>
          <w:lang w:eastAsia="en-GB"/>
        </w:rPr>
        <w:t xml:space="preserve">journeys into </w:t>
      </w:r>
      <w:r w:rsidR="00A3693F" w:rsidRPr="00476FB5">
        <w:rPr>
          <w:rFonts w:ascii="Helvetica" w:eastAsia="Times New Roman" w:hAnsi="Helvetica"/>
          <w:color w:val="333333"/>
          <w:sz w:val="24"/>
          <w:lang w:eastAsia="en-GB"/>
        </w:rPr>
        <w:t xml:space="preserve">drug </w:t>
      </w:r>
      <w:r w:rsidR="00E32AE4" w:rsidRPr="00476FB5">
        <w:rPr>
          <w:rFonts w:ascii="Helvetica" w:eastAsia="Times New Roman" w:hAnsi="Helvetica"/>
          <w:color w:val="333333"/>
          <w:sz w:val="24"/>
          <w:lang w:eastAsia="en-GB"/>
        </w:rPr>
        <w:t>supply.</w:t>
      </w:r>
      <w:r w:rsidR="00E32AE4">
        <w:rPr>
          <w:rFonts w:ascii="Helvetica" w:eastAsia="Times New Roman" w:hAnsi="Helvetica"/>
          <w:color w:val="333333"/>
          <w:sz w:val="24"/>
          <w:lang w:eastAsia="en-GB"/>
        </w:rPr>
        <w:t xml:space="preserve">   </w:t>
      </w:r>
      <w:r w:rsidR="00081C94">
        <w:rPr>
          <w:rFonts w:ascii="Helvetica" w:eastAsia="Times New Roman" w:hAnsi="Helvetica"/>
          <w:color w:val="333333"/>
          <w:sz w:val="24"/>
          <w:lang w:eastAsia="en-GB"/>
        </w:rPr>
        <w:t xml:space="preserve"> </w:t>
      </w:r>
    </w:p>
    <w:p w14:paraId="3EC19669" w14:textId="77777777" w:rsidR="00623E7B" w:rsidRPr="00425CE9" w:rsidRDefault="00623E7B" w:rsidP="00730B7D">
      <w:pPr>
        <w:autoSpaceDE w:val="0"/>
        <w:autoSpaceDN w:val="0"/>
        <w:adjustRightInd w:val="0"/>
        <w:spacing w:after="0"/>
        <w:outlineLvl w:val="0"/>
        <w:rPr>
          <w:rFonts w:cs="Arial"/>
          <w:b/>
          <w:bCs/>
          <w:sz w:val="24"/>
          <w:szCs w:val="24"/>
          <w:lang w:eastAsia="en-GB"/>
        </w:rPr>
      </w:pPr>
      <w:r w:rsidRPr="00425CE9">
        <w:rPr>
          <w:rFonts w:cs="Arial"/>
          <w:b/>
          <w:bCs/>
          <w:sz w:val="24"/>
          <w:szCs w:val="24"/>
          <w:lang w:eastAsia="en-GB"/>
        </w:rPr>
        <w:t>Methods</w:t>
      </w:r>
    </w:p>
    <w:p w14:paraId="23B4157C" w14:textId="77777777" w:rsidR="00FC01B5" w:rsidRPr="00425CE9" w:rsidRDefault="00FC01B5" w:rsidP="001B1888">
      <w:pPr>
        <w:autoSpaceDE w:val="0"/>
        <w:autoSpaceDN w:val="0"/>
        <w:adjustRightInd w:val="0"/>
        <w:spacing w:after="0"/>
        <w:rPr>
          <w:rFonts w:cs="Arial"/>
          <w:b/>
          <w:bCs/>
          <w:sz w:val="24"/>
          <w:szCs w:val="24"/>
          <w:lang w:eastAsia="en-GB"/>
        </w:rPr>
      </w:pPr>
    </w:p>
    <w:p w14:paraId="4EA8F9A2" w14:textId="179FFCF8" w:rsidR="00AC2609" w:rsidRDefault="002E4E84" w:rsidP="00A440A5">
      <w:pPr>
        <w:autoSpaceDE w:val="0"/>
        <w:autoSpaceDN w:val="0"/>
        <w:adjustRightInd w:val="0"/>
        <w:spacing w:after="0"/>
        <w:rPr>
          <w:sz w:val="24"/>
          <w:szCs w:val="24"/>
        </w:rPr>
      </w:pPr>
      <w:r w:rsidRPr="00425CE9">
        <w:rPr>
          <w:sz w:val="24"/>
          <w:szCs w:val="24"/>
        </w:rPr>
        <w:t xml:space="preserve">The data utilised in this research project </w:t>
      </w:r>
      <w:r w:rsidR="00EA59E7" w:rsidRPr="00425CE9">
        <w:rPr>
          <w:sz w:val="24"/>
          <w:szCs w:val="24"/>
        </w:rPr>
        <w:t>is drawn from fieldwork undertaken with undergradua</w:t>
      </w:r>
      <w:r w:rsidR="00385A73">
        <w:rPr>
          <w:sz w:val="24"/>
          <w:szCs w:val="24"/>
        </w:rPr>
        <w:t>te students studying at</w:t>
      </w:r>
      <w:r w:rsidR="00730B7D">
        <w:rPr>
          <w:sz w:val="24"/>
          <w:szCs w:val="24"/>
        </w:rPr>
        <w:t xml:space="preserve"> Plymouth</w:t>
      </w:r>
      <w:r w:rsidR="00EA59E7" w:rsidRPr="00425CE9">
        <w:rPr>
          <w:sz w:val="24"/>
          <w:szCs w:val="24"/>
        </w:rPr>
        <w:t xml:space="preserve"> University </w:t>
      </w:r>
      <w:r w:rsidR="009C0602" w:rsidRPr="00425CE9">
        <w:rPr>
          <w:sz w:val="24"/>
          <w:szCs w:val="24"/>
        </w:rPr>
        <w:t>in</w:t>
      </w:r>
      <w:r w:rsidR="0050074B">
        <w:rPr>
          <w:sz w:val="24"/>
          <w:szCs w:val="24"/>
        </w:rPr>
        <w:t xml:space="preserve"> 2013</w:t>
      </w:r>
      <w:r w:rsidR="00EA59E7" w:rsidRPr="00425CE9">
        <w:rPr>
          <w:sz w:val="24"/>
          <w:szCs w:val="24"/>
        </w:rPr>
        <w:t xml:space="preserve">. The fieldwork was primarily concerned with </w:t>
      </w:r>
      <w:r w:rsidR="000A204F" w:rsidRPr="00425CE9">
        <w:rPr>
          <w:sz w:val="24"/>
          <w:szCs w:val="24"/>
        </w:rPr>
        <w:t xml:space="preserve">exploring the potential for students to transition from drug </w:t>
      </w:r>
    </w:p>
    <w:p w14:paraId="437D8F8C" w14:textId="457D031D" w:rsidR="00C03717" w:rsidRPr="00B0092E" w:rsidRDefault="000A204F" w:rsidP="00C03717">
      <w:pPr>
        <w:autoSpaceDE w:val="0"/>
        <w:autoSpaceDN w:val="0"/>
        <w:adjustRightInd w:val="0"/>
        <w:spacing w:after="0"/>
        <w:rPr>
          <w:sz w:val="24"/>
          <w:szCs w:val="24"/>
        </w:rPr>
      </w:pPr>
      <w:r w:rsidRPr="00425CE9">
        <w:rPr>
          <w:sz w:val="24"/>
          <w:szCs w:val="24"/>
        </w:rPr>
        <w:t>use into drug supply within the university environment. 30 semi-structured interviews were conducted with students who f</w:t>
      </w:r>
      <w:r w:rsidR="00A440A5" w:rsidRPr="00425CE9">
        <w:rPr>
          <w:sz w:val="24"/>
          <w:szCs w:val="24"/>
        </w:rPr>
        <w:t>it the inclusion criteria; this</w:t>
      </w:r>
      <w:r w:rsidRPr="00425CE9">
        <w:rPr>
          <w:sz w:val="24"/>
          <w:szCs w:val="24"/>
        </w:rPr>
        <w:t xml:space="preserve"> was defined as any student who ‘had experience of receiving </w:t>
      </w:r>
      <w:r w:rsidR="00FC01B5" w:rsidRPr="00425CE9">
        <w:rPr>
          <w:sz w:val="24"/>
          <w:szCs w:val="24"/>
        </w:rPr>
        <w:t>illicit drugs from friends or acquaintances, or had themselves supplied drugs to friends or acquaintances</w:t>
      </w:r>
      <w:r w:rsidRPr="00425CE9">
        <w:rPr>
          <w:sz w:val="24"/>
          <w:szCs w:val="24"/>
        </w:rPr>
        <w:t>’</w:t>
      </w:r>
      <w:r w:rsidR="00FC01B5" w:rsidRPr="00425CE9">
        <w:rPr>
          <w:sz w:val="24"/>
          <w:szCs w:val="24"/>
        </w:rPr>
        <w:t>.</w:t>
      </w:r>
      <w:r w:rsidR="00D8367F">
        <w:rPr>
          <w:sz w:val="24"/>
          <w:szCs w:val="24"/>
        </w:rPr>
        <w:t xml:space="preserve"> The majority of the students could be considered </w:t>
      </w:r>
      <w:r w:rsidR="00586633">
        <w:rPr>
          <w:sz w:val="24"/>
          <w:szCs w:val="24"/>
        </w:rPr>
        <w:t>‘</w:t>
      </w:r>
      <w:r w:rsidR="00D8367F">
        <w:rPr>
          <w:sz w:val="24"/>
          <w:szCs w:val="24"/>
        </w:rPr>
        <w:t>non-</w:t>
      </w:r>
      <w:r w:rsidR="00630603">
        <w:rPr>
          <w:sz w:val="24"/>
          <w:szCs w:val="24"/>
        </w:rPr>
        <w:t>local</w:t>
      </w:r>
      <w:r w:rsidR="00586633">
        <w:rPr>
          <w:sz w:val="24"/>
          <w:szCs w:val="24"/>
        </w:rPr>
        <w:t>’ (n=26)</w:t>
      </w:r>
      <w:r w:rsidR="00D8367F">
        <w:rPr>
          <w:sz w:val="24"/>
          <w:szCs w:val="24"/>
        </w:rPr>
        <w:t>, and had travelled from various locations in E</w:t>
      </w:r>
      <w:r w:rsidR="00DB359A">
        <w:rPr>
          <w:sz w:val="24"/>
          <w:szCs w:val="24"/>
        </w:rPr>
        <w:t xml:space="preserve">ngland to attend the university. Of </w:t>
      </w:r>
      <w:r w:rsidR="00586633">
        <w:rPr>
          <w:sz w:val="24"/>
          <w:szCs w:val="24"/>
        </w:rPr>
        <w:t xml:space="preserve">the </w:t>
      </w:r>
      <w:r w:rsidR="00DB359A">
        <w:rPr>
          <w:sz w:val="24"/>
          <w:szCs w:val="24"/>
        </w:rPr>
        <w:t>four st</w:t>
      </w:r>
      <w:r w:rsidR="00586633">
        <w:rPr>
          <w:sz w:val="24"/>
          <w:szCs w:val="24"/>
        </w:rPr>
        <w:t>udents who were not classed as ‘local’</w:t>
      </w:r>
      <w:r w:rsidR="00DB359A">
        <w:rPr>
          <w:sz w:val="24"/>
          <w:szCs w:val="24"/>
        </w:rPr>
        <w:t xml:space="preserve">, </w:t>
      </w:r>
      <w:r w:rsidR="00D8367F">
        <w:rPr>
          <w:sz w:val="24"/>
          <w:szCs w:val="24"/>
        </w:rPr>
        <w:t xml:space="preserve">two students originated from </w:t>
      </w:r>
      <w:r w:rsidR="00730B7D">
        <w:rPr>
          <w:sz w:val="24"/>
          <w:szCs w:val="24"/>
        </w:rPr>
        <w:t>Plymouth</w:t>
      </w:r>
      <w:r w:rsidR="00385A73">
        <w:rPr>
          <w:sz w:val="24"/>
          <w:szCs w:val="24"/>
        </w:rPr>
        <w:t xml:space="preserve"> </w:t>
      </w:r>
      <w:r w:rsidR="00D8367F">
        <w:rPr>
          <w:sz w:val="24"/>
          <w:szCs w:val="24"/>
        </w:rPr>
        <w:t>and a further two lived a commutab</w:t>
      </w:r>
      <w:r w:rsidR="00630603">
        <w:rPr>
          <w:sz w:val="24"/>
          <w:szCs w:val="24"/>
        </w:rPr>
        <w:t>le distance from the university</w:t>
      </w:r>
      <w:r w:rsidR="00D8367F">
        <w:rPr>
          <w:sz w:val="24"/>
          <w:szCs w:val="24"/>
        </w:rPr>
        <w:t>. The primary sample population of s</w:t>
      </w:r>
      <w:r w:rsidRPr="00425CE9">
        <w:rPr>
          <w:sz w:val="24"/>
          <w:szCs w:val="24"/>
        </w:rPr>
        <w:t xml:space="preserve">tudents were recruited through email advertisements and short lecture presentations where </w:t>
      </w:r>
      <w:r w:rsidRPr="00425CE9">
        <w:rPr>
          <w:sz w:val="24"/>
          <w:szCs w:val="24"/>
        </w:rPr>
        <w:lastRenderedPageBreak/>
        <w:t>the research was outlined</w:t>
      </w:r>
      <w:r w:rsidR="00E608F1" w:rsidRPr="00425CE9">
        <w:rPr>
          <w:sz w:val="24"/>
          <w:szCs w:val="24"/>
        </w:rPr>
        <w:t xml:space="preserve"> and students were invited to participate through email contact.</w:t>
      </w:r>
      <w:r w:rsidRPr="00425CE9">
        <w:rPr>
          <w:sz w:val="24"/>
          <w:szCs w:val="24"/>
        </w:rPr>
        <w:t xml:space="preserve"> </w:t>
      </w:r>
      <w:r w:rsidR="00FC01B5" w:rsidRPr="00425CE9">
        <w:rPr>
          <w:sz w:val="24"/>
          <w:szCs w:val="24"/>
        </w:rPr>
        <w:t>The resp</w:t>
      </w:r>
      <w:r w:rsidR="00464321">
        <w:rPr>
          <w:sz w:val="24"/>
          <w:szCs w:val="24"/>
        </w:rPr>
        <w:t xml:space="preserve">ondents’ age ranged from 18-37 </w:t>
      </w:r>
      <w:r w:rsidR="00FC01B5" w:rsidRPr="00425CE9">
        <w:rPr>
          <w:sz w:val="24"/>
          <w:szCs w:val="24"/>
        </w:rPr>
        <w:t>and the sample was comprised of a 70% male and 30% fema</w:t>
      </w:r>
      <w:r w:rsidR="00E608F1" w:rsidRPr="00425CE9">
        <w:rPr>
          <w:sz w:val="24"/>
          <w:szCs w:val="24"/>
        </w:rPr>
        <w:t xml:space="preserve">le demographic. </w:t>
      </w:r>
      <w:r w:rsidR="0050074B">
        <w:rPr>
          <w:sz w:val="24"/>
          <w:szCs w:val="24"/>
        </w:rPr>
        <w:t>Though o</w:t>
      </w:r>
      <w:r w:rsidR="00464321">
        <w:rPr>
          <w:sz w:val="24"/>
          <w:szCs w:val="24"/>
        </w:rPr>
        <w:t>n</w:t>
      </w:r>
      <w:r w:rsidR="0050074B">
        <w:rPr>
          <w:sz w:val="24"/>
          <w:szCs w:val="24"/>
        </w:rPr>
        <w:t>e</w:t>
      </w:r>
      <w:r w:rsidR="00464321">
        <w:rPr>
          <w:sz w:val="24"/>
          <w:szCs w:val="24"/>
        </w:rPr>
        <w:t xml:space="preserve"> student self-identified as a ‘mature student’ (aged 37), the remainder of the sample were aged between 18 and 23 years old. </w:t>
      </w:r>
      <w:r w:rsidR="00E608F1" w:rsidRPr="00425CE9">
        <w:rPr>
          <w:sz w:val="24"/>
          <w:szCs w:val="24"/>
        </w:rPr>
        <w:t>Respondents were recruited</w:t>
      </w:r>
      <w:r w:rsidR="00FC01B5" w:rsidRPr="00425CE9">
        <w:rPr>
          <w:sz w:val="24"/>
          <w:szCs w:val="24"/>
        </w:rPr>
        <w:t xml:space="preserve"> from a range of subject areas (nursing, sociology, geography, computer science) and stages (undergraduates ranging from first to fourth year).</w:t>
      </w:r>
      <w:r w:rsidR="0013543C">
        <w:rPr>
          <w:sz w:val="24"/>
          <w:szCs w:val="24"/>
        </w:rPr>
        <w:t xml:space="preserve"> Despite only </w:t>
      </w:r>
      <w:r w:rsidR="00E152F6">
        <w:rPr>
          <w:sz w:val="24"/>
          <w:szCs w:val="24"/>
        </w:rPr>
        <w:t xml:space="preserve">13 </w:t>
      </w:r>
      <w:r w:rsidR="0013543C">
        <w:rPr>
          <w:sz w:val="24"/>
          <w:szCs w:val="24"/>
        </w:rPr>
        <w:t xml:space="preserve">of the sample identifying as ‘social suppliers’ from the outset of interviews, all of the students that were interviewed had experience of sharing drugs with friends – an act that constitutes supply according </w:t>
      </w:r>
      <w:r w:rsidR="0053387C">
        <w:rPr>
          <w:sz w:val="24"/>
          <w:szCs w:val="24"/>
        </w:rPr>
        <w:t>to the Misuse of Drugs Act (1971</w:t>
      </w:r>
      <w:r w:rsidR="0013543C">
        <w:rPr>
          <w:sz w:val="24"/>
          <w:szCs w:val="24"/>
        </w:rPr>
        <w:t>)</w:t>
      </w:r>
      <w:r w:rsidR="0053387C">
        <w:rPr>
          <w:sz w:val="24"/>
          <w:szCs w:val="24"/>
        </w:rPr>
        <w:t>.</w:t>
      </w:r>
      <w:r w:rsidR="00C03717">
        <w:rPr>
          <w:sz w:val="24"/>
          <w:szCs w:val="24"/>
        </w:rPr>
        <w:t xml:space="preserve"> </w:t>
      </w:r>
      <w:r w:rsidR="00C03717" w:rsidRPr="00C03717">
        <w:rPr>
          <w:sz w:val="24"/>
          <w:szCs w:val="24"/>
          <w:lang w:val="en-US"/>
        </w:rPr>
        <w:t>Ethical approval was gained from the University Ethics Board and normative anonymising and confidentiality measures were employed to protect respondents from harm and identification. As is common with t</w:t>
      </w:r>
      <w:r w:rsidR="00176AAE">
        <w:rPr>
          <w:sz w:val="24"/>
          <w:szCs w:val="24"/>
          <w:lang w:val="en-US"/>
        </w:rPr>
        <w:t>his type of research (see Fry</w:t>
      </w:r>
      <w:r w:rsidR="00C03717" w:rsidRPr="00C03717">
        <w:rPr>
          <w:sz w:val="24"/>
          <w:szCs w:val="24"/>
          <w:lang w:val="en-US"/>
        </w:rPr>
        <w:t xml:space="preserve"> </w:t>
      </w:r>
      <w:r w:rsidR="00C03717" w:rsidRPr="00C03717">
        <w:rPr>
          <w:i/>
          <w:iCs/>
          <w:sz w:val="24"/>
          <w:szCs w:val="24"/>
          <w:lang w:val="en-US"/>
        </w:rPr>
        <w:t xml:space="preserve">et al. </w:t>
      </w:r>
      <w:r w:rsidR="00176AAE">
        <w:rPr>
          <w:sz w:val="24"/>
          <w:szCs w:val="24"/>
          <w:lang w:val="en-US"/>
        </w:rPr>
        <w:t>2006</w:t>
      </w:r>
      <w:r w:rsidR="00C03717" w:rsidRPr="00C03717">
        <w:rPr>
          <w:sz w:val="24"/>
          <w:szCs w:val="24"/>
          <w:lang w:val="en-US"/>
        </w:rPr>
        <w:t>),</w:t>
      </w:r>
      <w:r w:rsidR="00C03717">
        <w:rPr>
          <w:sz w:val="24"/>
          <w:szCs w:val="24"/>
          <w:lang w:val="en-US"/>
        </w:rPr>
        <w:t xml:space="preserve"> respondents were offered a £10</w:t>
      </w:r>
      <w:r w:rsidR="00C03717" w:rsidRPr="00C03717">
        <w:rPr>
          <w:sz w:val="24"/>
          <w:szCs w:val="24"/>
          <w:lang w:val="en-US"/>
        </w:rPr>
        <w:t xml:space="preserve"> reciprocity payment for their contribution to the research</w:t>
      </w:r>
      <w:r w:rsidR="00AE700B">
        <w:rPr>
          <w:sz w:val="24"/>
          <w:szCs w:val="24"/>
          <w:lang w:val="en-US"/>
        </w:rPr>
        <w:t>.</w:t>
      </w:r>
      <w:r w:rsidR="00C03717" w:rsidRPr="00C03717">
        <w:rPr>
          <w:sz w:val="24"/>
          <w:szCs w:val="24"/>
          <w:lang w:val="en-US"/>
        </w:rPr>
        <w:t xml:space="preserve"> </w:t>
      </w:r>
      <w:r w:rsidR="00C03717">
        <w:rPr>
          <w:sz w:val="24"/>
          <w:szCs w:val="24"/>
          <w:lang w:val="en-US"/>
        </w:rPr>
        <w:t xml:space="preserve">Following </w:t>
      </w:r>
      <w:r w:rsidR="00C03717" w:rsidRPr="00C03717">
        <w:rPr>
          <w:sz w:val="24"/>
          <w:szCs w:val="24"/>
          <w:lang w:val="en-US"/>
        </w:rPr>
        <w:t xml:space="preserve">the transcription process, data was uploaded into a computer-assisted qualitative data analysis software programme (NVivo 9), where codes were generated and resulting themes and typologies created. </w:t>
      </w:r>
    </w:p>
    <w:p w14:paraId="5C73D6D0" w14:textId="77777777" w:rsidR="00D8367F" w:rsidRDefault="00D8367F" w:rsidP="00A440A5">
      <w:pPr>
        <w:autoSpaceDE w:val="0"/>
        <w:autoSpaceDN w:val="0"/>
        <w:adjustRightInd w:val="0"/>
        <w:spacing w:after="0"/>
        <w:rPr>
          <w:sz w:val="24"/>
          <w:szCs w:val="24"/>
        </w:rPr>
      </w:pPr>
    </w:p>
    <w:p w14:paraId="6304BF6E" w14:textId="5C6C9C64" w:rsidR="00886C2A" w:rsidRPr="00886C2A" w:rsidRDefault="00D8604A" w:rsidP="00730B7D">
      <w:pPr>
        <w:autoSpaceDE w:val="0"/>
        <w:autoSpaceDN w:val="0"/>
        <w:adjustRightInd w:val="0"/>
        <w:spacing w:after="0"/>
        <w:outlineLvl w:val="0"/>
        <w:rPr>
          <w:rFonts w:cs="Arial"/>
          <w:b/>
          <w:bCs/>
          <w:sz w:val="24"/>
          <w:szCs w:val="24"/>
          <w:lang w:eastAsia="en-GB"/>
        </w:rPr>
      </w:pPr>
      <w:r>
        <w:rPr>
          <w:b/>
          <w:sz w:val="24"/>
          <w:szCs w:val="24"/>
        </w:rPr>
        <w:t>The University as a S</w:t>
      </w:r>
      <w:r w:rsidR="00886C2A" w:rsidRPr="00886C2A">
        <w:rPr>
          <w:b/>
          <w:sz w:val="24"/>
          <w:szCs w:val="24"/>
        </w:rPr>
        <w:t xml:space="preserve">ite of </w:t>
      </w:r>
      <w:r>
        <w:rPr>
          <w:b/>
          <w:sz w:val="24"/>
          <w:szCs w:val="24"/>
        </w:rPr>
        <w:t>W</w:t>
      </w:r>
      <w:r w:rsidR="0075389A">
        <w:rPr>
          <w:b/>
          <w:sz w:val="24"/>
          <w:szCs w:val="24"/>
        </w:rPr>
        <w:t xml:space="preserve">ider </w:t>
      </w:r>
      <w:r>
        <w:rPr>
          <w:b/>
          <w:sz w:val="24"/>
          <w:szCs w:val="24"/>
        </w:rPr>
        <w:t>Drug T</w:t>
      </w:r>
      <w:r w:rsidR="00886C2A" w:rsidRPr="00886C2A">
        <w:rPr>
          <w:b/>
          <w:sz w:val="24"/>
          <w:szCs w:val="24"/>
        </w:rPr>
        <w:t>ransition</w:t>
      </w:r>
      <w:r w:rsidR="00696518">
        <w:rPr>
          <w:b/>
          <w:sz w:val="24"/>
          <w:szCs w:val="24"/>
        </w:rPr>
        <w:t>.</w:t>
      </w:r>
    </w:p>
    <w:p w14:paraId="3625E5CE" w14:textId="77777777" w:rsidR="00C17D26" w:rsidRDefault="00C17D26" w:rsidP="001F2D02">
      <w:pPr>
        <w:autoSpaceDE w:val="0"/>
        <w:autoSpaceDN w:val="0"/>
        <w:adjustRightInd w:val="0"/>
        <w:spacing w:after="0"/>
        <w:rPr>
          <w:rFonts w:cs="Arial"/>
          <w:b/>
          <w:bCs/>
          <w:sz w:val="24"/>
          <w:szCs w:val="24"/>
          <w:lang w:eastAsia="en-GB"/>
        </w:rPr>
      </w:pPr>
    </w:p>
    <w:p w14:paraId="3105E9DE" w14:textId="0DFD1E31" w:rsidR="00886C2A" w:rsidRPr="001F2D02" w:rsidRDefault="00886C2A" w:rsidP="001F2D02">
      <w:pPr>
        <w:autoSpaceDE w:val="0"/>
        <w:autoSpaceDN w:val="0"/>
        <w:adjustRightInd w:val="0"/>
        <w:spacing w:after="0"/>
        <w:rPr>
          <w:rFonts w:cs="Arial"/>
          <w:sz w:val="24"/>
          <w:lang w:eastAsia="en-GB"/>
        </w:rPr>
      </w:pPr>
      <w:r w:rsidRPr="00886C2A">
        <w:rPr>
          <w:rFonts w:cs="Arial"/>
          <w:sz w:val="24"/>
          <w:szCs w:val="30"/>
          <w:lang w:val="en-US"/>
        </w:rPr>
        <w:t>Importantly, the university context represented a site in which increased access to drugs appeared to be con</w:t>
      </w:r>
      <w:r w:rsidR="00741583">
        <w:rPr>
          <w:rFonts w:cs="Arial"/>
          <w:sz w:val="24"/>
          <w:szCs w:val="30"/>
          <w:lang w:val="en-US"/>
        </w:rPr>
        <w:t>ducive to transitions in</w:t>
      </w:r>
      <w:r w:rsidRPr="00886C2A">
        <w:rPr>
          <w:rFonts w:cs="Arial"/>
          <w:sz w:val="24"/>
          <w:szCs w:val="30"/>
          <w:lang w:val="en-US"/>
        </w:rPr>
        <w:t xml:space="preserve"> use. </w:t>
      </w:r>
      <w:r w:rsidR="00741583">
        <w:rPr>
          <w:rFonts w:cs="Arial"/>
          <w:sz w:val="24"/>
          <w:szCs w:val="30"/>
          <w:lang w:val="en-US"/>
        </w:rPr>
        <w:t xml:space="preserve">A small number of </w:t>
      </w:r>
      <w:r w:rsidRPr="00886C2A">
        <w:rPr>
          <w:rFonts w:cs="Arial"/>
          <w:sz w:val="24"/>
          <w:szCs w:val="30"/>
          <w:lang w:val="en-US"/>
        </w:rPr>
        <w:t xml:space="preserve">individuals, who provided evidence of relatively extensive recreational drug use careers before university, showed no real transition in regard to their drug consumption. However, the majority of the sample presented evidence of the university context </w:t>
      </w:r>
      <w:r w:rsidR="00F05D39">
        <w:rPr>
          <w:rFonts w:cs="Arial"/>
          <w:sz w:val="24"/>
          <w:szCs w:val="30"/>
          <w:lang w:val="en-US"/>
        </w:rPr>
        <w:t xml:space="preserve">representing </w:t>
      </w:r>
      <w:r w:rsidR="00ED131A">
        <w:rPr>
          <w:rFonts w:cs="Arial"/>
          <w:sz w:val="24"/>
          <w:szCs w:val="30"/>
          <w:lang w:val="en-US"/>
        </w:rPr>
        <w:t>an important stage of the life-</w:t>
      </w:r>
      <w:r w:rsidRPr="00886C2A">
        <w:rPr>
          <w:rFonts w:cs="Arial"/>
          <w:sz w:val="24"/>
          <w:szCs w:val="30"/>
          <w:lang w:val="en-US"/>
        </w:rPr>
        <w:t>course (Sampson and Laub, 2005), in terms of both their levels of drug consumption, their frequency of use</w:t>
      </w:r>
      <w:r w:rsidR="00AC410D">
        <w:rPr>
          <w:rFonts w:cs="Arial"/>
          <w:sz w:val="24"/>
          <w:szCs w:val="30"/>
          <w:lang w:val="en-US"/>
        </w:rPr>
        <w:t>,</w:t>
      </w:r>
      <w:r w:rsidRPr="00886C2A">
        <w:rPr>
          <w:rFonts w:cs="Arial"/>
          <w:sz w:val="24"/>
          <w:szCs w:val="30"/>
          <w:lang w:val="en-US"/>
        </w:rPr>
        <w:t xml:space="preserve"> and the range of substances consumed. </w:t>
      </w:r>
      <w:r w:rsidR="00A8672D" w:rsidRPr="001F2D02">
        <w:rPr>
          <w:rFonts w:cs="Arial"/>
          <w:sz w:val="24"/>
          <w:lang w:eastAsia="en-GB"/>
        </w:rPr>
        <w:t xml:space="preserve">University drug transition careers tended to be characterised by initial drug encounters at school, with relatively low levels of cannabis use and a few instances of one off experimentation with cocaine or ecstasy use, to a transition into occasional weekend polydrug use of </w:t>
      </w:r>
      <w:r w:rsidR="00AC410D">
        <w:rPr>
          <w:rFonts w:cs="Arial"/>
          <w:sz w:val="24"/>
          <w:lang w:eastAsia="en-GB"/>
        </w:rPr>
        <w:t xml:space="preserve">substances including </w:t>
      </w:r>
      <w:r w:rsidR="00A8672D" w:rsidRPr="001F2D02">
        <w:rPr>
          <w:rFonts w:cs="Arial"/>
          <w:sz w:val="24"/>
          <w:lang w:eastAsia="en-GB"/>
        </w:rPr>
        <w:t>ecstasy, ketamine, mephedrone, LSD (to a lesser extent) and</w:t>
      </w:r>
      <w:r w:rsidR="0095304C">
        <w:rPr>
          <w:rFonts w:cs="Arial"/>
          <w:sz w:val="24"/>
          <w:lang w:eastAsia="en-GB"/>
        </w:rPr>
        <w:t>/or</w:t>
      </w:r>
      <w:r w:rsidR="00A8672D" w:rsidRPr="001F2D02">
        <w:rPr>
          <w:rFonts w:cs="Arial"/>
          <w:sz w:val="24"/>
          <w:lang w:eastAsia="en-GB"/>
        </w:rPr>
        <w:t xml:space="preserve"> higher frequency use of cannabis</w:t>
      </w:r>
      <w:r w:rsidR="000A4FB3" w:rsidRPr="001F2D02">
        <w:rPr>
          <w:rFonts w:cs="Arial"/>
          <w:sz w:val="24"/>
          <w:lang w:eastAsia="en-GB"/>
        </w:rPr>
        <w:t>.</w:t>
      </w:r>
      <w:r w:rsidR="000E7B3C">
        <w:rPr>
          <w:rFonts w:cs="Arial"/>
          <w:sz w:val="24"/>
          <w:lang w:eastAsia="en-GB"/>
        </w:rPr>
        <w:t xml:space="preserve"> </w:t>
      </w:r>
      <w:r w:rsidR="005775B7">
        <w:rPr>
          <w:rFonts w:cs="Arial"/>
          <w:sz w:val="24"/>
          <w:lang w:eastAsia="en-GB"/>
        </w:rPr>
        <w:t>Opportunity</w:t>
      </w:r>
      <w:r w:rsidR="00C03E51">
        <w:rPr>
          <w:rFonts w:cs="Arial"/>
          <w:sz w:val="24"/>
          <w:lang w:eastAsia="en-GB"/>
        </w:rPr>
        <w:t xml:space="preserve"> theorists</w:t>
      </w:r>
      <w:r w:rsidR="004E4D3A">
        <w:rPr>
          <w:rFonts w:cs="Arial"/>
          <w:sz w:val="24"/>
          <w:lang w:eastAsia="en-GB"/>
        </w:rPr>
        <w:t xml:space="preserve"> (Cohen and Felson, 1979)</w:t>
      </w:r>
      <w:r w:rsidR="005C167A">
        <w:rPr>
          <w:rFonts w:cs="Arial"/>
          <w:sz w:val="24"/>
          <w:lang w:eastAsia="en-GB"/>
        </w:rPr>
        <w:t xml:space="preserve">, </w:t>
      </w:r>
      <w:r w:rsidR="00E078FE">
        <w:rPr>
          <w:rFonts w:cs="Arial"/>
          <w:sz w:val="24"/>
          <w:lang w:eastAsia="en-GB"/>
        </w:rPr>
        <w:t xml:space="preserve">might see this environment as especially conducive to drug use, with the </w:t>
      </w:r>
      <w:r w:rsidR="005C167A">
        <w:rPr>
          <w:rFonts w:cs="Arial"/>
          <w:sz w:val="24"/>
          <w:lang w:eastAsia="en-GB"/>
        </w:rPr>
        <w:t>interaction of</w:t>
      </w:r>
      <w:r w:rsidR="00FB364C">
        <w:rPr>
          <w:rFonts w:cs="Arial"/>
          <w:sz w:val="24"/>
          <w:lang w:eastAsia="en-GB"/>
        </w:rPr>
        <w:t xml:space="preserve"> routine activity theory’s</w:t>
      </w:r>
      <w:r w:rsidR="005775B7">
        <w:rPr>
          <w:rFonts w:cs="Arial"/>
          <w:sz w:val="24"/>
          <w:lang w:eastAsia="en-GB"/>
        </w:rPr>
        <w:t xml:space="preserve"> </w:t>
      </w:r>
      <w:r w:rsidR="005775B7">
        <w:rPr>
          <w:rFonts w:cs="Arial"/>
          <w:sz w:val="24"/>
          <w:lang w:eastAsia="en-GB"/>
        </w:rPr>
        <w:lastRenderedPageBreak/>
        <w:t>(RAT)</w:t>
      </w:r>
      <w:r w:rsidR="005C167A">
        <w:rPr>
          <w:rFonts w:cs="Arial"/>
          <w:sz w:val="24"/>
          <w:lang w:eastAsia="en-GB"/>
        </w:rPr>
        <w:t xml:space="preserve"> three elements: time, location and </w:t>
      </w:r>
      <w:r w:rsidR="004E4D3A">
        <w:rPr>
          <w:rFonts w:cs="Arial"/>
          <w:sz w:val="24"/>
          <w:lang w:eastAsia="en-GB"/>
        </w:rPr>
        <w:t xml:space="preserve">absence of effective </w:t>
      </w:r>
      <w:r w:rsidR="005C167A">
        <w:rPr>
          <w:rFonts w:cs="Arial"/>
          <w:sz w:val="24"/>
          <w:lang w:eastAsia="en-GB"/>
        </w:rPr>
        <w:t xml:space="preserve">guardian </w:t>
      </w:r>
      <w:r w:rsidR="005775B7">
        <w:rPr>
          <w:rFonts w:cs="Arial"/>
          <w:sz w:val="24"/>
          <w:lang w:eastAsia="en-GB"/>
        </w:rPr>
        <w:t>presenting</w:t>
      </w:r>
      <w:r w:rsidR="00FB364C">
        <w:rPr>
          <w:rFonts w:cs="Arial"/>
          <w:sz w:val="24"/>
          <w:lang w:eastAsia="en-GB"/>
        </w:rPr>
        <w:t xml:space="preserve"> </w:t>
      </w:r>
      <w:r w:rsidR="000E609B">
        <w:rPr>
          <w:rFonts w:cs="Arial"/>
          <w:sz w:val="24"/>
          <w:lang w:eastAsia="en-GB"/>
        </w:rPr>
        <w:t>opportunities</w:t>
      </w:r>
      <w:r w:rsidR="00FB364C">
        <w:rPr>
          <w:rFonts w:cs="Arial"/>
          <w:sz w:val="24"/>
          <w:lang w:eastAsia="en-GB"/>
        </w:rPr>
        <w:t xml:space="preserve"> for drug taking. </w:t>
      </w:r>
      <w:r w:rsidR="00C87728">
        <w:rPr>
          <w:rFonts w:cs="Arial"/>
          <w:sz w:val="24"/>
          <w:lang w:eastAsia="en-GB"/>
        </w:rPr>
        <w:t>S</w:t>
      </w:r>
      <w:r w:rsidR="000A4FB3" w:rsidRPr="001F2D02">
        <w:rPr>
          <w:rFonts w:cs="Arial"/>
          <w:sz w:val="24"/>
          <w:lang w:eastAsia="en-GB"/>
        </w:rPr>
        <w:t>upporting the findings</w:t>
      </w:r>
      <w:r w:rsidR="00A8672D">
        <w:rPr>
          <w:rFonts w:cs="Arial"/>
          <w:sz w:val="24"/>
          <w:lang w:eastAsia="en-GB"/>
        </w:rPr>
        <w:t xml:space="preserve"> of Bennett and Holloway (2014) -</w:t>
      </w:r>
      <w:r w:rsidR="000A4FB3" w:rsidRPr="001F2D02">
        <w:rPr>
          <w:rFonts w:cs="Arial"/>
          <w:sz w:val="24"/>
          <w:lang w:eastAsia="en-GB"/>
        </w:rPr>
        <w:t xml:space="preserve"> who suggest that students living away from their parents were almost four times more likely to report drug use in the last 12 months than </w:t>
      </w:r>
      <w:r w:rsidR="00A8672D">
        <w:rPr>
          <w:rFonts w:cs="Arial"/>
          <w:sz w:val="24"/>
          <w:lang w:eastAsia="en-GB"/>
        </w:rPr>
        <w:t>those living with their parents -</w:t>
      </w:r>
      <w:r w:rsidR="000A4FB3" w:rsidRPr="001F2D02">
        <w:rPr>
          <w:rFonts w:cs="Arial"/>
          <w:sz w:val="24"/>
          <w:lang w:eastAsia="en-GB"/>
        </w:rPr>
        <w:t xml:space="preserve"> our students emphasised the importance of their independence</w:t>
      </w:r>
      <w:r w:rsidR="00C87728">
        <w:rPr>
          <w:rFonts w:cs="Arial"/>
          <w:sz w:val="24"/>
          <w:lang w:eastAsia="en-GB"/>
        </w:rPr>
        <w:t xml:space="preserve"> and the amount of comparable opportunities available to engage in drug taking</w:t>
      </w:r>
      <w:r w:rsidR="00FD75D4">
        <w:rPr>
          <w:rFonts w:cs="Arial"/>
          <w:sz w:val="24"/>
          <w:lang w:eastAsia="en-GB"/>
        </w:rPr>
        <w:t>, which became part of the</w:t>
      </w:r>
      <w:r w:rsidR="000C2A74">
        <w:rPr>
          <w:rFonts w:cs="Arial"/>
          <w:sz w:val="24"/>
          <w:lang w:eastAsia="en-GB"/>
        </w:rPr>
        <w:t xml:space="preserve"> university experience</w:t>
      </w:r>
      <w:r w:rsidR="00CA5A7F">
        <w:rPr>
          <w:rFonts w:cs="Arial"/>
          <w:sz w:val="24"/>
          <w:lang w:eastAsia="en-GB"/>
        </w:rPr>
        <w:t>:</w:t>
      </w:r>
    </w:p>
    <w:p w14:paraId="4AE9B03B" w14:textId="77777777" w:rsidR="00886C2A" w:rsidRPr="00886C2A" w:rsidRDefault="00886C2A" w:rsidP="00741583">
      <w:pPr>
        <w:widowControl w:val="0"/>
        <w:autoSpaceDE w:val="0"/>
        <w:autoSpaceDN w:val="0"/>
        <w:adjustRightInd w:val="0"/>
        <w:spacing w:after="240" w:line="240" w:lineRule="auto"/>
        <w:ind w:left="720"/>
        <w:rPr>
          <w:rFonts w:ascii="Times" w:hAnsi="Times" w:cs="Times"/>
          <w:sz w:val="21"/>
          <w:szCs w:val="24"/>
          <w:lang w:val="en-US"/>
        </w:rPr>
      </w:pPr>
      <w:r w:rsidRPr="00886C2A">
        <w:rPr>
          <w:rFonts w:cs="Arial"/>
          <w:sz w:val="24"/>
          <w:szCs w:val="30"/>
          <w:lang w:val="en-US"/>
        </w:rPr>
        <w:t xml:space="preserve">Well, it’s more widely available and you’re surrounded by more people who have been involved in it in the past. Yeah, it’s kind of like a learning curve, isn’t it, I suppose, so we’re just trying out different things and it’s just ... I don’t know, it seems wrong calling it opportunities but (laughs), that’s kind of the way I see it, it’s just the opportunities have been there since I’ve come to university. And </w:t>
      </w:r>
      <w:r w:rsidR="00217AA1" w:rsidRPr="00886C2A">
        <w:rPr>
          <w:rFonts w:cs="Arial"/>
          <w:sz w:val="24"/>
          <w:szCs w:val="30"/>
          <w:lang w:val="en-US"/>
        </w:rPr>
        <w:t>also,</w:t>
      </w:r>
      <w:r w:rsidRPr="00886C2A">
        <w:rPr>
          <w:rFonts w:cs="Arial"/>
          <w:sz w:val="24"/>
          <w:szCs w:val="30"/>
          <w:lang w:val="en-US"/>
        </w:rPr>
        <w:t xml:space="preserve"> I’m more sort of free and independent, I live by myself, so I’m sort of capable of making those decisions. </w:t>
      </w:r>
    </w:p>
    <w:p w14:paraId="021AA553" w14:textId="77777777" w:rsidR="00886C2A" w:rsidRPr="00886C2A" w:rsidRDefault="0024237E" w:rsidP="00730B7D">
      <w:pPr>
        <w:widowControl w:val="0"/>
        <w:autoSpaceDE w:val="0"/>
        <w:autoSpaceDN w:val="0"/>
        <w:adjustRightInd w:val="0"/>
        <w:spacing w:after="240"/>
        <w:ind w:firstLine="720"/>
        <w:outlineLvl w:val="0"/>
        <w:rPr>
          <w:rFonts w:ascii="Times" w:hAnsi="Times" w:cs="Times"/>
          <w:sz w:val="21"/>
          <w:szCs w:val="24"/>
          <w:lang w:val="en-US"/>
        </w:rPr>
      </w:pPr>
      <w:r>
        <w:rPr>
          <w:rFonts w:cs="Arial"/>
          <w:sz w:val="24"/>
          <w:szCs w:val="30"/>
          <w:lang w:val="en-US"/>
        </w:rPr>
        <w:t>Dylan (20</w:t>
      </w:r>
      <w:r w:rsidR="00886C2A" w:rsidRPr="008F6801">
        <w:rPr>
          <w:rFonts w:cs="Arial"/>
          <w:sz w:val="24"/>
          <w:szCs w:val="30"/>
          <w:lang w:val="en-US"/>
        </w:rPr>
        <w:t>),</w:t>
      </w:r>
      <w:r w:rsidR="00886C2A" w:rsidRPr="00886C2A">
        <w:rPr>
          <w:rFonts w:cs="Arial"/>
          <w:sz w:val="24"/>
          <w:szCs w:val="30"/>
          <w:lang w:val="en-US"/>
        </w:rPr>
        <w:t xml:space="preserve"> </w:t>
      </w:r>
      <w:r w:rsidR="00220D1B">
        <w:rPr>
          <w:rFonts w:cs="Arial"/>
          <w:sz w:val="24"/>
          <w:szCs w:val="30"/>
          <w:lang w:val="en-US"/>
        </w:rPr>
        <w:t xml:space="preserve">MDMA </w:t>
      </w:r>
      <w:r w:rsidR="004B384A">
        <w:rPr>
          <w:rFonts w:cs="Arial"/>
          <w:sz w:val="24"/>
          <w:szCs w:val="30"/>
          <w:lang w:val="en-US"/>
        </w:rPr>
        <w:t>and cannabis user/supplier</w:t>
      </w:r>
    </w:p>
    <w:p w14:paraId="157C13EC" w14:textId="5D84529A" w:rsidR="00C1587C" w:rsidRPr="00B779C5" w:rsidRDefault="00886C2A" w:rsidP="0038540D">
      <w:pPr>
        <w:autoSpaceDE w:val="0"/>
        <w:autoSpaceDN w:val="0"/>
        <w:adjustRightInd w:val="0"/>
        <w:spacing w:after="0"/>
        <w:rPr>
          <w:rFonts w:cs="Arial"/>
          <w:sz w:val="24"/>
          <w:szCs w:val="30"/>
          <w:lang w:val="en-US"/>
        </w:rPr>
      </w:pPr>
      <w:r w:rsidRPr="00886C2A">
        <w:rPr>
          <w:rFonts w:cs="Arial"/>
          <w:sz w:val="24"/>
          <w:szCs w:val="30"/>
          <w:lang w:val="en-US"/>
        </w:rPr>
        <w:t>Consistent with the findings of Williams (2</w:t>
      </w:r>
      <w:r w:rsidR="0042618E">
        <w:rPr>
          <w:rFonts w:cs="Arial"/>
          <w:sz w:val="24"/>
          <w:szCs w:val="30"/>
          <w:lang w:val="en-US"/>
        </w:rPr>
        <w:t>013), respondents attributed this</w:t>
      </w:r>
      <w:r w:rsidRPr="00886C2A">
        <w:rPr>
          <w:rFonts w:cs="Arial"/>
          <w:sz w:val="24"/>
          <w:szCs w:val="30"/>
          <w:lang w:val="en-US"/>
        </w:rPr>
        <w:t xml:space="preserve"> transition</w:t>
      </w:r>
      <w:r w:rsidR="0042618E">
        <w:rPr>
          <w:rFonts w:cs="Arial"/>
          <w:sz w:val="24"/>
          <w:szCs w:val="30"/>
          <w:lang w:val="en-US"/>
        </w:rPr>
        <w:t xml:space="preserve"> into more involved drug taking as related to their change of living circumstances, specifically, </w:t>
      </w:r>
      <w:r w:rsidRPr="00886C2A">
        <w:rPr>
          <w:rFonts w:cs="Arial"/>
          <w:sz w:val="24"/>
          <w:szCs w:val="30"/>
          <w:lang w:val="en-US"/>
        </w:rPr>
        <w:t>independent living and physical distance from parents or guardi</w:t>
      </w:r>
      <w:r w:rsidR="00FD15D0">
        <w:rPr>
          <w:rFonts w:cs="Arial"/>
          <w:sz w:val="24"/>
          <w:szCs w:val="30"/>
          <w:lang w:val="en-US"/>
        </w:rPr>
        <w:t>ans</w:t>
      </w:r>
      <w:r w:rsidR="00CA5A7F">
        <w:rPr>
          <w:rFonts w:cs="Arial"/>
          <w:sz w:val="24"/>
          <w:szCs w:val="30"/>
          <w:lang w:val="en-US"/>
        </w:rPr>
        <w:t>.</w:t>
      </w:r>
      <w:r w:rsidR="00257C5B">
        <w:rPr>
          <w:rFonts w:cs="Arial"/>
          <w:sz w:val="24"/>
          <w:szCs w:val="30"/>
          <w:lang w:val="en-US"/>
        </w:rPr>
        <w:t xml:space="preserve"> Felson</w:t>
      </w:r>
      <w:r w:rsidR="00750C76">
        <w:rPr>
          <w:rFonts w:cs="Arial"/>
          <w:sz w:val="24"/>
          <w:szCs w:val="30"/>
          <w:lang w:val="en-US"/>
        </w:rPr>
        <w:t xml:space="preserve"> and Clarke (1998)</w:t>
      </w:r>
      <w:r w:rsidR="00257C5B">
        <w:rPr>
          <w:rFonts w:cs="Arial"/>
          <w:sz w:val="24"/>
          <w:szCs w:val="30"/>
          <w:lang w:val="en-US"/>
        </w:rPr>
        <w:t xml:space="preserve"> note that </w:t>
      </w:r>
      <w:r w:rsidR="00D83117">
        <w:rPr>
          <w:rFonts w:cs="Arial"/>
          <w:sz w:val="24"/>
          <w:szCs w:val="30"/>
          <w:lang w:val="en-US"/>
        </w:rPr>
        <w:t>opportunities are concentrated in time and space and ‘dramatic differences are found from one address to another</w:t>
      </w:r>
      <w:r w:rsidR="00B779C5">
        <w:rPr>
          <w:rFonts w:cs="Arial"/>
          <w:sz w:val="24"/>
          <w:szCs w:val="30"/>
          <w:lang w:val="en-US"/>
        </w:rPr>
        <w:t>’</w:t>
      </w:r>
      <w:r w:rsidR="00D83117">
        <w:rPr>
          <w:rFonts w:cs="Arial"/>
          <w:sz w:val="24"/>
          <w:szCs w:val="30"/>
          <w:lang w:val="en-US"/>
        </w:rPr>
        <w:t xml:space="preserve"> (p</w:t>
      </w:r>
      <w:r w:rsidR="00B779C5">
        <w:rPr>
          <w:rFonts w:cs="Arial"/>
          <w:sz w:val="24"/>
          <w:szCs w:val="30"/>
          <w:lang w:val="en-US"/>
        </w:rPr>
        <w:t xml:space="preserve"> </w:t>
      </w:r>
      <w:r w:rsidR="00D83117">
        <w:rPr>
          <w:rFonts w:cs="Arial"/>
          <w:sz w:val="24"/>
          <w:szCs w:val="30"/>
          <w:lang w:val="en-US"/>
        </w:rPr>
        <w:t>v).</w:t>
      </w:r>
      <w:r w:rsidR="00B779C5">
        <w:rPr>
          <w:rFonts w:cs="Arial"/>
          <w:sz w:val="24"/>
          <w:szCs w:val="30"/>
          <w:lang w:val="en-US"/>
        </w:rPr>
        <w:t xml:space="preserve"> These </w:t>
      </w:r>
      <w:r w:rsidR="00763F8D">
        <w:rPr>
          <w:rFonts w:cs="Arial"/>
          <w:sz w:val="24"/>
          <w:szCs w:val="30"/>
          <w:lang w:val="en-US"/>
        </w:rPr>
        <w:t>claims are</w:t>
      </w:r>
      <w:r w:rsidR="00B779C5">
        <w:rPr>
          <w:rFonts w:cs="Arial"/>
          <w:sz w:val="24"/>
          <w:szCs w:val="30"/>
          <w:lang w:val="en-US"/>
        </w:rPr>
        <w:t xml:space="preserve"> not inconsistent with the findings of this research where it was found that </w:t>
      </w:r>
      <w:r w:rsidR="000D3B70">
        <w:rPr>
          <w:rFonts w:cs="Arial"/>
          <w:sz w:val="24"/>
          <w:szCs w:val="30"/>
          <w:lang w:val="en-US"/>
        </w:rPr>
        <w:t>i</w:t>
      </w:r>
      <w:r w:rsidRPr="00886C2A">
        <w:rPr>
          <w:rFonts w:cs="Arial"/>
          <w:sz w:val="24"/>
          <w:szCs w:val="30"/>
          <w:lang w:val="en-US"/>
        </w:rPr>
        <w:t>ndependence effectively loosened the (age related) social controls, previously imparted o</w:t>
      </w:r>
      <w:r w:rsidR="00B779C5">
        <w:rPr>
          <w:rFonts w:cs="Arial"/>
          <w:sz w:val="24"/>
          <w:szCs w:val="30"/>
          <w:lang w:val="en-US"/>
        </w:rPr>
        <w:t>n students</w:t>
      </w:r>
      <w:r w:rsidR="00E712D3">
        <w:rPr>
          <w:rFonts w:cs="Arial"/>
          <w:sz w:val="24"/>
          <w:szCs w:val="30"/>
          <w:lang w:val="en-US"/>
        </w:rPr>
        <w:t xml:space="preserve"> (Aldridge et al., 2011)</w:t>
      </w:r>
      <w:r w:rsidR="000D3B70">
        <w:rPr>
          <w:rFonts w:cs="Arial"/>
          <w:sz w:val="24"/>
          <w:szCs w:val="30"/>
          <w:lang w:val="en-US"/>
        </w:rPr>
        <w:t>,</w:t>
      </w:r>
      <w:r w:rsidR="00E712D3">
        <w:rPr>
          <w:rFonts w:cs="Arial"/>
          <w:sz w:val="24"/>
          <w:szCs w:val="30"/>
          <w:lang w:val="en-US"/>
        </w:rPr>
        <w:t xml:space="preserve"> i</w:t>
      </w:r>
      <w:r w:rsidR="000D3B70">
        <w:rPr>
          <w:rFonts w:cs="Arial"/>
          <w:sz w:val="24"/>
          <w:szCs w:val="30"/>
          <w:lang w:val="en-US"/>
        </w:rPr>
        <w:t>nfluencing</w:t>
      </w:r>
      <w:r w:rsidR="0042618E">
        <w:rPr>
          <w:rFonts w:cs="Arial"/>
          <w:sz w:val="24"/>
          <w:szCs w:val="30"/>
          <w:lang w:val="en-US"/>
        </w:rPr>
        <w:t xml:space="preserve"> drug repertoires and rates of consumption</w:t>
      </w:r>
      <w:r w:rsidRPr="00886C2A">
        <w:rPr>
          <w:rFonts w:cs="Arial"/>
          <w:sz w:val="24"/>
          <w:szCs w:val="30"/>
          <w:lang w:val="en-US"/>
        </w:rPr>
        <w:t>.</w:t>
      </w:r>
      <w:r w:rsidR="00026B8C">
        <w:rPr>
          <w:rFonts w:cs="Arial"/>
          <w:sz w:val="24"/>
          <w:szCs w:val="30"/>
          <w:lang w:val="en-US"/>
        </w:rPr>
        <w:t xml:space="preserve"> </w:t>
      </w:r>
      <w:r w:rsidR="00BC463A">
        <w:rPr>
          <w:rFonts w:cs="Arial"/>
          <w:sz w:val="24"/>
          <w:szCs w:val="30"/>
          <w:lang w:val="en-US"/>
        </w:rPr>
        <w:t xml:space="preserve">As </w:t>
      </w:r>
      <w:r w:rsidR="00BC463A" w:rsidRPr="00425CE9">
        <w:rPr>
          <w:rFonts w:cs="Arial"/>
          <w:sz w:val="24"/>
          <w:szCs w:val="24"/>
          <w:lang w:eastAsia="en-GB"/>
        </w:rPr>
        <w:t xml:space="preserve">Aldridge </w:t>
      </w:r>
      <w:r w:rsidR="00184C59">
        <w:rPr>
          <w:rFonts w:cs="Arial"/>
          <w:sz w:val="24"/>
          <w:szCs w:val="24"/>
          <w:lang w:eastAsia="en-GB"/>
        </w:rPr>
        <w:t xml:space="preserve">and colleagues </w:t>
      </w:r>
      <w:r w:rsidR="00BC463A" w:rsidRPr="00425CE9">
        <w:rPr>
          <w:rFonts w:cs="Arial"/>
          <w:sz w:val="24"/>
          <w:szCs w:val="24"/>
          <w:lang w:eastAsia="en-GB"/>
        </w:rPr>
        <w:t xml:space="preserve">relate, moves in and out of particular social networks or key life relationships may be seen as providing important access to different types of drugs and </w:t>
      </w:r>
      <w:r w:rsidR="00BC463A" w:rsidRPr="00D1092F">
        <w:rPr>
          <w:rFonts w:cs="Arial"/>
          <w:sz w:val="24"/>
          <w:szCs w:val="24"/>
          <w:lang w:eastAsia="en-GB"/>
        </w:rPr>
        <w:t>therefore may have a ‘causal effect’ on drug taking (</w:t>
      </w:r>
      <w:r w:rsidR="00B34EAC">
        <w:rPr>
          <w:rFonts w:cs="Arial"/>
          <w:sz w:val="24"/>
          <w:szCs w:val="24"/>
          <w:lang w:eastAsia="en-GB"/>
        </w:rPr>
        <w:t xml:space="preserve">2011 </w:t>
      </w:r>
      <w:r w:rsidR="00BC463A" w:rsidRPr="00D1092F">
        <w:rPr>
          <w:rFonts w:cs="Arial"/>
          <w:sz w:val="24"/>
          <w:szCs w:val="24"/>
          <w:lang w:eastAsia="en-GB"/>
        </w:rPr>
        <w:t xml:space="preserve">p.193). The vast majority of students saw their university experience as a time for </w:t>
      </w:r>
      <w:r w:rsidR="00BC463A">
        <w:rPr>
          <w:rFonts w:cs="Arial"/>
          <w:sz w:val="24"/>
          <w:szCs w:val="24"/>
          <w:lang w:eastAsia="en-GB"/>
        </w:rPr>
        <w:t>‘</w:t>
      </w:r>
      <w:r w:rsidR="00BC463A" w:rsidRPr="00D1092F">
        <w:rPr>
          <w:rFonts w:cs="Arial"/>
          <w:sz w:val="24"/>
          <w:szCs w:val="24"/>
          <w:lang w:eastAsia="en-GB"/>
        </w:rPr>
        <w:t>experimentation</w:t>
      </w:r>
      <w:r w:rsidR="00BC463A">
        <w:rPr>
          <w:rFonts w:cs="Arial"/>
          <w:sz w:val="24"/>
          <w:szCs w:val="24"/>
          <w:lang w:eastAsia="en-GB"/>
        </w:rPr>
        <w:t>’</w:t>
      </w:r>
      <w:r w:rsidR="002872DB">
        <w:rPr>
          <w:rFonts w:cs="Arial"/>
          <w:sz w:val="24"/>
          <w:szCs w:val="24"/>
          <w:lang w:eastAsia="en-GB"/>
        </w:rPr>
        <w:t xml:space="preserve">, </w:t>
      </w:r>
      <w:r w:rsidR="00A35EBB" w:rsidRPr="00B21958">
        <w:rPr>
          <w:rFonts w:cs="Arial"/>
          <w:sz w:val="24"/>
          <w:szCs w:val="24"/>
          <w:lang w:eastAsia="en-GB"/>
        </w:rPr>
        <w:t>‘open</w:t>
      </w:r>
      <w:r w:rsidR="00DD6454" w:rsidRPr="00B21958">
        <w:rPr>
          <w:rFonts w:cs="Arial"/>
          <w:sz w:val="24"/>
          <w:szCs w:val="24"/>
          <w:lang w:eastAsia="en-GB"/>
        </w:rPr>
        <w:t>-</w:t>
      </w:r>
      <w:r w:rsidR="00A35EBB" w:rsidRPr="00B21958">
        <w:rPr>
          <w:rFonts w:cs="Arial"/>
          <w:sz w:val="24"/>
          <w:szCs w:val="24"/>
          <w:lang w:eastAsia="en-GB"/>
        </w:rPr>
        <w:t>mindedness’,</w:t>
      </w:r>
      <w:r w:rsidR="00BC463A" w:rsidRPr="00B21958">
        <w:rPr>
          <w:rFonts w:cs="Arial"/>
          <w:sz w:val="24"/>
          <w:szCs w:val="24"/>
          <w:lang w:eastAsia="en-GB"/>
        </w:rPr>
        <w:t xml:space="preserve"> or what Young</w:t>
      </w:r>
      <w:r w:rsidR="00E712D3" w:rsidRPr="00B21958">
        <w:rPr>
          <w:rFonts w:cs="Arial"/>
          <w:sz w:val="24"/>
          <w:szCs w:val="24"/>
          <w:lang w:eastAsia="en-GB"/>
        </w:rPr>
        <w:t xml:space="preserve"> (1971</w:t>
      </w:r>
      <w:r w:rsidR="00CF6D73" w:rsidRPr="00B21958">
        <w:rPr>
          <w:rFonts w:cs="Arial"/>
          <w:sz w:val="24"/>
          <w:szCs w:val="24"/>
          <w:lang w:eastAsia="en-GB"/>
        </w:rPr>
        <w:t>)</w:t>
      </w:r>
      <w:r w:rsidR="00BC463A" w:rsidRPr="00B21958">
        <w:rPr>
          <w:rFonts w:cs="Arial"/>
          <w:sz w:val="24"/>
          <w:szCs w:val="24"/>
          <w:lang w:eastAsia="en-GB"/>
        </w:rPr>
        <w:t xml:space="preserve"> would refer to as ‘</w:t>
      </w:r>
      <w:r w:rsidR="00CF6D73" w:rsidRPr="00B21958">
        <w:rPr>
          <w:rFonts w:cs="Arial"/>
          <w:sz w:val="24"/>
          <w:szCs w:val="24"/>
          <w:lang w:eastAsia="en-GB"/>
        </w:rPr>
        <w:t>subterranean</w:t>
      </w:r>
      <w:r w:rsidR="00BC463A" w:rsidRPr="00B21958">
        <w:rPr>
          <w:rFonts w:cs="Arial"/>
          <w:sz w:val="24"/>
          <w:szCs w:val="24"/>
          <w:lang w:eastAsia="en-GB"/>
        </w:rPr>
        <w:t xml:space="preserve"> play’ </w:t>
      </w:r>
      <w:r w:rsidR="00A35EBB" w:rsidRPr="00B21958">
        <w:rPr>
          <w:rFonts w:cs="Arial"/>
          <w:sz w:val="24"/>
          <w:szCs w:val="24"/>
          <w:lang w:eastAsia="en-GB"/>
        </w:rPr>
        <w:t xml:space="preserve">prior to beginning </w:t>
      </w:r>
      <w:r w:rsidR="00BC463A" w:rsidRPr="00B21958">
        <w:rPr>
          <w:rFonts w:cs="Arial"/>
          <w:sz w:val="24"/>
          <w:szCs w:val="24"/>
          <w:lang w:eastAsia="en-GB"/>
        </w:rPr>
        <w:t xml:space="preserve">their working lives. For many, </w:t>
      </w:r>
      <w:r w:rsidR="003121BA" w:rsidRPr="00B21958">
        <w:rPr>
          <w:rFonts w:cs="Arial"/>
          <w:sz w:val="24"/>
          <w:szCs w:val="24"/>
          <w:lang w:eastAsia="en-GB"/>
        </w:rPr>
        <w:t>the university provided an environment in which students</w:t>
      </w:r>
      <w:r w:rsidR="00676103" w:rsidRPr="00B21958">
        <w:rPr>
          <w:rFonts w:cs="Arial"/>
          <w:sz w:val="24"/>
          <w:szCs w:val="24"/>
          <w:lang w:eastAsia="en-GB"/>
        </w:rPr>
        <w:t xml:space="preserve"> described experiencing</w:t>
      </w:r>
      <w:r w:rsidR="003121BA" w:rsidRPr="00B21958">
        <w:rPr>
          <w:rFonts w:cs="Arial"/>
          <w:sz w:val="24"/>
          <w:szCs w:val="24"/>
          <w:lang w:eastAsia="en-GB"/>
        </w:rPr>
        <w:t xml:space="preserve"> what might be usefully understood as a ‘turning point’ in relation to their drug use</w:t>
      </w:r>
      <w:r w:rsidR="00676103" w:rsidRPr="00B21958">
        <w:rPr>
          <w:rFonts w:cs="Arial"/>
          <w:sz w:val="24"/>
          <w:szCs w:val="24"/>
          <w:lang w:eastAsia="en-GB"/>
        </w:rPr>
        <w:t xml:space="preserve"> –</w:t>
      </w:r>
      <w:r w:rsidR="008310B2" w:rsidRPr="00B21958">
        <w:rPr>
          <w:rFonts w:cs="Arial"/>
          <w:sz w:val="24"/>
          <w:szCs w:val="24"/>
          <w:lang w:eastAsia="en-GB"/>
        </w:rPr>
        <w:t xml:space="preserve"> </w:t>
      </w:r>
      <w:r w:rsidR="008E4A97" w:rsidRPr="00B21958">
        <w:rPr>
          <w:rFonts w:cs="Arial"/>
          <w:sz w:val="24"/>
          <w:szCs w:val="24"/>
          <w:lang w:eastAsia="en-GB"/>
        </w:rPr>
        <w:t xml:space="preserve">articulated </w:t>
      </w:r>
      <w:r w:rsidR="00676103" w:rsidRPr="00B21958">
        <w:rPr>
          <w:rFonts w:cs="Arial"/>
          <w:sz w:val="24"/>
          <w:szCs w:val="24"/>
          <w:lang w:eastAsia="en-GB"/>
        </w:rPr>
        <w:t>a</w:t>
      </w:r>
      <w:r w:rsidR="008E4A97" w:rsidRPr="00B21958">
        <w:rPr>
          <w:rFonts w:cs="Arial"/>
          <w:sz w:val="24"/>
          <w:szCs w:val="24"/>
          <w:lang w:eastAsia="en-GB"/>
        </w:rPr>
        <w:t>s</w:t>
      </w:r>
      <w:r w:rsidR="00676103" w:rsidRPr="00B21958">
        <w:rPr>
          <w:rFonts w:cs="Arial"/>
          <w:sz w:val="24"/>
          <w:szCs w:val="24"/>
          <w:lang w:eastAsia="en-GB"/>
        </w:rPr>
        <w:t xml:space="preserve"> notable</w:t>
      </w:r>
      <w:r w:rsidR="008E4A97">
        <w:rPr>
          <w:rFonts w:cs="Arial"/>
          <w:sz w:val="24"/>
          <w:szCs w:val="24"/>
          <w:lang w:eastAsia="en-GB"/>
        </w:rPr>
        <w:t xml:space="preserve"> step up in relation to their involvement in drug taking. </w:t>
      </w:r>
      <w:r w:rsidR="000C2A74">
        <w:rPr>
          <w:rFonts w:cs="Arial"/>
          <w:sz w:val="24"/>
          <w:szCs w:val="24"/>
          <w:lang w:eastAsia="en-GB"/>
        </w:rPr>
        <w:t>In addition to feelings of freedom, t</w:t>
      </w:r>
      <w:r w:rsidR="008E4A97">
        <w:rPr>
          <w:rFonts w:cs="Arial"/>
          <w:sz w:val="24"/>
          <w:szCs w:val="24"/>
          <w:lang w:eastAsia="en-GB"/>
        </w:rPr>
        <w:t>his turning point was repeatedly related to</w:t>
      </w:r>
      <w:r w:rsidR="00BC463A" w:rsidRPr="00D1092F">
        <w:rPr>
          <w:rFonts w:cs="Arial"/>
          <w:sz w:val="24"/>
          <w:szCs w:val="24"/>
          <w:lang w:eastAsia="en-GB"/>
        </w:rPr>
        <w:t xml:space="preserve"> interaction with </w:t>
      </w:r>
      <w:r w:rsidR="00BC463A" w:rsidRPr="00E8385B">
        <w:rPr>
          <w:rFonts w:cs="Arial"/>
          <w:sz w:val="24"/>
          <w:szCs w:val="24"/>
          <w:lang w:eastAsia="en-GB"/>
        </w:rPr>
        <w:t>likeminded peers</w:t>
      </w:r>
      <w:r w:rsidR="008E4A97">
        <w:rPr>
          <w:rFonts w:cs="Arial"/>
          <w:sz w:val="24"/>
          <w:szCs w:val="24"/>
          <w:lang w:eastAsia="en-GB"/>
        </w:rPr>
        <w:t>, providing</w:t>
      </w:r>
      <w:r w:rsidR="00BC463A" w:rsidRPr="00E8385B">
        <w:rPr>
          <w:rFonts w:cs="Arial"/>
          <w:sz w:val="24"/>
          <w:szCs w:val="24"/>
          <w:lang w:eastAsia="en-GB"/>
        </w:rPr>
        <w:t xml:space="preserve"> both the context and the opportunities that were compatible with drug use in a way that their home life wasn’t</w:t>
      </w:r>
      <w:r w:rsidR="00227807">
        <w:rPr>
          <w:rFonts w:cs="Arial"/>
          <w:sz w:val="24"/>
          <w:szCs w:val="24"/>
          <w:lang w:eastAsia="en-GB"/>
        </w:rPr>
        <w:t xml:space="preserve">. </w:t>
      </w:r>
      <w:r w:rsidR="00E14090">
        <w:rPr>
          <w:rFonts w:cs="Arial"/>
          <w:sz w:val="24"/>
          <w:szCs w:val="24"/>
          <w:lang w:eastAsia="en-GB"/>
        </w:rPr>
        <w:t>In addition, our respondents also</w:t>
      </w:r>
      <w:r w:rsidR="00C1587C" w:rsidRPr="00425CE9">
        <w:rPr>
          <w:rFonts w:cs="Arial"/>
          <w:sz w:val="24"/>
          <w:szCs w:val="24"/>
          <w:lang w:eastAsia="en-GB"/>
        </w:rPr>
        <w:t xml:space="preserve"> </w:t>
      </w:r>
      <w:r w:rsidR="00C1587C" w:rsidRPr="00425CE9">
        <w:rPr>
          <w:rFonts w:cs="Arial"/>
          <w:sz w:val="24"/>
          <w:szCs w:val="24"/>
          <w:lang w:eastAsia="en-GB"/>
        </w:rPr>
        <w:lastRenderedPageBreak/>
        <w:t xml:space="preserve">highlighted the </w:t>
      </w:r>
      <w:r w:rsidR="005B3BCB" w:rsidRPr="00425CE9">
        <w:rPr>
          <w:rFonts w:cs="Arial"/>
          <w:sz w:val="24"/>
          <w:szCs w:val="24"/>
          <w:lang w:eastAsia="en-GB"/>
        </w:rPr>
        <w:t>like-mindedness</w:t>
      </w:r>
      <w:r w:rsidR="00C1587C" w:rsidRPr="00425CE9">
        <w:rPr>
          <w:rFonts w:cs="Arial"/>
          <w:sz w:val="24"/>
          <w:szCs w:val="24"/>
          <w:lang w:eastAsia="en-GB"/>
        </w:rPr>
        <w:t xml:space="preserve"> of their peers – a finding well documented in </w:t>
      </w:r>
      <w:r w:rsidR="008C4C80">
        <w:rPr>
          <w:rFonts w:cs="Arial"/>
          <w:sz w:val="24"/>
          <w:szCs w:val="24"/>
          <w:lang w:eastAsia="en-GB"/>
        </w:rPr>
        <w:t>previous</w:t>
      </w:r>
      <w:r w:rsidR="00C1587C" w:rsidRPr="00425CE9">
        <w:rPr>
          <w:rFonts w:cs="Arial"/>
          <w:sz w:val="24"/>
          <w:szCs w:val="24"/>
          <w:lang w:eastAsia="en-GB"/>
        </w:rPr>
        <w:t xml:space="preserve"> res</w:t>
      </w:r>
      <w:r w:rsidR="00C1587C">
        <w:rPr>
          <w:rFonts w:cs="Arial"/>
          <w:sz w:val="24"/>
          <w:szCs w:val="24"/>
          <w:lang w:eastAsia="en-GB"/>
        </w:rPr>
        <w:t xml:space="preserve">earch (see </w:t>
      </w:r>
      <w:r w:rsidR="00E247EB">
        <w:rPr>
          <w:rFonts w:cs="Arial"/>
          <w:sz w:val="24"/>
          <w:szCs w:val="24"/>
          <w:lang w:eastAsia="en-GB"/>
        </w:rPr>
        <w:t>Blum et al., 1972;</w:t>
      </w:r>
      <w:r w:rsidR="00D85899">
        <w:rPr>
          <w:rFonts w:cs="Arial"/>
          <w:sz w:val="24"/>
          <w:szCs w:val="24"/>
          <w:lang w:eastAsia="en-GB"/>
        </w:rPr>
        <w:t xml:space="preserve"> Parker et al. 1998</w:t>
      </w:r>
      <w:r w:rsidR="00C1587C" w:rsidRPr="00425CE9">
        <w:rPr>
          <w:rFonts w:cs="Arial"/>
          <w:sz w:val="24"/>
          <w:szCs w:val="24"/>
          <w:lang w:eastAsia="en-GB"/>
        </w:rPr>
        <w:t>) – and the resulting absence of taboo within what was seen as a relatively normalised (see Parker et al., 1998) arena of use</w:t>
      </w:r>
      <w:r w:rsidR="00C1587C">
        <w:rPr>
          <w:rFonts w:cs="Arial"/>
          <w:sz w:val="24"/>
          <w:szCs w:val="24"/>
          <w:lang w:eastAsia="en-GB"/>
        </w:rPr>
        <w:t xml:space="preserve"> </w:t>
      </w:r>
      <w:r w:rsidR="00F407C8">
        <w:rPr>
          <w:rFonts w:cs="Arial"/>
          <w:sz w:val="24"/>
          <w:szCs w:val="24"/>
          <w:lang w:eastAsia="en-GB"/>
        </w:rPr>
        <w:t xml:space="preserve">where, </w:t>
      </w:r>
      <w:r w:rsidR="00C1587C">
        <w:rPr>
          <w:rFonts w:cs="Arial"/>
          <w:sz w:val="24"/>
          <w:szCs w:val="24"/>
          <w:lang w:eastAsia="en-GB"/>
        </w:rPr>
        <w:t>in the words of Ben</w:t>
      </w:r>
      <w:r w:rsidR="003121BA">
        <w:rPr>
          <w:rFonts w:cs="Arial"/>
          <w:sz w:val="24"/>
          <w:szCs w:val="24"/>
          <w:lang w:eastAsia="en-GB"/>
        </w:rPr>
        <w:t xml:space="preserve"> (19, cocaine user/</w:t>
      </w:r>
      <w:r w:rsidR="00197631">
        <w:rPr>
          <w:rFonts w:cs="Arial"/>
          <w:sz w:val="24"/>
          <w:szCs w:val="24"/>
          <w:lang w:eastAsia="en-GB"/>
        </w:rPr>
        <w:t>supplier</w:t>
      </w:r>
      <w:r w:rsidR="003121BA">
        <w:rPr>
          <w:rFonts w:cs="Arial"/>
          <w:sz w:val="24"/>
          <w:szCs w:val="24"/>
          <w:lang w:eastAsia="en-GB"/>
        </w:rPr>
        <w:t>)</w:t>
      </w:r>
      <w:r w:rsidR="00F407C8">
        <w:rPr>
          <w:rFonts w:cs="Arial"/>
          <w:sz w:val="24"/>
          <w:szCs w:val="24"/>
          <w:lang w:eastAsia="en-GB"/>
        </w:rPr>
        <w:t>,</w:t>
      </w:r>
      <w:r w:rsidR="00C1587C">
        <w:rPr>
          <w:rFonts w:cs="Arial"/>
          <w:sz w:val="24"/>
          <w:szCs w:val="24"/>
          <w:lang w:eastAsia="en-GB"/>
        </w:rPr>
        <w:t xml:space="preserve"> ‘everyone is doing it’</w:t>
      </w:r>
      <w:r w:rsidR="00C1587C" w:rsidRPr="00425CE9">
        <w:rPr>
          <w:rFonts w:cs="Arial"/>
          <w:sz w:val="24"/>
          <w:szCs w:val="24"/>
          <w:lang w:eastAsia="en-GB"/>
        </w:rPr>
        <w:t xml:space="preserve">. </w:t>
      </w:r>
      <w:r w:rsidR="005D0D80">
        <w:rPr>
          <w:rFonts w:cs="Arial"/>
          <w:sz w:val="24"/>
          <w:szCs w:val="24"/>
          <w:lang w:eastAsia="en-GB"/>
        </w:rPr>
        <w:t xml:space="preserve">Emily </w:t>
      </w:r>
      <w:r w:rsidR="00C1587C">
        <w:rPr>
          <w:rFonts w:cs="Arial"/>
          <w:sz w:val="24"/>
          <w:szCs w:val="24"/>
          <w:lang w:eastAsia="en-GB"/>
        </w:rPr>
        <w:t>describes the degree to which drug taking has become part of everyday life:</w:t>
      </w:r>
    </w:p>
    <w:p w14:paraId="54150911" w14:textId="77777777" w:rsidR="0038540D" w:rsidRPr="009C0898" w:rsidRDefault="0038540D" w:rsidP="0038540D">
      <w:pPr>
        <w:autoSpaceDE w:val="0"/>
        <w:autoSpaceDN w:val="0"/>
        <w:adjustRightInd w:val="0"/>
        <w:spacing w:after="0"/>
        <w:rPr>
          <w:rFonts w:cs="Arial"/>
          <w:sz w:val="24"/>
          <w:szCs w:val="24"/>
          <w:lang w:eastAsia="en-GB"/>
        </w:rPr>
      </w:pPr>
    </w:p>
    <w:p w14:paraId="4609C431" w14:textId="17C6E7B8" w:rsidR="00C1587C" w:rsidRDefault="00C1587C" w:rsidP="00C1587C">
      <w:pPr>
        <w:autoSpaceDE w:val="0"/>
        <w:autoSpaceDN w:val="0"/>
        <w:adjustRightInd w:val="0"/>
        <w:spacing w:after="0" w:line="240" w:lineRule="auto"/>
        <w:ind w:left="720"/>
        <w:rPr>
          <w:rFonts w:cs="Arial"/>
          <w:sz w:val="24"/>
          <w:szCs w:val="24"/>
          <w:lang w:eastAsia="en-GB"/>
        </w:rPr>
      </w:pPr>
      <w:r w:rsidRPr="00425CE9">
        <w:rPr>
          <w:rFonts w:cs="Arial"/>
          <w:sz w:val="24"/>
          <w:szCs w:val="24"/>
          <w:lang w:eastAsia="en-GB"/>
        </w:rPr>
        <w:t>We’re so casual in our group that drugs have become… You don’t even, like we’ll be on the street walking down the middle of town and we’ll just be chatting about them loud and you don’t even know you’re talking about them, so that’s how casual it is</w:t>
      </w:r>
      <w:r w:rsidR="00AA0869">
        <w:rPr>
          <w:rFonts w:cs="Arial"/>
          <w:sz w:val="24"/>
          <w:szCs w:val="24"/>
          <w:lang w:eastAsia="en-GB"/>
        </w:rPr>
        <w:t>.</w:t>
      </w:r>
    </w:p>
    <w:p w14:paraId="7FB85EAB" w14:textId="77777777" w:rsidR="00C1587C" w:rsidRDefault="00C1587C" w:rsidP="00C1587C">
      <w:pPr>
        <w:autoSpaceDE w:val="0"/>
        <w:autoSpaceDN w:val="0"/>
        <w:adjustRightInd w:val="0"/>
        <w:spacing w:after="0" w:line="240" w:lineRule="auto"/>
        <w:ind w:left="720"/>
        <w:rPr>
          <w:rFonts w:cs="Arial"/>
          <w:sz w:val="24"/>
          <w:szCs w:val="24"/>
          <w:lang w:eastAsia="en-GB"/>
        </w:rPr>
      </w:pPr>
    </w:p>
    <w:p w14:paraId="5F14C247" w14:textId="77777777" w:rsidR="00C1587C" w:rsidRPr="00425CE9" w:rsidRDefault="00C1587C" w:rsidP="00730B7D">
      <w:pPr>
        <w:autoSpaceDE w:val="0"/>
        <w:autoSpaceDN w:val="0"/>
        <w:adjustRightInd w:val="0"/>
        <w:spacing w:after="0" w:line="240" w:lineRule="auto"/>
        <w:ind w:left="720"/>
        <w:outlineLvl w:val="0"/>
        <w:rPr>
          <w:rFonts w:cs="Arial"/>
          <w:sz w:val="24"/>
          <w:szCs w:val="24"/>
          <w:lang w:eastAsia="en-GB"/>
        </w:rPr>
      </w:pPr>
      <w:r>
        <w:rPr>
          <w:rFonts w:cs="Arial"/>
          <w:sz w:val="24"/>
          <w:szCs w:val="24"/>
          <w:lang w:eastAsia="en-GB"/>
        </w:rPr>
        <w:t>Emily</w:t>
      </w:r>
      <w:r w:rsidR="00B52021">
        <w:rPr>
          <w:rFonts w:cs="Arial"/>
          <w:sz w:val="24"/>
          <w:szCs w:val="24"/>
          <w:lang w:eastAsia="en-GB"/>
        </w:rPr>
        <w:t xml:space="preserve"> </w:t>
      </w:r>
      <w:r w:rsidR="00A31EB7">
        <w:rPr>
          <w:rFonts w:cs="Arial"/>
          <w:sz w:val="24"/>
          <w:szCs w:val="24"/>
          <w:lang w:eastAsia="en-GB"/>
        </w:rPr>
        <w:t>(</w:t>
      </w:r>
      <w:r w:rsidR="00B52021">
        <w:rPr>
          <w:rFonts w:cs="Arial"/>
          <w:sz w:val="24"/>
          <w:szCs w:val="24"/>
          <w:lang w:eastAsia="en-GB"/>
        </w:rPr>
        <w:t>19</w:t>
      </w:r>
      <w:r w:rsidR="00540E35">
        <w:rPr>
          <w:rFonts w:cs="Arial"/>
          <w:sz w:val="24"/>
          <w:szCs w:val="24"/>
          <w:lang w:eastAsia="en-GB"/>
        </w:rPr>
        <w:t>)</w:t>
      </w:r>
      <w:r w:rsidR="00B06166">
        <w:rPr>
          <w:rFonts w:cs="Arial"/>
          <w:sz w:val="24"/>
          <w:szCs w:val="24"/>
          <w:lang w:eastAsia="en-GB"/>
        </w:rPr>
        <w:t xml:space="preserve"> cocaine and ecstasy user</w:t>
      </w:r>
    </w:p>
    <w:p w14:paraId="3A6DF6E2" w14:textId="77777777" w:rsidR="00C1587C" w:rsidRDefault="00C1587C" w:rsidP="00BC463A">
      <w:pPr>
        <w:autoSpaceDE w:val="0"/>
        <w:autoSpaceDN w:val="0"/>
        <w:adjustRightInd w:val="0"/>
        <w:spacing w:after="0"/>
        <w:rPr>
          <w:rFonts w:cs="Arial"/>
          <w:sz w:val="24"/>
          <w:szCs w:val="30"/>
          <w:lang w:val="en-US"/>
        </w:rPr>
      </w:pPr>
    </w:p>
    <w:p w14:paraId="031C722B" w14:textId="2B9C1022" w:rsidR="004110AC" w:rsidRDefault="00026B8C" w:rsidP="009A5F33">
      <w:pPr>
        <w:autoSpaceDE w:val="0"/>
        <w:autoSpaceDN w:val="0"/>
        <w:adjustRightInd w:val="0"/>
        <w:spacing w:after="0"/>
        <w:rPr>
          <w:rFonts w:cs="Arial"/>
          <w:sz w:val="24"/>
          <w:szCs w:val="24"/>
          <w:lang w:eastAsia="en-GB"/>
        </w:rPr>
      </w:pPr>
      <w:r w:rsidRPr="00425CE9">
        <w:rPr>
          <w:rFonts w:cs="Arial"/>
          <w:sz w:val="24"/>
          <w:szCs w:val="24"/>
          <w:lang w:eastAsia="en-GB"/>
        </w:rPr>
        <w:t xml:space="preserve">Those who showed little sign of transition commonly reported having a long held home peer group who were well integrated in local drug scenes and thus, access and drug connections were well established. Along with this, </w:t>
      </w:r>
      <w:r>
        <w:rPr>
          <w:rFonts w:cs="Arial"/>
          <w:sz w:val="24"/>
          <w:szCs w:val="24"/>
          <w:lang w:eastAsia="en-GB"/>
        </w:rPr>
        <w:t xml:space="preserve">alternatively, </w:t>
      </w:r>
      <w:r w:rsidRPr="00425CE9">
        <w:rPr>
          <w:rFonts w:cs="Arial"/>
          <w:sz w:val="24"/>
          <w:szCs w:val="24"/>
          <w:lang w:eastAsia="en-GB"/>
        </w:rPr>
        <w:t xml:space="preserve">a small number of participants described treating university as a place to ‘straighten out’ or calm their drug use down </w:t>
      </w:r>
      <w:r w:rsidR="00676103">
        <w:rPr>
          <w:rFonts w:cs="Arial"/>
          <w:sz w:val="24"/>
          <w:szCs w:val="24"/>
          <w:lang w:eastAsia="en-GB"/>
        </w:rPr>
        <w:t xml:space="preserve">following </w:t>
      </w:r>
      <w:r w:rsidRPr="00425CE9">
        <w:rPr>
          <w:rFonts w:cs="Arial"/>
          <w:sz w:val="24"/>
          <w:szCs w:val="24"/>
          <w:lang w:eastAsia="en-GB"/>
        </w:rPr>
        <w:t xml:space="preserve">a period of increased use in </w:t>
      </w:r>
      <w:r>
        <w:rPr>
          <w:rFonts w:cs="Arial"/>
          <w:sz w:val="24"/>
          <w:szCs w:val="24"/>
          <w:lang w:eastAsia="en-GB"/>
        </w:rPr>
        <w:t>‘</w:t>
      </w:r>
      <w:r w:rsidRPr="00425CE9">
        <w:rPr>
          <w:rFonts w:cs="Arial"/>
          <w:sz w:val="24"/>
          <w:szCs w:val="24"/>
          <w:lang w:eastAsia="en-GB"/>
        </w:rPr>
        <w:t>gap years</w:t>
      </w:r>
      <w:r>
        <w:rPr>
          <w:rFonts w:cs="Arial"/>
          <w:sz w:val="24"/>
          <w:szCs w:val="24"/>
          <w:lang w:eastAsia="en-GB"/>
        </w:rPr>
        <w:t>’. A</w:t>
      </w:r>
      <w:r w:rsidRPr="00425CE9">
        <w:rPr>
          <w:rFonts w:cs="Arial"/>
          <w:sz w:val="24"/>
          <w:szCs w:val="24"/>
          <w:lang w:eastAsia="en-GB"/>
        </w:rPr>
        <w:t>s a consequence</w:t>
      </w:r>
      <w:r>
        <w:rPr>
          <w:rFonts w:cs="Arial"/>
          <w:sz w:val="24"/>
          <w:szCs w:val="24"/>
          <w:lang w:eastAsia="en-GB"/>
        </w:rPr>
        <w:t>, our</w:t>
      </w:r>
      <w:r w:rsidRPr="00425CE9">
        <w:rPr>
          <w:rFonts w:cs="Arial"/>
          <w:sz w:val="24"/>
          <w:szCs w:val="24"/>
          <w:lang w:eastAsia="en-GB"/>
        </w:rPr>
        <w:t xml:space="preserve"> interviewees</w:t>
      </w:r>
      <w:r>
        <w:rPr>
          <w:rFonts w:cs="Arial"/>
          <w:sz w:val="24"/>
          <w:szCs w:val="24"/>
          <w:lang w:eastAsia="en-GB"/>
        </w:rPr>
        <w:t xml:space="preserve"> reported</w:t>
      </w:r>
      <w:r w:rsidRPr="00425CE9">
        <w:rPr>
          <w:rFonts w:cs="Arial"/>
          <w:sz w:val="24"/>
          <w:szCs w:val="24"/>
          <w:lang w:eastAsia="en-GB"/>
        </w:rPr>
        <w:t xml:space="preserve"> feeling that they had larg</w:t>
      </w:r>
      <w:r>
        <w:rPr>
          <w:rFonts w:cs="Arial"/>
          <w:sz w:val="24"/>
          <w:szCs w:val="24"/>
          <w:lang w:eastAsia="en-GB"/>
        </w:rPr>
        <w:t xml:space="preserve">ely experienced the drug scene and </w:t>
      </w:r>
      <w:r w:rsidRPr="00425CE9">
        <w:rPr>
          <w:rFonts w:cs="Arial"/>
          <w:sz w:val="24"/>
          <w:szCs w:val="24"/>
          <w:lang w:eastAsia="en-GB"/>
        </w:rPr>
        <w:t>they showed a desire to maximise their studies</w:t>
      </w:r>
      <w:r>
        <w:rPr>
          <w:rFonts w:cs="Arial"/>
          <w:sz w:val="24"/>
          <w:szCs w:val="24"/>
          <w:lang w:eastAsia="en-GB"/>
        </w:rPr>
        <w:t xml:space="preserve"> directing</w:t>
      </w:r>
      <w:r w:rsidRPr="00425CE9">
        <w:rPr>
          <w:rFonts w:cs="Arial"/>
          <w:sz w:val="24"/>
          <w:szCs w:val="24"/>
          <w:lang w:eastAsia="en-GB"/>
        </w:rPr>
        <w:t xml:space="preserve"> their energies into concentrating on the</w:t>
      </w:r>
      <w:r w:rsidR="005D0D80">
        <w:rPr>
          <w:rFonts w:cs="Arial"/>
          <w:sz w:val="24"/>
          <w:szCs w:val="24"/>
          <w:lang w:eastAsia="en-GB"/>
        </w:rPr>
        <w:t>ir</w:t>
      </w:r>
      <w:r w:rsidRPr="00425CE9">
        <w:rPr>
          <w:rFonts w:cs="Arial"/>
          <w:sz w:val="24"/>
          <w:szCs w:val="24"/>
          <w:lang w:eastAsia="en-GB"/>
        </w:rPr>
        <w:t xml:space="preserve"> education</w:t>
      </w:r>
      <w:r>
        <w:rPr>
          <w:rFonts w:cs="Arial"/>
          <w:sz w:val="24"/>
          <w:szCs w:val="24"/>
          <w:lang w:eastAsia="en-GB"/>
        </w:rPr>
        <w:t>.</w:t>
      </w:r>
      <w:r w:rsidRPr="00425CE9">
        <w:rPr>
          <w:rFonts w:cs="Arial"/>
          <w:sz w:val="24"/>
          <w:szCs w:val="24"/>
          <w:lang w:eastAsia="en-GB"/>
        </w:rPr>
        <w:t xml:space="preserve"> </w:t>
      </w:r>
    </w:p>
    <w:p w14:paraId="01F9F9C9" w14:textId="77777777" w:rsidR="009A5F33" w:rsidRPr="009A5F33" w:rsidRDefault="009A5F33" w:rsidP="009A5F33">
      <w:pPr>
        <w:autoSpaceDE w:val="0"/>
        <w:autoSpaceDN w:val="0"/>
        <w:adjustRightInd w:val="0"/>
        <w:spacing w:after="0"/>
        <w:rPr>
          <w:rFonts w:cs="Arial"/>
          <w:sz w:val="24"/>
          <w:szCs w:val="24"/>
          <w:lang w:eastAsia="en-GB"/>
        </w:rPr>
      </w:pPr>
    </w:p>
    <w:p w14:paraId="75547FBC" w14:textId="77777777" w:rsidR="00403057" w:rsidRPr="00403057" w:rsidRDefault="000157A2" w:rsidP="00730B7D">
      <w:pPr>
        <w:widowControl w:val="0"/>
        <w:autoSpaceDE w:val="0"/>
        <w:autoSpaceDN w:val="0"/>
        <w:adjustRightInd w:val="0"/>
        <w:spacing w:after="240"/>
        <w:outlineLvl w:val="0"/>
        <w:rPr>
          <w:rFonts w:cs="Arial"/>
          <w:b/>
          <w:sz w:val="24"/>
          <w:szCs w:val="30"/>
          <w:lang w:val="en-US"/>
        </w:rPr>
      </w:pPr>
      <w:r w:rsidRPr="004110AC">
        <w:rPr>
          <w:rFonts w:cs="Arial"/>
          <w:b/>
          <w:sz w:val="24"/>
          <w:szCs w:val="30"/>
          <w:lang w:val="en-US"/>
        </w:rPr>
        <w:t>Access, Networks and Cultures of Reciprocity</w:t>
      </w:r>
      <w:r w:rsidR="000A31FA">
        <w:rPr>
          <w:rFonts w:cs="Arial"/>
          <w:b/>
          <w:sz w:val="24"/>
          <w:szCs w:val="30"/>
          <w:lang w:val="en-US"/>
        </w:rPr>
        <w:t xml:space="preserve"> in the Student Populace.</w:t>
      </w:r>
    </w:p>
    <w:p w14:paraId="45B53E45" w14:textId="6E3056F6" w:rsidR="00886C2A" w:rsidRPr="00886C2A" w:rsidRDefault="00403057" w:rsidP="00886C2A">
      <w:pPr>
        <w:widowControl w:val="0"/>
        <w:autoSpaceDE w:val="0"/>
        <w:autoSpaceDN w:val="0"/>
        <w:adjustRightInd w:val="0"/>
        <w:spacing w:after="240"/>
        <w:rPr>
          <w:rFonts w:ascii="Times" w:hAnsi="Times" w:cs="Times"/>
          <w:sz w:val="21"/>
          <w:szCs w:val="24"/>
          <w:lang w:val="en-US"/>
        </w:rPr>
      </w:pPr>
      <w:r w:rsidRPr="00886C2A">
        <w:rPr>
          <w:rFonts w:cs="Arial"/>
          <w:sz w:val="24"/>
          <w:szCs w:val="30"/>
          <w:lang w:val="en-US"/>
        </w:rPr>
        <w:t>Despite initial ‘flirtations’ with social supply at college</w:t>
      </w:r>
      <w:r>
        <w:rPr>
          <w:rFonts w:cs="Arial"/>
          <w:sz w:val="24"/>
          <w:szCs w:val="30"/>
          <w:lang w:val="en-US"/>
        </w:rPr>
        <w:t xml:space="preserve"> and first drug use experiences at the age of 15 (range 11-15)</w:t>
      </w:r>
      <w:r w:rsidRPr="00886C2A">
        <w:rPr>
          <w:rFonts w:cs="Arial"/>
          <w:sz w:val="24"/>
          <w:szCs w:val="30"/>
          <w:lang w:val="en-US"/>
        </w:rPr>
        <w:t>, respondents’ narratives indicated that the university was by far the most</w:t>
      </w:r>
      <w:r>
        <w:rPr>
          <w:rFonts w:cs="Arial"/>
          <w:sz w:val="24"/>
          <w:szCs w:val="30"/>
          <w:lang w:val="en-US"/>
        </w:rPr>
        <w:t xml:space="preserve"> prevalent</w:t>
      </w:r>
      <w:r w:rsidRPr="00886C2A">
        <w:rPr>
          <w:rFonts w:cs="Arial"/>
          <w:sz w:val="24"/>
          <w:szCs w:val="30"/>
          <w:lang w:val="en-US"/>
        </w:rPr>
        <w:t xml:space="preserve"> micro-site for transition into regular social supply. </w:t>
      </w:r>
      <w:r w:rsidR="00E75E42">
        <w:rPr>
          <w:rFonts w:cs="Arial"/>
          <w:sz w:val="24"/>
          <w:szCs w:val="30"/>
          <w:lang w:val="en-US"/>
        </w:rPr>
        <w:t>W</w:t>
      </w:r>
      <w:r w:rsidR="009F1A88">
        <w:rPr>
          <w:rFonts w:cs="Arial"/>
          <w:sz w:val="24"/>
          <w:szCs w:val="30"/>
          <w:lang w:val="en-US"/>
        </w:rPr>
        <w:t xml:space="preserve">ith </w:t>
      </w:r>
      <w:r w:rsidR="00886C2A" w:rsidRPr="00886C2A">
        <w:rPr>
          <w:rFonts w:cs="Arial"/>
          <w:sz w:val="24"/>
          <w:szCs w:val="30"/>
          <w:lang w:val="en-US"/>
        </w:rPr>
        <w:t>a higher proportion of drug takers</w:t>
      </w:r>
      <w:r w:rsidR="00026BB4">
        <w:rPr>
          <w:rFonts w:cs="Arial"/>
          <w:sz w:val="24"/>
          <w:szCs w:val="30"/>
          <w:lang w:val="en-US"/>
        </w:rPr>
        <w:t xml:space="preserve"> than the general population (</w:t>
      </w:r>
      <w:r w:rsidR="00886C2A" w:rsidRPr="00886C2A">
        <w:rPr>
          <w:rFonts w:cs="Arial"/>
          <w:sz w:val="24"/>
          <w:szCs w:val="30"/>
          <w:lang w:val="en-US"/>
        </w:rPr>
        <w:t>Newbury-Birch et al., 200</w:t>
      </w:r>
      <w:r w:rsidR="000157A2">
        <w:rPr>
          <w:rFonts w:cs="Arial"/>
          <w:sz w:val="24"/>
          <w:szCs w:val="30"/>
          <w:lang w:val="en-US"/>
        </w:rPr>
        <w:t>1),</w:t>
      </w:r>
      <w:r w:rsidR="005265DB">
        <w:rPr>
          <w:rFonts w:cs="Arial"/>
          <w:sz w:val="24"/>
          <w:szCs w:val="30"/>
          <w:lang w:val="en-US"/>
        </w:rPr>
        <w:t xml:space="preserve"> and </w:t>
      </w:r>
      <w:r w:rsidR="00994F7A">
        <w:rPr>
          <w:rFonts w:cs="Arial"/>
          <w:sz w:val="24"/>
          <w:szCs w:val="30"/>
          <w:lang w:val="en-US"/>
        </w:rPr>
        <w:t>a steady demand for substances</w:t>
      </w:r>
      <w:r w:rsidR="009F1A88">
        <w:rPr>
          <w:rFonts w:cs="Arial"/>
          <w:sz w:val="24"/>
          <w:szCs w:val="30"/>
          <w:lang w:val="en-US"/>
        </w:rPr>
        <w:t xml:space="preserve"> (</w:t>
      </w:r>
      <w:r w:rsidR="00B875B3">
        <w:rPr>
          <w:rFonts w:cs="Arial"/>
          <w:sz w:val="24"/>
          <w:szCs w:val="30"/>
          <w:lang w:val="en-US"/>
        </w:rPr>
        <w:t>Mohamed and Frizvold, 2010</w:t>
      </w:r>
      <w:r w:rsidR="009F1A88">
        <w:rPr>
          <w:rFonts w:cs="Arial"/>
          <w:sz w:val="24"/>
          <w:szCs w:val="30"/>
          <w:lang w:val="en-US"/>
        </w:rPr>
        <w:t>)</w:t>
      </w:r>
      <w:r w:rsidR="00994F7A">
        <w:rPr>
          <w:rFonts w:cs="Arial"/>
          <w:sz w:val="24"/>
          <w:szCs w:val="30"/>
          <w:lang w:val="en-US"/>
        </w:rPr>
        <w:t>,</w:t>
      </w:r>
      <w:r w:rsidR="000157A2">
        <w:rPr>
          <w:rFonts w:cs="Arial"/>
          <w:sz w:val="24"/>
          <w:szCs w:val="30"/>
          <w:lang w:val="en-US"/>
        </w:rPr>
        <w:t xml:space="preserve"> </w:t>
      </w:r>
      <w:r w:rsidR="00994F7A">
        <w:rPr>
          <w:rFonts w:cs="Arial"/>
          <w:sz w:val="24"/>
          <w:szCs w:val="30"/>
          <w:lang w:val="en-US"/>
        </w:rPr>
        <w:t xml:space="preserve">students described the university as containing </w:t>
      </w:r>
      <w:r w:rsidR="000157A2">
        <w:rPr>
          <w:rFonts w:cs="Arial"/>
          <w:sz w:val="24"/>
          <w:szCs w:val="30"/>
          <w:lang w:val="en-US"/>
        </w:rPr>
        <w:t xml:space="preserve">a </w:t>
      </w:r>
      <w:r w:rsidR="00994F7A">
        <w:rPr>
          <w:rFonts w:cs="Arial"/>
          <w:sz w:val="24"/>
          <w:szCs w:val="30"/>
          <w:lang w:val="en-US"/>
        </w:rPr>
        <w:t>‘</w:t>
      </w:r>
      <w:r w:rsidR="000157A2">
        <w:rPr>
          <w:rFonts w:cs="Arial"/>
          <w:sz w:val="24"/>
          <w:szCs w:val="30"/>
          <w:lang w:val="en-US"/>
        </w:rPr>
        <w:t>captive population</w:t>
      </w:r>
      <w:r w:rsidR="00994F7A">
        <w:rPr>
          <w:rFonts w:cs="Arial"/>
          <w:sz w:val="24"/>
          <w:szCs w:val="30"/>
          <w:lang w:val="en-US"/>
        </w:rPr>
        <w:t>’</w:t>
      </w:r>
      <w:r w:rsidR="000157A2">
        <w:rPr>
          <w:rFonts w:cs="Arial"/>
          <w:sz w:val="24"/>
          <w:szCs w:val="30"/>
          <w:lang w:val="en-US"/>
        </w:rPr>
        <w:t xml:space="preserve"> of </w:t>
      </w:r>
      <w:r w:rsidR="00415A59">
        <w:rPr>
          <w:rFonts w:cs="Arial"/>
          <w:sz w:val="24"/>
          <w:szCs w:val="30"/>
          <w:lang w:val="en-US"/>
        </w:rPr>
        <w:t>drug takers</w:t>
      </w:r>
      <w:r w:rsidR="000157A2">
        <w:rPr>
          <w:rFonts w:cs="Arial"/>
          <w:sz w:val="24"/>
          <w:szCs w:val="30"/>
          <w:lang w:val="en-US"/>
        </w:rPr>
        <w:t xml:space="preserve">. </w:t>
      </w:r>
      <w:r w:rsidR="00B53A60" w:rsidRPr="004D4042">
        <w:rPr>
          <w:rFonts w:cs="Arial"/>
          <w:sz w:val="24"/>
          <w:szCs w:val="24"/>
          <w:lang w:eastAsia="en-GB"/>
        </w:rPr>
        <w:t xml:space="preserve">Apart from those participants who continued to access drugs outside the university context, </w:t>
      </w:r>
      <w:r w:rsidR="00B53A60" w:rsidRPr="004D4042">
        <w:rPr>
          <w:rFonts w:cs="Arial"/>
          <w:i/>
          <w:iCs/>
          <w:sz w:val="24"/>
          <w:szCs w:val="24"/>
          <w:lang w:eastAsia="en-GB"/>
        </w:rPr>
        <w:t xml:space="preserve">all </w:t>
      </w:r>
      <w:r w:rsidR="00B53A60" w:rsidRPr="004D4042">
        <w:rPr>
          <w:rFonts w:cs="Arial"/>
          <w:sz w:val="24"/>
          <w:szCs w:val="24"/>
          <w:lang w:eastAsia="en-GB"/>
        </w:rPr>
        <w:t xml:space="preserve">participants interviewed reported a marked ease of access in relation to obtaining illicit drugs </w:t>
      </w:r>
      <w:r w:rsidR="00B53A60" w:rsidRPr="0024237E">
        <w:rPr>
          <w:rFonts w:cs="Arial"/>
          <w:sz w:val="24"/>
          <w:szCs w:val="24"/>
          <w:lang w:eastAsia="en-GB"/>
        </w:rPr>
        <w:t xml:space="preserve">and </w:t>
      </w:r>
      <w:r w:rsidR="004D4042" w:rsidRPr="0024237E">
        <w:rPr>
          <w:rFonts w:cs="Arial"/>
          <w:sz w:val="24"/>
          <w:szCs w:val="24"/>
          <w:lang w:eastAsia="en-GB"/>
        </w:rPr>
        <w:t>without exception</w:t>
      </w:r>
      <w:r w:rsidR="00B53A60" w:rsidRPr="004D4042">
        <w:rPr>
          <w:rFonts w:cs="Arial"/>
          <w:sz w:val="24"/>
          <w:szCs w:val="24"/>
          <w:lang w:eastAsia="en-GB"/>
        </w:rPr>
        <w:t xml:space="preserve"> confirmed that they had shared drugs with friends – a behaviour that legally is deemed as supply </w:t>
      </w:r>
      <w:r w:rsidR="00DD6454">
        <w:rPr>
          <w:rFonts w:cs="Arial"/>
          <w:sz w:val="24"/>
          <w:szCs w:val="24"/>
          <w:lang w:eastAsia="en-GB"/>
        </w:rPr>
        <w:t xml:space="preserve">and can be prosecuted as such </w:t>
      </w:r>
      <w:r w:rsidR="00B53A60" w:rsidRPr="004D4042">
        <w:rPr>
          <w:rFonts w:cs="Arial"/>
          <w:sz w:val="24"/>
          <w:szCs w:val="24"/>
          <w:lang w:eastAsia="en-GB"/>
        </w:rPr>
        <w:t>(Section 5 Misuse of Drugs Act</w:t>
      </w:r>
      <w:r w:rsidR="005B391B" w:rsidRPr="004D4042">
        <w:rPr>
          <w:rFonts w:cs="Arial"/>
          <w:sz w:val="24"/>
          <w:szCs w:val="24"/>
          <w:lang w:eastAsia="en-GB"/>
        </w:rPr>
        <w:t xml:space="preserve"> 1985</w:t>
      </w:r>
      <w:r w:rsidR="00B53A60" w:rsidRPr="004D4042">
        <w:rPr>
          <w:rFonts w:cs="Arial"/>
          <w:sz w:val="24"/>
          <w:szCs w:val="24"/>
          <w:lang w:eastAsia="en-GB"/>
        </w:rPr>
        <w:t xml:space="preserve">). The frequency of this behaviour was </w:t>
      </w:r>
      <w:r w:rsidR="00B53A60" w:rsidRPr="004D4042">
        <w:rPr>
          <w:rFonts w:cs="Arial"/>
          <w:sz w:val="24"/>
          <w:szCs w:val="24"/>
          <w:lang w:eastAsia="en-GB"/>
        </w:rPr>
        <w:lastRenderedPageBreak/>
        <w:t>most popularly referred to as occurring ‘most of the time’ and ‘all of the time’</w:t>
      </w:r>
      <w:r w:rsidR="005B391B" w:rsidRPr="004D4042">
        <w:rPr>
          <w:rFonts w:cs="Arial"/>
          <w:sz w:val="24"/>
          <w:szCs w:val="24"/>
          <w:lang w:eastAsia="en-GB"/>
        </w:rPr>
        <w:t xml:space="preserve">. </w:t>
      </w:r>
      <w:r w:rsidR="00B53A60" w:rsidRPr="004D4042">
        <w:rPr>
          <w:rFonts w:cs="Arial"/>
          <w:sz w:val="24"/>
          <w:szCs w:val="24"/>
          <w:lang w:eastAsia="en-GB"/>
        </w:rPr>
        <w:t>The reason for this heightened availability was associated with increases in drug repertoires, rates of use and involvement in the drug scene</w:t>
      </w:r>
      <w:r w:rsidR="00DD6454">
        <w:rPr>
          <w:rFonts w:cs="Arial"/>
          <w:sz w:val="24"/>
          <w:szCs w:val="24"/>
          <w:lang w:eastAsia="en-GB"/>
        </w:rPr>
        <w:t>,</w:t>
      </w:r>
      <w:r w:rsidR="00B53A60" w:rsidRPr="004D4042">
        <w:rPr>
          <w:rFonts w:cs="Arial"/>
          <w:sz w:val="24"/>
          <w:szCs w:val="24"/>
          <w:lang w:eastAsia="en-GB"/>
        </w:rPr>
        <w:t xml:space="preserve"> which naturally increased the size of their drug using networks and therefore their opportunities for access.</w:t>
      </w:r>
      <w:r w:rsidR="005B391B" w:rsidRPr="004D4042">
        <w:rPr>
          <w:rFonts w:cs="Arial"/>
          <w:sz w:val="24"/>
          <w:szCs w:val="24"/>
          <w:lang w:eastAsia="en-GB"/>
        </w:rPr>
        <w:t xml:space="preserve"> Much lik</w:t>
      </w:r>
      <w:r w:rsidR="004D4042">
        <w:rPr>
          <w:rFonts w:cs="Arial"/>
          <w:sz w:val="24"/>
          <w:szCs w:val="24"/>
          <w:lang w:eastAsia="en-GB"/>
        </w:rPr>
        <w:t xml:space="preserve">e the young drug </w:t>
      </w:r>
      <w:r w:rsidR="008E49F5">
        <w:rPr>
          <w:rFonts w:cs="Arial"/>
          <w:sz w:val="24"/>
          <w:szCs w:val="24"/>
          <w:lang w:eastAsia="en-GB"/>
        </w:rPr>
        <w:t xml:space="preserve">sellers </w:t>
      </w:r>
      <w:r w:rsidR="004D4042">
        <w:rPr>
          <w:rFonts w:cs="Arial"/>
          <w:sz w:val="24"/>
          <w:szCs w:val="24"/>
          <w:lang w:eastAsia="en-GB"/>
        </w:rPr>
        <w:t>studied</w:t>
      </w:r>
      <w:r w:rsidR="005B391B" w:rsidRPr="004D4042">
        <w:rPr>
          <w:rFonts w:cs="Arial"/>
          <w:sz w:val="24"/>
          <w:szCs w:val="24"/>
          <w:lang w:eastAsia="en-GB"/>
        </w:rPr>
        <w:t xml:space="preserve"> by Jacques and </w:t>
      </w:r>
      <w:r w:rsidR="00752EEE" w:rsidRPr="004D4042">
        <w:rPr>
          <w:rFonts w:cs="Arial"/>
          <w:sz w:val="24"/>
          <w:szCs w:val="24"/>
          <w:lang w:eastAsia="en-GB"/>
        </w:rPr>
        <w:t>Wright</w:t>
      </w:r>
      <w:r w:rsidR="00C50B82">
        <w:rPr>
          <w:rFonts w:cs="Arial"/>
          <w:sz w:val="24"/>
          <w:szCs w:val="24"/>
          <w:lang w:eastAsia="en-GB"/>
        </w:rPr>
        <w:t xml:space="preserve"> (2015</w:t>
      </w:r>
      <w:r w:rsidR="005B391B" w:rsidRPr="004D4042">
        <w:rPr>
          <w:rFonts w:cs="Arial"/>
          <w:sz w:val="24"/>
          <w:szCs w:val="24"/>
          <w:lang w:eastAsia="en-GB"/>
        </w:rPr>
        <w:t xml:space="preserve">), </w:t>
      </w:r>
      <w:r w:rsidR="00F6300A" w:rsidRPr="004D4042">
        <w:rPr>
          <w:rFonts w:cs="Arial"/>
          <w:sz w:val="24"/>
          <w:szCs w:val="24"/>
          <w:lang w:eastAsia="en-GB"/>
        </w:rPr>
        <w:t>students were forced to interact with peers which they ‘might not naturally intermingle with’</w:t>
      </w:r>
      <w:r w:rsidR="00C17D26">
        <w:rPr>
          <w:rFonts w:cs="Arial"/>
          <w:sz w:val="24"/>
          <w:szCs w:val="24"/>
          <w:lang w:eastAsia="en-GB"/>
        </w:rPr>
        <w:t>,</w:t>
      </w:r>
      <w:r w:rsidR="00B53A60" w:rsidRPr="004D4042">
        <w:rPr>
          <w:rFonts w:cs="Arial"/>
          <w:sz w:val="24"/>
          <w:szCs w:val="24"/>
          <w:lang w:eastAsia="en-GB"/>
        </w:rPr>
        <w:t xml:space="preserve"> </w:t>
      </w:r>
      <w:r w:rsidR="00F6300A">
        <w:rPr>
          <w:rFonts w:cs="Arial"/>
          <w:sz w:val="24"/>
          <w:szCs w:val="24"/>
          <w:lang w:eastAsia="en-GB"/>
        </w:rPr>
        <w:t xml:space="preserve">and at this </w:t>
      </w:r>
      <w:r w:rsidR="00DD6454">
        <w:rPr>
          <w:rFonts w:cs="Arial"/>
          <w:sz w:val="24"/>
          <w:szCs w:val="24"/>
          <w:lang w:eastAsia="en-GB"/>
        </w:rPr>
        <w:t>stage</w:t>
      </w:r>
      <w:r w:rsidR="00F6300A">
        <w:rPr>
          <w:rFonts w:cs="Arial"/>
          <w:sz w:val="24"/>
          <w:szCs w:val="24"/>
          <w:lang w:eastAsia="en-GB"/>
        </w:rPr>
        <w:t xml:space="preserve"> of the life</w:t>
      </w:r>
      <w:r w:rsidR="002D2806">
        <w:rPr>
          <w:rFonts w:cs="Arial"/>
          <w:sz w:val="24"/>
          <w:szCs w:val="24"/>
          <w:lang w:eastAsia="en-GB"/>
        </w:rPr>
        <w:t>-</w:t>
      </w:r>
      <w:r w:rsidR="00F6300A">
        <w:rPr>
          <w:rFonts w:cs="Arial"/>
          <w:sz w:val="24"/>
          <w:szCs w:val="24"/>
          <w:lang w:eastAsia="en-GB"/>
        </w:rPr>
        <w:t>course</w:t>
      </w:r>
      <w:r w:rsidR="00297D29">
        <w:rPr>
          <w:rFonts w:cs="Arial"/>
          <w:sz w:val="24"/>
          <w:szCs w:val="24"/>
          <w:lang w:eastAsia="en-GB"/>
        </w:rPr>
        <w:t>,</w:t>
      </w:r>
      <w:r w:rsidR="00F6300A">
        <w:rPr>
          <w:rFonts w:cs="Arial"/>
          <w:sz w:val="24"/>
          <w:szCs w:val="24"/>
          <w:lang w:eastAsia="en-GB"/>
        </w:rPr>
        <w:t xml:space="preserve"> their social networks might </w:t>
      </w:r>
      <w:r w:rsidR="004D4042">
        <w:rPr>
          <w:rFonts w:cs="Arial"/>
          <w:sz w:val="24"/>
          <w:szCs w:val="24"/>
          <w:lang w:eastAsia="en-GB"/>
        </w:rPr>
        <w:t xml:space="preserve">therefore </w:t>
      </w:r>
      <w:r w:rsidR="00F6300A">
        <w:rPr>
          <w:rFonts w:cs="Arial"/>
          <w:sz w:val="24"/>
          <w:szCs w:val="24"/>
          <w:lang w:eastAsia="en-GB"/>
        </w:rPr>
        <w:t>be considered as ‘far broader and stronger’</w:t>
      </w:r>
      <w:r w:rsidR="00297D29">
        <w:rPr>
          <w:rFonts w:cs="Arial"/>
          <w:sz w:val="24"/>
          <w:szCs w:val="24"/>
          <w:lang w:eastAsia="en-GB"/>
        </w:rPr>
        <w:t xml:space="preserve"> than those that follow</w:t>
      </w:r>
      <w:r w:rsidR="00F6300A">
        <w:rPr>
          <w:rFonts w:cs="Arial"/>
          <w:sz w:val="24"/>
          <w:szCs w:val="24"/>
          <w:lang w:eastAsia="en-GB"/>
        </w:rPr>
        <w:t xml:space="preserve"> (27)</w:t>
      </w:r>
      <w:r w:rsidR="00297D29">
        <w:rPr>
          <w:rFonts w:cs="Arial"/>
          <w:sz w:val="24"/>
          <w:szCs w:val="24"/>
          <w:lang w:eastAsia="en-GB"/>
        </w:rPr>
        <w:t xml:space="preserve">. </w:t>
      </w:r>
      <w:r w:rsidR="000157A2">
        <w:rPr>
          <w:rFonts w:cs="Arial"/>
          <w:sz w:val="24"/>
          <w:szCs w:val="30"/>
          <w:lang w:val="en-US"/>
        </w:rPr>
        <w:t xml:space="preserve">Students </w:t>
      </w:r>
      <w:r w:rsidR="00994F7A">
        <w:rPr>
          <w:rFonts w:cs="Arial"/>
          <w:sz w:val="24"/>
          <w:szCs w:val="30"/>
          <w:lang w:val="en-US"/>
        </w:rPr>
        <w:t>explaine</w:t>
      </w:r>
      <w:r w:rsidR="00415A59">
        <w:rPr>
          <w:rFonts w:cs="Arial"/>
          <w:sz w:val="24"/>
          <w:szCs w:val="30"/>
          <w:lang w:val="en-US"/>
        </w:rPr>
        <w:t>d</w:t>
      </w:r>
      <w:r w:rsidR="00994F7A">
        <w:rPr>
          <w:rFonts w:cs="Arial"/>
          <w:sz w:val="24"/>
          <w:szCs w:val="30"/>
          <w:lang w:val="en-US"/>
        </w:rPr>
        <w:t xml:space="preserve"> </w:t>
      </w:r>
      <w:r w:rsidR="000157A2">
        <w:rPr>
          <w:rFonts w:cs="Arial"/>
          <w:sz w:val="24"/>
          <w:szCs w:val="30"/>
          <w:lang w:val="en-US"/>
        </w:rPr>
        <w:t xml:space="preserve">that the new geographical landscape </w:t>
      </w:r>
      <w:r w:rsidR="00472A98">
        <w:rPr>
          <w:rFonts w:cs="Arial"/>
          <w:sz w:val="24"/>
          <w:szCs w:val="30"/>
          <w:lang w:val="en-US"/>
        </w:rPr>
        <w:t xml:space="preserve">the university was situated in </w:t>
      </w:r>
      <w:r w:rsidR="00565E97">
        <w:rPr>
          <w:rFonts w:cs="Arial"/>
          <w:sz w:val="24"/>
          <w:szCs w:val="30"/>
          <w:lang w:val="en-US"/>
        </w:rPr>
        <w:t xml:space="preserve">often </w:t>
      </w:r>
      <w:r w:rsidR="00472A98">
        <w:rPr>
          <w:rFonts w:cs="Arial"/>
          <w:sz w:val="24"/>
          <w:szCs w:val="30"/>
          <w:lang w:val="en-US"/>
        </w:rPr>
        <w:t>presented ‘supply problems’ since non-</w:t>
      </w:r>
      <w:r w:rsidR="00E768A2">
        <w:rPr>
          <w:rFonts w:cs="Arial"/>
          <w:sz w:val="24"/>
          <w:szCs w:val="30"/>
          <w:lang w:val="en-US"/>
        </w:rPr>
        <w:t xml:space="preserve">local </w:t>
      </w:r>
      <w:r w:rsidR="00472A98">
        <w:rPr>
          <w:rFonts w:cs="Arial"/>
          <w:sz w:val="24"/>
          <w:szCs w:val="30"/>
          <w:lang w:val="en-US"/>
        </w:rPr>
        <w:t>students</w:t>
      </w:r>
      <w:r w:rsidR="00B53A60">
        <w:rPr>
          <w:rFonts w:cs="Arial"/>
          <w:sz w:val="24"/>
          <w:szCs w:val="30"/>
          <w:lang w:val="en-US"/>
        </w:rPr>
        <w:t xml:space="preserve"> had no existing connections,</w:t>
      </w:r>
      <w:r w:rsidR="00472A98">
        <w:rPr>
          <w:rFonts w:cs="Arial"/>
          <w:sz w:val="24"/>
          <w:szCs w:val="30"/>
          <w:lang w:val="en-US"/>
        </w:rPr>
        <w:t xml:space="preserve"> ‘so everyone is looking for dealer’</w:t>
      </w:r>
      <w:r w:rsidR="00C50B82">
        <w:rPr>
          <w:rFonts w:cs="Arial"/>
          <w:sz w:val="24"/>
          <w:szCs w:val="30"/>
          <w:lang w:val="en-US"/>
        </w:rPr>
        <w:t xml:space="preserve"> (Louis, 21, cannabis user/supplier</w:t>
      </w:r>
      <w:r w:rsidR="00752EEE">
        <w:rPr>
          <w:rFonts w:cs="Arial"/>
          <w:sz w:val="24"/>
          <w:szCs w:val="30"/>
          <w:lang w:val="en-US"/>
        </w:rPr>
        <w:t>)</w:t>
      </w:r>
      <w:r w:rsidR="00472A98">
        <w:rPr>
          <w:rFonts w:cs="Arial"/>
          <w:sz w:val="24"/>
          <w:szCs w:val="30"/>
          <w:lang w:val="en-US"/>
        </w:rPr>
        <w:t>.</w:t>
      </w:r>
      <w:r w:rsidR="00825ACB">
        <w:rPr>
          <w:rFonts w:cs="Arial"/>
          <w:sz w:val="24"/>
          <w:szCs w:val="30"/>
          <w:lang w:val="en-US"/>
        </w:rPr>
        <w:t xml:space="preserve"> </w:t>
      </w:r>
      <w:r w:rsidR="00472A98">
        <w:rPr>
          <w:rFonts w:cs="Arial"/>
          <w:sz w:val="24"/>
          <w:szCs w:val="30"/>
          <w:lang w:val="en-US"/>
        </w:rPr>
        <w:t xml:space="preserve">Once friendships and acquaintanceships began to develop, talk </w:t>
      </w:r>
      <w:r w:rsidR="00825ACB">
        <w:rPr>
          <w:rFonts w:cs="Arial"/>
          <w:sz w:val="24"/>
          <w:szCs w:val="30"/>
          <w:lang w:val="en-US"/>
        </w:rPr>
        <w:t xml:space="preserve">quickly </w:t>
      </w:r>
      <w:r w:rsidR="00472A98">
        <w:rPr>
          <w:rFonts w:cs="Arial"/>
          <w:sz w:val="24"/>
          <w:szCs w:val="30"/>
          <w:lang w:val="en-US"/>
        </w:rPr>
        <w:t>turned to drug use</w:t>
      </w:r>
      <w:r w:rsidR="004B5F6C">
        <w:rPr>
          <w:rFonts w:cs="Arial"/>
          <w:sz w:val="24"/>
          <w:szCs w:val="30"/>
          <w:lang w:val="en-US"/>
        </w:rPr>
        <w:t>,</w:t>
      </w:r>
      <w:r w:rsidR="00472A98">
        <w:rPr>
          <w:rFonts w:cs="Arial"/>
          <w:sz w:val="24"/>
          <w:szCs w:val="30"/>
          <w:lang w:val="en-US"/>
        </w:rPr>
        <w:t xml:space="preserve"> and as Dan describes, those with access </w:t>
      </w:r>
      <w:r w:rsidR="00261D4C">
        <w:rPr>
          <w:rFonts w:cs="Arial"/>
          <w:sz w:val="24"/>
          <w:szCs w:val="30"/>
          <w:lang w:val="en-US"/>
        </w:rPr>
        <w:t>to drugs</w:t>
      </w:r>
      <w:r w:rsidR="00472A98">
        <w:rPr>
          <w:rFonts w:cs="Arial"/>
          <w:sz w:val="24"/>
          <w:szCs w:val="30"/>
          <w:lang w:val="en-US"/>
        </w:rPr>
        <w:t xml:space="preserve"> often became involved in supply</w:t>
      </w:r>
      <w:r w:rsidR="00261D4C">
        <w:rPr>
          <w:rFonts w:cs="Arial"/>
          <w:sz w:val="24"/>
          <w:szCs w:val="30"/>
          <w:lang w:val="en-US"/>
        </w:rPr>
        <w:t xml:space="preserve"> </w:t>
      </w:r>
      <w:r w:rsidR="00472A98">
        <w:rPr>
          <w:rFonts w:cs="Arial"/>
          <w:sz w:val="24"/>
          <w:szCs w:val="30"/>
          <w:lang w:val="en-US"/>
        </w:rPr>
        <w:t xml:space="preserve">to assist less well connected friends: </w:t>
      </w:r>
    </w:p>
    <w:p w14:paraId="5522A7EB" w14:textId="77777777" w:rsidR="00886C2A" w:rsidRPr="00886C2A" w:rsidRDefault="00886C2A" w:rsidP="00741583">
      <w:pPr>
        <w:widowControl w:val="0"/>
        <w:autoSpaceDE w:val="0"/>
        <w:autoSpaceDN w:val="0"/>
        <w:adjustRightInd w:val="0"/>
        <w:spacing w:after="240" w:line="240" w:lineRule="auto"/>
        <w:ind w:left="720"/>
        <w:rPr>
          <w:rFonts w:ascii="Times" w:hAnsi="Times" w:cs="Times"/>
          <w:sz w:val="21"/>
          <w:szCs w:val="24"/>
          <w:lang w:val="en-US"/>
        </w:rPr>
      </w:pPr>
      <w:r w:rsidRPr="00886C2A">
        <w:rPr>
          <w:rFonts w:cs="Arial"/>
          <w:sz w:val="24"/>
          <w:szCs w:val="30"/>
          <w:lang w:val="en-US"/>
        </w:rPr>
        <w:t xml:space="preserve">The first time, probably wouldn’t have been until the second year of university, so about 19 probably and that was because I started taking it more and knew more people that I could get it from. People knew I could get it and would say ‘can you get me some of this’ and I’d say ‘sure’. People asked, that’s all, people asked and it was friends, it wasn’t strangers or anything, so I was more than happy to help. And we were at university so... </w:t>
      </w:r>
    </w:p>
    <w:p w14:paraId="2D90CDD2" w14:textId="77777777" w:rsidR="00886C2A" w:rsidRPr="00886C2A" w:rsidRDefault="00886C2A" w:rsidP="00730B7D">
      <w:pPr>
        <w:widowControl w:val="0"/>
        <w:autoSpaceDE w:val="0"/>
        <w:autoSpaceDN w:val="0"/>
        <w:adjustRightInd w:val="0"/>
        <w:spacing w:after="240" w:line="240" w:lineRule="auto"/>
        <w:ind w:firstLine="720"/>
        <w:outlineLvl w:val="0"/>
        <w:rPr>
          <w:rFonts w:ascii="Times" w:hAnsi="Times" w:cs="Times"/>
          <w:sz w:val="21"/>
          <w:szCs w:val="24"/>
          <w:lang w:val="en-US"/>
        </w:rPr>
      </w:pPr>
      <w:r w:rsidRPr="007115AA">
        <w:rPr>
          <w:rFonts w:cs="Arial"/>
          <w:sz w:val="24"/>
          <w:szCs w:val="30"/>
          <w:lang w:val="en-US"/>
        </w:rPr>
        <w:t>Dan</w:t>
      </w:r>
      <w:r w:rsidRPr="00886C2A">
        <w:rPr>
          <w:rFonts w:ascii="Times" w:hAnsi="Times" w:cs="Times"/>
          <w:sz w:val="24"/>
          <w:szCs w:val="30"/>
          <w:lang w:val="en-US"/>
        </w:rPr>
        <w:t xml:space="preserve"> </w:t>
      </w:r>
      <w:r w:rsidRPr="00886C2A">
        <w:rPr>
          <w:rFonts w:cs="Arial"/>
          <w:sz w:val="24"/>
          <w:szCs w:val="30"/>
          <w:lang w:val="en-US"/>
        </w:rPr>
        <w:t>(23)</w:t>
      </w:r>
      <w:r w:rsidR="007115AA">
        <w:rPr>
          <w:rFonts w:cs="Arial"/>
          <w:sz w:val="24"/>
          <w:szCs w:val="30"/>
          <w:lang w:val="en-US"/>
        </w:rPr>
        <w:t>,</w:t>
      </w:r>
      <w:r w:rsidR="00D643D9">
        <w:rPr>
          <w:rFonts w:cs="Arial"/>
          <w:sz w:val="24"/>
          <w:szCs w:val="30"/>
          <w:lang w:val="en-US"/>
        </w:rPr>
        <w:t xml:space="preserve"> cannabis and cocaine user/supplier</w:t>
      </w:r>
    </w:p>
    <w:p w14:paraId="2734B6E6" w14:textId="39360A1C" w:rsidR="00A31DE1" w:rsidRPr="00425CE9" w:rsidRDefault="00825ACB" w:rsidP="000F23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rFonts w:cs="Arial"/>
          <w:sz w:val="24"/>
          <w:szCs w:val="24"/>
          <w:lang w:eastAsia="en-GB"/>
        </w:rPr>
      </w:pPr>
      <w:r w:rsidRPr="00886C2A">
        <w:rPr>
          <w:rFonts w:cs="Arial"/>
          <w:sz w:val="24"/>
          <w:szCs w:val="30"/>
          <w:lang w:val="en-US"/>
        </w:rPr>
        <w:t>These findings are also consistent with wider research that postulate</w:t>
      </w:r>
      <w:r>
        <w:rPr>
          <w:rFonts w:cs="Arial"/>
          <w:sz w:val="24"/>
          <w:szCs w:val="30"/>
          <w:lang w:val="en-US"/>
        </w:rPr>
        <w:t>s</w:t>
      </w:r>
      <w:r w:rsidRPr="00886C2A">
        <w:rPr>
          <w:rFonts w:cs="Arial"/>
          <w:sz w:val="24"/>
          <w:szCs w:val="30"/>
          <w:lang w:val="en-US"/>
        </w:rPr>
        <w:t xml:space="preserve"> drug use as ‘processural’, that is, related to social setting and the ever-changing nature of social networks that individuals find themselves in (Moore, 1993</w:t>
      </w:r>
      <w:r>
        <w:rPr>
          <w:rFonts w:cs="Arial"/>
          <w:sz w:val="24"/>
          <w:szCs w:val="30"/>
          <w:lang w:val="en-US"/>
        </w:rPr>
        <w:t xml:space="preserve">). </w:t>
      </w:r>
      <w:r w:rsidR="00A31DE1" w:rsidRPr="008C1F9B">
        <w:rPr>
          <w:rFonts w:cs="Arial"/>
          <w:sz w:val="24"/>
          <w:szCs w:val="24"/>
          <w:lang w:eastAsia="en-GB"/>
        </w:rPr>
        <w:t xml:space="preserve">With the university </w:t>
      </w:r>
      <w:r w:rsidR="00752EEE">
        <w:rPr>
          <w:rFonts w:cs="Arial"/>
          <w:sz w:val="24"/>
          <w:szCs w:val="24"/>
          <w:lang w:eastAsia="en-GB"/>
        </w:rPr>
        <w:t xml:space="preserve">very often </w:t>
      </w:r>
      <w:r w:rsidR="00A31DE1" w:rsidRPr="008C1F9B">
        <w:rPr>
          <w:rFonts w:cs="Arial"/>
          <w:sz w:val="24"/>
          <w:szCs w:val="24"/>
          <w:lang w:eastAsia="en-GB"/>
        </w:rPr>
        <w:t>distancing students from previous drug supply avenues and providing a space for the in</w:t>
      </w:r>
      <w:r w:rsidR="00C57D77" w:rsidRPr="008C1F9B">
        <w:rPr>
          <w:rFonts w:cs="Arial"/>
          <w:sz w:val="24"/>
          <w:szCs w:val="24"/>
          <w:lang w:eastAsia="en-GB"/>
        </w:rPr>
        <w:t>itiation of new friendships, this</w:t>
      </w:r>
      <w:r w:rsidR="00A31DE1" w:rsidRPr="008C1F9B">
        <w:rPr>
          <w:rFonts w:cs="Arial"/>
          <w:sz w:val="24"/>
          <w:szCs w:val="24"/>
          <w:lang w:eastAsia="en-GB"/>
        </w:rPr>
        <w:t xml:space="preserve"> data suggests that there is an increasing reliance on these friends</w:t>
      </w:r>
      <w:r w:rsidR="00362DCB" w:rsidRPr="008C1F9B">
        <w:rPr>
          <w:rFonts w:cs="Arial"/>
          <w:sz w:val="24"/>
          <w:szCs w:val="24"/>
          <w:lang w:eastAsia="en-GB"/>
        </w:rPr>
        <w:t xml:space="preserve"> or acquaintances</w:t>
      </w:r>
      <w:r w:rsidR="000F23CF" w:rsidRPr="008C1F9B">
        <w:rPr>
          <w:rFonts w:cs="Arial"/>
          <w:sz w:val="24"/>
          <w:szCs w:val="24"/>
          <w:lang w:eastAsia="en-GB"/>
        </w:rPr>
        <w:t xml:space="preserve"> for drug access</w:t>
      </w:r>
      <w:r w:rsidR="002872DB">
        <w:rPr>
          <w:rFonts w:cs="Arial"/>
          <w:sz w:val="24"/>
          <w:szCs w:val="24"/>
          <w:lang w:eastAsia="en-GB"/>
        </w:rPr>
        <w:t xml:space="preserve">. </w:t>
      </w:r>
      <w:r w:rsidR="004B5F6C">
        <w:rPr>
          <w:rFonts w:cs="Arial"/>
          <w:sz w:val="24"/>
          <w:szCs w:val="24"/>
          <w:lang w:eastAsia="en-GB"/>
        </w:rPr>
        <w:t xml:space="preserve">Acknowledging financial hardship and debt associated with studying, many of the </w:t>
      </w:r>
      <w:r w:rsidR="00A31DE1">
        <w:rPr>
          <w:rFonts w:cs="Arial"/>
          <w:sz w:val="24"/>
          <w:szCs w:val="24"/>
          <w:lang w:eastAsia="en-GB"/>
        </w:rPr>
        <w:t xml:space="preserve">students we interviewed </w:t>
      </w:r>
      <w:r w:rsidR="00A31DE1" w:rsidRPr="00425CE9">
        <w:rPr>
          <w:rFonts w:cs="Arial"/>
          <w:sz w:val="24"/>
          <w:szCs w:val="24"/>
          <w:lang w:eastAsia="en-GB"/>
        </w:rPr>
        <w:t xml:space="preserve">generally remarked of the </w:t>
      </w:r>
      <w:r w:rsidR="009A5F33">
        <w:rPr>
          <w:rFonts w:cs="Arial"/>
          <w:sz w:val="24"/>
          <w:szCs w:val="24"/>
          <w:lang w:eastAsia="en-GB"/>
        </w:rPr>
        <w:t xml:space="preserve">value of taking on a social supply role </w:t>
      </w:r>
      <w:r w:rsidR="00A31DE1" w:rsidRPr="00425CE9">
        <w:rPr>
          <w:rFonts w:cs="Arial"/>
          <w:sz w:val="24"/>
          <w:szCs w:val="24"/>
          <w:lang w:eastAsia="en-GB"/>
        </w:rPr>
        <w:t>in terms of the practice providing a certain amount of back up in times of drug shortage, when access could not be obtained</w:t>
      </w:r>
      <w:r w:rsidR="00976746">
        <w:rPr>
          <w:rFonts w:cs="Arial"/>
          <w:sz w:val="24"/>
          <w:szCs w:val="24"/>
          <w:lang w:eastAsia="en-GB"/>
        </w:rPr>
        <w:t>,</w:t>
      </w:r>
      <w:r w:rsidR="003239C7">
        <w:rPr>
          <w:rFonts w:cs="Arial"/>
          <w:sz w:val="24"/>
          <w:szCs w:val="24"/>
          <w:lang w:eastAsia="en-GB"/>
        </w:rPr>
        <w:t xml:space="preserve"> or</w:t>
      </w:r>
      <w:r w:rsidR="00A31DE1" w:rsidRPr="00425CE9">
        <w:rPr>
          <w:rFonts w:cs="Arial"/>
          <w:sz w:val="24"/>
          <w:szCs w:val="24"/>
          <w:lang w:eastAsia="en-GB"/>
        </w:rPr>
        <w:t xml:space="preserve"> when financial capital was low. In this sense, similarly to cultures of alcohol use, student drug</w:t>
      </w:r>
      <w:r w:rsidR="00C57D77">
        <w:rPr>
          <w:rFonts w:cs="Arial"/>
          <w:sz w:val="24"/>
          <w:szCs w:val="24"/>
          <w:lang w:eastAsia="en-GB"/>
        </w:rPr>
        <w:t xml:space="preserve"> using</w:t>
      </w:r>
      <w:r w:rsidR="00A31DE1" w:rsidRPr="00425CE9">
        <w:rPr>
          <w:rFonts w:cs="Arial"/>
          <w:sz w:val="24"/>
          <w:szCs w:val="24"/>
          <w:lang w:eastAsia="en-GB"/>
        </w:rPr>
        <w:t xml:space="preserve"> etiquette appeared to command</w:t>
      </w:r>
      <w:r w:rsidR="005E7EC2">
        <w:rPr>
          <w:rFonts w:cs="Arial"/>
          <w:sz w:val="24"/>
          <w:szCs w:val="24"/>
          <w:lang w:eastAsia="en-GB"/>
        </w:rPr>
        <w:t xml:space="preserve"> a certain</w:t>
      </w:r>
      <w:r w:rsidR="00D85899">
        <w:rPr>
          <w:rFonts w:cs="Arial"/>
          <w:sz w:val="24"/>
          <w:szCs w:val="24"/>
          <w:lang w:eastAsia="en-GB"/>
        </w:rPr>
        <w:t xml:space="preserve"> amount of indebtedness</w:t>
      </w:r>
      <w:r w:rsidR="00A31DE1" w:rsidRPr="00425CE9">
        <w:rPr>
          <w:rFonts w:cs="Arial"/>
          <w:sz w:val="24"/>
          <w:szCs w:val="24"/>
          <w:lang w:eastAsia="en-GB"/>
        </w:rPr>
        <w:t>, effectively ensuring that individuals could expect a reciprocal drug offer:</w:t>
      </w:r>
    </w:p>
    <w:p w14:paraId="2C596594" w14:textId="63D38B63" w:rsidR="00A31DE1" w:rsidRDefault="00A31DE1" w:rsidP="00A31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720" w:right="567" w:hanging="720"/>
        <w:rPr>
          <w:rFonts w:cs="Arial"/>
          <w:sz w:val="24"/>
          <w:szCs w:val="24"/>
          <w:lang w:eastAsia="en-GB"/>
        </w:rPr>
      </w:pPr>
      <w:r w:rsidRPr="00425CE9">
        <w:rPr>
          <w:rFonts w:cs="Arial"/>
          <w:sz w:val="24"/>
          <w:szCs w:val="24"/>
          <w:lang w:eastAsia="en-GB"/>
        </w:rPr>
        <w:lastRenderedPageBreak/>
        <w:tab/>
      </w:r>
      <w:r w:rsidR="00653944">
        <w:rPr>
          <w:rFonts w:cs="Arial"/>
          <w:sz w:val="24"/>
          <w:szCs w:val="24"/>
          <w:lang w:eastAsia="en-GB"/>
        </w:rPr>
        <w:t>S</w:t>
      </w:r>
      <w:r w:rsidRPr="00425CE9">
        <w:rPr>
          <w:rFonts w:cs="Arial"/>
          <w:sz w:val="24"/>
          <w:szCs w:val="24"/>
          <w:lang w:eastAsia="en-GB"/>
        </w:rPr>
        <w:t>ometimes people don't have money you know so sometimes I'll have a gram of something and my</w:t>
      </w:r>
      <w:r w:rsidR="00653944">
        <w:rPr>
          <w:rFonts w:cs="Arial"/>
          <w:sz w:val="24"/>
          <w:szCs w:val="24"/>
          <w:lang w:eastAsia="en-GB"/>
        </w:rPr>
        <w:t xml:space="preserve"> friend or he's got some beers…Y</w:t>
      </w:r>
      <w:r w:rsidRPr="00425CE9">
        <w:rPr>
          <w:rFonts w:cs="Arial"/>
          <w:sz w:val="24"/>
          <w:szCs w:val="24"/>
          <w:lang w:eastAsia="en-GB"/>
        </w:rPr>
        <w:t xml:space="preserve">ou know it's very, definitely as a student it's very much a bit of trading especially for different types of drugs as well. So you've got a bit of that, have some weed and we'll swap. </w:t>
      </w:r>
    </w:p>
    <w:p w14:paraId="7C9AB84D" w14:textId="77777777" w:rsidR="00E152F6" w:rsidRDefault="0090688B" w:rsidP="004D4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720" w:right="567" w:hanging="720"/>
        <w:rPr>
          <w:rFonts w:cs="Arial"/>
          <w:sz w:val="24"/>
          <w:szCs w:val="24"/>
          <w:lang w:eastAsia="en-GB"/>
        </w:rPr>
      </w:pPr>
      <w:r>
        <w:rPr>
          <w:rFonts w:cs="Arial"/>
          <w:sz w:val="24"/>
          <w:szCs w:val="24"/>
          <w:lang w:eastAsia="en-GB"/>
        </w:rPr>
        <w:tab/>
        <w:t>Louis (21)</w:t>
      </w:r>
      <w:r w:rsidR="00D643D9">
        <w:rPr>
          <w:rFonts w:cs="Arial"/>
          <w:sz w:val="24"/>
          <w:szCs w:val="24"/>
          <w:lang w:eastAsia="en-GB"/>
        </w:rPr>
        <w:t>, cannabis user/supplier</w:t>
      </w:r>
      <w:r>
        <w:rPr>
          <w:rFonts w:cs="Arial"/>
          <w:sz w:val="24"/>
          <w:szCs w:val="24"/>
          <w:lang w:eastAsia="en-GB"/>
        </w:rPr>
        <w:t xml:space="preserve"> </w:t>
      </w:r>
    </w:p>
    <w:p w14:paraId="4E47570B" w14:textId="77777777" w:rsidR="001D18EB" w:rsidRDefault="001D18EB" w:rsidP="00C158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s>
        <w:autoSpaceDE w:val="0"/>
        <w:autoSpaceDN w:val="0"/>
        <w:adjustRightInd w:val="0"/>
        <w:spacing w:after="120"/>
        <w:rPr>
          <w:rFonts w:cs="Arial"/>
          <w:sz w:val="24"/>
          <w:szCs w:val="24"/>
          <w:lang w:eastAsia="en-GB"/>
        </w:rPr>
      </w:pPr>
    </w:p>
    <w:p w14:paraId="6F254628" w14:textId="46D08E98" w:rsidR="00B35A87" w:rsidRPr="00AB5A7A" w:rsidRDefault="00573BED" w:rsidP="00C158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s>
        <w:autoSpaceDE w:val="0"/>
        <w:autoSpaceDN w:val="0"/>
        <w:adjustRightInd w:val="0"/>
        <w:spacing w:after="120"/>
        <w:rPr>
          <w:rFonts w:cs="Arial"/>
          <w:sz w:val="24"/>
          <w:szCs w:val="24"/>
          <w:lang w:val="en-US" w:eastAsia="en-GB"/>
        </w:rPr>
      </w:pPr>
      <w:r>
        <w:rPr>
          <w:rFonts w:cs="Arial"/>
          <w:sz w:val="24"/>
          <w:szCs w:val="24"/>
          <w:lang w:val="en-US"/>
        </w:rPr>
        <w:t>T</w:t>
      </w:r>
      <w:r w:rsidR="00A31DE1" w:rsidRPr="00190B3D">
        <w:rPr>
          <w:rFonts w:cs="Arial"/>
          <w:sz w:val="24"/>
          <w:szCs w:val="24"/>
          <w:lang w:val="en-US"/>
        </w:rPr>
        <w:t>hematically, this data is consistent with the work of Dorn and South (1990) and their conceptualisation of ‘mutual societies</w:t>
      </w:r>
      <w:r w:rsidR="005F151E">
        <w:rPr>
          <w:rFonts w:cs="Arial"/>
          <w:sz w:val="24"/>
          <w:szCs w:val="24"/>
          <w:lang w:val="en-US"/>
        </w:rPr>
        <w:t xml:space="preserve">’, </w:t>
      </w:r>
      <w:r>
        <w:rPr>
          <w:rFonts w:cs="Arial"/>
          <w:sz w:val="24"/>
          <w:szCs w:val="24"/>
          <w:lang w:val="en-US"/>
        </w:rPr>
        <w:t>described</w:t>
      </w:r>
      <w:r w:rsidR="00A31DE1" w:rsidRPr="00190B3D">
        <w:rPr>
          <w:rFonts w:cs="Arial"/>
          <w:sz w:val="24"/>
          <w:szCs w:val="24"/>
          <w:lang w:val="en-US"/>
        </w:rPr>
        <w:t xml:space="preserve"> as frie</w:t>
      </w:r>
      <w:r w:rsidR="005F151E">
        <w:rPr>
          <w:rFonts w:cs="Arial"/>
          <w:sz w:val="24"/>
          <w:szCs w:val="24"/>
          <w:lang w:val="en-US"/>
        </w:rPr>
        <w:t>ndship networks of user-dealers</w:t>
      </w:r>
      <w:r w:rsidR="00A31DE1" w:rsidRPr="00190B3D">
        <w:rPr>
          <w:rFonts w:cs="Arial"/>
          <w:sz w:val="24"/>
          <w:szCs w:val="24"/>
          <w:lang w:val="en-US"/>
        </w:rPr>
        <w:t xml:space="preserve"> who support each other and sell or exchange drugs amongst themselves in a reciprocal fashion (</w:t>
      </w:r>
      <w:r w:rsidR="005F151E">
        <w:rPr>
          <w:rFonts w:cs="Arial"/>
          <w:sz w:val="24"/>
          <w:szCs w:val="24"/>
          <w:lang w:val="en-US"/>
        </w:rPr>
        <w:t>p.</w:t>
      </w:r>
      <w:r w:rsidR="00A31DE1" w:rsidRPr="00190B3D">
        <w:rPr>
          <w:rFonts w:cs="Arial"/>
          <w:sz w:val="24"/>
          <w:szCs w:val="24"/>
          <w:lang w:val="en-US"/>
        </w:rPr>
        <w:t>177).</w:t>
      </w:r>
      <w:r w:rsidR="00362DCB" w:rsidRPr="00190B3D">
        <w:rPr>
          <w:rFonts w:cs="Arial"/>
          <w:sz w:val="24"/>
          <w:szCs w:val="24"/>
          <w:lang w:eastAsia="en-GB"/>
        </w:rPr>
        <w:t xml:space="preserve"> </w:t>
      </w:r>
      <w:r w:rsidR="000360BA" w:rsidRPr="00190B3D">
        <w:rPr>
          <w:rFonts w:cs="Arial"/>
          <w:sz w:val="24"/>
          <w:szCs w:val="24"/>
          <w:lang w:val="en-US"/>
        </w:rPr>
        <w:t>Notions of membership, subculture, responsibility and obligation are particularly relevant here and they interlink and express themselves in complex ways.</w:t>
      </w:r>
      <w:r w:rsidR="000360BA" w:rsidRPr="00190B3D">
        <w:rPr>
          <w:rFonts w:cs="Arial"/>
          <w:sz w:val="24"/>
          <w:szCs w:val="24"/>
          <w:lang w:eastAsia="en-GB"/>
        </w:rPr>
        <w:t xml:space="preserve"> </w:t>
      </w:r>
      <w:r w:rsidR="0042733B">
        <w:rPr>
          <w:rFonts w:cs="Arial"/>
          <w:sz w:val="24"/>
          <w:szCs w:val="24"/>
          <w:lang w:val="en-US" w:eastAsia="en-GB"/>
        </w:rPr>
        <w:t>Foster and Spencer (2013) have</w:t>
      </w:r>
      <w:r w:rsidR="0042733B" w:rsidRPr="0042733B">
        <w:rPr>
          <w:rFonts w:cs="Arial"/>
          <w:sz w:val="24"/>
          <w:szCs w:val="24"/>
          <w:lang w:val="en-US" w:eastAsia="en-GB"/>
        </w:rPr>
        <w:t xml:space="preserve"> highl</w:t>
      </w:r>
      <w:r w:rsidR="000A31FA">
        <w:rPr>
          <w:rFonts w:cs="Arial"/>
          <w:sz w:val="24"/>
          <w:szCs w:val="24"/>
          <w:lang w:val="en-US" w:eastAsia="en-GB"/>
        </w:rPr>
        <w:t>ighted drug and alcohol use as ‘</w:t>
      </w:r>
      <w:r w:rsidR="0042733B" w:rsidRPr="0042733B">
        <w:rPr>
          <w:rFonts w:cs="Arial"/>
          <w:sz w:val="24"/>
          <w:szCs w:val="24"/>
          <w:lang w:val="en-US" w:eastAsia="en-GB"/>
        </w:rPr>
        <w:t>intricately woven into friendship’ (p. 223)</w:t>
      </w:r>
      <w:r w:rsidR="00D44172">
        <w:rPr>
          <w:rFonts w:cs="Arial"/>
          <w:sz w:val="24"/>
          <w:szCs w:val="24"/>
          <w:lang w:val="en-US" w:eastAsia="en-GB"/>
        </w:rPr>
        <w:t>,</w:t>
      </w:r>
      <w:r w:rsidR="0042733B" w:rsidRPr="0042733B">
        <w:rPr>
          <w:rFonts w:cs="Arial"/>
          <w:sz w:val="24"/>
          <w:szCs w:val="24"/>
          <w:lang w:val="en-US" w:eastAsia="en-GB"/>
        </w:rPr>
        <w:t xml:space="preserve"> </w:t>
      </w:r>
      <w:r w:rsidR="000A31FA" w:rsidRPr="000A31FA">
        <w:rPr>
          <w:rFonts w:cs="Arial"/>
          <w:sz w:val="24"/>
          <w:szCs w:val="24"/>
          <w:lang w:val="en-US" w:eastAsia="en-GB"/>
        </w:rPr>
        <w:t>presenting opportunities for intimacy that are otherwise difficult to attain</w:t>
      </w:r>
      <w:r w:rsidR="000A31FA">
        <w:rPr>
          <w:rFonts w:cs="Arial"/>
          <w:sz w:val="24"/>
          <w:szCs w:val="24"/>
          <w:lang w:val="en-US" w:eastAsia="en-GB"/>
        </w:rPr>
        <w:t xml:space="preserve"> in neoliberal societies. </w:t>
      </w:r>
      <w:r w:rsidR="005E7EC2" w:rsidRPr="00190B3D">
        <w:rPr>
          <w:rFonts w:cs="Arial"/>
          <w:sz w:val="24"/>
          <w:szCs w:val="24"/>
          <w:lang w:eastAsia="en-GB"/>
        </w:rPr>
        <w:t>While social supply is often understood</w:t>
      </w:r>
      <w:r w:rsidR="000360BA" w:rsidRPr="00190B3D">
        <w:rPr>
          <w:rFonts w:cs="Arial"/>
          <w:sz w:val="24"/>
          <w:szCs w:val="24"/>
          <w:lang w:eastAsia="en-GB"/>
        </w:rPr>
        <w:t xml:space="preserve"> as ‘friendly business’</w:t>
      </w:r>
      <w:r w:rsidR="000A31FA">
        <w:rPr>
          <w:rFonts w:cs="Arial"/>
          <w:sz w:val="24"/>
          <w:szCs w:val="24"/>
          <w:lang w:eastAsia="en-GB"/>
        </w:rPr>
        <w:t>,</w:t>
      </w:r>
      <w:r w:rsidR="00C57D77">
        <w:rPr>
          <w:rFonts w:cs="Arial"/>
          <w:sz w:val="24"/>
          <w:szCs w:val="24"/>
          <w:lang w:eastAsia="en-GB"/>
        </w:rPr>
        <w:t xml:space="preserve"> centring around </w:t>
      </w:r>
      <w:r w:rsidR="008E4A97">
        <w:rPr>
          <w:rFonts w:cs="Arial"/>
          <w:sz w:val="24"/>
          <w:szCs w:val="24"/>
          <w:lang w:eastAsia="en-GB"/>
        </w:rPr>
        <w:t xml:space="preserve">expressive </w:t>
      </w:r>
      <w:r w:rsidR="00C57D77">
        <w:rPr>
          <w:rFonts w:cs="Arial"/>
          <w:sz w:val="24"/>
          <w:szCs w:val="24"/>
          <w:lang w:eastAsia="en-GB"/>
        </w:rPr>
        <w:t xml:space="preserve">notions of reciprocity </w:t>
      </w:r>
      <w:r w:rsidR="000360BA" w:rsidRPr="00190B3D">
        <w:rPr>
          <w:rFonts w:cs="Arial"/>
          <w:sz w:val="24"/>
          <w:szCs w:val="24"/>
          <w:lang w:eastAsia="en-GB"/>
        </w:rPr>
        <w:t>(</w:t>
      </w:r>
      <w:r w:rsidR="008E4A97">
        <w:rPr>
          <w:rFonts w:cs="Arial"/>
          <w:sz w:val="24"/>
          <w:szCs w:val="24"/>
          <w:lang w:eastAsia="en-GB"/>
        </w:rPr>
        <w:t xml:space="preserve">see </w:t>
      </w:r>
      <w:r w:rsidR="00FB62E0">
        <w:rPr>
          <w:rFonts w:cs="Arial"/>
          <w:sz w:val="24"/>
          <w:szCs w:val="24"/>
          <w:lang w:eastAsia="en-GB"/>
        </w:rPr>
        <w:t>B</w:t>
      </w:r>
      <w:r w:rsidR="000360BA" w:rsidRPr="00190B3D">
        <w:rPr>
          <w:rFonts w:cs="Arial"/>
          <w:sz w:val="24"/>
          <w:szCs w:val="24"/>
          <w:lang w:eastAsia="en-GB"/>
        </w:rPr>
        <w:t xml:space="preserve">elackova and Zabransky, 2016), </w:t>
      </w:r>
      <w:r w:rsidR="00FA041D">
        <w:rPr>
          <w:rFonts w:cs="Arial"/>
          <w:sz w:val="24"/>
          <w:szCs w:val="24"/>
          <w:lang w:eastAsia="en-GB"/>
        </w:rPr>
        <w:t xml:space="preserve">here </w:t>
      </w:r>
      <w:r w:rsidR="001E7E50" w:rsidRPr="00190B3D">
        <w:rPr>
          <w:rFonts w:cs="Arial"/>
          <w:sz w:val="24"/>
          <w:szCs w:val="24"/>
          <w:lang w:eastAsia="en-GB"/>
        </w:rPr>
        <w:t>the unique situation of being a</w:t>
      </w:r>
      <w:r w:rsidR="000360BA" w:rsidRPr="00190B3D">
        <w:rPr>
          <w:rFonts w:cs="Arial"/>
          <w:sz w:val="24"/>
          <w:szCs w:val="24"/>
          <w:lang w:eastAsia="en-GB"/>
        </w:rPr>
        <w:t xml:space="preserve"> student</w:t>
      </w:r>
      <w:r w:rsidR="001E7E50" w:rsidRPr="00190B3D">
        <w:rPr>
          <w:rFonts w:cs="Arial"/>
          <w:sz w:val="24"/>
          <w:szCs w:val="24"/>
          <w:lang w:eastAsia="en-GB"/>
        </w:rPr>
        <w:t xml:space="preserve"> in a new geographical context </w:t>
      </w:r>
      <w:r w:rsidR="005F7801" w:rsidRPr="00190B3D">
        <w:rPr>
          <w:rFonts w:cs="Arial"/>
          <w:sz w:val="24"/>
          <w:szCs w:val="24"/>
          <w:lang w:eastAsia="en-GB"/>
        </w:rPr>
        <w:t xml:space="preserve">meant it could </w:t>
      </w:r>
      <w:r w:rsidR="00724D07">
        <w:rPr>
          <w:rFonts w:cs="Arial"/>
          <w:sz w:val="24"/>
          <w:szCs w:val="24"/>
          <w:lang w:eastAsia="en-GB"/>
        </w:rPr>
        <w:t xml:space="preserve">also </w:t>
      </w:r>
      <w:r w:rsidR="005F7801" w:rsidRPr="00190B3D">
        <w:rPr>
          <w:rFonts w:cs="Arial"/>
          <w:sz w:val="24"/>
          <w:szCs w:val="24"/>
          <w:lang w:eastAsia="en-GB"/>
        </w:rPr>
        <w:t xml:space="preserve">be </w:t>
      </w:r>
      <w:r w:rsidR="00724D07">
        <w:rPr>
          <w:rFonts w:cs="Arial"/>
          <w:sz w:val="24"/>
          <w:szCs w:val="24"/>
          <w:lang w:eastAsia="en-GB"/>
        </w:rPr>
        <w:t xml:space="preserve">usefully </w:t>
      </w:r>
      <w:r w:rsidR="005F7801" w:rsidRPr="00190B3D">
        <w:rPr>
          <w:rFonts w:cs="Arial"/>
          <w:sz w:val="24"/>
          <w:szCs w:val="24"/>
          <w:lang w:eastAsia="en-GB"/>
        </w:rPr>
        <w:t>under</w:t>
      </w:r>
      <w:r w:rsidR="0076689B" w:rsidRPr="00190B3D">
        <w:rPr>
          <w:rFonts w:cs="Arial"/>
          <w:sz w:val="24"/>
          <w:szCs w:val="24"/>
          <w:lang w:eastAsia="en-GB"/>
        </w:rPr>
        <w:t>s</w:t>
      </w:r>
      <w:r w:rsidR="005F7801" w:rsidRPr="00190B3D">
        <w:rPr>
          <w:rFonts w:cs="Arial"/>
          <w:sz w:val="24"/>
          <w:szCs w:val="24"/>
          <w:lang w:eastAsia="en-GB"/>
        </w:rPr>
        <w:t xml:space="preserve">tood as an </w:t>
      </w:r>
      <w:r w:rsidR="00752EEE">
        <w:rPr>
          <w:rFonts w:cs="Arial"/>
          <w:sz w:val="24"/>
          <w:szCs w:val="24"/>
          <w:lang w:eastAsia="en-GB"/>
        </w:rPr>
        <w:t xml:space="preserve">important </w:t>
      </w:r>
      <w:r w:rsidR="005F7801" w:rsidRPr="00190B3D">
        <w:rPr>
          <w:rFonts w:cs="Arial"/>
          <w:sz w:val="24"/>
          <w:szCs w:val="24"/>
          <w:lang w:eastAsia="en-GB"/>
        </w:rPr>
        <w:t>i</w:t>
      </w:r>
      <w:r w:rsidR="00336D39" w:rsidRPr="00190B3D">
        <w:rPr>
          <w:rFonts w:cs="Arial"/>
          <w:color w:val="1A1718"/>
          <w:sz w:val="24"/>
          <w:szCs w:val="24"/>
          <w:lang w:eastAsia="en-GB"/>
        </w:rPr>
        <w:t xml:space="preserve">dentity-building exercise which allowed </w:t>
      </w:r>
      <w:r w:rsidR="005F7801" w:rsidRPr="00190B3D">
        <w:rPr>
          <w:rFonts w:cs="Arial"/>
          <w:color w:val="1A1718"/>
          <w:sz w:val="24"/>
          <w:szCs w:val="24"/>
          <w:lang w:eastAsia="en-GB"/>
        </w:rPr>
        <w:t xml:space="preserve">students to establish </w:t>
      </w:r>
      <w:r w:rsidR="00336D39" w:rsidRPr="00190B3D">
        <w:rPr>
          <w:rFonts w:cs="Arial"/>
          <w:color w:val="1A1718"/>
          <w:sz w:val="24"/>
          <w:szCs w:val="24"/>
          <w:lang w:eastAsia="en-GB"/>
        </w:rPr>
        <w:t>their place within the social order</w:t>
      </w:r>
      <w:r w:rsidR="0042733B">
        <w:rPr>
          <w:rFonts w:cs="Arial"/>
          <w:color w:val="1A1718"/>
          <w:sz w:val="24"/>
          <w:szCs w:val="24"/>
          <w:lang w:eastAsia="en-GB"/>
        </w:rPr>
        <w:t>.</w:t>
      </w:r>
      <w:r w:rsidR="00690670">
        <w:rPr>
          <w:rFonts w:cs="Arial"/>
          <w:color w:val="1A1718"/>
          <w:sz w:val="24"/>
          <w:szCs w:val="24"/>
          <w:lang w:eastAsia="en-GB"/>
        </w:rPr>
        <w:t xml:space="preserve"> </w:t>
      </w:r>
      <w:r w:rsidR="00690670" w:rsidRPr="00BD0761">
        <w:rPr>
          <w:rFonts w:cs="Arial"/>
          <w:color w:val="1A1718"/>
          <w:sz w:val="24"/>
          <w:szCs w:val="24"/>
          <w:lang w:eastAsia="en-GB"/>
        </w:rPr>
        <w:t>Students</w:t>
      </w:r>
      <w:r w:rsidR="00AB5A7A" w:rsidRPr="00BD0761">
        <w:rPr>
          <w:rFonts w:cs="Arial"/>
          <w:color w:val="1A1718"/>
          <w:sz w:val="24"/>
          <w:szCs w:val="24"/>
          <w:lang w:eastAsia="en-GB"/>
        </w:rPr>
        <w:t xml:space="preserve"> told us that sharing or supplying drugs to</w:t>
      </w:r>
      <w:r w:rsidR="00AB5A7A">
        <w:rPr>
          <w:rFonts w:cs="Arial"/>
          <w:color w:val="1A1718"/>
          <w:sz w:val="24"/>
          <w:szCs w:val="24"/>
          <w:lang w:eastAsia="en-GB"/>
        </w:rPr>
        <w:t xml:space="preserve"> existing friends or acquaintances</w:t>
      </w:r>
      <w:r w:rsidR="00336D39" w:rsidRPr="00190B3D">
        <w:rPr>
          <w:rFonts w:cs="Arial"/>
          <w:color w:val="1A1718"/>
          <w:sz w:val="24"/>
          <w:szCs w:val="24"/>
          <w:lang w:eastAsia="en-GB"/>
        </w:rPr>
        <w:t xml:space="preserve"> </w:t>
      </w:r>
      <w:r w:rsidR="00AB5A7A">
        <w:rPr>
          <w:rFonts w:cs="Arial"/>
          <w:color w:val="1A1718"/>
          <w:sz w:val="24"/>
          <w:szCs w:val="24"/>
          <w:lang w:eastAsia="en-GB"/>
        </w:rPr>
        <w:t>created</w:t>
      </w:r>
      <w:r w:rsidR="005F7801" w:rsidRPr="00190B3D">
        <w:rPr>
          <w:rFonts w:cs="Arial"/>
          <w:color w:val="1A1718"/>
          <w:sz w:val="24"/>
          <w:szCs w:val="24"/>
          <w:lang w:eastAsia="en-GB"/>
        </w:rPr>
        <w:t xml:space="preserve"> meaningful </w:t>
      </w:r>
      <w:r w:rsidR="00964958">
        <w:rPr>
          <w:rFonts w:cs="Arial"/>
          <w:color w:val="1A1718"/>
          <w:sz w:val="24"/>
          <w:szCs w:val="24"/>
          <w:lang w:eastAsia="en-GB"/>
        </w:rPr>
        <w:t>‘shared experiences</w:t>
      </w:r>
      <w:r w:rsidR="00AB5A7A">
        <w:rPr>
          <w:rFonts w:cs="Arial"/>
          <w:color w:val="1A1718"/>
          <w:sz w:val="24"/>
          <w:szCs w:val="24"/>
          <w:lang w:eastAsia="en-GB"/>
        </w:rPr>
        <w:t xml:space="preserve">’ and </w:t>
      </w:r>
      <w:r w:rsidR="00964958">
        <w:rPr>
          <w:rFonts w:cs="Arial"/>
          <w:color w:val="1A1718"/>
          <w:sz w:val="24"/>
          <w:szCs w:val="24"/>
          <w:lang w:eastAsia="en-GB"/>
        </w:rPr>
        <w:t>feelings of ‘belonging’</w:t>
      </w:r>
      <w:r w:rsidR="000F23CF">
        <w:rPr>
          <w:rFonts w:cs="Arial"/>
          <w:color w:val="1A1718"/>
          <w:sz w:val="24"/>
          <w:szCs w:val="24"/>
          <w:lang w:eastAsia="en-GB"/>
        </w:rPr>
        <w:t xml:space="preserve"> </w:t>
      </w:r>
      <w:r w:rsidR="00336D39" w:rsidRPr="00190B3D">
        <w:rPr>
          <w:rFonts w:cs="Arial"/>
          <w:color w:val="1A1718"/>
          <w:sz w:val="24"/>
          <w:szCs w:val="24"/>
          <w:lang w:eastAsia="en-GB"/>
        </w:rPr>
        <w:t>(Coomber et al., 2015</w:t>
      </w:r>
      <w:r w:rsidR="00AB5A7A">
        <w:rPr>
          <w:rFonts w:cs="Arial"/>
          <w:color w:val="1A1718"/>
          <w:sz w:val="24"/>
          <w:szCs w:val="24"/>
          <w:lang w:eastAsia="en-GB"/>
        </w:rPr>
        <w:t>; Blum et al. 1972</w:t>
      </w:r>
      <w:r w:rsidR="00336D39" w:rsidRPr="00190B3D">
        <w:rPr>
          <w:rFonts w:cs="Arial"/>
          <w:color w:val="1A1718"/>
          <w:sz w:val="24"/>
          <w:szCs w:val="24"/>
          <w:lang w:eastAsia="en-GB"/>
        </w:rPr>
        <w:t>)</w:t>
      </w:r>
      <w:r w:rsidR="00AB5A7A">
        <w:rPr>
          <w:rFonts w:cs="Arial"/>
          <w:color w:val="1A1718"/>
          <w:sz w:val="24"/>
          <w:szCs w:val="24"/>
          <w:lang w:eastAsia="en-GB"/>
        </w:rPr>
        <w:t xml:space="preserve"> whilst </w:t>
      </w:r>
      <w:r w:rsidR="002872DB">
        <w:rPr>
          <w:rFonts w:cs="Arial"/>
          <w:color w:val="1A1718"/>
          <w:sz w:val="24"/>
          <w:szCs w:val="24"/>
          <w:lang w:eastAsia="en-GB"/>
        </w:rPr>
        <w:t>at the same time</w:t>
      </w:r>
      <w:r w:rsidR="00AB5A7A">
        <w:rPr>
          <w:rFonts w:cs="Arial"/>
          <w:color w:val="1A1718"/>
          <w:sz w:val="24"/>
          <w:szCs w:val="24"/>
          <w:lang w:eastAsia="en-GB"/>
        </w:rPr>
        <w:t xml:space="preserve"> </w:t>
      </w:r>
      <w:r w:rsidR="00AB5A7A">
        <w:rPr>
          <w:rFonts w:cs="Arial"/>
          <w:sz w:val="24"/>
          <w:szCs w:val="24"/>
          <w:lang w:eastAsia="en-GB"/>
        </w:rPr>
        <w:t>acting as a</w:t>
      </w:r>
      <w:r w:rsidR="00A31DE1" w:rsidRPr="00190B3D">
        <w:rPr>
          <w:rFonts w:cs="Arial"/>
          <w:sz w:val="24"/>
          <w:szCs w:val="24"/>
          <w:lang w:eastAsia="en-GB"/>
        </w:rPr>
        <w:t xml:space="preserve"> kind of </w:t>
      </w:r>
      <w:r w:rsidR="005F151E">
        <w:rPr>
          <w:rFonts w:cs="Arial"/>
          <w:sz w:val="24"/>
          <w:szCs w:val="24"/>
          <w:lang w:eastAsia="en-GB"/>
        </w:rPr>
        <w:t>‘</w:t>
      </w:r>
      <w:r w:rsidR="00A31DE1" w:rsidRPr="00190B3D">
        <w:rPr>
          <w:rFonts w:cs="Arial"/>
          <w:sz w:val="24"/>
          <w:szCs w:val="24"/>
          <w:lang w:eastAsia="en-GB"/>
        </w:rPr>
        <w:t>social cement</w:t>
      </w:r>
      <w:r w:rsidR="005F151E">
        <w:rPr>
          <w:rFonts w:cs="Arial"/>
          <w:sz w:val="24"/>
          <w:szCs w:val="24"/>
          <w:lang w:eastAsia="en-GB"/>
        </w:rPr>
        <w:t>’</w:t>
      </w:r>
      <w:r w:rsidR="00A31DE1" w:rsidRPr="00190B3D">
        <w:rPr>
          <w:rFonts w:cs="Arial"/>
          <w:sz w:val="24"/>
          <w:szCs w:val="24"/>
          <w:lang w:eastAsia="en-GB"/>
        </w:rPr>
        <w:t xml:space="preserve"> for new friendships and acquaintanceships (Coomber </w:t>
      </w:r>
      <w:r w:rsidR="00F32CFE">
        <w:rPr>
          <w:rFonts w:cs="Arial"/>
          <w:sz w:val="24"/>
          <w:szCs w:val="24"/>
          <w:lang w:eastAsia="en-GB"/>
        </w:rPr>
        <w:t>and Turnbull, 2007</w:t>
      </w:r>
      <w:r w:rsidR="00A31DE1" w:rsidRPr="00190B3D">
        <w:rPr>
          <w:rFonts w:cs="Arial"/>
          <w:sz w:val="24"/>
          <w:szCs w:val="24"/>
          <w:lang w:eastAsia="en-GB"/>
        </w:rPr>
        <w:t>).</w:t>
      </w:r>
      <w:r w:rsidR="00AF29BA" w:rsidRPr="00190B3D">
        <w:rPr>
          <w:rFonts w:cs="Arial"/>
          <w:sz w:val="24"/>
          <w:szCs w:val="24"/>
          <w:lang w:eastAsia="en-GB"/>
        </w:rPr>
        <w:t xml:space="preserve"> </w:t>
      </w:r>
    </w:p>
    <w:p w14:paraId="7ABC3529" w14:textId="77777777" w:rsidR="00B34B52" w:rsidRDefault="00B34B52" w:rsidP="00EB7F96">
      <w:pPr>
        <w:ind w:right="-45"/>
        <w:rPr>
          <w:rFonts w:cs="Arial"/>
          <w:b/>
          <w:bCs/>
          <w:iCs/>
          <w:sz w:val="24"/>
          <w:szCs w:val="24"/>
          <w:lang w:eastAsia="en-GB"/>
        </w:rPr>
      </w:pPr>
    </w:p>
    <w:p w14:paraId="45D4D8B2" w14:textId="048ECDDA" w:rsidR="0042733B" w:rsidRDefault="001861AC" w:rsidP="00730B7D">
      <w:pPr>
        <w:ind w:right="-45"/>
        <w:outlineLvl w:val="0"/>
        <w:rPr>
          <w:rFonts w:cs="Arial"/>
          <w:b/>
          <w:bCs/>
          <w:iCs/>
          <w:sz w:val="24"/>
          <w:szCs w:val="24"/>
          <w:lang w:eastAsia="en-GB"/>
        </w:rPr>
      </w:pPr>
      <w:r>
        <w:rPr>
          <w:rFonts w:cs="Arial"/>
          <w:b/>
          <w:bCs/>
          <w:iCs/>
          <w:sz w:val="24"/>
          <w:szCs w:val="24"/>
          <w:lang w:eastAsia="en-GB"/>
        </w:rPr>
        <w:t>Drift into Social Supply: Economies of S</w:t>
      </w:r>
      <w:r w:rsidR="0042733B">
        <w:rPr>
          <w:rFonts w:cs="Arial"/>
          <w:b/>
          <w:bCs/>
          <w:iCs/>
          <w:sz w:val="24"/>
          <w:szCs w:val="24"/>
          <w:lang w:eastAsia="en-GB"/>
        </w:rPr>
        <w:t xml:space="preserve">cale, </w:t>
      </w:r>
      <w:r w:rsidR="00DC3A8F">
        <w:rPr>
          <w:rFonts w:cs="Arial"/>
          <w:b/>
          <w:bCs/>
          <w:iCs/>
          <w:sz w:val="24"/>
          <w:szCs w:val="24"/>
          <w:lang w:eastAsia="en-GB"/>
        </w:rPr>
        <w:t>‘</w:t>
      </w:r>
      <w:r>
        <w:rPr>
          <w:rFonts w:cs="Arial"/>
          <w:b/>
          <w:bCs/>
          <w:iCs/>
          <w:sz w:val="24"/>
          <w:szCs w:val="24"/>
          <w:lang w:eastAsia="en-GB"/>
        </w:rPr>
        <w:t>Free D</w:t>
      </w:r>
      <w:r w:rsidR="0042733B">
        <w:rPr>
          <w:rFonts w:cs="Arial"/>
          <w:b/>
          <w:bCs/>
          <w:iCs/>
          <w:sz w:val="24"/>
          <w:szCs w:val="24"/>
          <w:lang w:eastAsia="en-GB"/>
        </w:rPr>
        <w:t>rugs</w:t>
      </w:r>
      <w:r w:rsidR="00DC3A8F">
        <w:rPr>
          <w:rFonts w:cs="Arial"/>
          <w:b/>
          <w:bCs/>
          <w:iCs/>
          <w:sz w:val="24"/>
          <w:szCs w:val="24"/>
          <w:lang w:eastAsia="en-GB"/>
        </w:rPr>
        <w:t>’</w:t>
      </w:r>
      <w:r w:rsidR="0042733B">
        <w:rPr>
          <w:rFonts w:cs="Arial"/>
          <w:b/>
          <w:bCs/>
          <w:iCs/>
          <w:sz w:val="24"/>
          <w:szCs w:val="24"/>
          <w:lang w:eastAsia="en-GB"/>
        </w:rPr>
        <w:t xml:space="preserve"> and </w:t>
      </w:r>
      <w:r w:rsidR="00DC3A8F">
        <w:rPr>
          <w:rFonts w:cs="Arial"/>
          <w:b/>
          <w:bCs/>
          <w:iCs/>
          <w:sz w:val="24"/>
          <w:szCs w:val="24"/>
          <w:lang w:eastAsia="en-GB"/>
        </w:rPr>
        <w:t>‘</w:t>
      </w:r>
      <w:r>
        <w:rPr>
          <w:rFonts w:cs="Arial"/>
          <w:b/>
          <w:bCs/>
          <w:iCs/>
          <w:sz w:val="24"/>
          <w:szCs w:val="24"/>
          <w:lang w:eastAsia="en-GB"/>
        </w:rPr>
        <w:t>Cheap N</w:t>
      </w:r>
      <w:r w:rsidR="0042733B">
        <w:rPr>
          <w:rFonts w:cs="Arial"/>
          <w:b/>
          <w:bCs/>
          <w:iCs/>
          <w:sz w:val="24"/>
          <w:szCs w:val="24"/>
          <w:lang w:eastAsia="en-GB"/>
        </w:rPr>
        <w:t>ights</w:t>
      </w:r>
      <w:r w:rsidR="00DC3A8F">
        <w:rPr>
          <w:rFonts w:cs="Arial"/>
          <w:b/>
          <w:bCs/>
          <w:iCs/>
          <w:sz w:val="24"/>
          <w:szCs w:val="24"/>
          <w:lang w:eastAsia="en-GB"/>
        </w:rPr>
        <w:t>’</w:t>
      </w:r>
      <w:r w:rsidR="0042733B">
        <w:rPr>
          <w:rFonts w:cs="Arial"/>
          <w:b/>
          <w:bCs/>
          <w:iCs/>
          <w:sz w:val="24"/>
          <w:szCs w:val="24"/>
          <w:lang w:eastAsia="en-GB"/>
        </w:rPr>
        <w:t>.</w:t>
      </w:r>
    </w:p>
    <w:p w14:paraId="118A0506" w14:textId="447B6F82" w:rsidR="00762CD9" w:rsidRPr="00C74F0F" w:rsidRDefault="00433421" w:rsidP="00EB7F96">
      <w:pPr>
        <w:ind w:right="-45"/>
        <w:rPr>
          <w:color w:val="000000"/>
          <w:sz w:val="24"/>
          <w:szCs w:val="24"/>
        </w:rPr>
      </w:pPr>
      <w:r>
        <w:rPr>
          <w:rFonts w:cs="Arial"/>
          <w:sz w:val="24"/>
          <w:szCs w:val="24"/>
          <w:lang w:eastAsia="en-GB"/>
        </w:rPr>
        <w:t xml:space="preserve">Traditional </w:t>
      </w:r>
      <w:r w:rsidR="00CB2F1B">
        <w:rPr>
          <w:rFonts w:cs="Arial"/>
          <w:sz w:val="24"/>
          <w:szCs w:val="24"/>
          <w:lang w:eastAsia="en-GB"/>
        </w:rPr>
        <w:t xml:space="preserve">understandings </w:t>
      </w:r>
      <w:r w:rsidR="00C03E51" w:rsidRPr="00425CE9">
        <w:rPr>
          <w:rFonts w:cs="Arial"/>
          <w:sz w:val="24"/>
          <w:szCs w:val="24"/>
          <w:lang w:eastAsia="en-GB"/>
        </w:rPr>
        <w:t xml:space="preserve">of </w:t>
      </w:r>
      <w:r w:rsidR="00CB2F1B">
        <w:rPr>
          <w:rFonts w:cs="Arial"/>
          <w:sz w:val="24"/>
          <w:szCs w:val="24"/>
          <w:lang w:eastAsia="en-GB"/>
        </w:rPr>
        <w:t xml:space="preserve">drug dealing often cast </w:t>
      </w:r>
      <w:r w:rsidR="00080F41">
        <w:rPr>
          <w:rFonts w:cs="Arial"/>
          <w:sz w:val="24"/>
          <w:szCs w:val="24"/>
          <w:lang w:eastAsia="en-GB"/>
        </w:rPr>
        <w:t>it as a ‘career’</w:t>
      </w:r>
      <w:r w:rsidR="00C03E51" w:rsidRPr="00425CE9">
        <w:rPr>
          <w:rFonts w:cs="Arial"/>
          <w:sz w:val="24"/>
          <w:szCs w:val="24"/>
          <w:lang w:eastAsia="en-GB"/>
        </w:rPr>
        <w:t xml:space="preserve"> in which rational</w:t>
      </w:r>
      <w:r w:rsidR="00080F41">
        <w:rPr>
          <w:rFonts w:cs="Arial"/>
          <w:sz w:val="24"/>
          <w:szCs w:val="24"/>
          <w:lang w:eastAsia="en-GB"/>
        </w:rPr>
        <w:t xml:space="preserve"> decisions</w:t>
      </w:r>
      <w:r w:rsidR="000A74DD">
        <w:rPr>
          <w:rFonts w:cs="Arial"/>
          <w:sz w:val="24"/>
          <w:szCs w:val="24"/>
          <w:lang w:eastAsia="en-GB"/>
        </w:rPr>
        <w:t>,</w:t>
      </w:r>
      <w:r w:rsidR="00080F41">
        <w:rPr>
          <w:rFonts w:cs="Arial"/>
          <w:sz w:val="24"/>
          <w:szCs w:val="24"/>
          <w:lang w:eastAsia="en-GB"/>
        </w:rPr>
        <w:t xml:space="preserve"> motivated by </w:t>
      </w:r>
      <w:r w:rsidR="000A74DD">
        <w:rPr>
          <w:rFonts w:cs="Arial"/>
          <w:sz w:val="24"/>
          <w:szCs w:val="24"/>
          <w:lang w:eastAsia="en-GB"/>
        </w:rPr>
        <w:t xml:space="preserve">the pursuit of </w:t>
      </w:r>
      <w:r w:rsidR="00080F41">
        <w:rPr>
          <w:rFonts w:cs="Arial"/>
          <w:sz w:val="24"/>
          <w:szCs w:val="24"/>
          <w:lang w:eastAsia="en-GB"/>
        </w:rPr>
        <w:t>profit or power</w:t>
      </w:r>
      <w:r w:rsidR="000A74DD">
        <w:rPr>
          <w:rFonts w:cs="Arial"/>
          <w:sz w:val="24"/>
          <w:szCs w:val="24"/>
          <w:lang w:eastAsia="en-GB"/>
        </w:rPr>
        <w:t xml:space="preserve">, </w:t>
      </w:r>
      <w:r w:rsidR="005775B7">
        <w:rPr>
          <w:rFonts w:cs="Arial"/>
          <w:sz w:val="24"/>
          <w:szCs w:val="24"/>
          <w:lang w:eastAsia="en-GB"/>
        </w:rPr>
        <w:t>push</w:t>
      </w:r>
      <w:r w:rsidR="000A74DD">
        <w:rPr>
          <w:rFonts w:cs="Arial"/>
          <w:sz w:val="24"/>
          <w:szCs w:val="24"/>
          <w:lang w:eastAsia="en-GB"/>
        </w:rPr>
        <w:t xml:space="preserve"> </w:t>
      </w:r>
      <w:r w:rsidR="00C03E51" w:rsidRPr="00425CE9">
        <w:rPr>
          <w:rFonts w:cs="Arial"/>
          <w:sz w:val="24"/>
          <w:szCs w:val="24"/>
          <w:lang w:eastAsia="en-GB"/>
        </w:rPr>
        <w:t>individuals into commercial supply (</w:t>
      </w:r>
      <w:r w:rsidR="00C50B82">
        <w:rPr>
          <w:rFonts w:cs="Arial"/>
          <w:sz w:val="24"/>
          <w:szCs w:val="24"/>
          <w:lang w:eastAsia="en-GB"/>
        </w:rPr>
        <w:t>Jacques et al., 2014</w:t>
      </w:r>
      <w:r w:rsidR="00CB2F1B">
        <w:rPr>
          <w:rFonts w:cs="Arial"/>
          <w:sz w:val="24"/>
          <w:szCs w:val="24"/>
          <w:lang w:eastAsia="en-GB"/>
        </w:rPr>
        <w:t>).</w:t>
      </w:r>
      <w:r w:rsidR="00080F41">
        <w:rPr>
          <w:rFonts w:cs="Arial"/>
          <w:sz w:val="24"/>
          <w:szCs w:val="24"/>
          <w:lang w:eastAsia="en-GB"/>
        </w:rPr>
        <w:t xml:space="preserve"> </w:t>
      </w:r>
      <w:r w:rsidR="00FB77B3">
        <w:rPr>
          <w:rFonts w:cs="Arial"/>
          <w:sz w:val="24"/>
          <w:szCs w:val="24"/>
          <w:lang w:eastAsia="en-GB"/>
        </w:rPr>
        <w:t>W</w:t>
      </w:r>
      <w:r w:rsidR="005775B7">
        <w:rPr>
          <w:rFonts w:cs="Arial"/>
          <w:sz w:val="24"/>
          <w:szCs w:val="24"/>
          <w:lang w:eastAsia="en-GB"/>
        </w:rPr>
        <w:t>hile this is sometimes the case</w:t>
      </w:r>
      <w:r w:rsidR="00B21958">
        <w:rPr>
          <w:rFonts w:cs="Arial"/>
          <w:sz w:val="24"/>
          <w:szCs w:val="24"/>
          <w:lang w:eastAsia="en-GB"/>
        </w:rPr>
        <w:t>,</w:t>
      </w:r>
      <w:r w:rsidR="00152CE5">
        <w:rPr>
          <w:rFonts w:cs="Arial"/>
          <w:sz w:val="24"/>
          <w:szCs w:val="24"/>
          <w:lang w:eastAsia="en-GB"/>
        </w:rPr>
        <w:t xml:space="preserve"> </w:t>
      </w:r>
      <w:r w:rsidR="00997699">
        <w:rPr>
          <w:rFonts w:cs="Arial"/>
          <w:sz w:val="24"/>
          <w:szCs w:val="24"/>
          <w:lang w:eastAsia="en-GB"/>
        </w:rPr>
        <w:t xml:space="preserve">research shows that </w:t>
      </w:r>
      <w:r w:rsidR="00C03E51" w:rsidRPr="00425CE9">
        <w:rPr>
          <w:rFonts w:cs="Arial"/>
          <w:sz w:val="24"/>
          <w:szCs w:val="24"/>
          <w:lang w:eastAsia="en-GB"/>
        </w:rPr>
        <w:t xml:space="preserve">moves into drug supply </w:t>
      </w:r>
      <w:r w:rsidR="008C56DB">
        <w:rPr>
          <w:rFonts w:cs="Arial"/>
          <w:sz w:val="24"/>
          <w:szCs w:val="24"/>
          <w:lang w:eastAsia="en-GB"/>
        </w:rPr>
        <w:t xml:space="preserve">can </w:t>
      </w:r>
      <w:r w:rsidR="00997699">
        <w:rPr>
          <w:rFonts w:cs="Arial"/>
          <w:sz w:val="24"/>
          <w:szCs w:val="24"/>
          <w:lang w:eastAsia="en-GB"/>
        </w:rPr>
        <w:t xml:space="preserve">in fact </w:t>
      </w:r>
      <w:r w:rsidR="008C56DB">
        <w:rPr>
          <w:rFonts w:cs="Arial"/>
          <w:sz w:val="24"/>
          <w:szCs w:val="24"/>
          <w:lang w:eastAsia="en-GB"/>
        </w:rPr>
        <w:t xml:space="preserve">be </w:t>
      </w:r>
      <w:r w:rsidR="00C03E51" w:rsidRPr="00425CE9">
        <w:rPr>
          <w:rFonts w:cs="Arial"/>
          <w:sz w:val="24"/>
          <w:szCs w:val="24"/>
          <w:lang w:eastAsia="en-GB"/>
        </w:rPr>
        <w:t>more nuanced.</w:t>
      </w:r>
      <w:r w:rsidR="00C03E51">
        <w:rPr>
          <w:rFonts w:cs="Arial"/>
          <w:sz w:val="24"/>
          <w:szCs w:val="24"/>
          <w:lang w:eastAsia="en-GB"/>
        </w:rPr>
        <w:t xml:space="preserve"> </w:t>
      </w:r>
      <w:r w:rsidR="00877F11">
        <w:rPr>
          <w:rFonts w:cs="Arial"/>
          <w:sz w:val="24"/>
          <w:szCs w:val="24"/>
          <w:lang w:eastAsia="en-GB"/>
        </w:rPr>
        <w:t>Matza and Sykes</w:t>
      </w:r>
      <w:r w:rsidR="008C4C80">
        <w:rPr>
          <w:rFonts w:cs="Arial"/>
          <w:sz w:val="24"/>
          <w:szCs w:val="24"/>
          <w:lang w:eastAsia="en-GB"/>
        </w:rPr>
        <w:t xml:space="preserve"> (1961)</w:t>
      </w:r>
      <w:r w:rsidR="000A74DD">
        <w:rPr>
          <w:rFonts w:cs="Arial"/>
          <w:sz w:val="24"/>
          <w:szCs w:val="24"/>
          <w:lang w:eastAsia="en-GB"/>
        </w:rPr>
        <w:t xml:space="preserve"> for instance,</w:t>
      </w:r>
      <w:r w:rsidR="00877F11">
        <w:rPr>
          <w:rFonts w:cs="Arial"/>
          <w:sz w:val="24"/>
          <w:szCs w:val="24"/>
          <w:lang w:eastAsia="en-GB"/>
        </w:rPr>
        <w:t xml:space="preserve"> argued that </w:t>
      </w:r>
      <w:r w:rsidR="00C03E51" w:rsidRPr="00425CE9">
        <w:rPr>
          <w:rFonts w:cs="Arial"/>
          <w:sz w:val="24"/>
          <w:szCs w:val="24"/>
          <w:lang w:eastAsia="en-GB"/>
        </w:rPr>
        <w:t xml:space="preserve">most so-called delinquents could be </w:t>
      </w:r>
      <w:r w:rsidR="00C03E51">
        <w:rPr>
          <w:rFonts w:cs="Arial"/>
          <w:sz w:val="24"/>
          <w:szCs w:val="24"/>
          <w:lang w:eastAsia="en-GB"/>
        </w:rPr>
        <w:t xml:space="preserve">understood </w:t>
      </w:r>
      <w:r w:rsidR="00C03E51" w:rsidRPr="00425CE9">
        <w:rPr>
          <w:rFonts w:cs="Arial"/>
          <w:sz w:val="24"/>
          <w:szCs w:val="24"/>
          <w:lang w:eastAsia="en-GB"/>
        </w:rPr>
        <w:t>as largely law abiding, but due to the situation of youth they were free to ‘d</w:t>
      </w:r>
      <w:r w:rsidR="00C03E51">
        <w:rPr>
          <w:rFonts w:cs="Arial"/>
          <w:sz w:val="24"/>
          <w:szCs w:val="24"/>
          <w:lang w:eastAsia="en-GB"/>
        </w:rPr>
        <w:t>rift’ in and out of delinquency</w:t>
      </w:r>
      <w:r w:rsidR="00B45134">
        <w:rPr>
          <w:rFonts w:cs="Arial"/>
          <w:sz w:val="24"/>
          <w:szCs w:val="24"/>
          <w:lang w:eastAsia="en-GB"/>
        </w:rPr>
        <w:t xml:space="preserve"> through employing ‘techniques of neutralisation’</w:t>
      </w:r>
      <w:r w:rsidR="008C4C80">
        <w:rPr>
          <w:rFonts w:cs="Arial"/>
          <w:sz w:val="24"/>
          <w:szCs w:val="24"/>
          <w:lang w:eastAsia="en-GB"/>
        </w:rPr>
        <w:t xml:space="preserve"> to enable release </w:t>
      </w:r>
      <w:r w:rsidR="008C4C80">
        <w:rPr>
          <w:rFonts w:cs="Arial"/>
          <w:sz w:val="24"/>
          <w:szCs w:val="24"/>
          <w:lang w:eastAsia="en-GB"/>
        </w:rPr>
        <w:lastRenderedPageBreak/>
        <w:t>from moral restraint</w:t>
      </w:r>
      <w:r w:rsidR="00C03E51">
        <w:rPr>
          <w:rFonts w:cs="Arial"/>
          <w:sz w:val="24"/>
          <w:szCs w:val="24"/>
          <w:lang w:eastAsia="en-GB"/>
        </w:rPr>
        <w:t xml:space="preserve">. </w:t>
      </w:r>
      <w:r w:rsidR="00B45134">
        <w:rPr>
          <w:rFonts w:cs="Arial"/>
          <w:sz w:val="24"/>
          <w:szCs w:val="24"/>
          <w:lang w:eastAsia="en-GB"/>
        </w:rPr>
        <w:t xml:space="preserve">The notion of ‘drift’ can usefully deconstruct </w:t>
      </w:r>
      <w:r w:rsidR="00877F11">
        <w:rPr>
          <w:rFonts w:cs="Arial"/>
          <w:sz w:val="24"/>
          <w:szCs w:val="24"/>
          <w:lang w:eastAsia="en-GB"/>
        </w:rPr>
        <w:t>the ways in which conventional individuals</w:t>
      </w:r>
      <w:r w:rsidR="00877F11" w:rsidRPr="00425CE9">
        <w:rPr>
          <w:rFonts w:cs="Arial"/>
          <w:sz w:val="24"/>
          <w:szCs w:val="24"/>
          <w:lang w:eastAsia="en-GB"/>
        </w:rPr>
        <w:t xml:space="preserve"> </w:t>
      </w:r>
      <w:r w:rsidR="00877F11" w:rsidRPr="008D3365">
        <w:rPr>
          <w:rFonts w:cs="Arial"/>
          <w:sz w:val="24"/>
          <w:szCs w:val="24"/>
          <w:lang w:eastAsia="en-GB"/>
        </w:rPr>
        <w:t>become susceptible to the draw or appeal of offending (Matza</w:t>
      </w:r>
      <w:r w:rsidR="00877F11">
        <w:rPr>
          <w:rFonts w:cs="Arial"/>
          <w:sz w:val="24"/>
          <w:szCs w:val="24"/>
          <w:lang w:eastAsia="en-GB"/>
        </w:rPr>
        <w:t>,</w:t>
      </w:r>
      <w:r w:rsidR="00877F11" w:rsidRPr="008D3365">
        <w:rPr>
          <w:rFonts w:cs="Arial"/>
          <w:sz w:val="24"/>
          <w:szCs w:val="24"/>
          <w:lang w:eastAsia="en-GB"/>
        </w:rPr>
        <w:t xml:space="preserve"> 1964)</w:t>
      </w:r>
      <w:r w:rsidR="00B45134">
        <w:rPr>
          <w:rFonts w:cs="Arial"/>
          <w:sz w:val="24"/>
          <w:szCs w:val="24"/>
          <w:lang w:eastAsia="en-GB"/>
        </w:rPr>
        <w:t xml:space="preserve">, and </w:t>
      </w:r>
      <w:r w:rsidR="00061BC0">
        <w:rPr>
          <w:rFonts w:cs="Arial"/>
          <w:sz w:val="24"/>
          <w:szCs w:val="24"/>
          <w:lang w:eastAsia="en-GB"/>
        </w:rPr>
        <w:t xml:space="preserve">in the drugs field </w:t>
      </w:r>
      <w:r w:rsidR="000A74DD">
        <w:rPr>
          <w:rFonts w:cs="Arial"/>
          <w:sz w:val="24"/>
          <w:szCs w:val="24"/>
          <w:lang w:eastAsia="en-GB"/>
        </w:rPr>
        <w:t xml:space="preserve">the framework </w:t>
      </w:r>
      <w:r w:rsidR="00061BC0">
        <w:rPr>
          <w:rFonts w:cs="Arial"/>
          <w:sz w:val="24"/>
          <w:szCs w:val="24"/>
          <w:lang w:eastAsia="en-GB"/>
        </w:rPr>
        <w:t>has</w:t>
      </w:r>
      <w:r w:rsidR="00F76412">
        <w:rPr>
          <w:rFonts w:cs="Arial"/>
          <w:sz w:val="24"/>
          <w:szCs w:val="24"/>
          <w:lang w:eastAsia="en-GB"/>
        </w:rPr>
        <w:t xml:space="preserve"> </w:t>
      </w:r>
      <w:r w:rsidR="000A74DD">
        <w:rPr>
          <w:rFonts w:cs="Arial"/>
          <w:sz w:val="24"/>
          <w:szCs w:val="24"/>
          <w:lang w:eastAsia="en-GB"/>
        </w:rPr>
        <w:t xml:space="preserve">been </w:t>
      </w:r>
      <w:r w:rsidR="00F76412">
        <w:rPr>
          <w:rFonts w:cs="Arial"/>
          <w:sz w:val="24"/>
          <w:szCs w:val="24"/>
          <w:lang w:eastAsia="en-GB"/>
        </w:rPr>
        <w:t>drawn upon to understand how cocaine and ecstasy users drift into supply (Murphy et al., 1990; Murphy et al., 2004) or how low-level social suppliers transition into commercially orientated selling practices (Taylor and Potter, 2013)</w:t>
      </w:r>
      <w:r w:rsidR="00061BC0">
        <w:rPr>
          <w:rFonts w:cs="Arial"/>
          <w:sz w:val="24"/>
          <w:szCs w:val="24"/>
          <w:lang w:eastAsia="en-GB"/>
        </w:rPr>
        <w:t>.</w:t>
      </w:r>
      <w:r w:rsidR="00F76412">
        <w:rPr>
          <w:rFonts w:cs="Arial"/>
          <w:sz w:val="24"/>
          <w:szCs w:val="24"/>
          <w:lang w:eastAsia="en-GB"/>
        </w:rPr>
        <w:t xml:space="preserve"> </w:t>
      </w:r>
      <w:r w:rsidR="006E701B" w:rsidRPr="00434C75">
        <w:rPr>
          <w:rFonts w:cs="Arial"/>
          <w:sz w:val="24"/>
          <w:lang w:eastAsia="en-GB"/>
        </w:rPr>
        <w:t xml:space="preserve">In </w:t>
      </w:r>
      <w:r w:rsidR="006E701B" w:rsidRPr="00434C75">
        <w:rPr>
          <w:rFonts w:cs="Arial"/>
          <w:i/>
          <w:sz w:val="24"/>
          <w:lang w:eastAsia="en-GB"/>
        </w:rPr>
        <w:t>‘becoming a cocaine dealer’</w:t>
      </w:r>
      <w:r w:rsidR="006E701B" w:rsidRPr="00434C75">
        <w:rPr>
          <w:rFonts w:cs="Arial"/>
          <w:sz w:val="24"/>
          <w:lang w:eastAsia="en-GB"/>
        </w:rPr>
        <w:t xml:space="preserve"> Murphy et al. (1990)</w:t>
      </w:r>
      <w:r w:rsidR="006E701B">
        <w:rPr>
          <w:rFonts w:cs="Arial"/>
          <w:sz w:val="24"/>
          <w:lang w:eastAsia="en-GB"/>
        </w:rPr>
        <w:t xml:space="preserve"> use the concept of ‘drift’ to</w:t>
      </w:r>
      <w:r w:rsidR="006E701B" w:rsidRPr="00434C75">
        <w:rPr>
          <w:rFonts w:cs="Arial"/>
          <w:sz w:val="24"/>
          <w:lang w:eastAsia="en-GB"/>
        </w:rPr>
        <w:t xml:space="preserve"> identify </w:t>
      </w:r>
      <w:r w:rsidR="00D85899">
        <w:rPr>
          <w:rFonts w:cs="Arial"/>
          <w:sz w:val="24"/>
          <w:lang w:eastAsia="en-GB"/>
        </w:rPr>
        <w:t xml:space="preserve">the </w:t>
      </w:r>
      <w:r w:rsidR="006E701B" w:rsidRPr="00434C75">
        <w:rPr>
          <w:rFonts w:cs="Arial"/>
          <w:sz w:val="24"/>
          <w:lang w:eastAsia="en-GB"/>
        </w:rPr>
        <w:t xml:space="preserve">ways that users can drift into drug supply, by virtue of solving the ‘problems peculiar to the world of illicit drug use’ (323). </w:t>
      </w:r>
      <w:r w:rsidR="00F44EA7">
        <w:rPr>
          <w:rFonts w:cs="Arial"/>
          <w:sz w:val="24"/>
          <w:lang w:eastAsia="en-GB"/>
        </w:rPr>
        <w:t>Findings here show obvious parallels with the findings of Murphy and colleagues</w:t>
      </w:r>
      <w:r w:rsidR="00C74F0F">
        <w:rPr>
          <w:rFonts w:cs="Arial"/>
          <w:sz w:val="24"/>
          <w:lang w:eastAsia="en-GB"/>
        </w:rPr>
        <w:t xml:space="preserve"> (1990; 2004)</w:t>
      </w:r>
      <w:r w:rsidR="00F44EA7">
        <w:rPr>
          <w:rFonts w:cs="Arial"/>
          <w:sz w:val="24"/>
          <w:lang w:eastAsia="en-GB"/>
        </w:rPr>
        <w:t>;</w:t>
      </w:r>
      <w:r w:rsidR="0042733B">
        <w:rPr>
          <w:color w:val="000000"/>
          <w:sz w:val="24"/>
          <w:szCs w:val="24"/>
        </w:rPr>
        <w:t xml:space="preserve"> acting as a ‘go-</w:t>
      </w:r>
      <w:r w:rsidR="00C74F0F" w:rsidRPr="00425CE9">
        <w:rPr>
          <w:color w:val="000000"/>
          <w:sz w:val="24"/>
          <w:szCs w:val="24"/>
        </w:rPr>
        <w:t xml:space="preserve">between’ </w:t>
      </w:r>
      <w:r w:rsidR="00C74F0F">
        <w:rPr>
          <w:color w:val="000000"/>
          <w:sz w:val="24"/>
          <w:szCs w:val="24"/>
        </w:rPr>
        <w:t xml:space="preserve">(buying on behalf of the group) </w:t>
      </w:r>
      <w:r w:rsidR="00C74F0F" w:rsidRPr="00425CE9">
        <w:rPr>
          <w:color w:val="000000"/>
          <w:sz w:val="24"/>
          <w:szCs w:val="24"/>
        </w:rPr>
        <w:t xml:space="preserve">provided a key mode of entry, or way of </w:t>
      </w:r>
      <w:r w:rsidR="00C74F0F">
        <w:rPr>
          <w:color w:val="000000"/>
          <w:sz w:val="24"/>
          <w:szCs w:val="24"/>
        </w:rPr>
        <w:t>‘</w:t>
      </w:r>
      <w:r w:rsidR="00C74F0F" w:rsidRPr="00425CE9">
        <w:rPr>
          <w:color w:val="000000"/>
          <w:sz w:val="24"/>
          <w:szCs w:val="24"/>
        </w:rPr>
        <w:t>drifting</w:t>
      </w:r>
      <w:r w:rsidR="00C74F0F">
        <w:rPr>
          <w:color w:val="000000"/>
          <w:sz w:val="24"/>
          <w:szCs w:val="24"/>
        </w:rPr>
        <w:t>’</w:t>
      </w:r>
      <w:r w:rsidR="00C74F0F" w:rsidRPr="00425CE9">
        <w:rPr>
          <w:color w:val="000000"/>
          <w:sz w:val="24"/>
          <w:szCs w:val="24"/>
        </w:rPr>
        <w:t xml:space="preserve"> into social supply</w:t>
      </w:r>
      <w:r w:rsidR="00FF0472">
        <w:rPr>
          <w:color w:val="000000"/>
          <w:sz w:val="24"/>
          <w:szCs w:val="24"/>
        </w:rPr>
        <w:t xml:space="preserve"> for the students</w:t>
      </w:r>
      <w:r w:rsidR="00C74F0F" w:rsidRPr="00425CE9">
        <w:rPr>
          <w:color w:val="000000"/>
          <w:sz w:val="24"/>
          <w:szCs w:val="24"/>
        </w:rPr>
        <w:t>.</w:t>
      </w:r>
      <w:r w:rsidR="00C74F0F">
        <w:rPr>
          <w:color w:val="000000"/>
          <w:sz w:val="24"/>
          <w:szCs w:val="24"/>
        </w:rPr>
        <w:t xml:space="preserve"> </w:t>
      </w:r>
      <w:r w:rsidR="000534BB">
        <w:rPr>
          <w:color w:val="000000"/>
          <w:sz w:val="24"/>
          <w:szCs w:val="24"/>
        </w:rPr>
        <w:t>A</w:t>
      </w:r>
      <w:r w:rsidR="000534BB" w:rsidRPr="00425CE9">
        <w:rPr>
          <w:color w:val="000000"/>
          <w:sz w:val="24"/>
          <w:szCs w:val="24"/>
        </w:rPr>
        <w:t>lthough those who had previously been particularly active within the drug scene</w:t>
      </w:r>
      <w:r w:rsidR="000534BB">
        <w:rPr>
          <w:color w:val="000000"/>
          <w:sz w:val="24"/>
          <w:szCs w:val="24"/>
        </w:rPr>
        <w:t xml:space="preserve"> before attending university</w:t>
      </w:r>
      <w:r w:rsidR="000534BB" w:rsidRPr="00425CE9">
        <w:rPr>
          <w:color w:val="000000"/>
          <w:sz w:val="24"/>
          <w:szCs w:val="24"/>
        </w:rPr>
        <w:t xml:space="preserve"> experienced a less distinguished shift in their drug supply, a high proportion of this sample</w:t>
      </w:r>
      <w:r w:rsidR="005F123F">
        <w:rPr>
          <w:color w:val="000000"/>
          <w:sz w:val="24"/>
          <w:szCs w:val="24"/>
        </w:rPr>
        <w:t xml:space="preserve"> described</w:t>
      </w:r>
      <w:r w:rsidR="005F123F">
        <w:rPr>
          <w:i/>
          <w:iCs/>
          <w:color w:val="000000"/>
          <w:sz w:val="24"/>
          <w:szCs w:val="24"/>
        </w:rPr>
        <w:t xml:space="preserve"> experiencing a notable turning point</w:t>
      </w:r>
      <w:r w:rsidR="000534BB" w:rsidRPr="00425CE9">
        <w:rPr>
          <w:color w:val="000000"/>
          <w:sz w:val="24"/>
          <w:szCs w:val="24"/>
        </w:rPr>
        <w:t>, characterised by fairly limited drug use in their adolescence</w:t>
      </w:r>
      <w:r w:rsidR="000534BB">
        <w:rPr>
          <w:color w:val="000000"/>
          <w:sz w:val="24"/>
          <w:szCs w:val="24"/>
        </w:rPr>
        <w:t>,</w:t>
      </w:r>
      <w:r w:rsidR="000534BB" w:rsidRPr="00425CE9">
        <w:rPr>
          <w:color w:val="000000"/>
          <w:sz w:val="24"/>
          <w:szCs w:val="24"/>
        </w:rPr>
        <w:t xml:space="preserve"> evolving into </w:t>
      </w:r>
      <w:r w:rsidR="000534BB">
        <w:rPr>
          <w:color w:val="000000"/>
          <w:sz w:val="24"/>
          <w:szCs w:val="24"/>
        </w:rPr>
        <w:t>isolated incidents of</w:t>
      </w:r>
      <w:r w:rsidR="000534BB" w:rsidRPr="00425CE9">
        <w:rPr>
          <w:color w:val="000000"/>
          <w:sz w:val="24"/>
          <w:szCs w:val="24"/>
        </w:rPr>
        <w:t xml:space="preserve"> social su</w:t>
      </w:r>
      <w:r w:rsidR="000534BB">
        <w:rPr>
          <w:color w:val="000000"/>
          <w:sz w:val="24"/>
          <w:szCs w:val="24"/>
        </w:rPr>
        <w:t>pply at college, to increased drug use, then gradually becoming</w:t>
      </w:r>
      <w:r w:rsidR="000534BB" w:rsidRPr="00425CE9">
        <w:rPr>
          <w:color w:val="000000"/>
          <w:sz w:val="24"/>
          <w:szCs w:val="24"/>
        </w:rPr>
        <w:t xml:space="preserve"> known as a source of supply.</w:t>
      </w:r>
      <w:r w:rsidR="00AA2FF2" w:rsidRPr="00AA2FF2">
        <w:rPr>
          <w:iCs/>
          <w:color w:val="000000"/>
          <w:sz w:val="24"/>
          <w:szCs w:val="24"/>
        </w:rPr>
        <w:t xml:space="preserve"> </w:t>
      </w:r>
      <w:r w:rsidR="00C74F0F">
        <w:rPr>
          <w:color w:val="000000"/>
          <w:sz w:val="24"/>
          <w:szCs w:val="24"/>
        </w:rPr>
        <w:t>I</w:t>
      </w:r>
      <w:r w:rsidR="00810980" w:rsidRPr="00425CE9">
        <w:rPr>
          <w:color w:val="000000"/>
          <w:sz w:val="24"/>
          <w:szCs w:val="24"/>
        </w:rPr>
        <w:t>n the ca</w:t>
      </w:r>
      <w:r w:rsidR="00DD2DAB">
        <w:rPr>
          <w:color w:val="000000"/>
          <w:sz w:val="24"/>
          <w:szCs w:val="24"/>
        </w:rPr>
        <w:t>se of the ‘designated buyers’ -</w:t>
      </w:r>
      <w:r w:rsidR="00810980" w:rsidRPr="00425CE9">
        <w:rPr>
          <w:color w:val="000000"/>
          <w:sz w:val="24"/>
          <w:szCs w:val="24"/>
        </w:rPr>
        <w:t xml:space="preserve"> individuals who took part in the drugs transaction and bought on behalf of the group - once a student became known as someone who potentially had access to drugs, they swiftly </w:t>
      </w:r>
      <w:r w:rsidR="00810980" w:rsidRPr="00425CE9">
        <w:rPr>
          <w:i/>
          <w:iCs/>
          <w:color w:val="000000"/>
          <w:sz w:val="24"/>
          <w:szCs w:val="24"/>
        </w:rPr>
        <w:t xml:space="preserve">became </w:t>
      </w:r>
      <w:r w:rsidR="00810980" w:rsidRPr="00425CE9">
        <w:rPr>
          <w:color w:val="000000"/>
          <w:sz w:val="24"/>
          <w:szCs w:val="24"/>
        </w:rPr>
        <w:t>the point of access to drugs (Murphy et al., 1990).</w:t>
      </w:r>
      <w:r w:rsidR="00810980">
        <w:rPr>
          <w:color w:val="000000"/>
          <w:sz w:val="24"/>
          <w:szCs w:val="24"/>
        </w:rPr>
        <w:t xml:space="preserve"> </w:t>
      </w:r>
      <w:r w:rsidR="00C020C5">
        <w:rPr>
          <w:color w:val="000000"/>
          <w:sz w:val="24"/>
          <w:szCs w:val="24"/>
        </w:rPr>
        <w:t>Adding to this,</w:t>
      </w:r>
      <w:r w:rsidR="001538C2" w:rsidRPr="00425CE9">
        <w:rPr>
          <w:color w:val="000000"/>
          <w:sz w:val="24"/>
          <w:szCs w:val="24"/>
        </w:rPr>
        <w:t xml:space="preserve"> the propensity for regular drug users to try and gain the </w:t>
      </w:r>
      <w:r w:rsidR="00C020C5">
        <w:rPr>
          <w:color w:val="000000"/>
          <w:sz w:val="24"/>
          <w:szCs w:val="24"/>
        </w:rPr>
        <w:t>‘</w:t>
      </w:r>
      <w:r w:rsidR="001538C2" w:rsidRPr="00425CE9">
        <w:rPr>
          <w:color w:val="000000"/>
          <w:sz w:val="24"/>
          <w:szCs w:val="24"/>
        </w:rPr>
        <w:t>best deal possible</w:t>
      </w:r>
      <w:r w:rsidR="00C020C5">
        <w:rPr>
          <w:color w:val="000000"/>
          <w:sz w:val="24"/>
          <w:szCs w:val="24"/>
        </w:rPr>
        <w:t>’</w:t>
      </w:r>
      <w:r w:rsidR="00C020C5" w:rsidRPr="00425CE9">
        <w:rPr>
          <w:color w:val="000000"/>
          <w:sz w:val="24"/>
          <w:szCs w:val="24"/>
        </w:rPr>
        <w:t xml:space="preserve"> appeared to be conducive to drift into supply, particularly for cannabis users</w:t>
      </w:r>
      <w:r w:rsidR="00762CD9" w:rsidRPr="00425CE9">
        <w:rPr>
          <w:color w:val="000000"/>
          <w:sz w:val="24"/>
          <w:szCs w:val="24"/>
        </w:rPr>
        <w:t>:</w:t>
      </w:r>
    </w:p>
    <w:p w14:paraId="76EF8148" w14:textId="77777777" w:rsidR="00E152F6" w:rsidRDefault="001538C2" w:rsidP="004B3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720" w:right="567" w:hanging="720"/>
        <w:rPr>
          <w:rFonts w:cs="Arial"/>
          <w:sz w:val="24"/>
          <w:szCs w:val="24"/>
          <w:lang w:eastAsia="en-GB"/>
        </w:rPr>
      </w:pPr>
      <w:r w:rsidRPr="00425CE9">
        <w:rPr>
          <w:color w:val="000000"/>
          <w:sz w:val="24"/>
          <w:szCs w:val="24"/>
        </w:rPr>
        <w:t xml:space="preserve"> </w:t>
      </w:r>
      <w:r w:rsidR="00762CD9" w:rsidRPr="00425CE9">
        <w:rPr>
          <w:color w:val="000000"/>
          <w:sz w:val="24"/>
          <w:szCs w:val="24"/>
        </w:rPr>
        <w:tab/>
      </w:r>
      <w:r w:rsidR="00762CD9" w:rsidRPr="00425CE9">
        <w:rPr>
          <w:rFonts w:cs="Arial"/>
          <w:sz w:val="24"/>
          <w:szCs w:val="24"/>
          <w:lang w:eastAsia="en-GB"/>
        </w:rPr>
        <w:t xml:space="preserve">Do I buy off people or do I... or am I little bit clever about the situation, do I get this do I make money myself, make it for free and then everyone... like I'm not pushing hard drugs, I'm selling small bags of weed it's not even good weed. </w:t>
      </w:r>
    </w:p>
    <w:p w14:paraId="5D3F99A5" w14:textId="77777777" w:rsidR="00FF0472" w:rsidRDefault="00E152F6" w:rsidP="00FB6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720" w:right="567" w:hanging="720"/>
        <w:rPr>
          <w:rFonts w:cs="Arial"/>
          <w:sz w:val="24"/>
          <w:szCs w:val="24"/>
          <w:lang w:eastAsia="en-GB"/>
        </w:rPr>
      </w:pPr>
      <w:r>
        <w:rPr>
          <w:rFonts w:cs="Arial"/>
          <w:sz w:val="24"/>
          <w:szCs w:val="24"/>
          <w:lang w:eastAsia="en-GB"/>
        </w:rPr>
        <w:tab/>
      </w:r>
      <w:r w:rsidR="004B384A">
        <w:rPr>
          <w:rFonts w:cs="Arial"/>
          <w:sz w:val="24"/>
          <w:szCs w:val="24"/>
          <w:lang w:eastAsia="en-GB"/>
        </w:rPr>
        <w:t>Charlie (21</w:t>
      </w:r>
      <w:r w:rsidR="005B0059">
        <w:rPr>
          <w:rFonts w:cs="Arial"/>
          <w:sz w:val="24"/>
          <w:szCs w:val="24"/>
          <w:lang w:eastAsia="en-GB"/>
        </w:rPr>
        <w:t>)</w:t>
      </w:r>
      <w:r w:rsidR="004B384A">
        <w:rPr>
          <w:rFonts w:cs="Arial"/>
          <w:sz w:val="24"/>
          <w:szCs w:val="24"/>
          <w:lang w:eastAsia="en-GB"/>
        </w:rPr>
        <w:t xml:space="preserve"> cannabis user/supplier</w:t>
      </w:r>
      <w:r w:rsidR="005B0059">
        <w:rPr>
          <w:rFonts w:cs="Arial"/>
          <w:sz w:val="24"/>
          <w:szCs w:val="24"/>
          <w:lang w:eastAsia="en-GB"/>
        </w:rPr>
        <w:t xml:space="preserve"> </w:t>
      </w:r>
    </w:p>
    <w:p w14:paraId="6BF63DC2" w14:textId="77777777" w:rsidR="00FB648D" w:rsidRPr="00FB648D" w:rsidRDefault="00FB648D" w:rsidP="00FB6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720" w:right="567" w:hanging="720"/>
        <w:rPr>
          <w:rFonts w:cs="Arial"/>
          <w:sz w:val="24"/>
          <w:szCs w:val="24"/>
          <w:lang w:eastAsia="en-GB"/>
        </w:rPr>
      </w:pPr>
    </w:p>
    <w:p w14:paraId="60AC2E1D" w14:textId="22C9BB8C" w:rsidR="00484C4D" w:rsidRPr="00425CE9" w:rsidRDefault="00F77AAD" w:rsidP="00484C4D">
      <w:pPr>
        <w:ind w:right="-45"/>
        <w:rPr>
          <w:color w:val="000000"/>
          <w:sz w:val="24"/>
          <w:szCs w:val="24"/>
        </w:rPr>
      </w:pPr>
      <w:r w:rsidRPr="00425CE9">
        <w:rPr>
          <w:color w:val="000000"/>
          <w:sz w:val="24"/>
          <w:szCs w:val="24"/>
        </w:rPr>
        <w:t>With an awareness of how the costs of smoking cannabis on a regular basis could mount up, getting drugs for free, through ‘sorting’ mates o</w:t>
      </w:r>
      <w:r w:rsidR="005A76A1">
        <w:rPr>
          <w:color w:val="000000"/>
          <w:sz w:val="24"/>
          <w:szCs w:val="24"/>
        </w:rPr>
        <w:t>ut, enabled university students</w:t>
      </w:r>
      <w:r w:rsidRPr="00425CE9">
        <w:rPr>
          <w:color w:val="000000"/>
          <w:sz w:val="24"/>
          <w:szCs w:val="24"/>
        </w:rPr>
        <w:t xml:space="preserve"> to continue smoking without a sense of guilt regarding the accumulated costs </w:t>
      </w:r>
      <w:r w:rsidR="00C020C5">
        <w:rPr>
          <w:color w:val="000000"/>
          <w:sz w:val="24"/>
          <w:szCs w:val="24"/>
        </w:rPr>
        <w:t xml:space="preserve">spent </w:t>
      </w:r>
      <w:r w:rsidRPr="00425CE9">
        <w:rPr>
          <w:color w:val="000000"/>
          <w:sz w:val="24"/>
          <w:szCs w:val="24"/>
        </w:rPr>
        <w:t xml:space="preserve">on the drug. </w:t>
      </w:r>
      <w:r w:rsidR="00EB7F96" w:rsidRPr="00425CE9">
        <w:rPr>
          <w:color w:val="000000"/>
          <w:sz w:val="24"/>
          <w:szCs w:val="24"/>
        </w:rPr>
        <w:t>Student c</w:t>
      </w:r>
      <w:r w:rsidR="000B749E" w:rsidRPr="00425CE9">
        <w:rPr>
          <w:color w:val="000000"/>
          <w:sz w:val="24"/>
          <w:szCs w:val="24"/>
        </w:rPr>
        <w:t>annabis users</w:t>
      </w:r>
      <w:r w:rsidRPr="00425CE9">
        <w:rPr>
          <w:color w:val="000000"/>
          <w:sz w:val="24"/>
          <w:szCs w:val="24"/>
        </w:rPr>
        <w:t xml:space="preserve"> therefore</w:t>
      </w:r>
      <w:r w:rsidR="001538C2" w:rsidRPr="00425CE9">
        <w:rPr>
          <w:color w:val="000000"/>
          <w:sz w:val="24"/>
          <w:szCs w:val="24"/>
        </w:rPr>
        <w:t xml:space="preserve"> </w:t>
      </w:r>
      <w:r w:rsidR="00F4683D" w:rsidRPr="00425CE9">
        <w:rPr>
          <w:color w:val="000000"/>
          <w:sz w:val="24"/>
          <w:szCs w:val="24"/>
        </w:rPr>
        <w:t xml:space="preserve">often </w:t>
      </w:r>
      <w:r w:rsidR="001538C2" w:rsidRPr="00425CE9">
        <w:rPr>
          <w:color w:val="000000"/>
          <w:sz w:val="24"/>
          <w:szCs w:val="24"/>
        </w:rPr>
        <w:t xml:space="preserve">drifted into supply as a consequence of buying large quantities of drugs, rather than choosing to buy for supply purposes. In this sense, supply can usefully be conceived as a </w:t>
      </w:r>
      <w:r w:rsidR="001538C2" w:rsidRPr="00425CE9">
        <w:rPr>
          <w:i/>
          <w:iCs/>
          <w:color w:val="000000"/>
          <w:sz w:val="24"/>
          <w:szCs w:val="24"/>
        </w:rPr>
        <w:t xml:space="preserve">consequence </w:t>
      </w:r>
      <w:r w:rsidR="001538C2" w:rsidRPr="00425CE9">
        <w:rPr>
          <w:i/>
          <w:iCs/>
          <w:color w:val="000000"/>
          <w:sz w:val="24"/>
          <w:szCs w:val="24"/>
        </w:rPr>
        <w:lastRenderedPageBreak/>
        <w:t xml:space="preserve">of the </w:t>
      </w:r>
      <w:r w:rsidR="00BA38BA">
        <w:rPr>
          <w:i/>
          <w:iCs/>
          <w:color w:val="000000"/>
          <w:sz w:val="24"/>
          <w:szCs w:val="24"/>
        </w:rPr>
        <w:t>purchase</w:t>
      </w:r>
      <w:r w:rsidR="001538C2" w:rsidRPr="00425CE9">
        <w:rPr>
          <w:i/>
          <w:iCs/>
          <w:color w:val="000000"/>
          <w:sz w:val="24"/>
          <w:szCs w:val="24"/>
        </w:rPr>
        <w:t>, rather than the motivating intention</w:t>
      </w:r>
      <w:r w:rsidR="001538C2" w:rsidRPr="00425CE9">
        <w:rPr>
          <w:color w:val="000000"/>
          <w:sz w:val="24"/>
          <w:szCs w:val="24"/>
        </w:rPr>
        <w:t xml:space="preserve">. </w:t>
      </w:r>
      <w:r w:rsidR="00EF41FD" w:rsidRPr="005B7BE9">
        <w:rPr>
          <w:color w:val="000000"/>
          <w:sz w:val="24"/>
          <w:szCs w:val="24"/>
        </w:rPr>
        <w:t>The</w:t>
      </w:r>
      <w:r w:rsidR="00B21ED8" w:rsidRPr="005B7BE9">
        <w:rPr>
          <w:color w:val="000000"/>
          <w:sz w:val="24"/>
          <w:szCs w:val="24"/>
        </w:rPr>
        <w:t xml:space="preserve"> idea of drifting into supply by virtue of strategies involved in trying to access a criminalised substance (Murphy et al., 1990) wa</w:t>
      </w:r>
      <w:r w:rsidR="00265307" w:rsidRPr="005B7BE9">
        <w:rPr>
          <w:color w:val="000000"/>
          <w:sz w:val="24"/>
          <w:szCs w:val="24"/>
        </w:rPr>
        <w:t>s also preva</w:t>
      </w:r>
      <w:r w:rsidR="00B13620" w:rsidRPr="005B7BE9">
        <w:rPr>
          <w:color w:val="000000"/>
          <w:sz w:val="24"/>
          <w:szCs w:val="24"/>
        </w:rPr>
        <w:t>lent for psychoactive drug users</w:t>
      </w:r>
      <w:r w:rsidR="00265307" w:rsidRPr="005B7BE9">
        <w:rPr>
          <w:color w:val="000000"/>
          <w:sz w:val="24"/>
          <w:szCs w:val="24"/>
        </w:rPr>
        <w:t xml:space="preserve">. </w:t>
      </w:r>
      <w:r w:rsidR="001538C2" w:rsidRPr="005B7BE9">
        <w:rPr>
          <w:color w:val="000000"/>
          <w:sz w:val="24"/>
          <w:szCs w:val="24"/>
        </w:rPr>
        <w:t>For</w:t>
      </w:r>
      <w:r w:rsidR="00265307" w:rsidRPr="005B7BE9">
        <w:rPr>
          <w:color w:val="000000"/>
          <w:sz w:val="24"/>
          <w:szCs w:val="24"/>
        </w:rPr>
        <w:t xml:space="preserve"> students </w:t>
      </w:r>
      <w:r w:rsidR="003A10A7" w:rsidRPr="005B7BE9">
        <w:rPr>
          <w:color w:val="000000"/>
          <w:sz w:val="24"/>
          <w:szCs w:val="24"/>
        </w:rPr>
        <w:t>who used, cocaine, MDMA and ketamine</w:t>
      </w:r>
      <w:r w:rsidR="001538C2" w:rsidRPr="005B7BE9">
        <w:rPr>
          <w:color w:val="000000"/>
          <w:sz w:val="24"/>
          <w:szCs w:val="24"/>
        </w:rPr>
        <w:t>, it was commonly noted that comm</w:t>
      </w:r>
      <w:r w:rsidR="003A10A7" w:rsidRPr="005B7BE9">
        <w:rPr>
          <w:color w:val="000000"/>
          <w:sz w:val="24"/>
          <w:szCs w:val="24"/>
        </w:rPr>
        <w:t>ercial dealers would only sell</w:t>
      </w:r>
      <w:r w:rsidR="001538C2" w:rsidRPr="005B7BE9">
        <w:rPr>
          <w:color w:val="000000"/>
          <w:sz w:val="24"/>
          <w:szCs w:val="24"/>
        </w:rPr>
        <w:t xml:space="preserve"> in ‘larger quantities’ (i.e. 3.5g or mor</w:t>
      </w:r>
      <w:r w:rsidR="007F2649">
        <w:rPr>
          <w:color w:val="000000"/>
          <w:sz w:val="24"/>
          <w:szCs w:val="24"/>
        </w:rPr>
        <w:t>e). Therefore,</w:t>
      </w:r>
      <w:r w:rsidR="001E1CEA" w:rsidRPr="005B7BE9">
        <w:rPr>
          <w:color w:val="000000"/>
          <w:sz w:val="24"/>
          <w:szCs w:val="24"/>
        </w:rPr>
        <w:t xml:space="preserve"> it </w:t>
      </w:r>
      <w:r w:rsidR="005A76A1" w:rsidRPr="005B7BE9">
        <w:rPr>
          <w:color w:val="000000"/>
          <w:sz w:val="24"/>
          <w:szCs w:val="24"/>
        </w:rPr>
        <w:t>was only ‘logical</w:t>
      </w:r>
      <w:r w:rsidR="001E1CEA" w:rsidRPr="005B7BE9">
        <w:rPr>
          <w:color w:val="000000"/>
          <w:sz w:val="24"/>
          <w:szCs w:val="24"/>
        </w:rPr>
        <w:t>’</w:t>
      </w:r>
      <w:r w:rsidR="001538C2" w:rsidRPr="005B7BE9">
        <w:rPr>
          <w:color w:val="000000"/>
          <w:sz w:val="24"/>
          <w:szCs w:val="24"/>
        </w:rPr>
        <w:t xml:space="preserve"> to</w:t>
      </w:r>
      <w:r w:rsidR="00DC5E9D" w:rsidRPr="005B7BE9">
        <w:rPr>
          <w:color w:val="000000"/>
          <w:sz w:val="24"/>
          <w:szCs w:val="24"/>
        </w:rPr>
        <w:t xml:space="preserve"> buy on behalf of friends who also wanted to access that drug, as it was deemed too expensive and ‘risky’ to keep </w:t>
      </w:r>
      <w:r w:rsidR="00FB77B3">
        <w:rPr>
          <w:color w:val="000000"/>
          <w:sz w:val="24"/>
          <w:szCs w:val="24"/>
        </w:rPr>
        <w:t xml:space="preserve">all the </w:t>
      </w:r>
      <w:r w:rsidR="00DC5E9D" w:rsidRPr="005B7BE9">
        <w:rPr>
          <w:color w:val="000000"/>
          <w:sz w:val="24"/>
          <w:szCs w:val="24"/>
        </w:rPr>
        <w:t>dr</w:t>
      </w:r>
      <w:r w:rsidR="00B13620" w:rsidRPr="005B7BE9">
        <w:rPr>
          <w:color w:val="000000"/>
          <w:sz w:val="24"/>
          <w:szCs w:val="24"/>
        </w:rPr>
        <w:t>ugs for the</w:t>
      </w:r>
      <w:r w:rsidR="00FB77B3">
        <w:rPr>
          <w:color w:val="000000"/>
          <w:sz w:val="24"/>
          <w:szCs w:val="24"/>
        </w:rPr>
        <w:t>mselves</w:t>
      </w:r>
      <w:r w:rsidR="001538C2" w:rsidRPr="005B7BE9">
        <w:rPr>
          <w:color w:val="000000"/>
          <w:sz w:val="24"/>
          <w:szCs w:val="24"/>
        </w:rPr>
        <w:t>.</w:t>
      </w:r>
      <w:r w:rsidR="00484C4D">
        <w:rPr>
          <w:color w:val="000000"/>
          <w:sz w:val="24"/>
          <w:szCs w:val="24"/>
        </w:rPr>
        <w:t xml:space="preserve"> </w:t>
      </w:r>
      <w:r w:rsidR="005A76A1">
        <w:rPr>
          <w:color w:val="000000"/>
          <w:sz w:val="24"/>
          <w:szCs w:val="24"/>
        </w:rPr>
        <w:t>Alternatively, m</w:t>
      </w:r>
      <w:r w:rsidR="005E4A9E">
        <w:rPr>
          <w:color w:val="000000"/>
          <w:sz w:val="24"/>
          <w:szCs w:val="24"/>
        </w:rPr>
        <w:t xml:space="preserve">uch like the </w:t>
      </w:r>
      <w:r w:rsidR="00E56C38">
        <w:rPr>
          <w:color w:val="000000"/>
          <w:sz w:val="24"/>
          <w:szCs w:val="24"/>
        </w:rPr>
        <w:t xml:space="preserve">suburban college </w:t>
      </w:r>
      <w:r w:rsidR="005E4A9E">
        <w:rPr>
          <w:color w:val="000000"/>
          <w:sz w:val="24"/>
          <w:szCs w:val="24"/>
        </w:rPr>
        <w:t>dealers studied by Jacques and Wright</w:t>
      </w:r>
      <w:r w:rsidR="0042733B">
        <w:rPr>
          <w:color w:val="000000"/>
          <w:sz w:val="24"/>
          <w:szCs w:val="24"/>
        </w:rPr>
        <w:t xml:space="preserve"> (2015</w:t>
      </w:r>
      <w:r w:rsidR="005A76A1">
        <w:rPr>
          <w:color w:val="000000"/>
          <w:sz w:val="24"/>
          <w:szCs w:val="24"/>
        </w:rPr>
        <w:t>)</w:t>
      </w:r>
      <w:r w:rsidR="005E4A9E">
        <w:rPr>
          <w:color w:val="000000"/>
          <w:sz w:val="24"/>
          <w:szCs w:val="24"/>
        </w:rPr>
        <w:t xml:space="preserve">, </w:t>
      </w:r>
      <w:r w:rsidR="00484C4D" w:rsidRPr="00425CE9">
        <w:rPr>
          <w:color w:val="000000"/>
          <w:sz w:val="24"/>
          <w:szCs w:val="24"/>
        </w:rPr>
        <w:t>getting free drugs was</w:t>
      </w:r>
      <w:r w:rsidR="00E56C38">
        <w:rPr>
          <w:color w:val="000000"/>
          <w:sz w:val="24"/>
          <w:szCs w:val="24"/>
        </w:rPr>
        <w:t xml:space="preserve"> a strong motivation for undertaking the risky </w:t>
      </w:r>
      <w:r w:rsidR="00484C4D" w:rsidRPr="00425CE9">
        <w:rPr>
          <w:color w:val="000000"/>
          <w:sz w:val="24"/>
          <w:szCs w:val="24"/>
        </w:rPr>
        <w:t>of sourcing and collecting Class A drugs for friends</w:t>
      </w:r>
      <w:r w:rsidR="00E56C38">
        <w:rPr>
          <w:color w:val="000000"/>
          <w:sz w:val="24"/>
          <w:szCs w:val="24"/>
        </w:rPr>
        <w:t>,</w:t>
      </w:r>
      <w:r w:rsidR="00484C4D" w:rsidRPr="00425CE9">
        <w:rPr>
          <w:color w:val="000000"/>
          <w:sz w:val="24"/>
          <w:szCs w:val="24"/>
        </w:rPr>
        <w:t xml:space="preserve"> and was also viewed as a </w:t>
      </w:r>
      <w:r w:rsidR="00E56C38">
        <w:rPr>
          <w:color w:val="000000"/>
          <w:sz w:val="24"/>
          <w:szCs w:val="24"/>
        </w:rPr>
        <w:t xml:space="preserve">good </w:t>
      </w:r>
      <w:r w:rsidR="00484C4D" w:rsidRPr="00425CE9">
        <w:rPr>
          <w:color w:val="000000"/>
          <w:sz w:val="24"/>
          <w:szCs w:val="24"/>
        </w:rPr>
        <w:t>way of financing a night out</w:t>
      </w:r>
      <w:r w:rsidR="00E56C38">
        <w:rPr>
          <w:color w:val="000000"/>
          <w:sz w:val="24"/>
          <w:szCs w:val="24"/>
        </w:rPr>
        <w:t xml:space="preserve"> as a student</w:t>
      </w:r>
      <w:r w:rsidR="00484C4D" w:rsidRPr="00425CE9">
        <w:rPr>
          <w:color w:val="000000"/>
          <w:sz w:val="24"/>
          <w:szCs w:val="24"/>
        </w:rPr>
        <w:t xml:space="preserve">: </w:t>
      </w:r>
    </w:p>
    <w:p w14:paraId="48720B71" w14:textId="77777777" w:rsidR="00540EB6" w:rsidRDefault="00484C4D" w:rsidP="00E56C38">
      <w:pPr>
        <w:spacing w:line="240" w:lineRule="auto"/>
        <w:ind w:left="567" w:right="567"/>
        <w:rPr>
          <w:color w:val="000000"/>
          <w:sz w:val="24"/>
          <w:szCs w:val="24"/>
        </w:rPr>
      </w:pPr>
      <w:r w:rsidRPr="00425CE9">
        <w:rPr>
          <w:color w:val="000000"/>
          <w:sz w:val="24"/>
          <w:szCs w:val="24"/>
        </w:rPr>
        <w:t>Something I drifted into to be honest, if someone asks you to help them out, you help them out don’t you? I kind of didn’t realise early on that if you’re getting some pills for a pound and selling them for a pound fifty, which people are more than happy to pay, then y</w:t>
      </w:r>
      <w:r w:rsidR="008C1F9B">
        <w:rPr>
          <w:color w:val="000000"/>
          <w:sz w:val="24"/>
          <w:szCs w:val="24"/>
        </w:rPr>
        <w:t>ou can get your stuff for free…I</w:t>
      </w:r>
      <w:r w:rsidRPr="00425CE9">
        <w:rPr>
          <w:color w:val="000000"/>
          <w:sz w:val="24"/>
          <w:szCs w:val="24"/>
        </w:rPr>
        <w:t>t was just enough to have free nights because obviously nobody’s got too much money when they’re in their second and third year</w:t>
      </w:r>
      <w:r w:rsidR="00E56C38">
        <w:rPr>
          <w:color w:val="000000"/>
          <w:sz w:val="24"/>
          <w:szCs w:val="24"/>
        </w:rPr>
        <w:t>…</w:t>
      </w:r>
      <w:r w:rsidRPr="00425CE9">
        <w:rPr>
          <w:color w:val="000000"/>
          <w:sz w:val="24"/>
          <w:szCs w:val="24"/>
        </w:rPr>
        <w:t xml:space="preserve"> </w:t>
      </w:r>
    </w:p>
    <w:p w14:paraId="5A2DC005" w14:textId="77777777" w:rsidR="008C1F9B" w:rsidRDefault="008C1F9B" w:rsidP="00730B7D">
      <w:pPr>
        <w:spacing w:line="240" w:lineRule="auto"/>
        <w:ind w:left="567" w:right="567"/>
        <w:outlineLvl w:val="0"/>
        <w:rPr>
          <w:color w:val="000000"/>
          <w:sz w:val="24"/>
          <w:szCs w:val="24"/>
        </w:rPr>
      </w:pPr>
      <w:r>
        <w:rPr>
          <w:color w:val="000000"/>
          <w:sz w:val="24"/>
          <w:szCs w:val="24"/>
        </w:rPr>
        <w:t>Josh (21)</w:t>
      </w:r>
      <w:r w:rsidR="00D643D9">
        <w:rPr>
          <w:color w:val="000000"/>
          <w:sz w:val="24"/>
          <w:szCs w:val="24"/>
        </w:rPr>
        <w:t>, MDMA and cannabis user/supplier</w:t>
      </w:r>
      <w:r>
        <w:rPr>
          <w:color w:val="000000"/>
          <w:sz w:val="24"/>
          <w:szCs w:val="24"/>
        </w:rPr>
        <w:t xml:space="preserve"> </w:t>
      </w:r>
    </w:p>
    <w:p w14:paraId="282C7515" w14:textId="6EE8571F" w:rsidR="004A25A8" w:rsidRPr="00425CE9" w:rsidRDefault="001538C2" w:rsidP="00DC5E9D">
      <w:pPr>
        <w:ind w:right="-45"/>
        <w:rPr>
          <w:color w:val="000000"/>
          <w:sz w:val="24"/>
          <w:szCs w:val="24"/>
        </w:rPr>
      </w:pPr>
      <w:r w:rsidRPr="00425CE9">
        <w:rPr>
          <w:color w:val="000000"/>
          <w:sz w:val="24"/>
          <w:szCs w:val="24"/>
        </w:rPr>
        <w:t>Significantly, supporting the findings of Murphy et al. (1990; 2004), the d</w:t>
      </w:r>
      <w:r w:rsidR="003E0BD8" w:rsidRPr="00425CE9">
        <w:rPr>
          <w:color w:val="000000"/>
          <w:sz w:val="24"/>
          <w:szCs w:val="24"/>
        </w:rPr>
        <w:t xml:space="preserve">ata suggests that because student </w:t>
      </w:r>
      <w:r w:rsidRPr="00425CE9">
        <w:rPr>
          <w:color w:val="000000"/>
          <w:sz w:val="24"/>
          <w:szCs w:val="24"/>
        </w:rPr>
        <w:t xml:space="preserve">use and distribution of recreational drugs was so established and </w:t>
      </w:r>
      <w:r w:rsidR="00FE5A06">
        <w:rPr>
          <w:color w:val="000000"/>
          <w:sz w:val="24"/>
          <w:szCs w:val="24"/>
        </w:rPr>
        <w:t>normalised (Parker et al., 1998</w:t>
      </w:r>
      <w:r w:rsidRPr="00425CE9">
        <w:rPr>
          <w:color w:val="000000"/>
          <w:sz w:val="24"/>
          <w:szCs w:val="24"/>
        </w:rPr>
        <w:t>; Aldridge et al., 2011)</w:t>
      </w:r>
      <w:r w:rsidR="00A30075" w:rsidRPr="00425CE9">
        <w:rPr>
          <w:color w:val="000000"/>
          <w:sz w:val="24"/>
          <w:szCs w:val="24"/>
        </w:rPr>
        <w:t xml:space="preserve"> for cannabis </w:t>
      </w:r>
      <w:r w:rsidR="00A30075" w:rsidRPr="00425CE9">
        <w:rPr>
          <w:i/>
          <w:iCs/>
          <w:color w:val="000000"/>
          <w:sz w:val="24"/>
          <w:szCs w:val="24"/>
        </w:rPr>
        <w:t>and</w:t>
      </w:r>
      <w:r w:rsidR="00A30075" w:rsidRPr="00425CE9">
        <w:rPr>
          <w:color w:val="000000"/>
          <w:sz w:val="24"/>
          <w:szCs w:val="24"/>
        </w:rPr>
        <w:t xml:space="preserve"> psychoactive substances</w:t>
      </w:r>
      <w:r w:rsidR="00F77AAD" w:rsidRPr="00425CE9">
        <w:rPr>
          <w:color w:val="000000"/>
          <w:sz w:val="24"/>
          <w:szCs w:val="24"/>
        </w:rPr>
        <w:t>, students</w:t>
      </w:r>
      <w:r w:rsidRPr="00425CE9">
        <w:rPr>
          <w:color w:val="000000"/>
          <w:sz w:val="24"/>
          <w:szCs w:val="24"/>
        </w:rPr>
        <w:t xml:space="preserve"> found it hard to define at</w:t>
      </w:r>
      <w:r w:rsidR="00A813F6" w:rsidRPr="00425CE9">
        <w:rPr>
          <w:color w:val="000000"/>
          <w:sz w:val="24"/>
          <w:szCs w:val="24"/>
        </w:rPr>
        <w:t xml:space="preserve"> what p</w:t>
      </w:r>
      <w:r w:rsidR="005E4A9E">
        <w:rPr>
          <w:color w:val="000000"/>
          <w:sz w:val="24"/>
          <w:szCs w:val="24"/>
        </w:rPr>
        <w:t>oint they began to supply and in</w:t>
      </w:r>
      <w:r w:rsidR="00A813F6" w:rsidRPr="00425CE9">
        <w:rPr>
          <w:color w:val="000000"/>
          <w:sz w:val="24"/>
          <w:szCs w:val="24"/>
        </w:rPr>
        <w:t xml:space="preserve"> this </w:t>
      </w:r>
      <w:r w:rsidR="00705920" w:rsidRPr="00425CE9">
        <w:rPr>
          <w:color w:val="000000"/>
          <w:sz w:val="24"/>
          <w:szCs w:val="24"/>
        </w:rPr>
        <w:t>respect,</w:t>
      </w:r>
      <w:r w:rsidR="00A813F6" w:rsidRPr="00425CE9">
        <w:rPr>
          <w:color w:val="000000"/>
          <w:sz w:val="24"/>
          <w:szCs w:val="24"/>
        </w:rPr>
        <w:t xml:space="preserve"> moves from use to supply were not </w:t>
      </w:r>
      <w:r w:rsidR="00FD0DC0" w:rsidRPr="00425CE9">
        <w:rPr>
          <w:color w:val="000000"/>
          <w:sz w:val="24"/>
          <w:szCs w:val="24"/>
        </w:rPr>
        <w:t xml:space="preserve">conceived as conscious decisions: </w:t>
      </w:r>
    </w:p>
    <w:p w14:paraId="4C94645F" w14:textId="55FE4DD1" w:rsidR="00F06FC8" w:rsidRDefault="004A25A8" w:rsidP="00FD0DC0">
      <w:pPr>
        <w:spacing w:line="240" w:lineRule="auto"/>
        <w:ind w:left="567" w:right="567"/>
        <w:rPr>
          <w:color w:val="000000"/>
          <w:sz w:val="24"/>
          <w:szCs w:val="24"/>
        </w:rPr>
      </w:pPr>
      <w:r w:rsidRPr="00425CE9">
        <w:rPr>
          <w:color w:val="000000"/>
          <w:sz w:val="24"/>
          <w:szCs w:val="24"/>
        </w:rPr>
        <w:t xml:space="preserve">I was student and I was skint, simple as that…I spent all of my student loan on a nice hi-fi and I needed to make some money (laughs). It was financial, I could get it and there was a guy on my course who was dealing and yeah, I was the link to him basically. It wasn’t the fact that I actually went ‘oh I can make some money of this’ and then did it…it was kind of like, I did it and then I realised I could make a profit out of it, if that makes sense? </w:t>
      </w:r>
    </w:p>
    <w:p w14:paraId="73DB5DC3" w14:textId="77777777" w:rsidR="004A25A8" w:rsidRPr="00425CE9" w:rsidRDefault="00AC2609" w:rsidP="00730B7D">
      <w:pPr>
        <w:spacing w:line="240" w:lineRule="auto"/>
        <w:ind w:left="567" w:right="567"/>
        <w:outlineLvl w:val="0"/>
        <w:rPr>
          <w:color w:val="000000"/>
          <w:sz w:val="24"/>
          <w:szCs w:val="24"/>
        </w:rPr>
      </w:pPr>
      <w:r>
        <w:rPr>
          <w:color w:val="000000"/>
          <w:sz w:val="24"/>
          <w:szCs w:val="24"/>
        </w:rPr>
        <w:t>Khalid</w:t>
      </w:r>
      <w:r w:rsidR="00F06FC8">
        <w:rPr>
          <w:color w:val="000000"/>
          <w:sz w:val="24"/>
          <w:szCs w:val="24"/>
        </w:rPr>
        <w:t xml:space="preserve"> (19)</w:t>
      </w:r>
      <w:r w:rsidR="00D643D9">
        <w:rPr>
          <w:color w:val="000000"/>
          <w:sz w:val="24"/>
          <w:szCs w:val="24"/>
        </w:rPr>
        <w:t xml:space="preserve"> cannabis user/supplier</w:t>
      </w:r>
      <w:r w:rsidR="00F06FC8">
        <w:rPr>
          <w:color w:val="000000"/>
          <w:sz w:val="24"/>
          <w:szCs w:val="24"/>
        </w:rPr>
        <w:t xml:space="preserve"> </w:t>
      </w:r>
    </w:p>
    <w:p w14:paraId="1D5C21FD" w14:textId="51E357F6" w:rsidR="00AA2FF2" w:rsidRPr="00DC3A8F" w:rsidRDefault="00F77AAD" w:rsidP="00DC3A8F">
      <w:pPr>
        <w:ind w:right="-45"/>
        <w:rPr>
          <w:color w:val="000000"/>
          <w:sz w:val="24"/>
          <w:szCs w:val="24"/>
        </w:rPr>
      </w:pPr>
      <w:r w:rsidRPr="00425CE9">
        <w:rPr>
          <w:color w:val="000000"/>
          <w:sz w:val="24"/>
          <w:szCs w:val="24"/>
        </w:rPr>
        <w:t>This theme was particularly widespread within the sample, and again provides a strong indication that drift may feature in the transition from user to social supplier of drugs.</w:t>
      </w:r>
      <w:r w:rsidR="00AA2FF2" w:rsidRPr="00AA2FF2">
        <w:rPr>
          <w:color w:val="000000"/>
          <w:sz w:val="24"/>
          <w:szCs w:val="24"/>
        </w:rPr>
        <w:t xml:space="preserve"> </w:t>
      </w:r>
      <w:r w:rsidR="00AA2FF2">
        <w:rPr>
          <w:color w:val="000000"/>
          <w:sz w:val="24"/>
          <w:szCs w:val="24"/>
        </w:rPr>
        <w:t xml:space="preserve">While notions of drift have wider relevance for understanding moves from drug use into social supply (Murphy et al., 2004; Taylor and Potter, 2013), </w:t>
      </w:r>
      <w:r w:rsidR="00AA2FF2" w:rsidRPr="00B21958">
        <w:rPr>
          <w:color w:val="000000"/>
          <w:sz w:val="24"/>
          <w:szCs w:val="24"/>
        </w:rPr>
        <w:t xml:space="preserve">for our </w:t>
      </w:r>
      <w:r w:rsidR="00AA2FF2" w:rsidRPr="00B21958">
        <w:rPr>
          <w:color w:val="000000"/>
          <w:sz w:val="24"/>
          <w:szCs w:val="24"/>
        </w:rPr>
        <w:lastRenderedPageBreak/>
        <w:t xml:space="preserve">respondents, identifying as ‘skint students’ in a context built around </w:t>
      </w:r>
      <w:r w:rsidR="00B21958" w:rsidRPr="00B21958">
        <w:rPr>
          <w:color w:val="000000"/>
          <w:sz w:val="24"/>
          <w:szCs w:val="24"/>
        </w:rPr>
        <w:t>subterranean</w:t>
      </w:r>
      <w:r w:rsidR="00AA2FF2" w:rsidRPr="00B21958">
        <w:rPr>
          <w:color w:val="000000"/>
          <w:sz w:val="24"/>
          <w:szCs w:val="24"/>
        </w:rPr>
        <w:t xml:space="preserve"> play (Young 1971) further necessitated</w:t>
      </w:r>
      <w:r w:rsidR="00AA2FF2">
        <w:rPr>
          <w:color w:val="000000"/>
          <w:sz w:val="24"/>
          <w:szCs w:val="24"/>
        </w:rPr>
        <w:t xml:space="preserve"> money saving strategies that would make personal drug use possible. </w:t>
      </w:r>
      <w:r w:rsidRPr="00425CE9">
        <w:rPr>
          <w:color w:val="000000"/>
          <w:sz w:val="24"/>
          <w:szCs w:val="24"/>
        </w:rPr>
        <w:t xml:space="preserve">The </w:t>
      </w:r>
      <w:r w:rsidR="00E40049" w:rsidRPr="00425CE9">
        <w:rPr>
          <w:color w:val="000000"/>
          <w:sz w:val="24"/>
          <w:szCs w:val="24"/>
        </w:rPr>
        <w:t>central</w:t>
      </w:r>
      <w:r w:rsidR="00FF0472">
        <w:rPr>
          <w:color w:val="000000"/>
          <w:sz w:val="24"/>
          <w:szCs w:val="24"/>
        </w:rPr>
        <w:t xml:space="preserve"> point here is that </w:t>
      </w:r>
      <w:r w:rsidRPr="00425CE9">
        <w:rPr>
          <w:color w:val="000000"/>
          <w:sz w:val="24"/>
          <w:szCs w:val="24"/>
        </w:rPr>
        <w:t xml:space="preserve">involvement in social supply </w:t>
      </w:r>
      <w:r w:rsidR="00AA2FF2">
        <w:rPr>
          <w:color w:val="000000"/>
          <w:sz w:val="24"/>
          <w:szCs w:val="24"/>
        </w:rPr>
        <w:t xml:space="preserve">as means of gaining free or ‘cheap drugs’ </w:t>
      </w:r>
      <w:r w:rsidRPr="00425CE9">
        <w:rPr>
          <w:color w:val="000000"/>
          <w:sz w:val="24"/>
          <w:szCs w:val="24"/>
        </w:rPr>
        <w:t xml:space="preserve">was not </w:t>
      </w:r>
      <w:r w:rsidRPr="00425CE9">
        <w:rPr>
          <w:i/>
          <w:iCs/>
          <w:color w:val="000000"/>
          <w:sz w:val="24"/>
          <w:szCs w:val="24"/>
        </w:rPr>
        <w:t xml:space="preserve">considered ‘a major leap down an unknown road’ </w:t>
      </w:r>
      <w:r w:rsidRPr="00425CE9">
        <w:rPr>
          <w:color w:val="000000"/>
          <w:sz w:val="24"/>
          <w:szCs w:val="24"/>
        </w:rPr>
        <w:t>but rather, represented ‘a series of short</w:t>
      </w:r>
      <w:r w:rsidR="00E40049">
        <w:rPr>
          <w:color w:val="000000"/>
          <w:sz w:val="24"/>
          <w:szCs w:val="24"/>
        </w:rPr>
        <w:t xml:space="preserve"> steps down a familiar path’ (our</w:t>
      </w:r>
      <w:r w:rsidR="000C74FE">
        <w:rPr>
          <w:color w:val="000000"/>
          <w:sz w:val="24"/>
          <w:szCs w:val="24"/>
        </w:rPr>
        <w:t xml:space="preserve"> emphasis</w:t>
      </w:r>
      <w:r w:rsidR="00FF0472">
        <w:rPr>
          <w:color w:val="000000"/>
          <w:sz w:val="24"/>
          <w:szCs w:val="24"/>
        </w:rPr>
        <w:t>,</w:t>
      </w:r>
      <w:r w:rsidR="000C74FE">
        <w:rPr>
          <w:color w:val="000000"/>
          <w:sz w:val="24"/>
          <w:szCs w:val="24"/>
        </w:rPr>
        <w:t xml:space="preserve"> </w:t>
      </w:r>
      <w:r w:rsidR="000E09A0">
        <w:rPr>
          <w:color w:val="000000"/>
          <w:sz w:val="24"/>
          <w:szCs w:val="24"/>
        </w:rPr>
        <w:t xml:space="preserve">Murphy et al. </w:t>
      </w:r>
      <w:r w:rsidR="00FF0472">
        <w:rPr>
          <w:color w:val="000000"/>
          <w:sz w:val="24"/>
          <w:szCs w:val="24"/>
        </w:rPr>
        <w:t xml:space="preserve">1990: </w:t>
      </w:r>
      <w:r w:rsidRPr="00425CE9">
        <w:rPr>
          <w:color w:val="000000"/>
          <w:sz w:val="24"/>
          <w:szCs w:val="24"/>
        </w:rPr>
        <w:t>325).</w:t>
      </w:r>
      <w:r w:rsidR="00A01A16">
        <w:rPr>
          <w:color w:val="000000"/>
          <w:sz w:val="24"/>
          <w:szCs w:val="24"/>
        </w:rPr>
        <w:t xml:space="preserve"> </w:t>
      </w:r>
    </w:p>
    <w:p w14:paraId="20024149" w14:textId="77777777" w:rsidR="00374103" w:rsidRDefault="00A12305" w:rsidP="00730B7D">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right="567"/>
        <w:jc w:val="left"/>
        <w:outlineLvl w:val="0"/>
        <w:rPr>
          <w:rFonts w:cs="Arial"/>
          <w:b/>
          <w:bCs/>
          <w:sz w:val="24"/>
          <w:szCs w:val="24"/>
          <w:lang w:eastAsia="en-GB"/>
        </w:rPr>
      </w:pPr>
      <w:r w:rsidRPr="00425CE9">
        <w:rPr>
          <w:rFonts w:cs="Arial"/>
          <w:b/>
          <w:bCs/>
          <w:sz w:val="24"/>
          <w:szCs w:val="24"/>
          <w:lang w:eastAsia="en-GB"/>
        </w:rPr>
        <w:t>Discussion</w:t>
      </w:r>
    </w:p>
    <w:p w14:paraId="118F524F" w14:textId="77777777" w:rsidR="00374103" w:rsidRPr="00425CE9" w:rsidRDefault="00374103" w:rsidP="00AB2942">
      <w:pPr>
        <w:tabs>
          <w:tab w:val="left" w:pos="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right="567"/>
        <w:rPr>
          <w:rFonts w:cs="Arial"/>
          <w:sz w:val="24"/>
          <w:szCs w:val="24"/>
          <w:lang w:eastAsia="en-GB"/>
        </w:rPr>
      </w:pPr>
    </w:p>
    <w:p w14:paraId="42554A6F" w14:textId="6BBA5670" w:rsidR="007E30FB" w:rsidRPr="00425CE9" w:rsidRDefault="006C766D" w:rsidP="004D4042">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autoSpaceDE w:val="0"/>
        <w:autoSpaceDN w:val="0"/>
        <w:adjustRightInd w:val="0"/>
        <w:spacing w:after="120"/>
        <w:ind w:right="95"/>
        <w:rPr>
          <w:rFonts w:cs="Arial"/>
          <w:sz w:val="24"/>
          <w:szCs w:val="24"/>
          <w:lang w:eastAsia="en-GB"/>
        </w:rPr>
      </w:pPr>
      <w:r w:rsidRPr="00425CE9">
        <w:rPr>
          <w:rFonts w:cs="Arial"/>
          <w:sz w:val="24"/>
          <w:szCs w:val="24"/>
          <w:lang w:eastAsia="en-GB"/>
        </w:rPr>
        <w:t xml:space="preserve">Our </w:t>
      </w:r>
      <w:r w:rsidRPr="00E8385B">
        <w:rPr>
          <w:rFonts w:cs="Arial"/>
          <w:sz w:val="24"/>
          <w:szCs w:val="24"/>
          <w:lang w:eastAsia="en-GB"/>
        </w:rPr>
        <w:t xml:space="preserve">research has provided evidence to suggest that the university </w:t>
      </w:r>
      <w:r w:rsidR="00B51D75" w:rsidRPr="00E8385B">
        <w:rPr>
          <w:rFonts w:cs="Arial"/>
          <w:sz w:val="24"/>
          <w:szCs w:val="24"/>
          <w:lang w:eastAsia="en-GB"/>
        </w:rPr>
        <w:t xml:space="preserve">can be understood </w:t>
      </w:r>
      <w:r w:rsidRPr="00E8385B">
        <w:rPr>
          <w:rFonts w:cs="Arial"/>
          <w:sz w:val="24"/>
          <w:szCs w:val="24"/>
          <w:lang w:eastAsia="en-GB"/>
        </w:rPr>
        <w:t>as a</w:t>
      </w:r>
      <w:r w:rsidR="009A4F3F" w:rsidRPr="00E8385B">
        <w:rPr>
          <w:rFonts w:cs="Arial"/>
          <w:sz w:val="24"/>
          <w:szCs w:val="24"/>
          <w:lang w:eastAsia="en-GB"/>
        </w:rPr>
        <w:t xml:space="preserve"> space for</w:t>
      </w:r>
      <w:r w:rsidR="00182389" w:rsidRPr="00E8385B">
        <w:rPr>
          <w:rFonts w:cs="Arial"/>
          <w:sz w:val="24"/>
          <w:szCs w:val="24"/>
          <w:lang w:eastAsia="en-GB"/>
        </w:rPr>
        <w:t xml:space="preserve"> potential</w:t>
      </w:r>
      <w:r w:rsidR="009A4F3F" w:rsidRPr="00E8385B">
        <w:rPr>
          <w:rFonts w:cs="Arial"/>
          <w:sz w:val="24"/>
          <w:szCs w:val="24"/>
          <w:lang w:eastAsia="en-GB"/>
        </w:rPr>
        <w:t xml:space="preserve"> ‘turning points’</w:t>
      </w:r>
      <w:r w:rsidRPr="00E8385B">
        <w:rPr>
          <w:rFonts w:cs="Arial"/>
          <w:sz w:val="24"/>
          <w:szCs w:val="24"/>
          <w:lang w:eastAsia="en-GB"/>
        </w:rPr>
        <w:t xml:space="preserve"> </w:t>
      </w:r>
      <w:r w:rsidR="00297445" w:rsidRPr="00E8385B">
        <w:rPr>
          <w:rFonts w:cs="Arial"/>
          <w:sz w:val="24"/>
          <w:szCs w:val="24"/>
          <w:lang w:eastAsia="en-GB"/>
        </w:rPr>
        <w:t>for long term propensity to supply</w:t>
      </w:r>
      <w:r w:rsidR="006C6A1E" w:rsidRPr="00E8385B">
        <w:rPr>
          <w:rFonts w:cs="Arial"/>
          <w:sz w:val="24"/>
          <w:szCs w:val="24"/>
          <w:lang w:eastAsia="en-GB"/>
        </w:rPr>
        <w:t xml:space="preserve"> to occur</w:t>
      </w:r>
      <w:r w:rsidR="00182389" w:rsidRPr="00E8385B">
        <w:rPr>
          <w:rFonts w:cs="Arial"/>
          <w:sz w:val="24"/>
          <w:szCs w:val="24"/>
          <w:lang w:eastAsia="en-GB"/>
        </w:rPr>
        <w:t>,</w:t>
      </w:r>
      <w:r w:rsidR="00297445">
        <w:rPr>
          <w:rFonts w:cs="Arial"/>
          <w:sz w:val="24"/>
          <w:szCs w:val="24"/>
          <w:lang w:eastAsia="en-GB"/>
        </w:rPr>
        <w:t xml:space="preserve"> and for many</w:t>
      </w:r>
      <w:r w:rsidR="006C6A1E">
        <w:rPr>
          <w:rFonts w:cs="Arial"/>
          <w:sz w:val="24"/>
          <w:szCs w:val="24"/>
          <w:lang w:eastAsia="en-GB"/>
        </w:rPr>
        <w:t>,</w:t>
      </w:r>
      <w:r w:rsidR="00297445">
        <w:rPr>
          <w:rFonts w:cs="Arial"/>
          <w:sz w:val="24"/>
          <w:szCs w:val="24"/>
          <w:lang w:eastAsia="en-GB"/>
        </w:rPr>
        <w:t xml:space="preserve"> as a </w:t>
      </w:r>
      <w:r w:rsidRPr="00425CE9">
        <w:rPr>
          <w:rFonts w:cs="Arial"/>
          <w:sz w:val="24"/>
          <w:szCs w:val="24"/>
          <w:lang w:eastAsia="en-GB"/>
        </w:rPr>
        <w:t>key site for transition</w:t>
      </w:r>
      <w:r w:rsidR="00276B11">
        <w:rPr>
          <w:rFonts w:cs="Arial"/>
          <w:sz w:val="24"/>
          <w:szCs w:val="24"/>
          <w:lang w:eastAsia="en-GB"/>
        </w:rPr>
        <w:t xml:space="preserve"> from illicit drug use into social supply</w:t>
      </w:r>
      <w:r w:rsidR="00297445">
        <w:rPr>
          <w:rFonts w:cs="Arial"/>
          <w:sz w:val="24"/>
          <w:szCs w:val="24"/>
          <w:lang w:eastAsia="en-GB"/>
        </w:rPr>
        <w:t xml:space="preserve"> behaviours</w:t>
      </w:r>
      <w:r w:rsidRPr="00425CE9">
        <w:rPr>
          <w:rFonts w:cs="Arial"/>
          <w:sz w:val="24"/>
          <w:szCs w:val="24"/>
          <w:lang w:eastAsia="en-GB"/>
        </w:rPr>
        <w:t>. While first experiences of social supply were often described as occurring as ‘one off’ events in schools and colleges, respondents widely indicated that transition into regular drug sharing and social supply be</w:t>
      </w:r>
      <w:r w:rsidR="00B07F4E">
        <w:rPr>
          <w:rFonts w:cs="Arial"/>
          <w:sz w:val="24"/>
          <w:szCs w:val="24"/>
          <w:lang w:eastAsia="en-GB"/>
        </w:rPr>
        <w:t>haviours had occurred on campus</w:t>
      </w:r>
      <w:r w:rsidR="00D21518" w:rsidRPr="00425CE9">
        <w:rPr>
          <w:rFonts w:cs="Arial"/>
          <w:sz w:val="24"/>
          <w:szCs w:val="24"/>
          <w:lang w:eastAsia="en-GB"/>
        </w:rPr>
        <w:t xml:space="preserve">. </w:t>
      </w:r>
      <w:r w:rsidR="0071720E">
        <w:rPr>
          <w:rFonts w:cs="Arial"/>
          <w:sz w:val="24"/>
          <w:szCs w:val="24"/>
          <w:lang w:eastAsia="en-GB"/>
        </w:rPr>
        <w:t>D</w:t>
      </w:r>
      <w:r w:rsidR="00EC0847" w:rsidRPr="00425CE9">
        <w:rPr>
          <w:rFonts w:cs="Arial"/>
          <w:sz w:val="24"/>
          <w:szCs w:val="24"/>
          <w:lang w:eastAsia="en-GB"/>
        </w:rPr>
        <w:t xml:space="preserve">ata suggests that transitions co-exist with significant changes to </w:t>
      </w:r>
      <w:r w:rsidR="002345F0" w:rsidRPr="00425CE9">
        <w:rPr>
          <w:rFonts w:cs="Arial"/>
          <w:sz w:val="24"/>
          <w:szCs w:val="24"/>
          <w:lang w:eastAsia="en-GB"/>
        </w:rPr>
        <w:t>respondents’</w:t>
      </w:r>
      <w:r w:rsidR="00EC0847" w:rsidRPr="00425CE9">
        <w:rPr>
          <w:rFonts w:cs="Arial"/>
          <w:sz w:val="24"/>
          <w:szCs w:val="24"/>
          <w:lang w:eastAsia="en-GB"/>
        </w:rPr>
        <w:t xml:space="preserve"> patterns of drug use</w:t>
      </w:r>
      <w:r w:rsidR="002345F0" w:rsidRPr="00425CE9">
        <w:rPr>
          <w:rFonts w:cs="Arial"/>
          <w:sz w:val="24"/>
          <w:szCs w:val="24"/>
          <w:lang w:eastAsia="en-GB"/>
        </w:rPr>
        <w:t xml:space="preserve">, both in terms of the </w:t>
      </w:r>
      <w:r w:rsidR="00182389" w:rsidRPr="00425CE9">
        <w:rPr>
          <w:rFonts w:cs="Arial"/>
          <w:sz w:val="24"/>
          <w:szCs w:val="24"/>
          <w:lang w:eastAsia="en-GB"/>
        </w:rPr>
        <w:t>quantities</w:t>
      </w:r>
      <w:r w:rsidR="002345F0" w:rsidRPr="00425CE9">
        <w:rPr>
          <w:rFonts w:cs="Arial"/>
          <w:sz w:val="24"/>
          <w:szCs w:val="24"/>
          <w:lang w:eastAsia="en-GB"/>
        </w:rPr>
        <w:t xml:space="preserve"> and the number of different substances used</w:t>
      </w:r>
      <w:r w:rsidR="00EC0847" w:rsidRPr="00425CE9">
        <w:rPr>
          <w:rFonts w:cs="Arial"/>
          <w:sz w:val="24"/>
          <w:szCs w:val="24"/>
          <w:lang w:eastAsia="en-GB"/>
        </w:rPr>
        <w:t>.</w:t>
      </w:r>
      <w:r w:rsidR="008D32DA">
        <w:rPr>
          <w:rFonts w:cs="Arial"/>
          <w:sz w:val="24"/>
          <w:szCs w:val="24"/>
          <w:lang w:eastAsia="en-GB"/>
        </w:rPr>
        <w:t xml:space="preserve"> </w:t>
      </w:r>
      <w:r w:rsidR="006C6A1E" w:rsidRPr="00425CE9">
        <w:rPr>
          <w:rFonts w:cs="Arial"/>
          <w:sz w:val="24"/>
          <w:szCs w:val="24"/>
          <w:lang w:eastAsia="en-GB"/>
        </w:rPr>
        <w:t>Our findings</w:t>
      </w:r>
      <w:r w:rsidR="006C6A1E">
        <w:rPr>
          <w:rFonts w:cs="Arial"/>
          <w:sz w:val="24"/>
          <w:szCs w:val="24"/>
          <w:lang w:eastAsia="en-GB"/>
        </w:rPr>
        <w:t xml:space="preserve"> </w:t>
      </w:r>
      <w:r w:rsidR="006C6A1E" w:rsidRPr="00425CE9">
        <w:rPr>
          <w:rFonts w:cs="Arial"/>
          <w:sz w:val="24"/>
          <w:szCs w:val="24"/>
          <w:lang w:eastAsia="en-GB"/>
        </w:rPr>
        <w:t xml:space="preserve">indicate that the unique context of the university, which includes physical distances from parents and guardians, </w:t>
      </w:r>
      <w:r w:rsidR="006C6A1E">
        <w:rPr>
          <w:rFonts w:cs="Arial"/>
          <w:sz w:val="24"/>
          <w:szCs w:val="24"/>
          <w:lang w:eastAsia="en-GB"/>
        </w:rPr>
        <w:t xml:space="preserve">a </w:t>
      </w:r>
      <w:r w:rsidR="003466B6">
        <w:rPr>
          <w:rFonts w:cs="Arial"/>
          <w:sz w:val="24"/>
          <w:szCs w:val="24"/>
          <w:lang w:eastAsia="en-GB"/>
        </w:rPr>
        <w:t>culture that</w:t>
      </w:r>
      <w:r w:rsidR="00C07705">
        <w:rPr>
          <w:rFonts w:cs="Arial"/>
          <w:sz w:val="24"/>
          <w:szCs w:val="24"/>
          <w:lang w:eastAsia="en-GB"/>
        </w:rPr>
        <w:t xml:space="preserve"> encourages experimentation</w:t>
      </w:r>
      <w:r w:rsidR="0071720E">
        <w:rPr>
          <w:rFonts w:cs="Arial"/>
          <w:sz w:val="24"/>
          <w:szCs w:val="24"/>
          <w:lang w:eastAsia="en-GB"/>
        </w:rPr>
        <w:t>, and</w:t>
      </w:r>
      <w:r w:rsidR="006C6A1E" w:rsidRPr="00425CE9">
        <w:rPr>
          <w:rFonts w:cs="Arial"/>
          <w:sz w:val="24"/>
          <w:szCs w:val="24"/>
          <w:lang w:eastAsia="en-GB"/>
        </w:rPr>
        <w:t xml:space="preserve"> a highly interconnected population provides a relatively normalised environment for entry into drug use and social supply</w:t>
      </w:r>
      <w:r w:rsidR="006C6A1E">
        <w:rPr>
          <w:rFonts w:cs="Arial"/>
          <w:sz w:val="24"/>
          <w:szCs w:val="24"/>
          <w:lang w:eastAsia="en-GB"/>
        </w:rPr>
        <w:t xml:space="preserve">. </w:t>
      </w:r>
      <w:r w:rsidR="008D32DA">
        <w:rPr>
          <w:rFonts w:cs="Arial"/>
          <w:sz w:val="24"/>
          <w:szCs w:val="24"/>
          <w:lang w:eastAsia="en-GB"/>
        </w:rPr>
        <w:t>As use of drugs such as</w:t>
      </w:r>
      <w:r w:rsidR="00BC6C76">
        <w:rPr>
          <w:rFonts w:cs="Arial"/>
          <w:sz w:val="24"/>
          <w:szCs w:val="24"/>
          <w:lang w:eastAsia="en-GB"/>
        </w:rPr>
        <w:t xml:space="preserve"> cannabis and MDMA became more </w:t>
      </w:r>
      <w:r w:rsidR="006C6A1E">
        <w:rPr>
          <w:rFonts w:cs="Arial"/>
          <w:sz w:val="24"/>
          <w:szCs w:val="24"/>
          <w:lang w:eastAsia="en-GB"/>
        </w:rPr>
        <w:t xml:space="preserve">frequent and </w:t>
      </w:r>
      <w:r w:rsidR="00BC6C76">
        <w:rPr>
          <w:rFonts w:cs="Arial"/>
          <w:sz w:val="24"/>
          <w:szCs w:val="24"/>
          <w:lang w:eastAsia="en-GB"/>
        </w:rPr>
        <w:t>normalised (</w:t>
      </w:r>
      <w:r w:rsidR="001C38B8">
        <w:rPr>
          <w:rFonts w:cs="Arial"/>
          <w:sz w:val="24"/>
          <w:szCs w:val="24"/>
          <w:lang w:eastAsia="en-GB"/>
        </w:rPr>
        <w:t xml:space="preserve">xxxxx </w:t>
      </w:r>
      <w:r w:rsidR="00BC6C76">
        <w:rPr>
          <w:rFonts w:cs="Arial"/>
          <w:sz w:val="24"/>
          <w:szCs w:val="24"/>
          <w:lang w:eastAsia="en-GB"/>
        </w:rPr>
        <w:t xml:space="preserve">2015), slippage into sharing behaviours (often </w:t>
      </w:r>
      <w:r w:rsidR="00E44700">
        <w:rPr>
          <w:rFonts w:cs="Arial"/>
          <w:sz w:val="24"/>
          <w:szCs w:val="24"/>
          <w:lang w:eastAsia="en-GB"/>
        </w:rPr>
        <w:t xml:space="preserve">not considered as supply) became common, and notions of supply </w:t>
      </w:r>
      <w:r w:rsidR="006C6A1E">
        <w:rPr>
          <w:rFonts w:cs="Arial"/>
          <w:sz w:val="24"/>
          <w:szCs w:val="24"/>
          <w:lang w:eastAsia="en-GB"/>
        </w:rPr>
        <w:t>consequently</w:t>
      </w:r>
      <w:r w:rsidR="000D66B2">
        <w:rPr>
          <w:rFonts w:cs="Arial"/>
          <w:sz w:val="24"/>
          <w:szCs w:val="24"/>
          <w:lang w:eastAsia="en-GB"/>
        </w:rPr>
        <w:t xml:space="preserve"> became</w:t>
      </w:r>
      <w:r w:rsidR="006C6A1E">
        <w:rPr>
          <w:rFonts w:cs="Arial"/>
          <w:sz w:val="24"/>
          <w:szCs w:val="24"/>
          <w:lang w:eastAsia="en-GB"/>
        </w:rPr>
        <w:t xml:space="preserve"> </w:t>
      </w:r>
      <w:r w:rsidR="00E44700">
        <w:rPr>
          <w:rFonts w:cs="Arial"/>
          <w:sz w:val="24"/>
          <w:szCs w:val="24"/>
          <w:lang w:eastAsia="en-GB"/>
        </w:rPr>
        <w:t xml:space="preserve">conceived </w:t>
      </w:r>
      <w:r w:rsidR="0071720E">
        <w:rPr>
          <w:rFonts w:cs="Arial"/>
          <w:sz w:val="24"/>
          <w:szCs w:val="24"/>
          <w:lang w:eastAsia="en-GB"/>
        </w:rPr>
        <w:t xml:space="preserve">as </w:t>
      </w:r>
      <w:r w:rsidR="00E44700">
        <w:rPr>
          <w:rFonts w:cs="Arial"/>
          <w:sz w:val="24"/>
          <w:szCs w:val="24"/>
          <w:lang w:eastAsia="en-GB"/>
        </w:rPr>
        <w:t>less taboo.</w:t>
      </w:r>
      <w:r w:rsidR="002345F0" w:rsidRPr="00425CE9">
        <w:rPr>
          <w:rFonts w:cs="Arial"/>
          <w:sz w:val="24"/>
          <w:szCs w:val="24"/>
          <w:lang w:eastAsia="en-GB"/>
        </w:rPr>
        <w:t xml:space="preserve"> In terms of the process of transition</w:t>
      </w:r>
      <w:r w:rsidR="001D5E60" w:rsidRPr="00425CE9">
        <w:rPr>
          <w:rFonts w:cs="Arial"/>
          <w:sz w:val="24"/>
          <w:szCs w:val="24"/>
          <w:lang w:eastAsia="en-GB"/>
        </w:rPr>
        <w:t>,</w:t>
      </w:r>
      <w:r w:rsidR="002345F0" w:rsidRPr="00425CE9">
        <w:rPr>
          <w:rFonts w:cs="Arial"/>
          <w:sz w:val="24"/>
          <w:szCs w:val="24"/>
          <w:lang w:eastAsia="en-GB"/>
        </w:rPr>
        <w:t xml:space="preserve"> </w:t>
      </w:r>
      <w:r w:rsidR="001D5E60" w:rsidRPr="00425CE9">
        <w:rPr>
          <w:rFonts w:cs="Arial"/>
          <w:sz w:val="24"/>
          <w:szCs w:val="24"/>
          <w:lang w:eastAsia="en-GB"/>
        </w:rPr>
        <w:t>s</w:t>
      </w:r>
      <w:r w:rsidR="002345F0" w:rsidRPr="00425CE9">
        <w:rPr>
          <w:rFonts w:cs="Arial"/>
          <w:sz w:val="24"/>
          <w:szCs w:val="24"/>
          <w:lang w:eastAsia="en-GB"/>
        </w:rPr>
        <w:t xml:space="preserve">upporting the findings of Murphy et al </w:t>
      </w:r>
      <w:r w:rsidR="00F17BAE" w:rsidRPr="00425CE9">
        <w:rPr>
          <w:rFonts w:cs="Arial"/>
          <w:sz w:val="24"/>
          <w:szCs w:val="24"/>
          <w:lang w:eastAsia="en-GB"/>
        </w:rPr>
        <w:t>(</w:t>
      </w:r>
      <w:r w:rsidR="002345F0" w:rsidRPr="00425CE9">
        <w:rPr>
          <w:rFonts w:cs="Arial"/>
          <w:sz w:val="24"/>
          <w:szCs w:val="24"/>
          <w:lang w:eastAsia="en-GB"/>
        </w:rPr>
        <w:t>1990</w:t>
      </w:r>
      <w:r w:rsidR="00F17BAE" w:rsidRPr="00425CE9">
        <w:rPr>
          <w:rFonts w:cs="Arial"/>
          <w:sz w:val="24"/>
          <w:szCs w:val="24"/>
          <w:lang w:eastAsia="en-GB"/>
        </w:rPr>
        <w:t>)</w:t>
      </w:r>
      <w:r w:rsidR="002345F0" w:rsidRPr="00425CE9">
        <w:rPr>
          <w:rFonts w:cs="Arial"/>
          <w:sz w:val="24"/>
          <w:szCs w:val="24"/>
          <w:lang w:eastAsia="en-GB"/>
        </w:rPr>
        <w:t xml:space="preserve">, </w:t>
      </w:r>
      <w:r w:rsidR="00F17BAE" w:rsidRPr="00425CE9">
        <w:rPr>
          <w:rFonts w:cs="Arial"/>
          <w:sz w:val="24"/>
          <w:szCs w:val="24"/>
          <w:lang w:eastAsia="en-GB"/>
        </w:rPr>
        <w:t>(</w:t>
      </w:r>
      <w:r w:rsidR="002345F0" w:rsidRPr="00425CE9">
        <w:rPr>
          <w:rFonts w:cs="Arial"/>
          <w:sz w:val="24"/>
          <w:szCs w:val="24"/>
          <w:lang w:eastAsia="en-GB"/>
        </w:rPr>
        <w:t>2004</w:t>
      </w:r>
      <w:r w:rsidR="00F17BAE" w:rsidRPr="00425CE9">
        <w:rPr>
          <w:rFonts w:cs="Arial"/>
          <w:sz w:val="24"/>
          <w:szCs w:val="24"/>
          <w:lang w:eastAsia="en-GB"/>
        </w:rPr>
        <w:t>)</w:t>
      </w:r>
      <w:r w:rsidR="002345F0" w:rsidRPr="00425CE9">
        <w:rPr>
          <w:rFonts w:cs="Arial"/>
          <w:sz w:val="24"/>
          <w:szCs w:val="24"/>
          <w:lang w:eastAsia="en-GB"/>
        </w:rPr>
        <w:t>, students clearly exhibited narratives that were consistent with theories of drift (Matza, 1964).</w:t>
      </w:r>
      <w:r w:rsidR="001D5E60" w:rsidRPr="00425CE9">
        <w:rPr>
          <w:rFonts w:cs="Arial"/>
          <w:sz w:val="24"/>
          <w:szCs w:val="24"/>
          <w:lang w:eastAsia="en-GB"/>
        </w:rPr>
        <w:t xml:space="preserve"> Students widely reported that r</w:t>
      </w:r>
      <w:r w:rsidR="002345F0" w:rsidRPr="00425CE9">
        <w:rPr>
          <w:rFonts w:cs="Arial"/>
          <w:sz w:val="24"/>
          <w:szCs w:val="24"/>
          <w:lang w:eastAsia="en-GB"/>
        </w:rPr>
        <w:t>ather than making initial cost-benefit or risk based decisions on whether to be</w:t>
      </w:r>
      <w:r w:rsidR="000D66B2">
        <w:rPr>
          <w:rFonts w:cs="Arial"/>
          <w:sz w:val="24"/>
          <w:szCs w:val="24"/>
          <w:lang w:eastAsia="en-GB"/>
        </w:rPr>
        <w:t>come involved in social supply</w:t>
      </w:r>
      <w:r w:rsidR="002345F0" w:rsidRPr="00425CE9">
        <w:rPr>
          <w:rFonts w:cs="Arial"/>
          <w:sz w:val="24"/>
          <w:szCs w:val="24"/>
          <w:lang w:eastAsia="en-GB"/>
        </w:rPr>
        <w:t xml:space="preserve">, </w:t>
      </w:r>
      <w:r w:rsidR="001D5E60" w:rsidRPr="00425CE9">
        <w:rPr>
          <w:rFonts w:cs="Arial"/>
          <w:sz w:val="24"/>
          <w:szCs w:val="24"/>
          <w:lang w:eastAsia="en-GB"/>
        </w:rPr>
        <w:t>they o</w:t>
      </w:r>
      <w:r w:rsidR="002345F0" w:rsidRPr="00425CE9">
        <w:rPr>
          <w:rFonts w:cs="Arial"/>
          <w:sz w:val="24"/>
          <w:szCs w:val="24"/>
          <w:lang w:eastAsia="en-GB"/>
        </w:rPr>
        <w:t>ften</w:t>
      </w:r>
      <w:r w:rsidR="001D5E60" w:rsidRPr="00425CE9">
        <w:rPr>
          <w:rFonts w:cs="Arial"/>
          <w:sz w:val="24"/>
          <w:szCs w:val="24"/>
          <w:lang w:eastAsia="en-GB"/>
        </w:rPr>
        <w:t xml:space="preserve"> drifted</w:t>
      </w:r>
      <w:r w:rsidR="002345F0" w:rsidRPr="00425CE9">
        <w:rPr>
          <w:rFonts w:cs="Arial"/>
          <w:sz w:val="24"/>
          <w:szCs w:val="24"/>
          <w:lang w:eastAsia="en-GB"/>
        </w:rPr>
        <w:t xml:space="preserve"> into supply by virtue of strategies t</w:t>
      </w:r>
      <w:r w:rsidR="00276B11">
        <w:rPr>
          <w:rFonts w:cs="Arial"/>
          <w:sz w:val="24"/>
          <w:szCs w:val="24"/>
          <w:lang w:eastAsia="en-GB"/>
        </w:rPr>
        <w:t>o make drug use more affordable</w:t>
      </w:r>
      <w:r w:rsidR="00C63411">
        <w:rPr>
          <w:rFonts w:cs="Arial"/>
          <w:sz w:val="24"/>
          <w:szCs w:val="24"/>
          <w:lang w:eastAsia="en-GB"/>
        </w:rPr>
        <w:t>,</w:t>
      </w:r>
      <w:r w:rsidR="00B25198">
        <w:rPr>
          <w:rFonts w:cs="Arial"/>
          <w:sz w:val="24"/>
          <w:szCs w:val="24"/>
          <w:lang w:eastAsia="en-GB"/>
        </w:rPr>
        <w:t xml:space="preserve"> or</w:t>
      </w:r>
      <w:r w:rsidR="00C63411">
        <w:rPr>
          <w:rFonts w:cs="Arial"/>
          <w:sz w:val="24"/>
          <w:szCs w:val="24"/>
          <w:lang w:eastAsia="en-GB"/>
        </w:rPr>
        <w:t xml:space="preserve"> through maximising ‘economies of scale’</w:t>
      </w:r>
      <w:r w:rsidR="00A67C8B" w:rsidRPr="00425CE9">
        <w:rPr>
          <w:rFonts w:cs="Arial"/>
          <w:sz w:val="24"/>
          <w:szCs w:val="24"/>
          <w:lang w:eastAsia="en-GB"/>
        </w:rPr>
        <w:t>.</w:t>
      </w:r>
      <w:r w:rsidR="00AB2942">
        <w:rPr>
          <w:rFonts w:cs="Arial"/>
          <w:sz w:val="24"/>
          <w:szCs w:val="24"/>
          <w:lang w:eastAsia="en-GB"/>
        </w:rPr>
        <w:t xml:space="preserve"> While these micro-processes, bound up with </w:t>
      </w:r>
      <w:r w:rsidR="00182389">
        <w:rPr>
          <w:rFonts w:cs="Arial"/>
          <w:sz w:val="24"/>
          <w:szCs w:val="24"/>
          <w:lang w:eastAsia="en-GB"/>
        </w:rPr>
        <w:t xml:space="preserve">facilitating </w:t>
      </w:r>
      <w:r w:rsidR="00AB2942">
        <w:rPr>
          <w:rFonts w:cs="Arial"/>
          <w:sz w:val="24"/>
          <w:szCs w:val="24"/>
          <w:lang w:eastAsia="en-GB"/>
        </w:rPr>
        <w:t xml:space="preserve">drug use are important, </w:t>
      </w:r>
      <w:r w:rsidR="00C94737">
        <w:rPr>
          <w:rFonts w:cs="Arial"/>
          <w:sz w:val="24"/>
          <w:szCs w:val="24"/>
          <w:lang w:eastAsia="en-GB"/>
        </w:rPr>
        <w:t xml:space="preserve">data suggests </w:t>
      </w:r>
      <w:r w:rsidR="00AB2942">
        <w:rPr>
          <w:rFonts w:cs="Arial"/>
          <w:sz w:val="24"/>
          <w:szCs w:val="24"/>
          <w:lang w:eastAsia="en-GB"/>
        </w:rPr>
        <w:t>that these practices are</w:t>
      </w:r>
      <w:r w:rsidR="008C1F9B">
        <w:rPr>
          <w:rFonts w:cs="Arial"/>
          <w:sz w:val="24"/>
          <w:szCs w:val="24"/>
          <w:lang w:eastAsia="en-GB"/>
        </w:rPr>
        <w:t xml:space="preserve"> further</w:t>
      </w:r>
      <w:r w:rsidR="00AB2942">
        <w:rPr>
          <w:rFonts w:cs="Arial"/>
          <w:sz w:val="24"/>
          <w:szCs w:val="24"/>
          <w:lang w:eastAsia="en-GB"/>
        </w:rPr>
        <w:t xml:space="preserve"> accelerated by the</w:t>
      </w:r>
      <w:r w:rsidR="000D66B2">
        <w:rPr>
          <w:rFonts w:cs="Arial"/>
          <w:sz w:val="24"/>
          <w:szCs w:val="24"/>
          <w:lang w:eastAsia="en-GB"/>
        </w:rPr>
        <w:t xml:space="preserve"> unique</w:t>
      </w:r>
      <w:r w:rsidR="00AB2942">
        <w:rPr>
          <w:rFonts w:cs="Arial"/>
          <w:sz w:val="24"/>
          <w:szCs w:val="24"/>
          <w:lang w:eastAsia="en-GB"/>
        </w:rPr>
        <w:t xml:space="preserve"> wider structura</w:t>
      </w:r>
      <w:r w:rsidR="008C1F9B">
        <w:rPr>
          <w:rFonts w:cs="Arial"/>
          <w:sz w:val="24"/>
          <w:szCs w:val="24"/>
          <w:lang w:eastAsia="en-GB"/>
        </w:rPr>
        <w:t>l characteristic</w:t>
      </w:r>
      <w:r w:rsidR="00AB2942">
        <w:rPr>
          <w:rFonts w:cs="Arial"/>
          <w:sz w:val="24"/>
          <w:szCs w:val="24"/>
          <w:lang w:eastAsia="en-GB"/>
        </w:rPr>
        <w:t xml:space="preserve"> of the university</w:t>
      </w:r>
      <w:r w:rsidR="008C1F9B">
        <w:rPr>
          <w:rFonts w:cs="Arial"/>
          <w:sz w:val="24"/>
          <w:szCs w:val="24"/>
          <w:lang w:eastAsia="en-GB"/>
        </w:rPr>
        <w:t xml:space="preserve"> space</w:t>
      </w:r>
      <w:r w:rsidR="00AB2942">
        <w:rPr>
          <w:rFonts w:cs="Arial"/>
          <w:sz w:val="24"/>
          <w:szCs w:val="24"/>
          <w:lang w:eastAsia="en-GB"/>
        </w:rPr>
        <w:t>.</w:t>
      </w:r>
      <w:r w:rsidR="002A3841">
        <w:rPr>
          <w:rFonts w:cs="Arial"/>
          <w:sz w:val="24"/>
          <w:szCs w:val="24"/>
          <w:lang w:eastAsia="en-GB"/>
        </w:rPr>
        <w:t xml:space="preserve"> In many cases the physical proximity from </w:t>
      </w:r>
      <w:r w:rsidR="00762786">
        <w:rPr>
          <w:rFonts w:cs="Arial"/>
          <w:sz w:val="24"/>
          <w:szCs w:val="24"/>
          <w:lang w:eastAsia="en-GB"/>
        </w:rPr>
        <w:t xml:space="preserve">previous </w:t>
      </w:r>
      <w:r w:rsidR="00AE2EFD">
        <w:rPr>
          <w:rFonts w:cs="Arial"/>
          <w:sz w:val="24"/>
          <w:szCs w:val="24"/>
          <w:lang w:eastAsia="en-GB"/>
        </w:rPr>
        <w:t xml:space="preserve">established </w:t>
      </w:r>
      <w:r w:rsidR="00762786">
        <w:rPr>
          <w:rFonts w:cs="Arial"/>
          <w:sz w:val="24"/>
          <w:szCs w:val="24"/>
          <w:lang w:eastAsia="en-GB"/>
        </w:rPr>
        <w:t>supply routes</w:t>
      </w:r>
      <w:r w:rsidR="005D7292">
        <w:rPr>
          <w:rFonts w:cs="Arial"/>
          <w:sz w:val="24"/>
          <w:szCs w:val="24"/>
          <w:lang w:eastAsia="en-GB"/>
        </w:rPr>
        <w:t xml:space="preserve"> and the </w:t>
      </w:r>
      <w:r w:rsidR="005D7292">
        <w:rPr>
          <w:rFonts w:cs="Arial"/>
          <w:sz w:val="24"/>
          <w:szCs w:val="24"/>
          <w:lang w:eastAsia="en-GB"/>
        </w:rPr>
        <w:lastRenderedPageBreak/>
        <w:t xml:space="preserve">interconnectivity of the student population (Jacques and Wright 2014) encouraged </w:t>
      </w:r>
      <w:r w:rsidR="000E09A0">
        <w:rPr>
          <w:rFonts w:cs="Arial"/>
          <w:sz w:val="24"/>
          <w:szCs w:val="24"/>
          <w:lang w:eastAsia="en-GB"/>
        </w:rPr>
        <w:t xml:space="preserve">student </w:t>
      </w:r>
      <w:r w:rsidR="005D7292">
        <w:rPr>
          <w:rFonts w:cs="Arial"/>
          <w:sz w:val="24"/>
          <w:szCs w:val="24"/>
          <w:lang w:eastAsia="en-GB"/>
        </w:rPr>
        <w:t>intermingling</w:t>
      </w:r>
      <w:r w:rsidR="008E625D">
        <w:rPr>
          <w:rFonts w:cs="Arial"/>
          <w:sz w:val="24"/>
          <w:szCs w:val="24"/>
          <w:lang w:eastAsia="en-GB"/>
        </w:rPr>
        <w:t xml:space="preserve"> and communicati</w:t>
      </w:r>
      <w:r w:rsidR="00152CE5">
        <w:rPr>
          <w:rFonts w:cs="Arial"/>
          <w:sz w:val="24"/>
          <w:szCs w:val="24"/>
          <w:lang w:eastAsia="en-GB"/>
        </w:rPr>
        <w:t>on focussed on securing supply</w:t>
      </w:r>
      <w:r w:rsidR="00AE2EFD">
        <w:rPr>
          <w:rFonts w:cs="Arial"/>
          <w:sz w:val="24"/>
          <w:szCs w:val="24"/>
          <w:lang w:eastAsia="en-GB"/>
        </w:rPr>
        <w:t xml:space="preserve">. These factors appeared to increase students’ propensity to take supply on, or become known as a drug source by others, who would then request access. </w:t>
      </w:r>
      <w:r w:rsidR="00182389">
        <w:rPr>
          <w:rFonts w:cs="Arial"/>
          <w:sz w:val="24"/>
          <w:szCs w:val="24"/>
          <w:lang w:eastAsia="en-GB"/>
        </w:rPr>
        <w:t>Although</w:t>
      </w:r>
      <w:r w:rsidR="0038529A" w:rsidRPr="00425CE9">
        <w:rPr>
          <w:rFonts w:cs="Arial"/>
          <w:sz w:val="24"/>
          <w:szCs w:val="24"/>
          <w:lang w:eastAsia="en-GB"/>
        </w:rPr>
        <w:t xml:space="preserve"> literature shows </w:t>
      </w:r>
      <w:r w:rsidR="00E841E3" w:rsidRPr="00425CE9">
        <w:rPr>
          <w:rFonts w:cs="Arial"/>
          <w:sz w:val="24"/>
          <w:szCs w:val="24"/>
          <w:lang w:eastAsia="en-GB"/>
        </w:rPr>
        <w:t>that cultures of reciprocity (</w:t>
      </w:r>
      <w:r w:rsidR="001C38B8">
        <w:rPr>
          <w:rFonts w:cs="Arial"/>
          <w:sz w:val="24"/>
          <w:szCs w:val="24"/>
          <w:lang w:eastAsia="en-GB"/>
        </w:rPr>
        <w:t xml:space="preserve">e.g. </w:t>
      </w:r>
      <w:r w:rsidR="00E841E3" w:rsidRPr="00425CE9">
        <w:rPr>
          <w:rFonts w:cs="Arial"/>
          <w:sz w:val="24"/>
          <w:szCs w:val="24"/>
          <w:lang w:eastAsia="en-GB"/>
        </w:rPr>
        <w:t>Dorn et al., 1</w:t>
      </w:r>
      <w:r w:rsidR="001C38B8">
        <w:rPr>
          <w:rFonts w:cs="Arial"/>
          <w:sz w:val="24"/>
          <w:szCs w:val="24"/>
          <w:lang w:eastAsia="en-GB"/>
        </w:rPr>
        <w:t>990</w:t>
      </w:r>
      <w:r w:rsidR="00346AA0">
        <w:rPr>
          <w:rFonts w:cs="Arial"/>
          <w:sz w:val="24"/>
          <w:szCs w:val="24"/>
          <w:lang w:eastAsia="en-GB"/>
        </w:rPr>
        <w:t>; Coomber and Turnbull, 2007</w:t>
      </w:r>
      <w:r w:rsidR="00E841E3" w:rsidRPr="00425CE9">
        <w:rPr>
          <w:rFonts w:cs="Arial"/>
          <w:sz w:val="24"/>
          <w:szCs w:val="24"/>
          <w:lang w:eastAsia="en-GB"/>
        </w:rPr>
        <w:t xml:space="preserve">) </w:t>
      </w:r>
      <w:r w:rsidR="00E841E3" w:rsidRPr="000E09A0">
        <w:rPr>
          <w:rFonts w:cs="Arial"/>
          <w:sz w:val="24"/>
          <w:szCs w:val="24"/>
          <w:lang w:eastAsia="en-GB"/>
        </w:rPr>
        <w:t xml:space="preserve">exist </w:t>
      </w:r>
      <w:r w:rsidR="00AE2EFD">
        <w:rPr>
          <w:rFonts w:cs="Arial"/>
          <w:sz w:val="24"/>
          <w:szCs w:val="24"/>
          <w:lang w:eastAsia="en-GB"/>
        </w:rPr>
        <w:t xml:space="preserve">more widely </w:t>
      </w:r>
      <w:r w:rsidR="00E841E3" w:rsidRPr="000E09A0">
        <w:rPr>
          <w:rFonts w:cs="Arial"/>
          <w:sz w:val="24"/>
          <w:szCs w:val="24"/>
          <w:lang w:eastAsia="en-GB"/>
        </w:rPr>
        <w:t>within drug using social groups, our research suggest</w:t>
      </w:r>
      <w:r w:rsidR="00C01371" w:rsidRPr="000E09A0">
        <w:rPr>
          <w:rFonts w:cs="Arial"/>
          <w:sz w:val="24"/>
          <w:szCs w:val="24"/>
          <w:lang w:eastAsia="en-GB"/>
        </w:rPr>
        <w:t>s</w:t>
      </w:r>
      <w:r w:rsidR="00E841E3" w:rsidRPr="000E09A0">
        <w:rPr>
          <w:rFonts w:cs="Arial"/>
          <w:sz w:val="24"/>
          <w:szCs w:val="24"/>
          <w:lang w:eastAsia="en-GB"/>
        </w:rPr>
        <w:t xml:space="preserve"> that</w:t>
      </w:r>
      <w:r w:rsidR="00F26324" w:rsidRPr="000E09A0">
        <w:rPr>
          <w:rFonts w:cs="Arial"/>
          <w:sz w:val="24"/>
          <w:szCs w:val="24"/>
          <w:lang w:eastAsia="en-GB"/>
        </w:rPr>
        <w:t xml:space="preserve"> the reliance on</w:t>
      </w:r>
      <w:r w:rsidR="000F07EE" w:rsidRPr="000E09A0">
        <w:rPr>
          <w:rFonts w:cs="Arial"/>
          <w:sz w:val="24"/>
          <w:szCs w:val="24"/>
          <w:lang w:eastAsia="en-GB"/>
        </w:rPr>
        <w:t xml:space="preserve"> new friendship networks at university</w:t>
      </w:r>
      <w:r w:rsidR="006E7852" w:rsidRPr="000E09A0">
        <w:rPr>
          <w:rFonts w:cs="Arial"/>
          <w:sz w:val="24"/>
          <w:szCs w:val="24"/>
          <w:lang w:eastAsia="en-GB"/>
        </w:rPr>
        <w:t xml:space="preserve"> may </w:t>
      </w:r>
      <w:r w:rsidR="008A0605" w:rsidRPr="000E09A0">
        <w:rPr>
          <w:rFonts w:cs="Arial"/>
          <w:sz w:val="24"/>
          <w:szCs w:val="24"/>
          <w:lang w:eastAsia="en-GB"/>
        </w:rPr>
        <w:t xml:space="preserve">also </w:t>
      </w:r>
      <w:r w:rsidR="006E7852" w:rsidRPr="000E09A0">
        <w:rPr>
          <w:rFonts w:cs="Arial"/>
          <w:sz w:val="24"/>
          <w:szCs w:val="24"/>
          <w:lang w:eastAsia="en-GB"/>
        </w:rPr>
        <w:t xml:space="preserve">work as a </w:t>
      </w:r>
      <w:r w:rsidR="002A3841" w:rsidRPr="000E09A0">
        <w:rPr>
          <w:rFonts w:cs="Arial"/>
          <w:sz w:val="24"/>
          <w:szCs w:val="24"/>
          <w:lang w:eastAsia="en-GB"/>
        </w:rPr>
        <w:t>‘</w:t>
      </w:r>
      <w:r w:rsidR="006E7852" w:rsidRPr="000E09A0">
        <w:rPr>
          <w:rFonts w:cs="Arial"/>
          <w:sz w:val="24"/>
          <w:szCs w:val="24"/>
          <w:lang w:eastAsia="en-GB"/>
        </w:rPr>
        <w:t>promoter</w:t>
      </w:r>
      <w:r w:rsidR="002A3841" w:rsidRPr="000E09A0">
        <w:rPr>
          <w:rFonts w:cs="Arial"/>
          <w:sz w:val="24"/>
          <w:szCs w:val="24"/>
          <w:lang w:eastAsia="en-GB"/>
        </w:rPr>
        <w:t>’</w:t>
      </w:r>
      <w:r w:rsidR="006E7852" w:rsidRPr="000E09A0">
        <w:rPr>
          <w:rFonts w:cs="Arial"/>
          <w:sz w:val="24"/>
          <w:szCs w:val="24"/>
          <w:lang w:eastAsia="en-GB"/>
        </w:rPr>
        <w:t xml:space="preserve"> for </w:t>
      </w:r>
      <w:r w:rsidR="00E841E3" w:rsidRPr="000E09A0">
        <w:rPr>
          <w:rFonts w:cs="Arial"/>
          <w:sz w:val="24"/>
          <w:szCs w:val="24"/>
          <w:lang w:eastAsia="en-GB"/>
        </w:rPr>
        <w:t>social supply</w:t>
      </w:r>
      <w:r w:rsidR="006E7852" w:rsidRPr="000E09A0">
        <w:rPr>
          <w:rFonts w:cs="Arial"/>
          <w:sz w:val="24"/>
          <w:szCs w:val="24"/>
          <w:lang w:eastAsia="en-GB"/>
        </w:rPr>
        <w:t xml:space="preserve"> behaviours</w:t>
      </w:r>
      <w:r w:rsidR="00C06045" w:rsidRPr="000E09A0">
        <w:rPr>
          <w:rFonts w:cs="Arial"/>
          <w:sz w:val="24"/>
          <w:szCs w:val="24"/>
          <w:lang w:eastAsia="en-GB"/>
        </w:rPr>
        <w:t xml:space="preserve"> as stude</w:t>
      </w:r>
      <w:r w:rsidR="008E625D" w:rsidRPr="000E09A0">
        <w:rPr>
          <w:rFonts w:cs="Arial"/>
          <w:sz w:val="24"/>
          <w:szCs w:val="24"/>
          <w:lang w:eastAsia="en-GB"/>
        </w:rPr>
        <w:t xml:space="preserve">nts </w:t>
      </w:r>
      <w:r w:rsidR="00AE2EFD">
        <w:rPr>
          <w:rFonts w:cs="Arial"/>
          <w:sz w:val="24"/>
          <w:szCs w:val="24"/>
          <w:lang w:eastAsia="en-GB"/>
        </w:rPr>
        <w:t xml:space="preserve">engage in identity building behaviours </w:t>
      </w:r>
      <w:r w:rsidR="008E625D" w:rsidRPr="000E09A0">
        <w:rPr>
          <w:rFonts w:cs="Arial"/>
          <w:sz w:val="24"/>
          <w:szCs w:val="24"/>
          <w:lang w:eastAsia="en-GB"/>
        </w:rPr>
        <w:t>and look to forge</w:t>
      </w:r>
      <w:r w:rsidR="00C06045" w:rsidRPr="000E09A0">
        <w:rPr>
          <w:rFonts w:cs="Arial"/>
          <w:sz w:val="24"/>
          <w:szCs w:val="24"/>
          <w:lang w:eastAsia="en-GB"/>
        </w:rPr>
        <w:t xml:space="preserve"> new friendships in a new social space. </w:t>
      </w:r>
      <w:r w:rsidR="009E717C" w:rsidRPr="00425CE9">
        <w:rPr>
          <w:rFonts w:cs="Arial"/>
          <w:sz w:val="24"/>
          <w:szCs w:val="24"/>
          <w:lang w:eastAsia="en-GB"/>
        </w:rPr>
        <w:t>Rather than drifting into a more organised and commercial form of supply</w:t>
      </w:r>
      <w:r w:rsidR="0088164D" w:rsidRPr="00425CE9">
        <w:rPr>
          <w:rFonts w:cs="Arial"/>
          <w:sz w:val="24"/>
          <w:szCs w:val="24"/>
          <w:lang w:eastAsia="en-GB"/>
        </w:rPr>
        <w:t>, students</w:t>
      </w:r>
      <w:r w:rsidR="00C07705">
        <w:rPr>
          <w:rFonts w:cs="Arial"/>
          <w:sz w:val="24"/>
          <w:szCs w:val="24"/>
          <w:lang w:eastAsia="en-GB"/>
        </w:rPr>
        <w:t xml:space="preserve"> instead used supply as a way of funding ‘subterranean play’ (Young, 1971)</w:t>
      </w:r>
      <w:r w:rsidR="002E2FDC" w:rsidRPr="00425CE9">
        <w:rPr>
          <w:rFonts w:cs="Arial"/>
          <w:sz w:val="24"/>
          <w:szCs w:val="24"/>
          <w:lang w:eastAsia="en-GB"/>
        </w:rPr>
        <w:t>.</w:t>
      </w:r>
      <w:r w:rsidR="00E44700">
        <w:rPr>
          <w:rFonts w:cs="Arial"/>
          <w:sz w:val="24"/>
          <w:szCs w:val="24"/>
          <w:lang w:eastAsia="en-GB"/>
        </w:rPr>
        <w:t xml:space="preserve"> </w:t>
      </w:r>
      <w:r w:rsidR="002A3841">
        <w:rPr>
          <w:rFonts w:cs="Arial"/>
          <w:sz w:val="24"/>
          <w:szCs w:val="24"/>
          <w:lang w:eastAsia="en-GB"/>
        </w:rPr>
        <w:t>The structural conditions of the university context were understood as important here, and supporting wider research (Jacques and Wright, 2014; Dorn et al. 1972; Mohamed and Fritzvold, 2010)</w:t>
      </w:r>
      <w:r w:rsidR="000E09A0">
        <w:rPr>
          <w:rFonts w:cs="Arial"/>
          <w:sz w:val="24"/>
          <w:szCs w:val="24"/>
          <w:lang w:eastAsia="en-GB"/>
        </w:rPr>
        <w:t>,</w:t>
      </w:r>
      <w:r w:rsidR="008E625D">
        <w:rPr>
          <w:rFonts w:cs="Arial"/>
          <w:sz w:val="24"/>
          <w:szCs w:val="24"/>
          <w:lang w:eastAsia="en-GB"/>
        </w:rPr>
        <w:t xml:space="preserve"> </w:t>
      </w:r>
      <w:r w:rsidR="000E09A0">
        <w:rPr>
          <w:rFonts w:cs="Arial"/>
          <w:sz w:val="24"/>
          <w:szCs w:val="24"/>
          <w:lang w:eastAsia="en-GB"/>
        </w:rPr>
        <w:t xml:space="preserve">respondents </w:t>
      </w:r>
      <w:r w:rsidR="008E625D">
        <w:rPr>
          <w:rFonts w:cs="Arial"/>
          <w:sz w:val="24"/>
          <w:szCs w:val="24"/>
          <w:lang w:eastAsia="en-GB"/>
        </w:rPr>
        <w:t>stressed the financial</w:t>
      </w:r>
      <w:r w:rsidR="008A0605">
        <w:rPr>
          <w:rFonts w:cs="Arial"/>
          <w:sz w:val="24"/>
          <w:szCs w:val="24"/>
          <w:lang w:eastAsia="en-GB"/>
        </w:rPr>
        <w:t xml:space="preserve"> burden of being a student, with </w:t>
      </w:r>
      <w:r w:rsidR="00E87798">
        <w:rPr>
          <w:rFonts w:cs="Arial"/>
          <w:sz w:val="24"/>
          <w:szCs w:val="24"/>
          <w:lang w:eastAsia="en-GB"/>
        </w:rPr>
        <w:t xml:space="preserve">supply being used in the first instance to </w:t>
      </w:r>
      <w:r w:rsidR="000E09A0" w:rsidRPr="00081C94">
        <w:rPr>
          <w:rFonts w:cs="Arial"/>
          <w:i/>
          <w:sz w:val="24"/>
          <w:szCs w:val="24"/>
          <w:lang w:eastAsia="en-GB"/>
        </w:rPr>
        <w:t xml:space="preserve">make </w:t>
      </w:r>
      <w:r w:rsidR="008A0605" w:rsidRPr="00081C94">
        <w:rPr>
          <w:rFonts w:cs="Arial"/>
          <w:i/>
          <w:sz w:val="24"/>
          <w:szCs w:val="24"/>
          <w:lang w:eastAsia="en-GB"/>
        </w:rPr>
        <w:t>drug use economically possible</w:t>
      </w:r>
      <w:r w:rsidR="00922E80">
        <w:rPr>
          <w:rFonts w:cs="Arial"/>
          <w:sz w:val="24"/>
          <w:szCs w:val="24"/>
          <w:lang w:eastAsia="en-GB"/>
        </w:rPr>
        <w:t xml:space="preserve"> rather than</w:t>
      </w:r>
      <w:r w:rsidR="006D5A76">
        <w:rPr>
          <w:rFonts w:cs="Arial"/>
          <w:sz w:val="24"/>
          <w:szCs w:val="24"/>
          <w:lang w:eastAsia="en-GB"/>
        </w:rPr>
        <w:t xml:space="preserve"> embodying</w:t>
      </w:r>
      <w:r w:rsidR="00922E80">
        <w:rPr>
          <w:rFonts w:cs="Arial"/>
          <w:sz w:val="24"/>
          <w:szCs w:val="24"/>
          <w:lang w:eastAsia="en-GB"/>
        </w:rPr>
        <w:t xml:space="preserve"> </w:t>
      </w:r>
      <w:r w:rsidR="006D5A76">
        <w:rPr>
          <w:rFonts w:cs="Arial"/>
          <w:sz w:val="24"/>
          <w:szCs w:val="24"/>
          <w:lang w:eastAsia="en-GB"/>
        </w:rPr>
        <w:t xml:space="preserve">a </w:t>
      </w:r>
      <w:r w:rsidR="00E87798">
        <w:rPr>
          <w:rFonts w:cs="Arial"/>
          <w:sz w:val="24"/>
          <w:szCs w:val="24"/>
          <w:lang w:eastAsia="en-GB"/>
        </w:rPr>
        <w:t>profit-motivated pursuit</w:t>
      </w:r>
      <w:r w:rsidR="008A0605">
        <w:rPr>
          <w:rFonts w:cs="Arial"/>
          <w:sz w:val="24"/>
          <w:szCs w:val="24"/>
          <w:lang w:eastAsia="en-GB"/>
        </w:rPr>
        <w:t>.</w:t>
      </w:r>
      <w:r w:rsidR="008E625D">
        <w:rPr>
          <w:rFonts w:cs="Arial"/>
          <w:sz w:val="24"/>
          <w:szCs w:val="24"/>
          <w:lang w:eastAsia="en-GB"/>
        </w:rPr>
        <w:t xml:space="preserve"> </w:t>
      </w:r>
    </w:p>
    <w:p w14:paraId="461EB6FB" w14:textId="77777777" w:rsidR="00704F70" w:rsidRDefault="00704F70" w:rsidP="004D4042">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right="567"/>
        <w:rPr>
          <w:rFonts w:cs="Arial"/>
          <w:b/>
          <w:bCs/>
          <w:sz w:val="24"/>
          <w:szCs w:val="24"/>
          <w:lang w:eastAsia="en-GB"/>
        </w:rPr>
      </w:pPr>
    </w:p>
    <w:p w14:paraId="5D1564D5" w14:textId="77777777" w:rsidR="007E30FB" w:rsidRPr="00425CE9" w:rsidRDefault="007E30FB" w:rsidP="00730B7D">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right="567"/>
        <w:outlineLvl w:val="0"/>
        <w:rPr>
          <w:rFonts w:cs="Arial"/>
          <w:b/>
          <w:bCs/>
          <w:sz w:val="24"/>
          <w:szCs w:val="24"/>
          <w:lang w:eastAsia="en-GB"/>
        </w:rPr>
      </w:pPr>
      <w:r w:rsidRPr="00425CE9">
        <w:rPr>
          <w:rFonts w:cs="Arial"/>
          <w:b/>
          <w:bCs/>
          <w:sz w:val="24"/>
          <w:szCs w:val="24"/>
          <w:lang w:eastAsia="en-GB"/>
        </w:rPr>
        <w:t>Conclusion</w:t>
      </w:r>
    </w:p>
    <w:p w14:paraId="18CA176C" w14:textId="71884365" w:rsidR="0087339A" w:rsidRPr="00BD3226" w:rsidRDefault="00A775BA" w:rsidP="00BD3226">
      <w:pPr>
        <w:spacing w:before="240" w:after="120"/>
        <w:rPr>
          <w:rFonts w:cs="Arial"/>
          <w:sz w:val="24"/>
          <w:szCs w:val="24"/>
          <w:lang w:eastAsia="en-GB"/>
        </w:rPr>
      </w:pPr>
      <w:r w:rsidRPr="00425CE9">
        <w:rPr>
          <w:rFonts w:cs="Arial"/>
          <w:sz w:val="24"/>
          <w:szCs w:val="24"/>
          <w:lang w:eastAsia="en-GB"/>
        </w:rPr>
        <w:t>There has been a gap in th</w:t>
      </w:r>
      <w:r w:rsidR="000E09A0">
        <w:rPr>
          <w:rFonts w:cs="Arial"/>
          <w:sz w:val="24"/>
          <w:szCs w:val="24"/>
          <w:lang w:eastAsia="en-GB"/>
        </w:rPr>
        <w:t>e UK literature base that focus</w:t>
      </w:r>
      <w:r w:rsidRPr="00425CE9">
        <w:rPr>
          <w:rFonts w:cs="Arial"/>
          <w:sz w:val="24"/>
          <w:szCs w:val="24"/>
          <w:lang w:eastAsia="en-GB"/>
        </w:rPr>
        <w:t>es</w:t>
      </w:r>
      <w:r w:rsidR="000E09A0">
        <w:rPr>
          <w:rFonts w:cs="Arial"/>
          <w:sz w:val="24"/>
          <w:szCs w:val="24"/>
          <w:lang w:eastAsia="en-GB"/>
        </w:rPr>
        <w:t xml:space="preserve"> both</w:t>
      </w:r>
      <w:r w:rsidRPr="00425CE9">
        <w:rPr>
          <w:rFonts w:cs="Arial"/>
          <w:sz w:val="24"/>
          <w:szCs w:val="24"/>
          <w:lang w:eastAsia="en-GB"/>
        </w:rPr>
        <w:t xml:space="preserve"> on student drug use</w:t>
      </w:r>
      <w:r w:rsidR="00086276">
        <w:rPr>
          <w:rFonts w:cs="Arial"/>
          <w:sz w:val="24"/>
          <w:szCs w:val="24"/>
          <w:lang w:eastAsia="en-GB"/>
        </w:rPr>
        <w:t xml:space="preserve"> (</w:t>
      </w:r>
      <w:r w:rsidR="00F1513D">
        <w:rPr>
          <w:rFonts w:cs="Arial"/>
          <w:sz w:val="24"/>
          <w:szCs w:val="24"/>
          <w:lang w:eastAsia="en-GB"/>
        </w:rPr>
        <w:t>Holloway and Bennett,</w:t>
      </w:r>
      <w:r w:rsidR="00086276">
        <w:rPr>
          <w:rFonts w:cs="Arial"/>
          <w:sz w:val="24"/>
          <w:szCs w:val="24"/>
          <w:lang w:eastAsia="en-GB"/>
        </w:rPr>
        <w:t xml:space="preserve"> 2017)</w:t>
      </w:r>
      <w:r w:rsidRPr="00425CE9">
        <w:rPr>
          <w:rFonts w:cs="Arial"/>
          <w:sz w:val="24"/>
          <w:szCs w:val="24"/>
          <w:lang w:eastAsia="en-GB"/>
        </w:rPr>
        <w:t xml:space="preserve"> and drug supply networks. While various studies have highlighted an increased prevalence for more frequent </w:t>
      </w:r>
      <w:r w:rsidR="000E1A6C" w:rsidRPr="00425CE9">
        <w:rPr>
          <w:rFonts w:cs="Arial"/>
          <w:sz w:val="24"/>
          <w:szCs w:val="24"/>
          <w:lang w:eastAsia="en-GB"/>
        </w:rPr>
        <w:t>drug use in university settings</w:t>
      </w:r>
      <w:r w:rsidRPr="00425CE9">
        <w:rPr>
          <w:rFonts w:cs="Arial"/>
          <w:sz w:val="24"/>
          <w:szCs w:val="24"/>
          <w:lang w:eastAsia="en-GB"/>
        </w:rPr>
        <w:t xml:space="preserve"> (Newbury-Birch et al</w:t>
      </w:r>
      <w:r w:rsidR="005B5126">
        <w:rPr>
          <w:rFonts w:cs="Arial"/>
          <w:sz w:val="24"/>
          <w:szCs w:val="24"/>
          <w:lang w:eastAsia="en-GB"/>
        </w:rPr>
        <w:t>.,</w:t>
      </w:r>
      <w:r w:rsidR="002E3A6B">
        <w:rPr>
          <w:rFonts w:cs="Arial"/>
          <w:sz w:val="24"/>
          <w:szCs w:val="24"/>
          <w:lang w:eastAsia="en-GB"/>
        </w:rPr>
        <w:t xml:space="preserve"> 2001</w:t>
      </w:r>
      <w:r w:rsidRPr="00425CE9">
        <w:rPr>
          <w:rFonts w:cs="Arial"/>
          <w:sz w:val="24"/>
          <w:szCs w:val="24"/>
          <w:lang w:eastAsia="en-GB"/>
        </w:rPr>
        <w:t>; Bennett and Holloway., 2014)</w:t>
      </w:r>
      <w:r w:rsidR="000E1A6C" w:rsidRPr="00425CE9">
        <w:rPr>
          <w:rFonts w:cs="Arial"/>
          <w:sz w:val="24"/>
          <w:szCs w:val="24"/>
          <w:lang w:eastAsia="en-GB"/>
        </w:rPr>
        <w:t>,</w:t>
      </w:r>
      <w:r w:rsidRPr="00425CE9">
        <w:rPr>
          <w:rFonts w:cs="Arial"/>
          <w:sz w:val="24"/>
          <w:szCs w:val="24"/>
          <w:lang w:eastAsia="en-GB"/>
        </w:rPr>
        <w:t xml:space="preserve"> there is little qualitative research that provide</w:t>
      </w:r>
      <w:r w:rsidR="00086276">
        <w:rPr>
          <w:rFonts w:cs="Arial"/>
          <w:sz w:val="24"/>
          <w:szCs w:val="24"/>
          <w:lang w:eastAsia="en-GB"/>
        </w:rPr>
        <w:t>s</w:t>
      </w:r>
      <w:r w:rsidRPr="00425CE9">
        <w:rPr>
          <w:rFonts w:cs="Arial"/>
          <w:sz w:val="24"/>
          <w:szCs w:val="24"/>
          <w:lang w:eastAsia="en-GB"/>
        </w:rPr>
        <w:t xml:space="preserve"> </w:t>
      </w:r>
      <w:r w:rsidR="00086276">
        <w:rPr>
          <w:rFonts w:cs="Arial"/>
          <w:sz w:val="24"/>
          <w:szCs w:val="24"/>
          <w:lang w:eastAsia="en-GB"/>
        </w:rPr>
        <w:t xml:space="preserve">meaningful </w:t>
      </w:r>
      <w:r w:rsidRPr="00425CE9">
        <w:rPr>
          <w:rFonts w:cs="Arial"/>
          <w:sz w:val="24"/>
          <w:szCs w:val="24"/>
          <w:lang w:eastAsia="en-GB"/>
        </w:rPr>
        <w:t xml:space="preserve">insight into drug supply networks inside </w:t>
      </w:r>
      <w:r w:rsidR="00BC7010">
        <w:rPr>
          <w:rFonts w:cs="Arial"/>
          <w:sz w:val="24"/>
          <w:szCs w:val="24"/>
          <w:lang w:eastAsia="en-GB"/>
        </w:rPr>
        <w:t xml:space="preserve">UK </w:t>
      </w:r>
      <w:r w:rsidRPr="00BD65B5">
        <w:rPr>
          <w:rFonts w:cs="Arial"/>
          <w:sz w:val="24"/>
          <w:szCs w:val="24"/>
          <w:lang w:eastAsia="en-GB"/>
        </w:rPr>
        <w:t xml:space="preserve">universities. </w:t>
      </w:r>
      <w:r w:rsidR="00B00700" w:rsidRPr="00BD65B5">
        <w:rPr>
          <w:rFonts w:cs="Arial"/>
          <w:sz w:val="24"/>
          <w:szCs w:val="24"/>
          <w:lang w:eastAsia="en-GB"/>
        </w:rPr>
        <w:t>T</w:t>
      </w:r>
      <w:r w:rsidR="00657EE7">
        <w:rPr>
          <w:rFonts w:cs="Arial"/>
          <w:sz w:val="24"/>
          <w:szCs w:val="24"/>
          <w:lang w:eastAsia="en-GB"/>
        </w:rPr>
        <w:t>his research has aimed</w:t>
      </w:r>
      <w:r w:rsidR="00086276">
        <w:rPr>
          <w:rFonts w:cs="Arial"/>
          <w:sz w:val="24"/>
          <w:szCs w:val="24"/>
          <w:lang w:eastAsia="en-GB"/>
        </w:rPr>
        <w:t xml:space="preserve"> to fill this gap and to undertake initial exploratory work </w:t>
      </w:r>
      <w:r w:rsidR="007E452C">
        <w:rPr>
          <w:rFonts w:cs="Arial"/>
          <w:sz w:val="24"/>
          <w:szCs w:val="24"/>
          <w:lang w:eastAsia="en-GB"/>
        </w:rPr>
        <w:t xml:space="preserve">in the university context, </w:t>
      </w:r>
      <w:r w:rsidR="00086276">
        <w:rPr>
          <w:rFonts w:cs="Arial"/>
          <w:sz w:val="24"/>
          <w:szCs w:val="24"/>
          <w:lang w:eastAsia="en-GB"/>
        </w:rPr>
        <w:t xml:space="preserve">analysing </w:t>
      </w:r>
      <w:r w:rsidR="00BE35DD" w:rsidRPr="00BD65B5">
        <w:rPr>
          <w:rFonts w:cs="Arial"/>
          <w:sz w:val="24"/>
          <w:szCs w:val="24"/>
          <w:lang w:eastAsia="en-GB"/>
        </w:rPr>
        <w:t xml:space="preserve">the </w:t>
      </w:r>
      <w:r w:rsidR="00086276">
        <w:rPr>
          <w:rFonts w:cs="Arial"/>
          <w:sz w:val="24"/>
          <w:szCs w:val="24"/>
          <w:lang w:eastAsia="en-GB"/>
        </w:rPr>
        <w:t xml:space="preserve">transition in which </w:t>
      </w:r>
      <w:r w:rsidR="00BE35DD" w:rsidRPr="00BD65B5">
        <w:rPr>
          <w:rFonts w:cs="Arial"/>
          <w:sz w:val="24"/>
          <w:szCs w:val="24"/>
          <w:lang w:eastAsia="en-GB"/>
        </w:rPr>
        <w:t xml:space="preserve">drug users move from </w:t>
      </w:r>
      <w:r w:rsidR="00BD65B5" w:rsidRPr="00BD65B5">
        <w:rPr>
          <w:rFonts w:cs="Arial"/>
          <w:sz w:val="24"/>
          <w:szCs w:val="24"/>
          <w:lang w:eastAsia="en-GB"/>
        </w:rPr>
        <w:t xml:space="preserve">drug </w:t>
      </w:r>
      <w:r w:rsidR="00BE35DD" w:rsidRPr="00BD65B5">
        <w:rPr>
          <w:rFonts w:cs="Arial"/>
          <w:sz w:val="24"/>
          <w:szCs w:val="24"/>
          <w:lang w:eastAsia="en-GB"/>
        </w:rPr>
        <w:t>use into the more seriou</w:t>
      </w:r>
      <w:r w:rsidR="0028649F" w:rsidRPr="00BD65B5">
        <w:rPr>
          <w:rFonts w:cs="Arial"/>
          <w:sz w:val="24"/>
          <w:szCs w:val="24"/>
          <w:lang w:eastAsia="en-GB"/>
        </w:rPr>
        <w:t xml:space="preserve">s offence of supply. </w:t>
      </w:r>
      <w:r w:rsidR="00B00700" w:rsidRPr="00BD65B5">
        <w:rPr>
          <w:rFonts w:cs="Arial"/>
          <w:sz w:val="24"/>
          <w:szCs w:val="24"/>
          <w:lang w:eastAsia="en-GB"/>
        </w:rPr>
        <w:t xml:space="preserve">While </w:t>
      </w:r>
      <w:r w:rsidR="00BD65B5">
        <w:rPr>
          <w:rFonts w:cs="Arial"/>
          <w:sz w:val="24"/>
          <w:szCs w:val="24"/>
          <w:lang w:eastAsia="en-GB"/>
        </w:rPr>
        <w:t xml:space="preserve">our </w:t>
      </w:r>
      <w:r w:rsidR="00B00700" w:rsidRPr="00BD65B5">
        <w:rPr>
          <w:rFonts w:cs="Arial"/>
          <w:sz w:val="24"/>
          <w:szCs w:val="24"/>
          <w:lang w:eastAsia="en-GB"/>
        </w:rPr>
        <w:t>sample size is small</w:t>
      </w:r>
      <w:r w:rsidR="00086276">
        <w:rPr>
          <w:rFonts w:cs="Arial"/>
          <w:sz w:val="24"/>
          <w:szCs w:val="24"/>
          <w:lang w:eastAsia="en-GB"/>
        </w:rPr>
        <w:t xml:space="preserve"> and</w:t>
      </w:r>
      <w:r w:rsidR="00B00700" w:rsidRPr="00BD65B5">
        <w:rPr>
          <w:rFonts w:cs="Arial"/>
          <w:sz w:val="24"/>
          <w:szCs w:val="24"/>
          <w:lang w:eastAsia="en-GB"/>
        </w:rPr>
        <w:t xml:space="preserve"> </w:t>
      </w:r>
      <w:r w:rsidR="00BD65B5">
        <w:rPr>
          <w:rFonts w:cs="Arial"/>
          <w:sz w:val="24"/>
          <w:szCs w:val="24"/>
          <w:lang w:eastAsia="en-GB"/>
        </w:rPr>
        <w:t>it is recognised that</w:t>
      </w:r>
      <w:r w:rsidR="00BD65B5" w:rsidRPr="00BD65B5">
        <w:rPr>
          <w:rFonts w:cs="Arial"/>
          <w:sz w:val="24"/>
          <w:szCs w:val="24"/>
          <w:lang w:eastAsia="en-GB"/>
        </w:rPr>
        <w:t xml:space="preserve"> </w:t>
      </w:r>
      <w:r w:rsidR="00BD65B5">
        <w:rPr>
          <w:rFonts w:cs="Arial"/>
          <w:sz w:val="24"/>
          <w:szCs w:val="24"/>
          <w:lang w:eastAsia="en-GB"/>
        </w:rPr>
        <w:t>universities are unique in terms of their</w:t>
      </w:r>
      <w:r w:rsidR="00BD65B5" w:rsidRPr="00BD65B5">
        <w:rPr>
          <w:rFonts w:cs="Arial"/>
          <w:sz w:val="24"/>
          <w:szCs w:val="24"/>
          <w:lang w:eastAsia="en-GB"/>
        </w:rPr>
        <w:t xml:space="preserve"> location, students’</w:t>
      </w:r>
      <w:r w:rsidR="00BD65B5">
        <w:rPr>
          <w:rFonts w:cs="Arial"/>
          <w:sz w:val="24"/>
          <w:szCs w:val="24"/>
          <w:lang w:eastAsia="en-GB"/>
        </w:rPr>
        <w:t xml:space="preserve"> demographic</w:t>
      </w:r>
      <w:r w:rsidR="00E17ED3">
        <w:rPr>
          <w:rFonts w:cs="Arial"/>
          <w:sz w:val="24"/>
          <w:szCs w:val="24"/>
          <w:lang w:eastAsia="en-GB"/>
        </w:rPr>
        <w:t>,</w:t>
      </w:r>
      <w:r w:rsidR="00BD65B5">
        <w:rPr>
          <w:rFonts w:cs="Arial"/>
          <w:sz w:val="24"/>
          <w:szCs w:val="24"/>
          <w:lang w:eastAsia="en-GB"/>
        </w:rPr>
        <w:t xml:space="preserve"> and</w:t>
      </w:r>
      <w:r w:rsidR="00BD65B5" w:rsidRPr="00BD65B5">
        <w:rPr>
          <w:rFonts w:cs="Arial"/>
          <w:sz w:val="24"/>
          <w:szCs w:val="24"/>
          <w:lang w:eastAsia="en-GB"/>
        </w:rPr>
        <w:t xml:space="preserve"> cultures of drug use (</w:t>
      </w:r>
      <w:r w:rsidR="00BD65B5">
        <w:rPr>
          <w:rFonts w:cs="Arial"/>
          <w:sz w:val="24"/>
          <w:szCs w:val="24"/>
          <w:lang w:eastAsia="en-GB"/>
        </w:rPr>
        <w:t>Bennett and Holloway, 2017), echoing US studies (Blum</w:t>
      </w:r>
      <w:r w:rsidR="000E09A0">
        <w:rPr>
          <w:rFonts w:cs="Arial"/>
          <w:sz w:val="24"/>
          <w:szCs w:val="24"/>
          <w:lang w:eastAsia="en-GB"/>
        </w:rPr>
        <w:t xml:space="preserve"> et al., 1972; </w:t>
      </w:r>
      <w:r w:rsidR="00BD65B5">
        <w:rPr>
          <w:rFonts w:cs="Arial"/>
          <w:sz w:val="24"/>
          <w:szCs w:val="24"/>
          <w:lang w:eastAsia="en-GB"/>
        </w:rPr>
        <w:t>Jacques</w:t>
      </w:r>
      <w:r w:rsidR="008811BD">
        <w:rPr>
          <w:rFonts w:cs="Arial"/>
          <w:sz w:val="24"/>
          <w:szCs w:val="24"/>
          <w:lang w:eastAsia="en-GB"/>
        </w:rPr>
        <w:t xml:space="preserve"> and Wright, 2014; </w:t>
      </w:r>
      <w:r w:rsidR="00BD65B5">
        <w:rPr>
          <w:rFonts w:cs="Arial"/>
          <w:sz w:val="24"/>
          <w:szCs w:val="24"/>
          <w:lang w:eastAsia="en-GB"/>
        </w:rPr>
        <w:t>Mohamed</w:t>
      </w:r>
      <w:r w:rsidR="008811BD">
        <w:rPr>
          <w:rFonts w:cs="Arial"/>
          <w:sz w:val="24"/>
          <w:szCs w:val="24"/>
          <w:lang w:eastAsia="en-GB"/>
        </w:rPr>
        <w:t xml:space="preserve"> and Fritzvold, 20</w:t>
      </w:r>
      <w:r w:rsidR="006F65DF">
        <w:rPr>
          <w:rFonts w:cs="Arial"/>
          <w:sz w:val="24"/>
          <w:szCs w:val="24"/>
          <w:lang w:eastAsia="en-GB"/>
        </w:rPr>
        <w:t>10</w:t>
      </w:r>
      <w:r w:rsidR="00086276">
        <w:rPr>
          <w:rFonts w:cs="Arial"/>
          <w:sz w:val="24"/>
          <w:szCs w:val="24"/>
          <w:lang w:eastAsia="en-GB"/>
        </w:rPr>
        <w:t>)</w:t>
      </w:r>
      <w:r w:rsidR="00BD65B5">
        <w:rPr>
          <w:rFonts w:cs="Arial"/>
          <w:sz w:val="24"/>
          <w:szCs w:val="24"/>
          <w:lang w:eastAsia="en-GB"/>
        </w:rPr>
        <w:t xml:space="preserve">, this research posits that </w:t>
      </w:r>
      <w:r w:rsidR="00B66321">
        <w:rPr>
          <w:rFonts w:cs="Arial"/>
          <w:sz w:val="24"/>
          <w:szCs w:val="24"/>
          <w:lang w:eastAsia="en-GB"/>
        </w:rPr>
        <w:t xml:space="preserve">higher education </w:t>
      </w:r>
      <w:r w:rsidR="00086276">
        <w:rPr>
          <w:rFonts w:cs="Arial"/>
          <w:sz w:val="24"/>
          <w:szCs w:val="24"/>
          <w:lang w:eastAsia="en-GB"/>
        </w:rPr>
        <w:t>settings such as the college or university c</w:t>
      </w:r>
      <w:r w:rsidR="008E5AC3">
        <w:rPr>
          <w:rFonts w:cs="Arial"/>
          <w:sz w:val="24"/>
          <w:szCs w:val="24"/>
          <w:lang w:eastAsia="en-GB"/>
        </w:rPr>
        <w:t xml:space="preserve">an provide the right </w:t>
      </w:r>
      <w:r w:rsidR="002B7541">
        <w:rPr>
          <w:rFonts w:cs="Arial"/>
          <w:sz w:val="24"/>
          <w:szCs w:val="24"/>
          <w:lang w:eastAsia="en-GB"/>
        </w:rPr>
        <w:t xml:space="preserve">structural </w:t>
      </w:r>
      <w:r w:rsidR="008E5AC3">
        <w:rPr>
          <w:rFonts w:cs="Arial"/>
          <w:sz w:val="24"/>
          <w:szCs w:val="24"/>
          <w:lang w:eastAsia="en-GB"/>
        </w:rPr>
        <w:t>conditions</w:t>
      </w:r>
      <w:r w:rsidR="00086276">
        <w:rPr>
          <w:rFonts w:cs="Arial"/>
          <w:sz w:val="24"/>
          <w:szCs w:val="24"/>
          <w:lang w:eastAsia="en-GB"/>
        </w:rPr>
        <w:t xml:space="preserve"> for otherwise non-criminal populations to shift from drug use into drug supply.</w:t>
      </w:r>
      <w:r w:rsidR="00813F92">
        <w:rPr>
          <w:rFonts w:cs="Arial"/>
          <w:sz w:val="24"/>
          <w:szCs w:val="24"/>
          <w:lang w:eastAsia="en-GB"/>
        </w:rPr>
        <w:t xml:space="preserve"> </w:t>
      </w:r>
      <w:r w:rsidR="00613C43">
        <w:rPr>
          <w:rFonts w:cs="Arial"/>
          <w:sz w:val="24"/>
          <w:szCs w:val="24"/>
          <w:lang w:eastAsia="en-GB"/>
        </w:rPr>
        <w:t xml:space="preserve">Drawing on </w:t>
      </w:r>
      <w:r w:rsidR="00810837">
        <w:rPr>
          <w:rFonts w:cs="Arial"/>
          <w:sz w:val="24"/>
          <w:szCs w:val="24"/>
          <w:lang w:eastAsia="en-GB"/>
        </w:rPr>
        <w:t xml:space="preserve">the </w:t>
      </w:r>
      <w:r w:rsidR="00613C43">
        <w:rPr>
          <w:rFonts w:cs="Arial"/>
          <w:sz w:val="24"/>
          <w:szCs w:val="24"/>
          <w:lang w:eastAsia="en-GB"/>
        </w:rPr>
        <w:t>life</w:t>
      </w:r>
      <w:r w:rsidR="002D2806">
        <w:rPr>
          <w:rFonts w:cs="Arial"/>
          <w:sz w:val="24"/>
          <w:szCs w:val="24"/>
          <w:lang w:eastAsia="en-GB"/>
        </w:rPr>
        <w:t>-</w:t>
      </w:r>
      <w:r w:rsidR="00613C43">
        <w:rPr>
          <w:rFonts w:cs="Arial"/>
          <w:sz w:val="24"/>
          <w:szCs w:val="24"/>
          <w:lang w:eastAsia="en-GB"/>
        </w:rPr>
        <w:lastRenderedPageBreak/>
        <w:t>course</w:t>
      </w:r>
      <w:r w:rsidR="00810837">
        <w:rPr>
          <w:rFonts w:cs="Arial"/>
          <w:sz w:val="24"/>
          <w:szCs w:val="24"/>
          <w:lang w:eastAsia="en-GB"/>
        </w:rPr>
        <w:t xml:space="preserve"> tradition</w:t>
      </w:r>
      <w:r w:rsidR="00613C43">
        <w:rPr>
          <w:rFonts w:cs="Arial"/>
          <w:sz w:val="24"/>
          <w:szCs w:val="24"/>
          <w:lang w:eastAsia="en-GB"/>
        </w:rPr>
        <w:t xml:space="preserve">, with particular focus on notions of </w:t>
      </w:r>
      <w:r w:rsidR="00AE2E2A">
        <w:rPr>
          <w:rFonts w:cs="Arial"/>
          <w:sz w:val="24"/>
          <w:szCs w:val="24"/>
          <w:lang w:eastAsia="en-GB"/>
        </w:rPr>
        <w:t>‘</w:t>
      </w:r>
      <w:r w:rsidR="00613C43">
        <w:rPr>
          <w:rFonts w:cs="Arial"/>
          <w:sz w:val="24"/>
          <w:szCs w:val="24"/>
          <w:lang w:eastAsia="en-GB"/>
        </w:rPr>
        <w:t>transitions</w:t>
      </w:r>
      <w:r w:rsidR="00AE2E2A">
        <w:rPr>
          <w:rFonts w:cs="Arial"/>
          <w:sz w:val="24"/>
          <w:szCs w:val="24"/>
          <w:lang w:eastAsia="en-GB"/>
        </w:rPr>
        <w:t>’</w:t>
      </w:r>
      <w:r w:rsidR="00613C43">
        <w:rPr>
          <w:rFonts w:cs="Arial"/>
          <w:sz w:val="24"/>
          <w:szCs w:val="24"/>
          <w:lang w:eastAsia="en-GB"/>
        </w:rPr>
        <w:t xml:space="preserve"> and </w:t>
      </w:r>
      <w:r w:rsidR="00AE2E2A">
        <w:rPr>
          <w:rFonts w:cs="Arial"/>
          <w:sz w:val="24"/>
          <w:szCs w:val="24"/>
          <w:lang w:eastAsia="en-GB"/>
        </w:rPr>
        <w:t>‘</w:t>
      </w:r>
      <w:r w:rsidR="00613C43">
        <w:rPr>
          <w:rFonts w:cs="Arial"/>
          <w:sz w:val="24"/>
          <w:szCs w:val="24"/>
          <w:lang w:eastAsia="en-GB"/>
        </w:rPr>
        <w:t>turning points</w:t>
      </w:r>
      <w:r w:rsidR="00AE2E2A">
        <w:rPr>
          <w:rFonts w:cs="Arial"/>
          <w:sz w:val="24"/>
          <w:szCs w:val="24"/>
          <w:lang w:eastAsia="en-GB"/>
        </w:rPr>
        <w:t>’</w:t>
      </w:r>
      <w:r w:rsidR="00613C43">
        <w:rPr>
          <w:rFonts w:cs="Arial"/>
          <w:sz w:val="24"/>
          <w:szCs w:val="24"/>
          <w:lang w:eastAsia="en-GB"/>
        </w:rPr>
        <w:t xml:space="preserve">, </w:t>
      </w:r>
      <w:r w:rsidR="00081C94">
        <w:rPr>
          <w:rFonts w:cs="Arial"/>
          <w:sz w:val="24"/>
          <w:szCs w:val="24"/>
          <w:lang w:eastAsia="en-GB"/>
        </w:rPr>
        <w:t xml:space="preserve">findings here </w:t>
      </w:r>
      <w:r w:rsidR="00BD3226">
        <w:rPr>
          <w:rFonts w:cs="Arial"/>
          <w:sz w:val="24"/>
          <w:szCs w:val="24"/>
          <w:lang w:eastAsia="en-GB"/>
        </w:rPr>
        <w:t>demonstrate how particular m</w:t>
      </w:r>
      <w:r w:rsidR="000D3B70">
        <w:rPr>
          <w:rFonts w:cs="Arial"/>
          <w:sz w:val="24"/>
          <w:szCs w:val="24"/>
          <w:lang w:eastAsia="en-GB"/>
        </w:rPr>
        <w:t>oments in the life course (</w:t>
      </w:r>
      <w:r w:rsidR="004F6742">
        <w:rPr>
          <w:rFonts w:cs="Arial"/>
          <w:sz w:val="24"/>
          <w:szCs w:val="24"/>
          <w:lang w:eastAsia="en-GB"/>
        </w:rPr>
        <w:t>i.e.</w:t>
      </w:r>
      <w:r w:rsidR="00BD3226">
        <w:rPr>
          <w:rFonts w:cs="Arial"/>
          <w:sz w:val="24"/>
          <w:szCs w:val="24"/>
          <w:lang w:eastAsia="en-GB"/>
        </w:rPr>
        <w:t xml:space="preserve"> </w:t>
      </w:r>
      <w:r w:rsidR="000D3B70">
        <w:rPr>
          <w:rFonts w:cs="Arial"/>
          <w:sz w:val="24"/>
          <w:szCs w:val="24"/>
          <w:lang w:eastAsia="en-GB"/>
        </w:rPr>
        <w:t>going to university)</w:t>
      </w:r>
      <w:r w:rsidR="00BD3226">
        <w:rPr>
          <w:rFonts w:cs="Arial"/>
          <w:sz w:val="24"/>
          <w:szCs w:val="24"/>
          <w:lang w:eastAsia="en-GB"/>
        </w:rPr>
        <w:t xml:space="preserve"> can present the freedom, opportunities, relatio</w:t>
      </w:r>
      <w:r w:rsidR="000D3B70">
        <w:rPr>
          <w:rFonts w:cs="Arial"/>
          <w:sz w:val="24"/>
          <w:szCs w:val="24"/>
          <w:lang w:eastAsia="en-GB"/>
        </w:rPr>
        <w:t>nships and cultural environment</w:t>
      </w:r>
      <w:r w:rsidR="00BD3226">
        <w:rPr>
          <w:rFonts w:cs="Arial"/>
          <w:sz w:val="24"/>
          <w:szCs w:val="24"/>
          <w:lang w:eastAsia="en-GB"/>
        </w:rPr>
        <w:t xml:space="preserve"> that can en</w:t>
      </w:r>
      <w:r w:rsidR="000D3B70">
        <w:rPr>
          <w:rFonts w:cs="Arial"/>
          <w:sz w:val="24"/>
          <w:szCs w:val="24"/>
          <w:lang w:eastAsia="en-GB"/>
        </w:rPr>
        <w:t>able</w:t>
      </w:r>
      <w:r w:rsidR="00BD3226">
        <w:rPr>
          <w:rFonts w:cs="Arial"/>
          <w:sz w:val="24"/>
          <w:szCs w:val="24"/>
          <w:lang w:eastAsia="en-GB"/>
        </w:rPr>
        <w:t xml:space="preserve"> offending.</w:t>
      </w:r>
      <w:r w:rsidR="00B66321">
        <w:rPr>
          <w:rFonts w:cs="Arial"/>
          <w:sz w:val="24"/>
          <w:szCs w:val="24"/>
          <w:lang w:eastAsia="en-GB"/>
        </w:rPr>
        <w:t xml:space="preserve"> </w:t>
      </w:r>
      <w:r w:rsidR="00810837">
        <w:rPr>
          <w:rFonts w:cs="Arial"/>
          <w:sz w:val="24"/>
          <w:szCs w:val="24"/>
          <w:lang w:eastAsia="en-GB"/>
        </w:rPr>
        <w:t xml:space="preserve">Further </w:t>
      </w:r>
      <w:r w:rsidR="0042003B" w:rsidRPr="00425CE9">
        <w:rPr>
          <w:rFonts w:cs="Arial"/>
          <w:sz w:val="24"/>
          <w:szCs w:val="24"/>
          <w:lang w:eastAsia="en-GB"/>
        </w:rPr>
        <w:t xml:space="preserve">research undertaken at other Higher Education Institutions will be </w:t>
      </w:r>
      <w:r w:rsidR="0014159D" w:rsidRPr="00425CE9">
        <w:rPr>
          <w:rFonts w:cs="Arial"/>
          <w:sz w:val="24"/>
          <w:szCs w:val="24"/>
          <w:lang w:eastAsia="en-GB"/>
        </w:rPr>
        <w:t>essential</w:t>
      </w:r>
      <w:r w:rsidR="0042003B" w:rsidRPr="00425CE9">
        <w:rPr>
          <w:rFonts w:cs="Arial"/>
          <w:sz w:val="24"/>
          <w:szCs w:val="24"/>
          <w:lang w:eastAsia="en-GB"/>
        </w:rPr>
        <w:t xml:space="preserve"> in </w:t>
      </w:r>
      <w:r w:rsidR="00250C6F" w:rsidRPr="00425CE9">
        <w:rPr>
          <w:rFonts w:cs="Arial"/>
          <w:sz w:val="24"/>
          <w:szCs w:val="24"/>
          <w:lang w:eastAsia="en-GB"/>
        </w:rPr>
        <w:t xml:space="preserve">exploring how far the university can be seen as a national, or even international site for </w:t>
      </w:r>
      <w:r w:rsidR="00FB0AEF">
        <w:rPr>
          <w:rFonts w:cs="Arial"/>
          <w:sz w:val="24"/>
          <w:szCs w:val="24"/>
          <w:lang w:eastAsia="en-GB"/>
        </w:rPr>
        <w:t>drug</w:t>
      </w:r>
      <w:r w:rsidR="00250C6F" w:rsidRPr="00425CE9">
        <w:rPr>
          <w:rFonts w:cs="Arial"/>
          <w:sz w:val="24"/>
          <w:szCs w:val="24"/>
          <w:lang w:eastAsia="en-GB"/>
        </w:rPr>
        <w:t xml:space="preserve"> supply transition. </w:t>
      </w:r>
      <w:r w:rsidR="00E42842">
        <w:rPr>
          <w:rFonts w:cs="Arial"/>
          <w:sz w:val="24"/>
          <w:szCs w:val="24"/>
          <w:lang w:eastAsia="en-GB"/>
        </w:rPr>
        <w:t xml:space="preserve">While this research does not advocate that </w:t>
      </w:r>
      <w:r w:rsidR="00A70993">
        <w:rPr>
          <w:rFonts w:cs="Arial"/>
          <w:sz w:val="24"/>
          <w:szCs w:val="24"/>
          <w:lang w:eastAsia="en-GB"/>
        </w:rPr>
        <w:t>all students will drift into supply</w:t>
      </w:r>
      <w:r w:rsidR="008E1B2E">
        <w:rPr>
          <w:rFonts w:cs="Arial"/>
          <w:sz w:val="24"/>
          <w:szCs w:val="24"/>
          <w:lang w:eastAsia="en-GB"/>
        </w:rPr>
        <w:t xml:space="preserve"> and in fact</w:t>
      </w:r>
      <w:r w:rsidR="00B66321">
        <w:rPr>
          <w:rFonts w:cs="Arial"/>
          <w:sz w:val="24"/>
          <w:szCs w:val="24"/>
          <w:lang w:eastAsia="en-GB"/>
        </w:rPr>
        <w:t xml:space="preserve"> shows</w:t>
      </w:r>
      <w:r w:rsidR="008E1B2E">
        <w:rPr>
          <w:rFonts w:cs="Arial"/>
          <w:sz w:val="24"/>
          <w:szCs w:val="24"/>
          <w:lang w:eastAsia="en-GB"/>
        </w:rPr>
        <w:t xml:space="preserve"> the university can be understood</w:t>
      </w:r>
      <w:r w:rsidR="00FB0AEF">
        <w:rPr>
          <w:rFonts w:cs="Arial"/>
          <w:sz w:val="24"/>
          <w:szCs w:val="24"/>
          <w:lang w:eastAsia="en-GB"/>
        </w:rPr>
        <w:t xml:space="preserve"> by students</w:t>
      </w:r>
      <w:r w:rsidR="008E1B2E">
        <w:rPr>
          <w:rFonts w:cs="Arial"/>
          <w:sz w:val="24"/>
          <w:szCs w:val="24"/>
          <w:lang w:eastAsia="en-GB"/>
        </w:rPr>
        <w:t xml:space="preserve"> as a turning point where </w:t>
      </w:r>
      <w:r w:rsidR="00FB0AEF">
        <w:rPr>
          <w:rFonts w:cs="Arial"/>
          <w:sz w:val="24"/>
          <w:szCs w:val="24"/>
          <w:lang w:eastAsia="en-GB"/>
        </w:rPr>
        <w:t>they limit their drug taking</w:t>
      </w:r>
      <w:r w:rsidR="00A70993">
        <w:rPr>
          <w:rFonts w:cs="Arial"/>
          <w:sz w:val="24"/>
          <w:szCs w:val="24"/>
          <w:lang w:eastAsia="en-GB"/>
        </w:rPr>
        <w:t>,</w:t>
      </w:r>
      <w:r w:rsidR="00FB648D">
        <w:rPr>
          <w:rFonts w:cs="Arial"/>
          <w:sz w:val="24"/>
          <w:szCs w:val="24"/>
          <w:lang w:eastAsia="en-GB"/>
        </w:rPr>
        <w:t xml:space="preserve"> with all respondents engaging in sharing behaviours,</w:t>
      </w:r>
      <w:r w:rsidR="00A70993">
        <w:rPr>
          <w:rFonts w:cs="Arial"/>
          <w:sz w:val="24"/>
          <w:szCs w:val="24"/>
          <w:lang w:eastAsia="en-GB"/>
        </w:rPr>
        <w:t xml:space="preserve"> it does provide further support for the </w:t>
      </w:r>
      <w:r w:rsidR="00FB0AEF">
        <w:rPr>
          <w:rFonts w:cs="Arial"/>
          <w:sz w:val="24"/>
          <w:szCs w:val="24"/>
          <w:lang w:eastAsia="en-GB"/>
        </w:rPr>
        <w:t xml:space="preserve">increasing normalisation </w:t>
      </w:r>
      <w:r w:rsidR="00A70993">
        <w:rPr>
          <w:rFonts w:cs="Arial"/>
          <w:sz w:val="24"/>
          <w:szCs w:val="24"/>
          <w:lang w:eastAsia="en-GB"/>
        </w:rPr>
        <w:t>of social supply behaviours</w:t>
      </w:r>
      <w:r w:rsidR="00EB5C2C">
        <w:rPr>
          <w:rFonts w:cs="Arial"/>
          <w:sz w:val="24"/>
          <w:szCs w:val="24"/>
          <w:lang w:eastAsia="en-GB"/>
        </w:rPr>
        <w:t xml:space="preserve"> in drug using populations</w:t>
      </w:r>
      <w:r w:rsidR="000D3B70">
        <w:rPr>
          <w:rFonts w:cs="Arial"/>
          <w:sz w:val="24"/>
          <w:szCs w:val="24"/>
          <w:lang w:eastAsia="en-GB"/>
        </w:rPr>
        <w:t xml:space="preserve"> (xxxxxx, 2015)</w:t>
      </w:r>
      <w:r w:rsidR="008E1B2E">
        <w:rPr>
          <w:rFonts w:cs="Arial"/>
          <w:sz w:val="24"/>
          <w:szCs w:val="24"/>
          <w:lang w:eastAsia="en-GB"/>
        </w:rPr>
        <w:t>.</w:t>
      </w:r>
      <w:r w:rsidR="007F2649">
        <w:rPr>
          <w:rFonts w:cs="Arial"/>
          <w:sz w:val="24"/>
          <w:szCs w:val="24"/>
        </w:rPr>
        <w:t xml:space="preserve"> I</w:t>
      </w:r>
      <w:r w:rsidR="00E8660A" w:rsidRPr="00864246">
        <w:rPr>
          <w:rFonts w:cs="Arial"/>
          <w:sz w:val="24"/>
          <w:szCs w:val="24"/>
        </w:rPr>
        <w:t xml:space="preserve">f the </w:t>
      </w:r>
      <w:r w:rsidR="002E3A6B" w:rsidRPr="00864246">
        <w:rPr>
          <w:rFonts w:cs="Arial"/>
          <w:sz w:val="24"/>
          <w:szCs w:val="24"/>
        </w:rPr>
        <w:t>university</w:t>
      </w:r>
      <w:r w:rsidR="00E8660A" w:rsidRPr="00864246">
        <w:rPr>
          <w:rFonts w:cs="Arial"/>
          <w:sz w:val="24"/>
          <w:szCs w:val="24"/>
        </w:rPr>
        <w:t xml:space="preserve"> acts as </w:t>
      </w:r>
      <w:r w:rsidR="00C655B5" w:rsidRPr="00864246">
        <w:rPr>
          <w:rFonts w:cs="Arial"/>
          <w:sz w:val="24"/>
          <w:szCs w:val="24"/>
        </w:rPr>
        <w:t xml:space="preserve">a micro-site which is enabling </w:t>
      </w:r>
      <w:r w:rsidR="00E8660A" w:rsidRPr="00864246">
        <w:rPr>
          <w:rFonts w:cs="Arial"/>
          <w:sz w:val="24"/>
          <w:szCs w:val="24"/>
        </w:rPr>
        <w:t xml:space="preserve">of </w:t>
      </w:r>
      <w:r w:rsidR="00C655B5" w:rsidRPr="00864246">
        <w:rPr>
          <w:rFonts w:cs="Arial"/>
          <w:sz w:val="24"/>
          <w:szCs w:val="24"/>
        </w:rPr>
        <w:t xml:space="preserve">a </w:t>
      </w:r>
      <w:r w:rsidR="00E8660A" w:rsidRPr="00864246">
        <w:rPr>
          <w:rFonts w:cs="Arial"/>
          <w:sz w:val="24"/>
          <w:szCs w:val="24"/>
        </w:rPr>
        <w:t xml:space="preserve">transition or </w:t>
      </w:r>
      <w:r w:rsidR="00FB648D" w:rsidRPr="00864246">
        <w:rPr>
          <w:rFonts w:cs="Arial"/>
          <w:sz w:val="24"/>
          <w:szCs w:val="24"/>
        </w:rPr>
        <w:t xml:space="preserve">a </w:t>
      </w:r>
      <w:r w:rsidR="00100DEA" w:rsidRPr="00864246">
        <w:rPr>
          <w:rFonts w:cs="Arial"/>
          <w:sz w:val="24"/>
          <w:szCs w:val="24"/>
        </w:rPr>
        <w:t>‘</w:t>
      </w:r>
      <w:r w:rsidR="00E8660A" w:rsidRPr="00864246">
        <w:rPr>
          <w:rFonts w:cs="Arial"/>
          <w:sz w:val="24"/>
          <w:szCs w:val="24"/>
        </w:rPr>
        <w:t>turning point</w:t>
      </w:r>
      <w:r w:rsidR="00100DEA" w:rsidRPr="00864246">
        <w:rPr>
          <w:rFonts w:cs="Arial"/>
          <w:sz w:val="24"/>
          <w:szCs w:val="24"/>
        </w:rPr>
        <w:t>’</w:t>
      </w:r>
      <w:r w:rsidR="00E8660A" w:rsidRPr="00864246">
        <w:rPr>
          <w:rFonts w:cs="Arial"/>
          <w:sz w:val="24"/>
          <w:szCs w:val="24"/>
        </w:rPr>
        <w:t xml:space="preserve"> for social supply</w:t>
      </w:r>
      <w:r w:rsidR="00100DEA" w:rsidRPr="00864246">
        <w:rPr>
          <w:rFonts w:cs="Arial"/>
          <w:sz w:val="24"/>
          <w:szCs w:val="24"/>
        </w:rPr>
        <w:t>, this provides further indication that a large section of society could be considered increasingly vulnerable to being caught up</w:t>
      </w:r>
      <w:r w:rsidR="00D90F08" w:rsidRPr="00864246">
        <w:rPr>
          <w:rFonts w:cs="Arial"/>
          <w:sz w:val="24"/>
          <w:szCs w:val="24"/>
        </w:rPr>
        <w:t xml:space="preserve"> as ‘drug suppliers’</w:t>
      </w:r>
      <w:r w:rsidR="00100DEA" w:rsidRPr="00864246">
        <w:rPr>
          <w:rFonts w:cs="Arial"/>
          <w:sz w:val="24"/>
          <w:szCs w:val="24"/>
        </w:rPr>
        <w:t xml:space="preserve"> in legislation </w:t>
      </w:r>
      <w:r w:rsidR="00864246">
        <w:rPr>
          <w:rFonts w:cs="Arial"/>
          <w:sz w:val="24"/>
          <w:szCs w:val="24"/>
        </w:rPr>
        <w:t xml:space="preserve">arguably </w:t>
      </w:r>
      <w:r w:rsidR="00100DEA" w:rsidRPr="00864246">
        <w:rPr>
          <w:rFonts w:cs="Arial"/>
          <w:sz w:val="24"/>
          <w:szCs w:val="24"/>
        </w:rPr>
        <w:t>not designed for them in the first place</w:t>
      </w:r>
      <w:r w:rsidR="00B66321" w:rsidRPr="00864246">
        <w:rPr>
          <w:rFonts w:cs="Arial"/>
          <w:sz w:val="24"/>
          <w:szCs w:val="24"/>
        </w:rPr>
        <w:t xml:space="preserve"> (</w:t>
      </w:r>
      <w:r w:rsidR="000D3B70">
        <w:rPr>
          <w:rFonts w:cs="Arial"/>
          <w:sz w:val="24"/>
          <w:szCs w:val="24"/>
        </w:rPr>
        <w:t xml:space="preserve">see </w:t>
      </w:r>
      <w:r w:rsidR="00B66321" w:rsidRPr="00864246">
        <w:rPr>
          <w:rFonts w:cs="Arial"/>
          <w:sz w:val="24"/>
          <w:szCs w:val="24"/>
        </w:rPr>
        <w:t>Police Foundation, 2000</w:t>
      </w:r>
      <w:r w:rsidR="00864246">
        <w:rPr>
          <w:rFonts w:cs="Arial"/>
          <w:sz w:val="24"/>
          <w:szCs w:val="24"/>
        </w:rPr>
        <w:t>).</w:t>
      </w:r>
    </w:p>
    <w:p w14:paraId="138E7FBE" w14:textId="77777777" w:rsidR="007F2649" w:rsidRDefault="007F2649" w:rsidP="001861AC">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480" w:lineRule="auto"/>
        <w:ind w:right="567"/>
        <w:rPr>
          <w:rFonts w:cs="Arial"/>
          <w:b/>
          <w:sz w:val="24"/>
          <w:szCs w:val="24"/>
          <w:lang w:eastAsia="en-GB"/>
        </w:rPr>
      </w:pPr>
    </w:p>
    <w:p w14:paraId="5CC74DD9" w14:textId="77777777" w:rsidR="007F2649" w:rsidRDefault="007F2649" w:rsidP="001861AC">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480" w:lineRule="auto"/>
        <w:ind w:right="567"/>
        <w:rPr>
          <w:rFonts w:cs="Arial"/>
          <w:b/>
          <w:sz w:val="24"/>
          <w:szCs w:val="24"/>
          <w:lang w:eastAsia="en-GB"/>
        </w:rPr>
      </w:pPr>
    </w:p>
    <w:p w14:paraId="65027604" w14:textId="77777777" w:rsidR="007F2649" w:rsidRDefault="007F2649" w:rsidP="001861AC">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480" w:lineRule="auto"/>
        <w:ind w:right="567"/>
        <w:rPr>
          <w:rFonts w:cs="Arial"/>
          <w:b/>
          <w:sz w:val="24"/>
          <w:szCs w:val="24"/>
          <w:lang w:eastAsia="en-GB"/>
        </w:rPr>
      </w:pPr>
    </w:p>
    <w:p w14:paraId="302CAB59" w14:textId="77777777" w:rsidR="00D85899" w:rsidRDefault="00D85899" w:rsidP="001861AC">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480" w:lineRule="auto"/>
        <w:ind w:right="567"/>
        <w:rPr>
          <w:rFonts w:cs="Arial"/>
          <w:b/>
          <w:sz w:val="24"/>
          <w:szCs w:val="24"/>
          <w:lang w:eastAsia="en-GB"/>
        </w:rPr>
      </w:pPr>
    </w:p>
    <w:p w14:paraId="3CB645BB" w14:textId="77777777" w:rsidR="00D85899" w:rsidRDefault="00D85899" w:rsidP="001861AC">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480" w:lineRule="auto"/>
        <w:ind w:right="567"/>
        <w:rPr>
          <w:rFonts w:cs="Arial"/>
          <w:b/>
          <w:sz w:val="24"/>
          <w:szCs w:val="24"/>
          <w:lang w:eastAsia="en-GB"/>
        </w:rPr>
      </w:pPr>
    </w:p>
    <w:p w14:paraId="379DECF4" w14:textId="77777777" w:rsidR="00D85899" w:rsidRDefault="00D85899" w:rsidP="001861AC">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480" w:lineRule="auto"/>
        <w:ind w:right="567"/>
        <w:rPr>
          <w:rFonts w:cs="Arial"/>
          <w:b/>
          <w:sz w:val="24"/>
          <w:szCs w:val="24"/>
          <w:lang w:eastAsia="en-GB"/>
        </w:rPr>
      </w:pPr>
    </w:p>
    <w:p w14:paraId="40981433" w14:textId="77777777" w:rsidR="00D85899" w:rsidRDefault="00D85899" w:rsidP="001861AC">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480" w:lineRule="auto"/>
        <w:ind w:right="567"/>
        <w:rPr>
          <w:rFonts w:cs="Arial"/>
          <w:b/>
          <w:sz w:val="24"/>
          <w:szCs w:val="24"/>
          <w:lang w:eastAsia="en-GB"/>
        </w:rPr>
      </w:pPr>
    </w:p>
    <w:p w14:paraId="4D742818" w14:textId="26BF8DBE" w:rsidR="007115AA" w:rsidRPr="001861AC" w:rsidRDefault="00D11FB9" w:rsidP="00730B7D">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480" w:lineRule="auto"/>
        <w:ind w:right="567"/>
        <w:outlineLvl w:val="0"/>
        <w:rPr>
          <w:rFonts w:cs="Arial"/>
          <w:b/>
          <w:sz w:val="24"/>
          <w:szCs w:val="24"/>
          <w:lang w:eastAsia="en-GB"/>
        </w:rPr>
      </w:pPr>
      <w:r w:rsidRPr="00864246">
        <w:rPr>
          <w:rFonts w:cs="Arial"/>
          <w:b/>
          <w:sz w:val="24"/>
          <w:szCs w:val="24"/>
          <w:lang w:eastAsia="en-GB"/>
        </w:rPr>
        <w:t>References</w:t>
      </w:r>
    </w:p>
    <w:p w14:paraId="7C32FB01" w14:textId="77777777" w:rsidR="007115AA" w:rsidRDefault="007115AA" w:rsidP="00AE1907">
      <w:pPr>
        <w:spacing w:after="0" w:line="240" w:lineRule="auto"/>
        <w:jc w:val="left"/>
        <w:rPr>
          <w:rFonts w:eastAsia="Times New Roman" w:cs="Arial"/>
          <w:color w:val="222222"/>
          <w:sz w:val="24"/>
          <w:szCs w:val="24"/>
          <w:shd w:val="clear" w:color="auto" w:fill="FFFFFF"/>
          <w:lang w:val="en-US"/>
        </w:rPr>
      </w:pPr>
      <w:r w:rsidRPr="00864246">
        <w:rPr>
          <w:rFonts w:eastAsia="Times New Roman" w:cs="Arial"/>
          <w:color w:val="222222"/>
          <w:sz w:val="24"/>
          <w:szCs w:val="24"/>
          <w:shd w:val="clear" w:color="auto" w:fill="FFFFFF"/>
          <w:lang w:val="en-US"/>
        </w:rPr>
        <w:t>Aldridge, J., Measham, F., &amp; Williams, L. (2013). </w:t>
      </w:r>
      <w:r w:rsidRPr="00864246">
        <w:rPr>
          <w:rFonts w:eastAsia="Times New Roman" w:cs="Arial"/>
          <w:i/>
          <w:iCs/>
          <w:color w:val="222222"/>
          <w:sz w:val="24"/>
          <w:szCs w:val="24"/>
          <w:shd w:val="clear" w:color="auto" w:fill="FFFFFF"/>
          <w:lang w:val="en-US"/>
        </w:rPr>
        <w:t>Illegal leisure revisited: Changing patterns of alcohol and drug use in adolescents and young adults</w:t>
      </w:r>
      <w:r w:rsidRPr="00864246">
        <w:rPr>
          <w:rFonts w:eastAsia="Times New Roman" w:cs="Arial"/>
          <w:color w:val="222222"/>
          <w:sz w:val="24"/>
          <w:szCs w:val="24"/>
          <w:shd w:val="clear" w:color="auto" w:fill="FFFFFF"/>
          <w:lang w:val="en-US"/>
        </w:rPr>
        <w:t>. Abingdon: Routledge.</w:t>
      </w:r>
    </w:p>
    <w:p w14:paraId="29C5FB08" w14:textId="77777777" w:rsidR="00476FB5" w:rsidRDefault="00476FB5" w:rsidP="00AE1907">
      <w:pPr>
        <w:spacing w:after="0" w:line="240" w:lineRule="auto"/>
        <w:jc w:val="left"/>
        <w:rPr>
          <w:rFonts w:eastAsia="Times New Roman" w:cs="Arial"/>
          <w:color w:val="222222"/>
          <w:sz w:val="24"/>
          <w:szCs w:val="24"/>
          <w:shd w:val="clear" w:color="auto" w:fill="FFFFFF"/>
          <w:lang w:val="en-US"/>
        </w:rPr>
      </w:pPr>
    </w:p>
    <w:p w14:paraId="1AB7F7C9" w14:textId="6C101700" w:rsidR="0073618B" w:rsidRPr="0073618B" w:rsidRDefault="0073618B" w:rsidP="0073618B">
      <w:pPr>
        <w:spacing w:after="0" w:line="240" w:lineRule="auto"/>
        <w:jc w:val="left"/>
        <w:textAlignment w:val="baseline"/>
        <w:rPr>
          <w:rFonts w:eastAsia="Times New Roman" w:cs="Arial"/>
          <w:color w:val="111111"/>
          <w:sz w:val="24"/>
          <w:szCs w:val="20"/>
          <w:lang w:eastAsia="en-GB"/>
        </w:rPr>
      </w:pPr>
      <w:r w:rsidRPr="0073618B">
        <w:rPr>
          <w:rFonts w:eastAsia="Times New Roman" w:cs="Arial"/>
          <w:color w:val="111111"/>
          <w:sz w:val="24"/>
          <w:szCs w:val="20"/>
          <w:lang w:eastAsia="en-GB"/>
        </w:rPr>
        <w:t>Barton, A., Coomber, R. Tidy, R. and Husk, K. (2013) </w:t>
      </w:r>
      <w:r w:rsidRPr="0073618B">
        <w:rPr>
          <w:rFonts w:eastAsia="Times New Roman" w:cs="Arial"/>
          <w:i/>
          <w:iCs/>
          <w:color w:val="111111"/>
          <w:sz w:val="24"/>
          <w:szCs w:val="20"/>
          <w:bdr w:val="none" w:sz="0" w:space="0" w:color="auto" w:frame="1"/>
          <w:lang w:eastAsia="en-GB"/>
        </w:rPr>
        <w:t>Students and Alcohol: An Exploration of the Student Experience and the University as a Risk Environment</w:t>
      </w:r>
      <w:r w:rsidRPr="0073618B">
        <w:rPr>
          <w:rFonts w:eastAsia="Times New Roman" w:cs="Arial"/>
          <w:color w:val="111111"/>
          <w:sz w:val="24"/>
          <w:szCs w:val="20"/>
          <w:lang w:eastAsia="en-GB"/>
        </w:rPr>
        <w:t>, Drug and Alcohol Research Unit /</w:t>
      </w:r>
      <w:r>
        <w:rPr>
          <w:rFonts w:eastAsia="Times New Roman" w:cs="Arial"/>
          <w:color w:val="111111"/>
          <w:sz w:val="24"/>
          <w:szCs w:val="20"/>
          <w:lang w:eastAsia="en-GB"/>
        </w:rPr>
        <w:t xml:space="preserve"> Plymouth University. August. P.</w:t>
      </w:r>
      <w:r w:rsidRPr="0073618B">
        <w:rPr>
          <w:rFonts w:eastAsia="Times New Roman" w:cs="Arial"/>
          <w:color w:val="111111"/>
          <w:sz w:val="24"/>
          <w:szCs w:val="20"/>
          <w:lang w:eastAsia="en-GB"/>
        </w:rPr>
        <w:t>30.</w:t>
      </w:r>
    </w:p>
    <w:p w14:paraId="4AD450D8" w14:textId="77777777" w:rsidR="00FB62E0" w:rsidRPr="00864246" w:rsidRDefault="00FB62E0" w:rsidP="00AE1907">
      <w:pPr>
        <w:spacing w:after="0" w:line="240" w:lineRule="auto"/>
        <w:jc w:val="left"/>
        <w:rPr>
          <w:rFonts w:eastAsia="Times New Roman" w:cs="Arial"/>
          <w:color w:val="333333"/>
          <w:sz w:val="24"/>
          <w:szCs w:val="24"/>
          <w:lang w:val="en-US"/>
        </w:rPr>
      </w:pPr>
    </w:p>
    <w:p w14:paraId="4E2E557F" w14:textId="77777777" w:rsidR="00FB62E0" w:rsidRPr="00864246" w:rsidRDefault="00FB62E0" w:rsidP="00AE1907">
      <w:pPr>
        <w:spacing w:after="0" w:line="240" w:lineRule="auto"/>
        <w:jc w:val="left"/>
        <w:rPr>
          <w:rFonts w:eastAsia="Times New Roman" w:cs="Arial"/>
          <w:color w:val="222222"/>
          <w:sz w:val="24"/>
          <w:szCs w:val="24"/>
          <w:shd w:val="clear" w:color="auto" w:fill="FFFFFF"/>
          <w:lang w:val="en-US"/>
        </w:rPr>
      </w:pPr>
      <w:r w:rsidRPr="00864246">
        <w:rPr>
          <w:rFonts w:eastAsia="Times New Roman" w:cs="Arial"/>
          <w:color w:val="222222"/>
          <w:sz w:val="24"/>
          <w:szCs w:val="24"/>
          <w:shd w:val="clear" w:color="auto" w:fill="FFFFFF"/>
          <w:lang w:val="en-US"/>
        </w:rPr>
        <w:lastRenderedPageBreak/>
        <w:t>Belackova, V., &amp; Zabransky, T. (2016). “Friendly” marijuana markets in the Czech Republic and in the US–drug policy outcomes and risks. In </w:t>
      </w:r>
      <w:r w:rsidRPr="00864246">
        <w:rPr>
          <w:rFonts w:eastAsia="Times New Roman" w:cs="Arial"/>
          <w:i/>
          <w:iCs/>
          <w:color w:val="222222"/>
          <w:sz w:val="24"/>
          <w:szCs w:val="24"/>
          <w:shd w:val="clear" w:color="auto" w:fill="FFFFFF"/>
          <w:lang w:val="en-US"/>
        </w:rPr>
        <w:t>Friendly Business</w:t>
      </w:r>
      <w:r w:rsidRPr="00864246">
        <w:rPr>
          <w:rFonts w:eastAsia="Times New Roman" w:cs="Arial"/>
          <w:color w:val="222222"/>
          <w:sz w:val="24"/>
          <w:szCs w:val="24"/>
          <w:shd w:val="clear" w:color="auto" w:fill="FFFFFF"/>
          <w:lang w:val="en-US"/>
        </w:rPr>
        <w:t> (pp. 47-70). Frankfurt: Springer VS</w:t>
      </w:r>
    </w:p>
    <w:p w14:paraId="6292B99C" w14:textId="77777777" w:rsidR="0024237E" w:rsidRPr="00864246" w:rsidRDefault="0024237E" w:rsidP="00AE1907">
      <w:pPr>
        <w:spacing w:after="0" w:line="240" w:lineRule="auto"/>
        <w:jc w:val="left"/>
        <w:rPr>
          <w:rFonts w:eastAsia="Times New Roman" w:cs="Arial"/>
          <w:color w:val="222222"/>
          <w:sz w:val="24"/>
          <w:szCs w:val="24"/>
          <w:shd w:val="clear" w:color="auto" w:fill="FFFFFF"/>
          <w:lang w:val="en-US"/>
        </w:rPr>
      </w:pPr>
    </w:p>
    <w:p w14:paraId="31E772A9" w14:textId="77777777" w:rsidR="0024237E" w:rsidRPr="00864246" w:rsidRDefault="0024237E" w:rsidP="00AE1907">
      <w:pPr>
        <w:spacing w:after="0" w:line="240" w:lineRule="auto"/>
        <w:jc w:val="left"/>
        <w:rPr>
          <w:rFonts w:eastAsia="Times New Roman" w:cs="Arial"/>
          <w:sz w:val="24"/>
          <w:szCs w:val="24"/>
          <w:lang w:val="en-US"/>
        </w:rPr>
      </w:pPr>
      <w:r w:rsidRPr="00864246">
        <w:rPr>
          <w:rFonts w:eastAsia="Times New Roman" w:cs="Arial"/>
          <w:color w:val="222222"/>
          <w:sz w:val="24"/>
          <w:szCs w:val="24"/>
          <w:shd w:val="clear" w:color="auto" w:fill="FFFFFF"/>
          <w:lang w:val="en-US"/>
        </w:rPr>
        <w:t>Bennett, T. H. (2014). Differences in the age</w:t>
      </w:r>
      <w:r w:rsidRPr="00864246">
        <w:rPr>
          <w:rFonts w:ascii="Calibri" w:hAnsi="Calibri" w:cs="Calibri"/>
          <w:color w:val="222222"/>
          <w:sz w:val="24"/>
          <w:szCs w:val="24"/>
          <w:shd w:val="clear" w:color="auto" w:fill="FFFFFF"/>
          <w:lang w:val="en-US"/>
        </w:rPr>
        <w:t>‐</w:t>
      </w:r>
      <w:r w:rsidRPr="00864246">
        <w:rPr>
          <w:rFonts w:eastAsia="Times New Roman" w:cs="Arial"/>
          <w:color w:val="222222"/>
          <w:sz w:val="24"/>
          <w:szCs w:val="24"/>
          <w:shd w:val="clear" w:color="auto" w:fill="FFFFFF"/>
          <w:lang w:val="en-US"/>
        </w:rPr>
        <w:t>drug use curve among students and non</w:t>
      </w:r>
      <w:r w:rsidRPr="00864246">
        <w:rPr>
          <w:rFonts w:ascii="Calibri" w:hAnsi="Calibri" w:cs="Calibri"/>
          <w:color w:val="222222"/>
          <w:sz w:val="24"/>
          <w:szCs w:val="24"/>
          <w:shd w:val="clear" w:color="auto" w:fill="FFFFFF"/>
          <w:lang w:val="en-US"/>
        </w:rPr>
        <w:t>‐</w:t>
      </w:r>
      <w:r w:rsidRPr="00864246">
        <w:rPr>
          <w:rFonts w:eastAsia="Times New Roman" w:cs="Arial"/>
          <w:color w:val="222222"/>
          <w:sz w:val="24"/>
          <w:szCs w:val="24"/>
          <w:shd w:val="clear" w:color="auto" w:fill="FFFFFF"/>
          <w:lang w:val="en-US"/>
        </w:rPr>
        <w:t>students in the UK. </w:t>
      </w:r>
      <w:r w:rsidRPr="00864246">
        <w:rPr>
          <w:rFonts w:eastAsia="Times New Roman" w:cs="Arial"/>
          <w:i/>
          <w:iCs/>
          <w:color w:val="222222"/>
          <w:sz w:val="24"/>
          <w:szCs w:val="24"/>
          <w:shd w:val="clear" w:color="auto" w:fill="FFFFFF"/>
          <w:lang w:val="en-US"/>
        </w:rPr>
        <w:t>Drug and alcohol review</w:t>
      </w:r>
      <w:r w:rsidRPr="00864246">
        <w:rPr>
          <w:rFonts w:eastAsia="Times New Roman" w:cs="Arial"/>
          <w:color w:val="222222"/>
          <w:sz w:val="24"/>
          <w:szCs w:val="24"/>
          <w:shd w:val="clear" w:color="auto" w:fill="FFFFFF"/>
          <w:lang w:val="en-US"/>
        </w:rPr>
        <w:t>, </w:t>
      </w:r>
      <w:r w:rsidRPr="00864246">
        <w:rPr>
          <w:rFonts w:eastAsia="Times New Roman" w:cs="Arial"/>
          <w:i/>
          <w:iCs/>
          <w:color w:val="222222"/>
          <w:sz w:val="24"/>
          <w:szCs w:val="24"/>
          <w:shd w:val="clear" w:color="auto" w:fill="FFFFFF"/>
          <w:lang w:val="en-US"/>
        </w:rPr>
        <w:t>33</w:t>
      </w:r>
      <w:r w:rsidRPr="00864246">
        <w:rPr>
          <w:rFonts w:eastAsia="Times New Roman" w:cs="Arial"/>
          <w:color w:val="222222"/>
          <w:sz w:val="24"/>
          <w:szCs w:val="24"/>
          <w:shd w:val="clear" w:color="auto" w:fill="FFFFFF"/>
          <w:lang w:val="en-US"/>
        </w:rPr>
        <w:t>(3), 280-286.</w:t>
      </w:r>
    </w:p>
    <w:p w14:paraId="172680D5" w14:textId="77777777" w:rsidR="00F1513D" w:rsidRPr="00864246" w:rsidRDefault="00F1513D" w:rsidP="00AE1907">
      <w:pPr>
        <w:spacing w:after="0" w:line="240" w:lineRule="auto"/>
        <w:jc w:val="left"/>
        <w:rPr>
          <w:rFonts w:eastAsia="Times New Roman" w:cs="Arial"/>
          <w:color w:val="333333"/>
          <w:sz w:val="24"/>
          <w:szCs w:val="24"/>
          <w:lang w:val="en-US"/>
        </w:rPr>
      </w:pPr>
    </w:p>
    <w:p w14:paraId="3B293123" w14:textId="77777777" w:rsidR="00F1513D" w:rsidRPr="00864246" w:rsidRDefault="00F1513D" w:rsidP="00F1513D">
      <w:pPr>
        <w:spacing w:after="0" w:line="240" w:lineRule="auto"/>
        <w:jc w:val="left"/>
        <w:rPr>
          <w:rFonts w:eastAsia="Times New Roman" w:cs="Arial"/>
          <w:color w:val="333333"/>
          <w:sz w:val="24"/>
          <w:szCs w:val="24"/>
          <w:lang w:val="en-US"/>
        </w:rPr>
      </w:pPr>
      <w:r w:rsidRPr="00864246">
        <w:rPr>
          <w:rFonts w:eastAsia="Times New Roman" w:cs="Arial"/>
          <w:color w:val="333333"/>
          <w:sz w:val="24"/>
          <w:szCs w:val="24"/>
          <w:lang w:val="en-US"/>
        </w:rPr>
        <w:t>Bennett, T., &amp; Holloway, K. (2017). Motives for illicit prescription drug use among university students: A systematic review and meta-analysis. </w:t>
      </w:r>
      <w:r w:rsidRPr="00864246">
        <w:rPr>
          <w:rFonts w:eastAsia="Times New Roman" w:cs="Arial"/>
          <w:i/>
          <w:iCs/>
          <w:color w:val="333333"/>
          <w:sz w:val="24"/>
          <w:szCs w:val="24"/>
          <w:lang w:val="en-US"/>
        </w:rPr>
        <w:t>International Journal of Drug Policy</w:t>
      </w:r>
      <w:r w:rsidRPr="00864246">
        <w:rPr>
          <w:rFonts w:eastAsia="Times New Roman" w:cs="Arial"/>
          <w:color w:val="333333"/>
          <w:sz w:val="24"/>
          <w:szCs w:val="24"/>
          <w:lang w:val="en-US"/>
        </w:rPr>
        <w:t>, </w:t>
      </w:r>
      <w:r w:rsidRPr="00864246">
        <w:rPr>
          <w:rFonts w:eastAsia="Times New Roman" w:cs="Arial"/>
          <w:i/>
          <w:iCs/>
          <w:color w:val="333333"/>
          <w:sz w:val="24"/>
          <w:szCs w:val="24"/>
          <w:lang w:val="en-US"/>
        </w:rPr>
        <w:t>44</w:t>
      </w:r>
      <w:r w:rsidRPr="00864246">
        <w:rPr>
          <w:rFonts w:eastAsia="Times New Roman" w:cs="Arial"/>
          <w:color w:val="333333"/>
          <w:sz w:val="24"/>
          <w:szCs w:val="24"/>
          <w:lang w:val="en-US"/>
        </w:rPr>
        <w:t>, 12-22.</w:t>
      </w:r>
    </w:p>
    <w:p w14:paraId="364EE9AD" w14:textId="77777777" w:rsidR="008F5345" w:rsidRPr="00864246" w:rsidRDefault="008F5345" w:rsidP="00F1513D">
      <w:pPr>
        <w:spacing w:after="0" w:line="240" w:lineRule="auto"/>
        <w:jc w:val="left"/>
        <w:rPr>
          <w:rFonts w:eastAsia="Times New Roman" w:cs="Arial"/>
          <w:color w:val="333333"/>
          <w:sz w:val="24"/>
          <w:szCs w:val="24"/>
          <w:lang w:val="en-US"/>
        </w:rPr>
      </w:pPr>
    </w:p>
    <w:p w14:paraId="0C676326" w14:textId="30D8B5F9" w:rsidR="00F1513D" w:rsidRPr="00864246" w:rsidRDefault="008F5345" w:rsidP="00AE1907">
      <w:pPr>
        <w:spacing w:after="0" w:line="240" w:lineRule="auto"/>
        <w:jc w:val="left"/>
        <w:rPr>
          <w:rFonts w:eastAsia="Times New Roman" w:cs="Arial"/>
          <w:color w:val="333333"/>
          <w:sz w:val="24"/>
          <w:szCs w:val="24"/>
          <w:lang w:val="en-US"/>
        </w:rPr>
      </w:pPr>
      <w:r w:rsidRPr="00864246">
        <w:rPr>
          <w:rFonts w:eastAsia="Times New Roman" w:cs="Arial"/>
          <w:color w:val="333333"/>
          <w:sz w:val="24"/>
          <w:szCs w:val="24"/>
          <w:lang w:val="en-US"/>
        </w:rPr>
        <w:t xml:space="preserve">Blum, RH and Associates (1972) </w:t>
      </w:r>
      <w:r w:rsidR="00CA6089">
        <w:rPr>
          <w:rFonts w:eastAsia="Times New Roman" w:cs="Arial"/>
          <w:i/>
          <w:color w:val="333333"/>
          <w:sz w:val="24"/>
          <w:szCs w:val="24"/>
          <w:lang w:val="en-US"/>
        </w:rPr>
        <w:t>The Dream S</w:t>
      </w:r>
      <w:r w:rsidRPr="00CA6089">
        <w:rPr>
          <w:rFonts w:eastAsia="Times New Roman" w:cs="Arial"/>
          <w:i/>
          <w:color w:val="333333"/>
          <w:sz w:val="24"/>
          <w:szCs w:val="24"/>
          <w:lang w:val="en-US"/>
        </w:rPr>
        <w:t>ellers</w:t>
      </w:r>
      <w:r w:rsidRPr="00864246">
        <w:rPr>
          <w:rFonts w:eastAsia="Times New Roman" w:cs="Arial"/>
          <w:color w:val="333333"/>
          <w:sz w:val="24"/>
          <w:szCs w:val="24"/>
          <w:lang w:val="en-US"/>
        </w:rPr>
        <w:t xml:space="preserve">. San Francisco: Jossey-Bass Inc </w:t>
      </w:r>
    </w:p>
    <w:p w14:paraId="6A681EFF" w14:textId="77777777" w:rsidR="006C1E3A" w:rsidRDefault="006C1E3A" w:rsidP="00AE1907">
      <w:pPr>
        <w:spacing w:after="0" w:line="240" w:lineRule="auto"/>
        <w:jc w:val="left"/>
        <w:rPr>
          <w:rFonts w:eastAsia="Times New Roman" w:cs="Arial"/>
          <w:sz w:val="24"/>
          <w:szCs w:val="24"/>
          <w:lang w:val="en-US"/>
        </w:rPr>
      </w:pPr>
    </w:p>
    <w:p w14:paraId="390489C0" w14:textId="7D7122CE" w:rsidR="00171DE9" w:rsidRPr="00171DE9" w:rsidRDefault="00171DE9" w:rsidP="00171DE9">
      <w:pPr>
        <w:spacing w:after="0" w:line="240" w:lineRule="auto"/>
        <w:jc w:val="left"/>
        <w:rPr>
          <w:rFonts w:eastAsia="Times New Roman" w:cs="Arial"/>
          <w:sz w:val="24"/>
          <w:szCs w:val="24"/>
        </w:rPr>
      </w:pPr>
      <w:r w:rsidRPr="00171DE9">
        <w:rPr>
          <w:rFonts w:eastAsia="Times New Roman" w:cs="Arial"/>
          <w:sz w:val="24"/>
          <w:szCs w:val="24"/>
        </w:rPr>
        <w:t>Bottoms, A. E. (2007). Pl</w:t>
      </w:r>
      <w:r w:rsidR="0063076A">
        <w:rPr>
          <w:rFonts w:eastAsia="Times New Roman" w:cs="Arial"/>
          <w:sz w:val="24"/>
          <w:szCs w:val="24"/>
        </w:rPr>
        <w:t>ace, space, crime, and disorder in M. Maguire, R. Morgan amd R. Reiner.</w:t>
      </w:r>
      <w:r w:rsidRPr="00171DE9">
        <w:rPr>
          <w:rFonts w:eastAsia="Times New Roman" w:cs="Arial"/>
          <w:sz w:val="24"/>
          <w:szCs w:val="24"/>
        </w:rPr>
        <w:t> </w:t>
      </w:r>
      <w:r w:rsidRPr="00171DE9">
        <w:rPr>
          <w:rFonts w:eastAsia="Times New Roman" w:cs="Arial"/>
          <w:i/>
          <w:iCs/>
          <w:sz w:val="24"/>
          <w:szCs w:val="24"/>
        </w:rPr>
        <w:t>The Oxford handbook of criminology</w:t>
      </w:r>
      <w:r w:rsidRPr="00171DE9">
        <w:rPr>
          <w:rFonts w:eastAsia="Times New Roman" w:cs="Arial"/>
          <w:sz w:val="24"/>
          <w:szCs w:val="24"/>
        </w:rPr>
        <w:t>, 528-574.</w:t>
      </w:r>
    </w:p>
    <w:p w14:paraId="210A9897" w14:textId="77777777" w:rsidR="00171DE9" w:rsidRPr="00864246" w:rsidRDefault="00171DE9" w:rsidP="00AE1907">
      <w:pPr>
        <w:spacing w:after="0" w:line="240" w:lineRule="auto"/>
        <w:jc w:val="left"/>
        <w:rPr>
          <w:rFonts w:eastAsia="Times New Roman" w:cs="Arial"/>
          <w:sz w:val="24"/>
          <w:szCs w:val="24"/>
          <w:lang w:val="en-US"/>
        </w:rPr>
      </w:pPr>
    </w:p>
    <w:p w14:paraId="377A0131" w14:textId="77777777" w:rsidR="008F5345" w:rsidRPr="00864246" w:rsidRDefault="008F5345" w:rsidP="00AE1907">
      <w:pPr>
        <w:spacing w:after="0" w:line="240" w:lineRule="auto"/>
        <w:jc w:val="left"/>
        <w:rPr>
          <w:rFonts w:eastAsia="Times New Roman" w:cs="Arial"/>
          <w:sz w:val="24"/>
          <w:szCs w:val="24"/>
          <w:lang w:val="en-US"/>
        </w:rPr>
      </w:pPr>
      <w:r w:rsidRPr="00864246">
        <w:rPr>
          <w:rFonts w:eastAsia="Times New Roman" w:cs="Arial"/>
          <w:color w:val="222222"/>
          <w:sz w:val="24"/>
          <w:szCs w:val="24"/>
          <w:shd w:val="clear" w:color="auto" w:fill="FFFFFF"/>
          <w:lang w:val="en-US"/>
        </w:rPr>
        <w:t>Cohen, L. E., &amp; Felson, M. (1979). Social change and crime rate trends: A routine activity approach. </w:t>
      </w:r>
      <w:r w:rsidRPr="00864246">
        <w:rPr>
          <w:rFonts w:eastAsia="Times New Roman" w:cs="Arial"/>
          <w:i/>
          <w:iCs/>
          <w:color w:val="222222"/>
          <w:sz w:val="24"/>
          <w:szCs w:val="24"/>
          <w:shd w:val="clear" w:color="auto" w:fill="FFFFFF"/>
          <w:lang w:val="en-US"/>
        </w:rPr>
        <w:t>American sociological review</w:t>
      </w:r>
      <w:r w:rsidRPr="00864246">
        <w:rPr>
          <w:rFonts w:eastAsia="Times New Roman" w:cs="Arial"/>
          <w:color w:val="222222"/>
          <w:sz w:val="24"/>
          <w:szCs w:val="24"/>
          <w:shd w:val="clear" w:color="auto" w:fill="FFFFFF"/>
          <w:lang w:val="en-US"/>
        </w:rPr>
        <w:t>, 588-608.</w:t>
      </w:r>
    </w:p>
    <w:p w14:paraId="667A1F00" w14:textId="77777777" w:rsidR="00044291" w:rsidRPr="00864246" w:rsidRDefault="00044291" w:rsidP="00A96114">
      <w:pPr>
        <w:spacing w:after="0" w:line="240" w:lineRule="auto"/>
        <w:jc w:val="left"/>
        <w:rPr>
          <w:rFonts w:eastAsia="Times New Roman" w:cs="Arial"/>
          <w:color w:val="222222"/>
          <w:sz w:val="24"/>
          <w:szCs w:val="24"/>
          <w:shd w:val="clear" w:color="auto" w:fill="FFFFFF"/>
          <w:lang w:val="en-US"/>
        </w:rPr>
      </w:pPr>
    </w:p>
    <w:p w14:paraId="16D8BB07" w14:textId="77777777" w:rsidR="00044291" w:rsidRPr="00864246" w:rsidRDefault="00044291" w:rsidP="00044291">
      <w:pPr>
        <w:spacing w:after="0" w:line="240" w:lineRule="auto"/>
        <w:jc w:val="left"/>
        <w:rPr>
          <w:rFonts w:eastAsia="Times New Roman" w:cs="Arial"/>
          <w:sz w:val="24"/>
          <w:szCs w:val="24"/>
          <w:lang w:val="en-US"/>
        </w:rPr>
      </w:pPr>
      <w:r w:rsidRPr="00864246">
        <w:rPr>
          <w:rFonts w:eastAsia="Times New Roman" w:cs="Arial"/>
          <w:color w:val="222222"/>
          <w:sz w:val="24"/>
          <w:szCs w:val="24"/>
          <w:shd w:val="clear" w:color="auto" w:fill="FFFFFF"/>
          <w:lang w:val="en-US"/>
        </w:rPr>
        <w:t>Dilkes-Frayne, E. (2016). Drugs at the campsite: Socio-spatial relations and drug use at music festivals. </w:t>
      </w:r>
      <w:r w:rsidRPr="00864246">
        <w:rPr>
          <w:rFonts w:eastAsia="Times New Roman" w:cs="Arial"/>
          <w:i/>
          <w:iCs/>
          <w:color w:val="222222"/>
          <w:sz w:val="24"/>
          <w:szCs w:val="24"/>
          <w:shd w:val="clear" w:color="auto" w:fill="FFFFFF"/>
          <w:lang w:val="en-US"/>
        </w:rPr>
        <w:t>International Journal of Drug Policy</w:t>
      </w:r>
      <w:r w:rsidRPr="00864246">
        <w:rPr>
          <w:rFonts w:eastAsia="Times New Roman" w:cs="Arial"/>
          <w:color w:val="222222"/>
          <w:sz w:val="24"/>
          <w:szCs w:val="24"/>
          <w:shd w:val="clear" w:color="auto" w:fill="FFFFFF"/>
          <w:lang w:val="en-US"/>
        </w:rPr>
        <w:t>, </w:t>
      </w:r>
      <w:r w:rsidRPr="00864246">
        <w:rPr>
          <w:rFonts w:eastAsia="Times New Roman" w:cs="Arial"/>
          <w:i/>
          <w:iCs/>
          <w:color w:val="222222"/>
          <w:sz w:val="24"/>
          <w:szCs w:val="24"/>
          <w:shd w:val="clear" w:color="auto" w:fill="FFFFFF"/>
          <w:lang w:val="en-US"/>
        </w:rPr>
        <w:t>33</w:t>
      </w:r>
      <w:r w:rsidRPr="00864246">
        <w:rPr>
          <w:rFonts w:eastAsia="Times New Roman" w:cs="Arial"/>
          <w:color w:val="222222"/>
          <w:sz w:val="24"/>
          <w:szCs w:val="24"/>
          <w:shd w:val="clear" w:color="auto" w:fill="FFFFFF"/>
          <w:lang w:val="en-US"/>
        </w:rPr>
        <w:t>, 27-35.</w:t>
      </w:r>
    </w:p>
    <w:p w14:paraId="297F8BD4" w14:textId="77777777" w:rsidR="00E02E4C" w:rsidRPr="00864246" w:rsidRDefault="00E02E4C" w:rsidP="00A96114">
      <w:pPr>
        <w:spacing w:after="0" w:line="240" w:lineRule="auto"/>
        <w:jc w:val="left"/>
        <w:rPr>
          <w:rFonts w:eastAsia="Times New Roman" w:cs="Arial"/>
          <w:color w:val="222222"/>
          <w:sz w:val="24"/>
          <w:szCs w:val="24"/>
          <w:shd w:val="clear" w:color="auto" w:fill="FFFFFF"/>
          <w:lang w:val="en-US"/>
        </w:rPr>
      </w:pPr>
    </w:p>
    <w:p w14:paraId="3EC2A36B" w14:textId="77777777" w:rsidR="005B5126" w:rsidRPr="00864246" w:rsidRDefault="005B5126" w:rsidP="001B1888">
      <w:pPr>
        <w:autoSpaceDE w:val="0"/>
        <w:autoSpaceDN w:val="0"/>
        <w:adjustRightInd w:val="0"/>
        <w:spacing w:after="0" w:line="240" w:lineRule="auto"/>
        <w:jc w:val="left"/>
        <w:rPr>
          <w:rFonts w:cs="Arial"/>
          <w:sz w:val="24"/>
          <w:szCs w:val="24"/>
          <w:lang w:eastAsia="en-GB"/>
        </w:rPr>
      </w:pPr>
    </w:p>
    <w:p w14:paraId="4C04143D" w14:textId="7FA52273" w:rsidR="00875F79" w:rsidRPr="00864246" w:rsidRDefault="00650018" w:rsidP="001B1888">
      <w:pPr>
        <w:autoSpaceDE w:val="0"/>
        <w:autoSpaceDN w:val="0"/>
        <w:adjustRightInd w:val="0"/>
        <w:spacing w:after="0" w:line="240" w:lineRule="auto"/>
        <w:jc w:val="left"/>
        <w:rPr>
          <w:rFonts w:cs="Arial"/>
          <w:sz w:val="24"/>
          <w:szCs w:val="24"/>
          <w:lang w:eastAsia="en-GB"/>
        </w:rPr>
      </w:pPr>
      <w:r w:rsidRPr="00864246">
        <w:rPr>
          <w:rFonts w:cs="Arial"/>
          <w:sz w:val="24"/>
          <w:szCs w:val="24"/>
          <w:lang w:eastAsia="en-GB"/>
        </w:rPr>
        <w:t>Daly, M (2014) The Rise and Rise of Student drug dealers</w:t>
      </w:r>
      <w:r w:rsidR="000D3B70">
        <w:rPr>
          <w:rFonts w:cs="Arial"/>
          <w:sz w:val="24"/>
          <w:szCs w:val="24"/>
          <w:lang w:eastAsia="en-GB"/>
        </w:rPr>
        <w:t xml:space="preserve">. Vice Online. Available at: </w:t>
      </w:r>
      <w:r w:rsidRPr="00864246">
        <w:rPr>
          <w:rFonts w:cs="Arial"/>
          <w:sz w:val="24"/>
          <w:szCs w:val="24"/>
          <w:lang w:eastAsia="en-GB"/>
        </w:rPr>
        <w:t xml:space="preserve"> </w:t>
      </w:r>
      <w:hyperlink r:id="rId7" w:history="1">
        <w:r w:rsidR="00B11294" w:rsidRPr="00864246">
          <w:rPr>
            <w:rStyle w:val="Hyperlink"/>
            <w:rFonts w:cs="Arial"/>
            <w:sz w:val="24"/>
            <w:szCs w:val="24"/>
            <w:lang w:eastAsia="en-GB"/>
          </w:rPr>
          <w:t>https://www.vice.com/en_dk/article/student-drug-dealers</w:t>
        </w:r>
      </w:hyperlink>
    </w:p>
    <w:p w14:paraId="4E970D5A" w14:textId="23A184E9" w:rsidR="0058626E" w:rsidRPr="00864246" w:rsidRDefault="0058626E" w:rsidP="0058626E">
      <w:pPr>
        <w:autoSpaceDE w:val="0"/>
        <w:autoSpaceDN w:val="0"/>
        <w:adjustRightInd w:val="0"/>
        <w:spacing w:after="0" w:line="240" w:lineRule="auto"/>
        <w:jc w:val="left"/>
        <w:rPr>
          <w:rFonts w:cs="Arial"/>
          <w:sz w:val="24"/>
          <w:szCs w:val="24"/>
          <w:lang w:val="en-US" w:eastAsia="en-GB"/>
        </w:rPr>
      </w:pPr>
    </w:p>
    <w:p w14:paraId="13E81C5A" w14:textId="77777777" w:rsidR="0058626E" w:rsidRPr="00864246" w:rsidRDefault="0058626E" w:rsidP="0058626E">
      <w:pPr>
        <w:autoSpaceDE w:val="0"/>
        <w:autoSpaceDN w:val="0"/>
        <w:adjustRightInd w:val="0"/>
        <w:spacing w:after="0" w:line="240" w:lineRule="auto"/>
        <w:jc w:val="left"/>
        <w:rPr>
          <w:rFonts w:cs="Arial"/>
          <w:sz w:val="24"/>
          <w:szCs w:val="24"/>
          <w:lang w:val="en-US" w:eastAsia="en-GB"/>
        </w:rPr>
      </w:pPr>
      <w:r w:rsidRPr="00864246">
        <w:rPr>
          <w:rFonts w:cs="Arial"/>
          <w:sz w:val="24"/>
          <w:szCs w:val="24"/>
          <w:lang w:val="en-US" w:eastAsia="en-GB"/>
        </w:rPr>
        <w:t xml:space="preserve">Dorn, N., &amp; South, N. (1990). Drug markets and law enforcement. British Journal of Criminology, 30(2), 171-188. </w:t>
      </w:r>
    </w:p>
    <w:p w14:paraId="4A945654" w14:textId="77777777" w:rsidR="00B11294" w:rsidRPr="00864246" w:rsidRDefault="00B11294" w:rsidP="001B1888">
      <w:pPr>
        <w:autoSpaceDE w:val="0"/>
        <w:autoSpaceDN w:val="0"/>
        <w:adjustRightInd w:val="0"/>
        <w:spacing w:after="0" w:line="240" w:lineRule="auto"/>
        <w:jc w:val="left"/>
        <w:rPr>
          <w:rFonts w:cs="Arial"/>
          <w:sz w:val="24"/>
          <w:szCs w:val="24"/>
          <w:lang w:eastAsia="en-GB"/>
        </w:rPr>
      </w:pPr>
    </w:p>
    <w:p w14:paraId="37C09FBF" w14:textId="77777777" w:rsidR="00B11294" w:rsidRPr="00864246" w:rsidRDefault="00B11294" w:rsidP="001B1888">
      <w:pPr>
        <w:autoSpaceDE w:val="0"/>
        <w:autoSpaceDN w:val="0"/>
        <w:adjustRightInd w:val="0"/>
        <w:spacing w:after="0" w:line="240" w:lineRule="auto"/>
        <w:jc w:val="left"/>
        <w:rPr>
          <w:rFonts w:cs="Arial"/>
          <w:sz w:val="24"/>
          <w:szCs w:val="24"/>
          <w:lang w:eastAsia="en-GB"/>
        </w:rPr>
      </w:pPr>
      <w:r w:rsidRPr="00864246">
        <w:rPr>
          <w:rFonts w:cs="Arial"/>
          <w:sz w:val="24"/>
          <w:szCs w:val="24"/>
          <w:lang w:eastAsia="en-GB"/>
        </w:rPr>
        <w:t>Downes</w:t>
      </w:r>
      <w:r w:rsidR="00FB62E0" w:rsidRPr="00864246">
        <w:rPr>
          <w:rFonts w:cs="Arial"/>
          <w:sz w:val="24"/>
          <w:szCs w:val="24"/>
          <w:lang w:eastAsia="en-GB"/>
        </w:rPr>
        <w:t xml:space="preserve">, D and Rock, P (2003) Understanding Deviance: A guide to the sociology pf crime and rule breaking. Oxford: OUP. </w:t>
      </w:r>
    </w:p>
    <w:p w14:paraId="5CC95ADF" w14:textId="77777777" w:rsidR="00D85899" w:rsidRDefault="00D85899" w:rsidP="001C38B8">
      <w:pPr>
        <w:spacing w:after="0" w:line="240" w:lineRule="auto"/>
        <w:jc w:val="left"/>
        <w:rPr>
          <w:rFonts w:eastAsia="Times New Roman" w:cs="Arial"/>
          <w:color w:val="222222"/>
          <w:sz w:val="24"/>
          <w:szCs w:val="24"/>
          <w:shd w:val="clear" w:color="auto" w:fill="FFFFFF"/>
          <w:lang w:val="en-US"/>
        </w:rPr>
      </w:pPr>
    </w:p>
    <w:p w14:paraId="223B285A" w14:textId="77777777" w:rsidR="001C38B8" w:rsidRPr="00864246" w:rsidRDefault="001C38B8" w:rsidP="001C38B8">
      <w:pPr>
        <w:spacing w:after="0" w:line="240" w:lineRule="auto"/>
        <w:jc w:val="left"/>
        <w:rPr>
          <w:rFonts w:eastAsia="Times New Roman" w:cs="Arial"/>
          <w:color w:val="222222"/>
          <w:sz w:val="24"/>
          <w:szCs w:val="24"/>
          <w:shd w:val="clear" w:color="auto" w:fill="FFFFFF"/>
          <w:lang w:val="en-US"/>
        </w:rPr>
      </w:pPr>
      <w:r w:rsidRPr="00864246">
        <w:rPr>
          <w:rFonts w:eastAsia="Times New Roman" w:cs="Arial"/>
          <w:color w:val="222222"/>
          <w:sz w:val="24"/>
          <w:szCs w:val="24"/>
          <w:shd w:val="clear" w:color="auto" w:fill="FFFFFF"/>
          <w:lang w:val="en-US"/>
        </w:rPr>
        <w:t>Duff, C. (2007). Towards a theory of drug use contexts: Space, embodiment and practice. </w:t>
      </w:r>
      <w:r w:rsidRPr="00864246">
        <w:rPr>
          <w:rFonts w:eastAsia="Times New Roman" w:cs="Arial"/>
          <w:i/>
          <w:iCs/>
          <w:color w:val="222222"/>
          <w:sz w:val="24"/>
          <w:szCs w:val="24"/>
          <w:shd w:val="clear" w:color="auto" w:fill="FFFFFF"/>
          <w:lang w:val="en-US"/>
        </w:rPr>
        <w:t>Addiction Research &amp; Theory</w:t>
      </w:r>
      <w:r w:rsidRPr="00864246">
        <w:rPr>
          <w:rFonts w:eastAsia="Times New Roman" w:cs="Arial"/>
          <w:color w:val="222222"/>
          <w:sz w:val="24"/>
          <w:szCs w:val="24"/>
          <w:shd w:val="clear" w:color="auto" w:fill="FFFFFF"/>
          <w:lang w:val="en-US"/>
        </w:rPr>
        <w:t>, </w:t>
      </w:r>
      <w:r w:rsidRPr="00864246">
        <w:rPr>
          <w:rFonts w:eastAsia="Times New Roman" w:cs="Arial"/>
          <w:i/>
          <w:iCs/>
          <w:color w:val="222222"/>
          <w:sz w:val="24"/>
          <w:szCs w:val="24"/>
          <w:shd w:val="clear" w:color="auto" w:fill="FFFFFF"/>
          <w:lang w:val="en-US"/>
        </w:rPr>
        <w:t>15</w:t>
      </w:r>
      <w:r w:rsidRPr="00864246">
        <w:rPr>
          <w:rFonts w:eastAsia="Times New Roman" w:cs="Arial"/>
          <w:color w:val="222222"/>
          <w:sz w:val="24"/>
          <w:szCs w:val="24"/>
          <w:shd w:val="clear" w:color="auto" w:fill="FFFFFF"/>
          <w:lang w:val="en-US"/>
        </w:rPr>
        <w:t>(5), 503-519.</w:t>
      </w:r>
    </w:p>
    <w:p w14:paraId="3E8318FB" w14:textId="77777777" w:rsidR="00864246" w:rsidRPr="00864246" w:rsidRDefault="00864246" w:rsidP="00864246">
      <w:pPr>
        <w:spacing w:after="0" w:line="240" w:lineRule="auto"/>
        <w:rPr>
          <w:rFonts w:eastAsia="Times New Roman" w:cs="Arial"/>
          <w:color w:val="000000"/>
          <w:sz w:val="24"/>
          <w:szCs w:val="24"/>
          <w:lang w:val="en-US"/>
        </w:rPr>
      </w:pPr>
    </w:p>
    <w:p w14:paraId="7D278F62" w14:textId="4E71B1BB" w:rsidR="000D3B70" w:rsidRPr="00B34B52" w:rsidRDefault="003A1CA2" w:rsidP="00B34B52">
      <w:pPr>
        <w:spacing w:after="0" w:line="240" w:lineRule="auto"/>
        <w:jc w:val="left"/>
        <w:rPr>
          <w:rFonts w:eastAsia="Times New Roman" w:cs="Arial"/>
          <w:color w:val="222222"/>
          <w:sz w:val="24"/>
          <w:szCs w:val="24"/>
          <w:shd w:val="clear" w:color="auto" w:fill="FFFFFF"/>
          <w:lang w:val="en-US"/>
        </w:rPr>
      </w:pPr>
      <w:r w:rsidRPr="00864246">
        <w:rPr>
          <w:rFonts w:eastAsia="Times New Roman" w:cs="Arial"/>
          <w:color w:val="222222"/>
          <w:sz w:val="24"/>
          <w:szCs w:val="24"/>
          <w:shd w:val="clear" w:color="auto" w:fill="FFFFFF"/>
          <w:lang w:val="en-US"/>
        </w:rPr>
        <w:t>Farrington, D. P. (2003). Developmental and life</w:t>
      </w:r>
      <w:r w:rsidRPr="00864246">
        <w:rPr>
          <w:rFonts w:ascii="Calibri" w:hAnsi="Calibri" w:cs="Calibri"/>
          <w:color w:val="222222"/>
          <w:sz w:val="24"/>
          <w:szCs w:val="24"/>
          <w:shd w:val="clear" w:color="auto" w:fill="FFFFFF"/>
          <w:lang w:val="en-US"/>
        </w:rPr>
        <w:t>‐</w:t>
      </w:r>
      <w:r w:rsidRPr="00864246">
        <w:rPr>
          <w:rFonts w:eastAsia="Times New Roman" w:cs="Arial"/>
          <w:color w:val="222222"/>
          <w:sz w:val="24"/>
          <w:szCs w:val="24"/>
          <w:shd w:val="clear" w:color="auto" w:fill="FFFFFF"/>
          <w:lang w:val="en-US"/>
        </w:rPr>
        <w:t>course criminology: Key theoretical and empirical issues</w:t>
      </w:r>
      <w:r w:rsidRPr="00864246">
        <w:rPr>
          <w:rFonts w:ascii="Calibri" w:hAnsi="Calibri" w:cs="Calibri"/>
          <w:color w:val="222222"/>
          <w:sz w:val="24"/>
          <w:szCs w:val="24"/>
          <w:shd w:val="clear" w:color="auto" w:fill="FFFFFF"/>
          <w:lang w:val="en-US"/>
        </w:rPr>
        <w:t>‐</w:t>
      </w:r>
      <w:r w:rsidRPr="00864246">
        <w:rPr>
          <w:rFonts w:eastAsia="Times New Roman" w:cs="Arial"/>
          <w:color w:val="222222"/>
          <w:sz w:val="24"/>
          <w:szCs w:val="24"/>
          <w:shd w:val="clear" w:color="auto" w:fill="FFFFFF"/>
          <w:lang w:val="en-US"/>
        </w:rPr>
        <w:t>the 2002 Sutherland Award address. </w:t>
      </w:r>
      <w:r w:rsidRPr="00864246">
        <w:rPr>
          <w:rFonts w:eastAsia="Times New Roman" w:cs="Arial"/>
          <w:i/>
          <w:iCs/>
          <w:color w:val="222222"/>
          <w:sz w:val="24"/>
          <w:szCs w:val="24"/>
          <w:shd w:val="clear" w:color="auto" w:fill="FFFFFF"/>
          <w:lang w:val="en-US"/>
        </w:rPr>
        <w:t>Criminology</w:t>
      </w:r>
      <w:r w:rsidRPr="00864246">
        <w:rPr>
          <w:rFonts w:eastAsia="Times New Roman" w:cs="Arial"/>
          <w:color w:val="222222"/>
          <w:sz w:val="24"/>
          <w:szCs w:val="24"/>
          <w:shd w:val="clear" w:color="auto" w:fill="FFFFFF"/>
          <w:lang w:val="en-US"/>
        </w:rPr>
        <w:t>, </w:t>
      </w:r>
      <w:r w:rsidRPr="00864246">
        <w:rPr>
          <w:rFonts w:eastAsia="Times New Roman" w:cs="Arial"/>
          <w:i/>
          <w:iCs/>
          <w:color w:val="222222"/>
          <w:sz w:val="24"/>
          <w:szCs w:val="24"/>
          <w:shd w:val="clear" w:color="auto" w:fill="FFFFFF"/>
          <w:lang w:val="en-US"/>
        </w:rPr>
        <w:t>41</w:t>
      </w:r>
      <w:r w:rsidRPr="00864246">
        <w:rPr>
          <w:rFonts w:eastAsia="Times New Roman" w:cs="Arial"/>
          <w:color w:val="222222"/>
          <w:sz w:val="24"/>
          <w:szCs w:val="24"/>
          <w:shd w:val="clear" w:color="auto" w:fill="FFFFFF"/>
          <w:lang w:val="en-US"/>
        </w:rPr>
        <w:t>(2), 221-225.</w:t>
      </w:r>
    </w:p>
    <w:p w14:paraId="1F2AF6C8" w14:textId="77777777" w:rsidR="00750C76" w:rsidRPr="00864246" w:rsidRDefault="00750C76" w:rsidP="00665F82">
      <w:pPr>
        <w:spacing w:line="240" w:lineRule="auto"/>
        <w:ind w:right="567"/>
        <w:rPr>
          <w:rFonts w:cs="Arial"/>
          <w:sz w:val="24"/>
          <w:szCs w:val="24"/>
          <w:lang w:eastAsia="en-GB"/>
        </w:rPr>
      </w:pPr>
      <w:r w:rsidRPr="00864246">
        <w:rPr>
          <w:rFonts w:cs="Arial"/>
          <w:sz w:val="24"/>
          <w:szCs w:val="24"/>
          <w:lang w:eastAsia="en-GB"/>
        </w:rPr>
        <w:t>Felson, M and Clarke, R (1998) Opportunity makes the thief. Practical theory for crime prevention. Police Research Series, Paper 98.</w:t>
      </w:r>
      <w:r w:rsidR="002815D2" w:rsidRPr="00864246">
        <w:rPr>
          <w:rFonts w:cs="Arial"/>
          <w:sz w:val="24"/>
          <w:szCs w:val="24"/>
          <w:lang w:eastAsia="en-GB"/>
        </w:rPr>
        <w:t xml:space="preserve"> London: Research, development and statistics directorate. </w:t>
      </w:r>
    </w:p>
    <w:p w14:paraId="74E26676" w14:textId="76B1BD49" w:rsidR="00E02E4C" w:rsidRDefault="00E02E4C" w:rsidP="00864246">
      <w:pPr>
        <w:spacing w:after="0" w:line="240" w:lineRule="auto"/>
        <w:jc w:val="left"/>
        <w:rPr>
          <w:rFonts w:eastAsia="Times New Roman" w:cs="Arial"/>
          <w:sz w:val="24"/>
          <w:szCs w:val="24"/>
          <w:lang w:val="en-US"/>
        </w:rPr>
      </w:pPr>
      <w:r w:rsidRPr="00E02E4C">
        <w:rPr>
          <w:rFonts w:eastAsia="Times New Roman" w:cs="Arial"/>
          <w:color w:val="222222"/>
          <w:sz w:val="24"/>
          <w:szCs w:val="24"/>
          <w:shd w:val="clear" w:color="auto" w:fill="FFFFFF"/>
          <w:lang w:val="en-US"/>
        </w:rPr>
        <w:t>Fleetwood, J. (2016). Narrative habitus: Thinking through structure/agency in the narratives of offenders.</w:t>
      </w:r>
      <w:r w:rsidRPr="00864246">
        <w:rPr>
          <w:rFonts w:eastAsia="Times New Roman" w:cs="Arial"/>
          <w:color w:val="222222"/>
          <w:sz w:val="24"/>
          <w:szCs w:val="24"/>
          <w:shd w:val="clear" w:color="auto" w:fill="FFFFFF"/>
          <w:lang w:val="en-US"/>
        </w:rPr>
        <w:t> </w:t>
      </w:r>
      <w:r w:rsidRPr="00E02E4C">
        <w:rPr>
          <w:rFonts w:eastAsia="Times New Roman" w:cs="Arial"/>
          <w:i/>
          <w:iCs/>
          <w:color w:val="222222"/>
          <w:sz w:val="24"/>
          <w:szCs w:val="24"/>
          <w:shd w:val="clear" w:color="auto" w:fill="FFFFFF"/>
          <w:lang w:val="en-US"/>
        </w:rPr>
        <w:t>Crime, Media, Culture</w:t>
      </w:r>
      <w:r w:rsidRPr="00E02E4C">
        <w:rPr>
          <w:rFonts w:eastAsia="Times New Roman" w:cs="Arial"/>
          <w:color w:val="222222"/>
          <w:sz w:val="24"/>
          <w:szCs w:val="24"/>
          <w:shd w:val="clear" w:color="auto" w:fill="FFFFFF"/>
          <w:lang w:val="en-US"/>
        </w:rPr>
        <w:t>,</w:t>
      </w:r>
      <w:r w:rsidRPr="00864246">
        <w:rPr>
          <w:rFonts w:eastAsia="Times New Roman" w:cs="Arial"/>
          <w:color w:val="222222"/>
          <w:sz w:val="24"/>
          <w:szCs w:val="24"/>
          <w:shd w:val="clear" w:color="auto" w:fill="FFFFFF"/>
          <w:lang w:val="en-US"/>
        </w:rPr>
        <w:t> </w:t>
      </w:r>
      <w:r w:rsidRPr="00E02E4C">
        <w:rPr>
          <w:rFonts w:eastAsia="Times New Roman" w:cs="Arial"/>
          <w:i/>
          <w:iCs/>
          <w:color w:val="222222"/>
          <w:sz w:val="24"/>
          <w:szCs w:val="24"/>
          <w:shd w:val="clear" w:color="auto" w:fill="FFFFFF"/>
          <w:lang w:val="en-US"/>
        </w:rPr>
        <w:t>12</w:t>
      </w:r>
      <w:r w:rsidRPr="00E02E4C">
        <w:rPr>
          <w:rFonts w:eastAsia="Times New Roman" w:cs="Arial"/>
          <w:color w:val="222222"/>
          <w:sz w:val="24"/>
          <w:szCs w:val="24"/>
          <w:shd w:val="clear" w:color="auto" w:fill="FFFFFF"/>
          <w:lang w:val="en-US"/>
        </w:rPr>
        <w:t>(2), 173-192.</w:t>
      </w:r>
    </w:p>
    <w:p w14:paraId="1BB78618" w14:textId="77777777" w:rsidR="00864246" w:rsidRPr="00864246" w:rsidRDefault="00864246" w:rsidP="00864246">
      <w:pPr>
        <w:spacing w:after="0" w:line="240" w:lineRule="auto"/>
        <w:jc w:val="left"/>
        <w:rPr>
          <w:rFonts w:eastAsia="Times New Roman" w:cs="Arial"/>
          <w:sz w:val="24"/>
          <w:szCs w:val="24"/>
          <w:lang w:val="en-US"/>
        </w:rPr>
      </w:pPr>
    </w:p>
    <w:p w14:paraId="17E165C0" w14:textId="48299683" w:rsidR="000157EE" w:rsidRPr="00864246" w:rsidRDefault="000157EE" w:rsidP="00665F82">
      <w:pPr>
        <w:spacing w:line="240" w:lineRule="auto"/>
        <w:ind w:right="567"/>
        <w:rPr>
          <w:rFonts w:cs="Arial"/>
          <w:sz w:val="24"/>
          <w:szCs w:val="24"/>
          <w:lang w:val="en-US" w:eastAsia="en-GB"/>
        </w:rPr>
      </w:pPr>
      <w:r w:rsidRPr="00864246">
        <w:rPr>
          <w:rFonts w:cs="Arial"/>
          <w:sz w:val="24"/>
          <w:szCs w:val="24"/>
          <w:lang w:val="en-US" w:eastAsia="en-GB"/>
        </w:rPr>
        <w:t>Forrest, W., &amp; Hay, C. (2011). Life-course transitions, self-control and desistance from crime. </w:t>
      </w:r>
      <w:r w:rsidRPr="00864246">
        <w:rPr>
          <w:rFonts w:cs="Arial"/>
          <w:i/>
          <w:iCs/>
          <w:sz w:val="24"/>
          <w:szCs w:val="24"/>
          <w:lang w:val="en-US" w:eastAsia="en-GB"/>
        </w:rPr>
        <w:t>Criminology &amp; Criminal Justice</w:t>
      </w:r>
      <w:r w:rsidRPr="00864246">
        <w:rPr>
          <w:rFonts w:cs="Arial"/>
          <w:sz w:val="24"/>
          <w:szCs w:val="24"/>
          <w:lang w:val="en-US" w:eastAsia="en-GB"/>
        </w:rPr>
        <w:t>, </w:t>
      </w:r>
      <w:r w:rsidRPr="00864246">
        <w:rPr>
          <w:rFonts w:cs="Arial"/>
          <w:i/>
          <w:iCs/>
          <w:sz w:val="24"/>
          <w:szCs w:val="24"/>
          <w:lang w:val="en-US" w:eastAsia="en-GB"/>
        </w:rPr>
        <w:t>11</w:t>
      </w:r>
      <w:r w:rsidRPr="00864246">
        <w:rPr>
          <w:rFonts w:cs="Arial"/>
          <w:sz w:val="24"/>
          <w:szCs w:val="24"/>
          <w:lang w:val="en-US" w:eastAsia="en-GB"/>
        </w:rPr>
        <w:t>(5), 487-513.</w:t>
      </w:r>
    </w:p>
    <w:p w14:paraId="4E4A106D" w14:textId="77777777" w:rsidR="000A31FA" w:rsidRPr="00864246" w:rsidRDefault="000A31FA" w:rsidP="000A31FA">
      <w:pPr>
        <w:spacing w:line="240" w:lineRule="auto"/>
        <w:ind w:right="567"/>
        <w:rPr>
          <w:rFonts w:cs="Arial"/>
          <w:sz w:val="24"/>
          <w:szCs w:val="24"/>
          <w:lang w:val="en-US" w:eastAsia="en-GB"/>
        </w:rPr>
      </w:pPr>
      <w:r w:rsidRPr="00864246">
        <w:rPr>
          <w:rFonts w:cs="Arial"/>
          <w:sz w:val="24"/>
          <w:szCs w:val="24"/>
          <w:lang w:val="en-US" w:eastAsia="en-GB"/>
        </w:rPr>
        <w:lastRenderedPageBreak/>
        <w:t>Foster, K., &amp; Spencer, D. (2013). ‘It's just a social thing’: Drug use, friendship and borderwork among marginalized young people. </w:t>
      </w:r>
      <w:r w:rsidRPr="00864246">
        <w:rPr>
          <w:rFonts w:cs="Arial"/>
          <w:i/>
          <w:iCs/>
          <w:sz w:val="24"/>
          <w:szCs w:val="24"/>
          <w:lang w:val="en-US" w:eastAsia="en-GB"/>
        </w:rPr>
        <w:t>International Journal of Drug Policy</w:t>
      </w:r>
      <w:r w:rsidRPr="00864246">
        <w:rPr>
          <w:rFonts w:cs="Arial"/>
          <w:sz w:val="24"/>
          <w:szCs w:val="24"/>
          <w:lang w:val="en-US" w:eastAsia="en-GB"/>
        </w:rPr>
        <w:t>, </w:t>
      </w:r>
      <w:r w:rsidRPr="00864246">
        <w:rPr>
          <w:rFonts w:cs="Arial"/>
          <w:i/>
          <w:iCs/>
          <w:sz w:val="24"/>
          <w:szCs w:val="24"/>
          <w:lang w:val="en-US" w:eastAsia="en-GB"/>
        </w:rPr>
        <w:t>24</w:t>
      </w:r>
      <w:r w:rsidRPr="00864246">
        <w:rPr>
          <w:rFonts w:cs="Arial"/>
          <w:sz w:val="24"/>
          <w:szCs w:val="24"/>
          <w:lang w:val="en-US" w:eastAsia="en-GB"/>
        </w:rPr>
        <w:t>(3), 223-230.</w:t>
      </w:r>
    </w:p>
    <w:p w14:paraId="00B7D1B4" w14:textId="7BA5EB0A" w:rsidR="00911694" w:rsidRDefault="00911694" w:rsidP="00864246">
      <w:pPr>
        <w:spacing w:after="0" w:line="240" w:lineRule="auto"/>
        <w:jc w:val="left"/>
        <w:rPr>
          <w:rFonts w:eastAsia="Times New Roman" w:cs="Arial"/>
          <w:color w:val="333333"/>
          <w:sz w:val="24"/>
          <w:szCs w:val="24"/>
          <w:lang w:val="en-US"/>
        </w:rPr>
      </w:pPr>
      <w:r w:rsidRPr="00864246">
        <w:rPr>
          <w:rFonts w:eastAsia="Times New Roman" w:cs="Arial"/>
          <w:color w:val="333333"/>
          <w:sz w:val="24"/>
          <w:szCs w:val="24"/>
          <w:lang w:val="en-US"/>
        </w:rPr>
        <w:t xml:space="preserve">France, A., and Homel, R. (2008) Developmental Criminology in G. Goldson </w:t>
      </w:r>
      <w:r w:rsidRPr="00864246">
        <w:rPr>
          <w:rFonts w:eastAsia="Times New Roman" w:cs="Arial"/>
          <w:i/>
          <w:color w:val="333333"/>
          <w:sz w:val="24"/>
          <w:szCs w:val="24"/>
          <w:lang w:val="en-US"/>
        </w:rPr>
        <w:t>Youth Justice Dictionary.</w:t>
      </w:r>
      <w:r w:rsidRPr="00864246">
        <w:rPr>
          <w:rFonts w:eastAsia="Times New Roman" w:cs="Arial"/>
          <w:color w:val="333333"/>
          <w:sz w:val="24"/>
          <w:szCs w:val="24"/>
          <w:lang w:val="en-US"/>
        </w:rPr>
        <w:t xml:space="preserve"> Abingdon: Routledge.</w:t>
      </w:r>
    </w:p>
    <w:p w14:paraId="048CA625" w14:textId="77777777" w:rsidR="00176AAE" w:rsidRDefault="00176AAE" w:rsidP="00864246">
      <w:pPr>
        <w:spacing w:after="0" w:line="240" w:lineRule="auto"/>
        <w:jc w:val="left"/>
        <w:rPr>
          <w:rFonts w:eastAsia="Times New Roman" w:cs="Arial"/>
          <w:color w:val="333333"/>
          <w:sz w:val="24"/>
          <w:szCs w:val="24"/>
          <w:lang w:val="en-US"/>
        </w:rPr>
      </w:pPr>
    </w:p>
    <w:p w14:paraId="36525938" w14:textId="77777777" w:rsidR="00176AAE" w:rsidRPr="00176AAE" w:rsidRDefault="00176AAE" w:rsidP="00176AAE">
      <w:pPr>
        <w:spacing w:after="0" w:line="240" w:lineRule="auto"/>
        <w:jc w:val="left"/>
        <w:rPr>
          <w:rFonts w:eastAsia="Times New Roman" w:cs="Arial"/>
          <w:color w:val="333333"/>
          <w:sz w:val="24"/>
          <w:szCs w:val="24"/>
        </w:rPr>
      </w:pPr>
      <w:r w:rsidRPr="00176AAE">
        <w:rPr>
          <w:rFonts w:eastAsia="Times New Roman" w:cs="Arial"/>
          <w:color w:val="333333"/>
          <w:sz w:val="24"/>
          <w:szCs w:val="24"/>
        </w:rPr>
        <w:t>Fry, C. L., Hall, W., Ritter, A., &amp; Jenkinson, R. (2006). The ethics of paying drug users who participate in research: A review and practical recommendations. </w:t>
      </w:r>
      <w:r w:rsidRPr="00176AAE">
        <w:rPr>
          <w:rFonts w:eastAsia="Times New Roman" w:cs="Arial"/>
          <w:i/>
          <w:iCs/>
          <w:color w:val="333333"/>
          <w:sz w:val="24"/>
          <w:szCs w:val="24"/>
        </w:rPr>
        <w:t>Journal of Empirical Research on Human Research Ethics</w:t>
      </w:r>
      <w:r w:rsidRPr="00176AAE">
        <w:rPr>
          <w:rFonts w:eastAsia="Times New Roman" w:cs="Arial"/>
          <w:color w:val="333333"/>
          <w:sz w:val="24"/>
          <w:szCs w:val="24"/>
        </w:rPr>
        <w:t>, </w:t>
      </w:r>
      <w:r w:rsidRPr="00176AAE">
        <w:rPr>
          <w:rFonts w:eastAsia="Times New Roman" w:cs="Arial"/>
          <w:i/>
          <w:iCs/>
          <w:color w:val="333333"/>
          <w:sz w:val="24"/>
          <w:szCs w:val="24"/>
        </w:rPr>
        <w:t>1</w:t>
      </w:r>
      <w:r w:rsidRPr="00176AAE">
        <w:rPr>
          <w:rFonts w:eastAsia="Times New Roman" w:cs="Arial"/>
          <w:color w:val="333333"/>
          <w:sz w:val="24"/>
          <w:szCs w:val="24"/>
        </w:rPr>
        <w:t>(4), 21-35.</w:t>
      </w:r>
    </w:p>
    <w:p w14:paraId="22CE96F3" w14:textId="77777777" w:rsidR="00176AAE" w:rsidRDefault="00176AAE" w:rsidP="00864246">
      <w:pPr>
        <w:spacing w:after="0" w:line="240" w:lineRule="auto"/>
        <w:jc w:val="left"/>
        <w:rPr>
          <w:rFonts w:eastAsia="Times New Roman" w:cs="Arial"/>
          <w:color w:val="333333"/>
          <w:sz w:val="24"/>
          <w:szCs w:val="24"/>
          <w:lang w:val="en-US"/>
        </w:rPr>
      </w:pPr>
    </w:p>
    <w:p w14:paraId="7DED369F" w14:textId="105579AF" w:rsidR="00864246" w:rsidRDefault="000157EE" w:rsidP="00730B7D">
      <w:pPr>
        <w:spacing w:after="0" w:line="240" w:lineRule="auto"/>
        <w:jc w:val="left"/>
        <w:outlineLvl w:val="0"/>
        <w:rPr>
          <w:rFonts w:eastAsia="Times New Roman" w:cs="Arial"/>
          <w:sz w:val="24"/>
          <w:szCs w:val="24"/>
          <w:lang w:val="en-US"/>
        </w:rPr>
      </w:pPr>
      <w:r w:rsidRPr="00864246">
        <w:rPr>
          <w:rFonts w:eastAsia="Times New Roman" w:cs="Arial"/>
          <w:color w:val="222222"/>
          <w:sz w:val="24"/>
          <w:szCs w:val="24"/>
          <w:shd w:val="clear" w:color="auto" w:fill="FFFFFF"/>
          <w:lang w:val="en-US"/>
        </w:rPr>
        <w:t>Hirschi, T. (1969). Causes of delinquency. </w:t>
      </w:r>
      <w:r w:rsidRPr="00864246">
        <w:rPr>
          <w:rFonts w:eastAsia="Times New Roman" w:cs="Arial"/>
          <w:iCs/>
          <w:color w:val="222222"/>
          <w:sz w:val="24"/>
          <w:szCs w:val="24"/>
          <w:shd w:val="clear" w:color="auto" w:fill="FFFFFF"/>
          <w:lang w:val="en-US"/>
        </w:rPr>
        <w:t>Berkeley, CA: University of California</w:t>
      </w:r>
      <w:r w:rsidRPr="00864246">
        <w:rPr>
          <w:rFonts w:eastAsia="Times New Roman" w:cs="Arial"/>
          <w:color w:val="222222"/>
          <w:sz w:val="24"/>
          <w:szCs w:val="24"/>
          <w:shd w:val="clear" w:color="auto" w:fill="FFFFFF"/>
          <w:lang w:val="en-US"/>
        </w:rPr>
        <w:t>.</w:t>
      </w:r>
    </w:p>
    <w:p w14:paraId="3A29F53B" w14:textId="77777777" w:rsidR="00864246" w:rsidRPr="00864246" w:rsidRDefault="00864246" w:rsidP="00864246">
      <w:pPr>
        <w:spacing w:after="0" w:line="240" w:lineRule="auto"/>
        <w:jc w:val="left"/>
        <w:rPr>
          <w:rFonts w:eastAsia="Times New Roman" w:cs="Arial"/>
          <w:sz w:val="24"/>
          <w:szCs w:val="24"/>
          <w:lang w:val="en-US"/>
        </w:rPr>
      </w:pPr>
    </w:p>
    <w:p w14:paraId="3C9A4F4C" w14:textId="77777777" w:rsidR="00F1513D" w:rsidRPr="00864246" w:rsidRDefault="00F1513D" w:rsidP="00F1513D">
      <w:pPr>
        <w:spacing w:line="240" w:lineRule="auto"/>
        <w:ind w:right="567"/>
        <w:rPr>
          <w:rFonts w:cs="Arial"/>
          <w:sz w:val="24"/>
          <w:szCs w:val="24"/>
          <w:lang w:val="en-US" w:eastAsia="en-GB"/>
        </w:rPr>
      </w:pPr>
      <w:r w:rsidRPr="00864246">
        <w:rPr>
          <w:rFonts w:cs="Arial"/>
          <w:sz w:val="24"/>
          <w:szCs w:val="24"/>
          <w:lang w:val="en-US" w:eastAsia="en-GB"/>
        </w:rPr>
        <w:t>Holloway, K., &amp; Bennett, T. (2017). Characteristics and correlates of drug use and misuse among university students in Wales: a survey of seven universities. </w:t>
      </w:r>
      <w:r w:rsidRPr="00864246">
        <w:rPr>
          <w:rFonts w:cs="Arial"/>
          <w:i/>
          <w:iCs/>
          <w:sz w:val="24"/>
          <w:szCs w:val="24"/>
          <w:lang w:val="en-US" w:eastAsia="en-GB"/>
        </w:rPr>
        <w:t>Addiction Research &amp; Theory</w:t>
      </w:r>
      <w:r w:rsidRPr="00864246">
        <w:rPr>
          <w:rFonts w:cs="Arial"/>
          <w:sz w:val="24"/>
          <w:szCs w:val="24"/>
          <w:lang w:val="en-US" w:eastAsia="en-GB"/>
        </w:rPr>
        <w:t>, 1-9.</w:t>
      </w:r>
    </w:p>
    <w:p w14:paraId="71B49B4F" w14:textId="5B85ADC2" w:rsidR="000D3B70" w:rsidRDefault="00044291" w:rsidP="005F151E">
      <w:pPr>
        <w:spacing w:after="0" w:line="240" w:lineRule="auto"/>
        <w:jc w:val="left"/>
        <w:rPr>
          <w:rFonts w:eastAsia="Times New Roman" w:cs="Arial"/>
          <w:sz w:val="24"/>
          <w:szCs w:val="24"/>
          <w:lang w:val="en-US"/>
        </w:rPr>
      </w:pPr>
      <w:r w:rsidRPr="00864246">
        <w:rPr>
          <w:rFonts w:eastAsia="Times New Roman" w:cs="Arial"/>
          <w:color w:val="222222"/>
          <w:sz w:val="24"/>
          <w:szCs w:val="24"/>
          <w:shd w:val="clear" w:color="auto" w:fill="FFFFFF"/>
          <w:lang w:val="en-US"/>
        </w:rPr>
        <w:t>Hser, Y. I., Longshore, D., &amp; Anglin, M. D. (2007). The life course perspective on drug use: A conceptual framework for understanding drug use trajectories. </w:t>
      </w:r>
      <w:r w:rsidRPr="00864246">
        <w:rPr>
          <w:rFonts w:eastAsia="Times New Roman" w:cs="Arial"/>
          <w:i/>
          <w:iCs/>
          <w:color w:val="222222"/>
          <w:sz w:val="24"/>
          <w:szCs w:val="24"/>
          <w:shd w:val="clear" w:color="auto" w:fill="FFFFFF"/>
          <w:lang w:val="en-US"/>
        </w:rPr>
        <w:t>Evaluation Review</w:t>
      </w:r>
      <w:r w:rsidRPr="00864246">
        <w:rPr>
          <w:rFonts w:eastAsia="Times New Roman" w:cs="Arial"/>
          <w:color w:val="222222"/>
          <w:sz w:val="24"/>
          <w:szCs w:val="24"/>
          <w:shd w:val="clear" w:color="auto" w:fill="FFFFFF"/>
          <w:lang w:val="en-US"/>
        </w:rPr>
        <w:t>, </w:t>
      </w:r>
      <w:r w:rsidRPr="00864246">
        <w:rPr>
          <w:rFonts w:eastAsia="Times New Roman" w:cs="Arial"/>
          <w:i/>
          <w:iCs/>
          <w:color w:val="222222"/>
          <w:sz w:val="24"/>
          <w:szCs w:val="24"/>
          <w:shd w:val="clear" w:color="auto" w:fill="FFFFFF"/>
          <w:lang w:val="en-US"/>
        </w:rPr>
        <w:t>31</w:t>
      </w:r>
      <w:r w:rsidRPr="00864246">
        <w:rPr>
          <w:rFonts w:eastAsia="Times New Roman" w:cs="Arial"/>
          <w:color w:val="222222"/>
          <w:sz w:val="24"/>
          <w:szCs w:val="24"/>
          <w:shd w:val="clear" w:color="auto" w:fill="FFFFFF"/>
          <w:lang w:val="en-US"/>
        </w:rPr>
        <w:t>(6), 515-547.</w:t>
      </w:r>
    </w:p>
    <w:p w14:paraId="3267D7AD" w14:textId="77777777" w:rsidR="005F151E" w:rsidRPr="005F151E" w:rsidRDefault="005F151E" w:rsidP="005F151E">
      <w:pPr>
        <w:spacing w:after="0" w:line="240" w:lineRule="auto"/>
        <w:jc w:val="left"/>
        <w:rPr>
          <w:rFonts w:eastAsia="Times New Roman" w:cs="Arial"/>
          <w:sz w:val="24"/>
          <w:szCs w:val="24"/>
          <w:lang w:val="en-US"/>
        </w:rPr>
      </w:pPr>
    </w:p>
    <w:p w14:paraId="2BA4F91B" w14:textId="2A5AE23C" w:rsidR="00C50B82" w:rsidRPr="00864246" w:rsidRDefault="00C50B82" w:rsidP="00C50B82">
      <w:pPr>
        <w:spacing w:line="240" w:lineRule="auto"/>
        <w:ind w:right="567"/>
        <w:rPr>
          <w:rFonts w:cs="Arial"/>
          <w:sz w:val="24"/>
          <w:szCs w:val="24"/>
          <w:lang w:val="en-US" w:eastAsia="en-GB"/>
        </w:rPr>
      </w:pPr>
      <w:r w:rsidRPr="00864246">
        <w:rPr>
          <w:rFonts w:cs="Arial"/>
          <w:sz w:val="24"/>
          <w:szCs w:val="24"/>
          <w:lang w:val="en-US" w:eastAsia="en-GB"/>
        </w:rPr>
        <w:t>Jacques, S., Allen, A., &amp; Wright, R. (2014). Drug dealers’ rational choices on which customers to rip-off. </w:t>
      </w:r>
      <w:r w:rsidRPr="00864246">
        <w:rPr>
          <w:rFonts w:cs="Arial"/>
          <w:i/>
          <w:iCs/>
          <w:sz w:val="24"/>
          <w:szCs w:val="24"/>
          <w:lang w:val="en-US" w:eastAsia="en-GB"/>
        </w:rPr>
        <w:t>International Journal of Drug Policy</w:t>
      </w:r>
      <w:r w:rsidRPr="00864246">
        <w:rPr>
          <w:rFonts w:cs="Arial"/>
          <w:sz w:val="24"/>
          <w:szCs w:val="24"/>
          <w:lang w:val="en-US" w:eastAsia="en-GB"/>
        </w:rPr>
        <w:t>, </w:t>
      </w:r>
      <w:r w:rsidRPr="00864246">
        <w:rPr>
          <w:rFonts w:cs="Arial"/>
          <w:i/>
          <w:iCs/>
          <w:sz w:val="24"/>
          <w:szCs w:val="24"/>
          <w:lang w:val="en-US" w:eastAsia="en-GB"/>
        </w:rPr>
        <w:t>25</w:t>
      </w:r>
      <w:r w:rsidRPr="00864246">
        <w:rPr>
          <w:rFonts w:cs="Arial"/>
          <w:sz w:val="24"/>
          <w:szCs w:val="24"/>
          <w:lang w:val="en-US" w:eastAsia="en-GB"/>
        </w:rPr>
        <w:t>(2), 251-256.</w:t>
      </w:r>
    </w:p>
    <w:p w14:paraId="45453649" w14:textId="768689D4" w:rsidR="00F1513D" w:rsidRPr="00864246" w:rsidRDefault="00C50B82" w:rsidP="003F739F">
      <w:pPr>
        <w:spacing w:line="240" w:lineRule="auto"/>
        <w:ind w:right="567"/>
        <w:rPr>
          <w:rFonts w:cs="Arial"/>
          <w:sz w:val="24"/>
          <w:szCs w:val="24"/>
          <w:lang w:val="en-US" w:eastAsia="en-GB"/>
        </w:rPr>
      </w:pPr>
      <w:r w:rsidRPr="00864246">
        <w:rPr>
          <w:rFonts w:cs="Arial"/>
          <w:sz w:val="24"/>
          <w:szCs w:val="24"/>
          <w:lang w:val="en-US" w:eastAsia="en-GB"/>
        </w:rPr>
        <w:t>Jacques, S and Wright, R. (2015</w:t>
      </w:r>
      <w:r w:rsidRPr="00864246">
        <w:rPr>
          <w:rFonts w:cs="Arial"/>
          <w:i/>
          <w:sz w:val="24"/>
          <w:szCs w:val="24"/>
          <w:lang w:val="en-US" w:eastAsia="en-GB"/>
        </w:rPr>
        <w:t>) Code of the Suburb. Inside the World of Young Middle Class Drug Dealers</w:t>
      </w:r>
      <w:r w:rsidRPr="00864246">
        <w:rPr>
          <w:rFonts w:cs="Arial"/>
          <w:sz w:val="24"/>
          <w:szCs w:val="24"/>
          <w:lang w:val="en-US" w:eastAsia="en-GB"/>
        </w:rPr>
        <w:t xml:space="preserve">. Chicago: University of Chicago Press. </w:t>
      </w:r>
    </w:p>
    <w:p w14:paraId="0B405FD2" w14:textId="77777777" w:rsidR="00665F82" w:rsidRPr="00864246" w:rsidRDefault="00665F82" w:rsidP="00665F82">
      <w:pPr>
        <w:spacing w:line="240" w:lineRule="auto"/>
        <w:ind w:right="567"/>
        <w:rPr>
          <w:rFonts w:cs="Arial"/>
          <w:sz w:val="24"/>
          <w:szCs w:val="24"/>
          <w:lang w:eastAsia="en-GB"/>
        </w:rPr>
      </w:pPr>
      <w:r w:rsidRPr="00864246">
        <w:rPr>
          <w:rFonts w:cs="Arial"/>
          <w:sz w:val="24"/>
          <w:szCs w:val="24"/>
          <w:lang w:eastAsia="en-GB"/>
        </w:rPr>
        <w:t>Järvinen, M., &amp; Østergaard, J. (2011). Dangers and pleasures: Drug attitudes and experiences among young people. </w:t>
      </w:r>
      <w:r w:rsidRPr="00864246">
        <w:rPr>
          <w:rFonts w:cs="Arial"/>
          <w:i/>
          <w:iCs/>
          <w:sz w:val="24"/>
          <w:szCs w:val="24"/>
          <w:lang w:eastAsia="en-GB"/>
        </w:rPr>
        <w:t>Acta sociologica</w:t>
      </w:r>
      <w:r w:rsidRPr="00864246">
        <w:rPr>
          <w:rFonts w:cs="Arial"/>
          <w:sz w:val="24"/>
          <w:szCs w:val="24"/>
          <w:lang w:eastAsia="en-GB"/>
        </w:rPr>
        <w:t>, </w:t>
      </w:r>
      <w:r w:rsidRPr="00864246">
        <w:rPr>
          <w:rFonts w:cs="Arial"/>
          <w:i/>
          <w:iCs/>
          <w:sz w:val="24"/>
          <w:szCs w:val="24"/>
          <w:lang w:eastAsia="en-GB"/>
        </w:rPr>
        <w:t>54</w:t>
      </w:r>
      <w:r w:rsidRPr="00864246">
        <w:rPr>
          <w:rFonts w:cs="Arial"/>
          <w:sz w:val="24"/>
          <w:szCs w:val="24"/>
          <w:lang w:eastAsia="en-GB"/>
        </w:rPr>
        <w:t>(4), 333-350.</w:t>
      </w:r>
    </w:p>
    <w:p w14:paraId="3FA8B1D6" w14:textId="77777777" w:rsidR="00C82FF2" w:rsidRPr="00864246" w:rsidRDefault="00C82FF2" w:rsidP="00665F82">
      <w:pPr>
        <w:spacing w:line="240" w:lineRule="auto"/>
        <w:ind w:right="567"/>
        <w:rPr>
          <w:rFonts w:cs="Arial"/>
          <w:sz w:val="24"/>
          <w:szCs w:val="24"/>
          <w:lang w:eastAsia="en-GB"/>
        </w:rPr>
      </w:pPr>
      <w:r w:rsidRPr="00864246">
        <w:rPr>
          <w:rFonts w:cs="Arial"/>
          <w:sz w:val="24"/>
          <w:szCs w:val="24"/>
          <w:lang w:eastAsia="en-GB"/>
        </w:rPr>
        <w:t>Johnston, L. D., O’Malley, P. M., Bachman, J. G., &amp; Schulenberg, J. E. (2012). Monitoring the Future: National Survey Results on Drug Use: 1975–2011: Volume II: College Students and Adults Ages 19–50.</w:t>
      </w:r>
    </w:p>
    <w:p w14:paraId="31932AD8" w14:textId="6F16E57F" w:rsidR="00844516" w:rsidRPr="00864246" w:rsidRDefault="00844516" w:rsidP="00844516">
      <w:pPr>
        <w:spacing w:after="0" w:line="240" w:lineRule="auto"/>
        <w:jc w:val="left"/>
        <w:rPr>
          <w:rFonts w:eastAsia="Times New Roman" w:cs="Arial"/>
          <w:sz w:val="24"/>
          <w:szCs w:val="24"/>
          <w:lang w:val="en-US"/>
        </w:rPr>
      </w:pPr>
      <w:r w:rsidRPr="00864246">
        <w:rPr>
          <w:rFonts w:eastAsia="Times New Roman" w:cs="Arial"/>
          <w:color w:val="222222"/>
          <w:sz w:val="24"/>
          <w:szCs w:val="24"/>
          <w:shd w:val="clear" w:color="auto" w:fill="FFFFFF"/>
          <w:lang w:val="en-US"/>
        </w:rPr>
        <w:t>King, R. D., Massoglia, M., &amp; MacMillan, R. (2007). The context of marriage and crime: Gender, the propensity to marry, and offending in early adulthood. </w:t>
      </w:r>
      <w:r w:rsidRPr="00864246">
        <w:rPr>
          <w:rFonts w:eastAsia="Times New Roman" w:cs="Arial"/>
          <w:i/>
          <w:iCs/>
          <w:color w:val="222222"/>
          <w:sz w:val="24"/>
          <w:szCs w:val="24"/>
          <w:shd w:val="clear" w:color="auto" w:fill="FFFFFF"/>
          <w:lang w:val="en-US"/>
        </w:rPr>
        <w:t>Criminology</w:t>
      </w:r>
      <w:r w:rsidRPr="00864246">
        <w:rPr>
          <w:rFonts w:eastAsia="Times New Roman" w:cs="Arial"/>
          <w:color w:val="222222"/>
          <w:sz w:val="24"/>
          <w:szCs w:val="24"/>
          <w:shd w:val="clear" w:color="auto" w:fill="FFFFFF"/>
          <w:lang w:val="en-US"/>
        </w:rPr>
        <w:t>, </w:t>
      </w:r>
      <w:r w:rsidRPr="00864246">
        <w:rPr>
          <w:rFonts w:eastAsia="Times New Roman" w:cs="Arial"/>
          <w:i/>
          <w:iCs/>
          <w:color w:val="222222"/>
          <w:sz w:val="24"/>
          <w:szCs w:val="24"/>
          <w:shd w:val="clear" w:color="auto" w:fill="FFFFFF"/>
          <w:lang w:val="en-US"/>
        </w:rPr>
        <w:t>45</w:t>
      </w:r>
      <w:r w:rsidRPr="00864246">
        <w:rPr>
          <w:rFonts w:eastAsia="Times New Roman" w:cs="Arial"/>
          <w:color w:val="222222"/>
          <w:sz w:val="24"/>
          <w:szCs w:val="24"/>
          <w:shd w:val="clear" w:color="auto" w:fill="FFFFFF"/>
          <w:lang w:val="en-US"/>
        </w:rPr>
        <w:t>(1), 33-65.</w:t>
      </w:r>
    </w:p>
    <w:p w14:paraId="7B6E36FB" w14:textId="77777777" w:rsidR="00757180" w:rsidRDefault="00757180" w:rsidP="00C562AB">
      <w:pPr>
        <w:spacing w:after="0" w:line="240" w:lineRule="auto"/>
        <w:jc w:val="left"/>
        <w:rPr>
          <w:rFonts w:eastAsia="Times New Roman" w:cs="Arial"/>
          <w:color w:val="222222"/>
          <w:sz w:val="24"/>
          <w:szCs w:val="24"/>
          <w:shd w:val="clear" w:color="auto" w:fill="FFFFFF"/>
        </w:rPr>
      </w:pPr>
    </w:p>
    <w:p w14:paraId="1C3B18A4" w14:textId="266D0A86" w:rsidR="00757180" w:rsidRPr="00757180" w:rsidRDefault="00757180" w:rsidP="00757180">
      <w:pPr>
        <w:spacing w:after="0" w:line="240" w:lineRule="auto"/>
        <w:jc w:val="left"/>
        <w:rPr>
          <w:rFonts w:eastAsia="Times New Roman" w:cs="Arial"/>
          <w:color w:val="222222"/>
          <w:sz w:val="24"/>
          <w:szCs w:val="24"/>
          <w:shd w:val="clear" w:color="auto" w:fill="FFFFFF"/>
        </w:rPr>
      </w:pPr>
      <w:r w:rsidRPr="00757180">
        <w:rPr>
          <w:rFonts w:eastAsia="Times New Roman" w:cs="Arial"/>
          <w:color w:val="222222"/>
          <w:sz w:val="24"/>
          <w:szCs w:val="24"/>
          <w:shd w:val="clear" w:color="auto" w:fill="FFFFFF"/>
        </w:rPr>
        <w:t>Laub, J. H., &amp; Sampson, R. J. (2003). Shared beginnings. </w:t>
      </w:r>
      <w:r w:rsidRPr="00757180">
        <w:rPr>
          <w:rFonts w:eastAsia="Times New Roman" w:cs="Arial"/>
          <w:i/>
          <w:iCs/>
          <w:color w:val="222222"/>
          <w:sz w:val="24"/>
          <w:szCs w:val="24"/>
          <w:shd w:val="clear" w:color="auto" w:fill="FFFFFF"/>
        </w:rPr>
        <w:t>Divergent Lives: Delinquent Boys to Age</w:t>
      </w:r>
      <w:r w:rsidRPr="00757180">
        <w:rPr>
          <w:rFonts w:eastAsia="Times New Roman" w:cs="Arial"/>
          <w:color w:val="222222"/>
          <w:sz w:val="24"/>
          <w:szCs w:val="24"/>
          <w:shd w:val="clear" w:color="auto" w:fill="FFFFFF"/>
        </w:rPr>
        <w:t>, </w:t>
      </w:r>
      <w:r w:rsidRPr="00757180">
        <w:rPr>
          <w:rFonts w:eastAsia="Times New Roman" w:cs="Arial"/>
          <w:i/>
          <w:iCs/>
          <w:color w:val="222222"/>
          <w:sz w:val="24"/>
          <w:szCs w:val="24"/>
          <w:shd w:val="clear" w:color="auto" w:fill="FFFFFF"/>
        </w:rPr>
        <w:t>70</w:t>
      </w:r>
      <w:r w:rsidRPr="00757180">
        <w:rPr>
          <w:rFonts w:eastAsia="Times New Roman" w:cs="Arial"/>
          <w:color w:val="222222"/>
          <w:sz w:val="24"/>
          <w:szCs w:val="24"/>
          <w:shd w:val="clear" w:color="auto" w:fill="FFFFFF"/>
        </w:rPr>
        <w:t>.</w:t>
      </w:r>
      <w:r w:rsidR="00FC40C9">
        <w:rPr>
          <w:rFonts w:eastAsia="Times New Roman" w:cs="Arial"/>
          <w:color w:val="222222"/>
          <w:sz w:val="24"/>
          <w:szCs w:val="24"/>
          <w:shd w:val="clear" w:color="auto" w:fill="FFFFFF"/>
        </w:rPr>
        <w:t xml:space="preserve"> Cambridge: Harvard University Press.</w:t>
      </w:r>
    </w:p>
    <w:p w14:paraId="2657299D" w14:textId="77777777" w:rsidR="004F6742" w:rsidRDefault="004F6742" w:rsidP="00C562AB">
      <w:pPr>
        <w:spacing w:after="0" w:line="240" w:lineRule="auto"/>
        <w:jc w:val="left"/>
        <w:rPr>
          <w:rFonts w:eastAsia="Times New Roman" w:cs="Arial"/>
          <w:color w:val="222222"/>
          <w:sz w:val="24"/>
          <w:szCs w:val="24"/>
          <w:shd w:val="clear" w:color="auto" w:fill="FFFFFF"/>
          <w:lang w:val="en-US"/>
        </w:rPr>
      </w:pPr>
    </w:p>
    <w:p w14:paraId="15A3081A" w14:textId="77777777" w:rsidR="004F6742" w:rsidRPr="004F6742" w:rsidRDefault="004F6742" w:rsidP="004F6742">
      <w:pPr>
        <w:spacing w:after="0" w:line="240" w:lineRule="auto"/>
        <w:jc w:val="left"/>
        <w:rPr>
          <w:rFonts w:eastAsia="Times New Roman" w:cs="Arial"/>
          <w:color w:val="222222"/>
          <w:sz w:val="24"/>
          <w:szCs w:val="24"/>
          <w:shd w:val="clear" w:color="auto" w:fill="FFFFFF"/>
        </w:rPr>
      </w:pPr>
      <w:r w:rsidRPr="004F6742">
        <w:rPr>
          <w:rFonts w:eastAsia="Times New Roman" w:cs="Arial"/>
          <w:color w:val="222222"/>
          <w:sz w:val="24"/>
          <w:szCs w:val="24"/>
          <w:shd w:val="clear" w:color="auto" w:fill="FFFFFF"/>
        </w:rPr>
        <w:t>Matza, D., &amp; Sykes, G. M. (1961). Juvenile delinquency and subterranean values. </w:t>
      </w:r>
      <w:r w:rsidRPr="004F6742">
        <w:rPr>
          <w:rFonts w:eastAsia="Times New Roman" w:cs="Arial"/>
          <w:i/>
          <w:iCs/>
          <w:color w:val="222222"/>
          <w:sz w:val="24"/>
          <w:szCs w:val="24"/>
          <w:shd w:val="clear" w:color="auto" w:fill="FFFFFF"/>
        </w:rPr>
        <w:t>American sociological review</w:t>
      </w:r>
      <w:r w:rsidRPr="004F6742">
        <w:rPr>
          <w:rFonts w:eastAsia="Times New Roman" w:cs="Arial"/>
          <w:color w:val="222222"/>
          <w:sz w:val="24"/>
          <w:szCs w:val="24"/>
          <w:shd w:val="clear" w:color="auto" w:fill="FFFFFF"/>
        </w:rPr>
        <w:t>, 712-719.</w:t>
      </w:r>
    </w:p>
    <w:p w14:paraId="6C37B154" w14:textId="77777777" w:rsidR="00F1513D" w:rsidRPr="00864246" w:rsidRDefault="00F1513D" w:rsidP="00C562AB">
      <w:pPr>
        <w:spacing w:after="0" w:line="240" w:lineRule="auto"/>
        <w:jc w:val="left"/>
        <w:rPr>
          <w:rFonts w:eastAsia="Times New Roman" w:cs="Arial"/>
          <w:color w:val="222222"/>
          <w:sz w:val="24"/>
          <w:szCs w:val="24"/>
          <w:shd w:val="clear" w:color="auto" w:fill="FFFFFF"/>
        </w:rPr>
      </w:pPr>
    </w:p>
    <w:p w14:paraId="2F9ADB67" w14:textId="77777777" w:rsidR="006C1E3A" w:rsidRPr="00864246" w:rsidRDefault="006C1E3A" w:rsidP="006C1E3A">
      <w:pPr>
        <w:widowControl w:val="0"/>
        <w:autoSpaceDE w:val="0"/>
        <w:autoSpaceDN w:val="0"/>
        <w:adjustRightInd w:val="0"/>
        <w:spacing w:after="240" w:line="240" w:lineRule="auto"/>
        <w:jc w:val="left"/>
        <w:rPr>
          <w:rFonts w:cs="Arial"/>
          <w:sz w:val="24"/>
          <w:szCs w:val="24"/>
          <w:lang w:val="en-US"/>
        </w:rPr>
      </w:pPr>
      <w:r w:rsidRPr="00864246">
        <w:rPr>
          <w:rFonts w:cs="Arial"/>
          <w:sz w:val="24"/>
          <w:szCs w:val="24"/>
          <w:lang w:val="en-US"/>
        </w:rPr>
        <w:t xml:space="preserve">Matza, D. (1964) </w:t>
      </w:r>
      <w:r w:rsidRPr="001861AC">
        <w:rPr>
          <w:rFonts w:cs="Arial"/>
          <w:i/>
          <w:sz w:val="24"/>
          <w:szCs w:val="24"/>
          <w:lang w:val="en-US"/>
        </w:rPr>
        <w:t>Delinquency and drift</w:t>
      </w:r>
      <w:r w:rsidRPr="00864246">
        <w:rPr>
          <w:rFonts w:cs="Arial"/>
          <w:sz w:val="24"/>
          <w:szCs w:val="24"/>
          <w:lang w:val="en-US"/>
        </w:rPr>
        <w:t xml:space="preserve">. New Jersey: Transaction Publications. </w:t>
      </w:r>
    </w:p>
    <w:p w14:paraId="676B460D" w14:textId="77777777" w:rsidR="00D90F08" w:rsidRPr="00864246" w:rsidRDefault="00D90F08" w:rsidP="00D90F08">
      <w:pPr>
        <w:spacing w:after="0" w:line="240" w:lineRule="auto"/>
        <w:jc w:val="left"/>
        <w:rPr>
          <w:rFonts w:eastAsia="Times New Roman" w:cs="Arial"/>
          <w:sz w:val="24"/>
          <w:szCs w:val="24"/>
          <w:lang w:val="en-US"/>
        </w:rPr>
      </w:pPr>
      <w:r w:rsidRPr="00864246">
        <w:rPr>
          <w:rFonts w:eastAsia="Times New Roman" w:cs="Arial"/>
          <w:color w:val="222222"/>
          <w:sz w:val="24"/>
          <w:szCs w:val="24"/>
          <w:shd w:val="clear" w:color="auto" w:fill="FFFFFF"/>
          <w:lang w:val="en-US"/>
        </w:rPr>
        <w:t>Moffitt, T. E. (1997). Adolescence-limited and life-course-persistent offending: A complementary pair of developmental theories. </w:t>
      </w:r>
      <w:r w:rsidRPr="00864246">
        <w:rPr>
          <w:rFonts w:eastAsia="Times New Roman" w:cs="Arial"/>
          <w:i/>
          <w:iCs/>
          <w:color w:val="222222"/>
          <w:sz w:val="24"/>
          <w:szCs w:val="24"/>
          <w:shd w:val="clear" w:color="auto" w:fill="FFFFFF"/>
          <w:lang w:val="en-US"/>
        </w:rPr>
        <w:t>Developmental theories of crime and delinquency</w:t>
      </w:r>
      <w:r w:rsidRPr="00864246">
        <w:rPr>
          <w:rFonts w:eastAsia="Times New Roman" w:cs="Arial"/>
          <w:color w:val="222222"/>
          <w:sz w:val="24"/>
          <w:szCs w:val="24"/>
          <w:shd w:val="clear" w:color="auto" w:fill="FFFFFF"/>
          <w:lang w:val="en-US"/>
        </w:rPr>
        <w:t>, </w:t>
      </w:r>
      <w:r w:rsidRPr="00864246">
        <w:rPr>
          <w:rFonts w:eastAsia="Times New Roman" w:cs="Arial"/>
          <w:i/>
          <w:iCs/>
          <w:color w:val="222222"/>
          <w:sz w:val="24"/>
          <w:szCs w:val="24"/>
          <w:shd w:val="clear" w:color="auto" w:fill="FFFFFF"/>
          <w:lang w:val="en-US"/>
        </w:rPr>
        <w:t>7</w:t>
      </w:r>
      <w:r w:rsidRPr="00864246">
        <w:rPr>
          <w:rFonts w:eastAsia="Times New Roman" w:cs="Arial"/>
          <w:color w:val="222222"/>
          <w:sz w:val="24"/>
          <w:szCs w:val="24"/>
          <w:shd w:val="clear" w:color="auto" w:fill="FFFFFF"/>
          <w:lang w:val="en-US"/>
        </w:rPr>
        <w:t>, 11-54.</w:t>
      </w:r>
    </w:p>
    <w:p w14:paraId="21842516" w14:textId="77777777" w:rsidR="00D90F08" w:rsidRPr="00864246" w:rsidRDefault="00D90F08" w:rsidP="00C562AB">
      <w:pPr>
        <w:spacing w:after="0" w:line="240" w:lineRule="auto"/>
        <w:jc w:val="left"/>
        <w:rPr>
          <w:rFonts w:eastAsia="Times New Roman" w:cs="Arial"/>
          <w:sz w:val="24"/>
          <w:szCs w:val="24"/>
          <w:lang w:val="en-US"/>
        </w:rPr>
      </w:pPr>
    </w:p>
    <w:p w14:paraId="3E50467B" w14:textId="013C7436" w:rsidR="00C50B82" w:rsidRPr="00864246" w:rsidRDefault="00C50B82" w:rsidP="00C50B82">
      <w:pPr>
        <w:spacing w:line="240" w:lineRule="auto"/>
        <w:ind w:right="567"/>
        <w:rPr>
          <w:rFonts w:cs="Arial"/>
          <w:sz w:val="24"/>
          <w:szCs w:val="24"/>
          <w:lang w:val="en-US" w:eastAsia="en-GB"/>
        </w:rPr>
      </w:pPr>
      <w:r w:rsidRPr="00864246">
        <w:rPr>
          <w:rFonts w:cs="Arial"/>
          <w:sz w:val="24"/>
          <w:szCs w:val="24"/>
          <w:lang w:val="en-US" w:eastAsia="en-GB"/>
        </w:rPr>
        <w:t xml:space="preserve">Mohamed AR and Fritzvold ED. (2010) </w:t>
      </w:r>
      <w:r w:rsidRPr="00864246">
        <w:rPr>
          <w:rFonts w:cs="Arial"/>
          <w:i/>
          <w:sz w:val="24"/>
          <w:szCs w:val="24"/>
          <w:lang w:val="en-US" w:eastAsia="en-GB"/>
        </w:rPr>
        <w:t>Dorm Room Dealers: Drugs and the Privileges of Race and Class</w:t>
      </w:r>
      <w:r w:rsidRPr="00864246">
        <w:rPr>
          <w:rFonts w:cs="Arial"/>
          <w:sz w:val="24"/>
          <w:szCs w:val="24"/>
          <w:lang w:val="en-US" w:eastAsia="en-GB"/>
        </w:rPr>
        <w:t xml:space="preserve">. Boulder, CO: Lynne Rienner Publishers. </w:t>
      </w:r>
    </w:p>
    <w:p w14:paraId="28ACA7B0" w14:textId="79723FBC" w:rsidR="00C562AB" w:rsidRPr="00864246" w:rsidRDefault="00141966" w:rsidP="00C562AB">
      <w:pPr>
        <w:spacing w:line="240" w:lineRule="auto"/>
        <w:ind w:right="567"/>
        <w:rPr>
          <w:rFonts w:cs="Arial"/>
          <w:sz w:val="24"/>
          <w:szCs w:val="24"/>
          <w:lang w:val="en-US" w:eastAsia="en-GB"/>
        </w:rPr>
      </w:pPr>
      <w:r w:rsidRPr="00864246">
        <w:rPr>
          <w:rFonts w:cs="Arial"/>
          <w:sz w:val="24"/>
          <w:szCs w:val="24"/>
          <w:lang w:val="en-US" w:eastAsia="en-GB"/>
        </w:rPr>
        <w:lastRenderedPageBreak/>
        <w:t>Moore, D. (1993). Beyond Zinberg's ‘social setting’: a processural view of illicit drug use. </w:t>
      </w:r>
      <w:r w:rsidRPr="00864246">
        <w:rPr>
          <w:rFonts w:cs="Arial"/>
          <w:i/>
          <w:iCs/>
          <w:sz w:val="24"/>
          <w:szCs w:val="24"/>
          <w:lang w:val="en-US" w:eastAsia="en-GB"/>
        </w:rPr>
        <w:t>Drug and Alcohol Review</w:t>
      </w:r>
      <w:r w:rsidRPr="00864246">
        <w:rPr>
          <w:rFonts w:cs="Arial"/>
          <w:sz w:val="24"/>
          <w:szCs w:val="24"/>
          <w:lang w:val="en-US" w:eastAsia="en-GB"/>
        </w:rPr>
        <w:t>, </w:t>
      </w:r>
      <w:r w:rsidRPr="00864246">
        <w:rPr>
          <w:rFonts w:cs="Arial"/>
          <w:i/>
          <w:iCs/>
          <w:sz w:val="24"/>
          <w:szCs w:val="24"/>
          <w:lang w:val="en-US" w:eastAsia="en-GB"/>
        </w:rPr>
        <w:t>12</w:t>
      </w:r>
      <w:r w:rsidRPr="00864246">
        <w:rPr>
          <w:rFonts w:cs="Arial"/>
          <w:sz w:val="24"/>
          <w:szCs w:val="24"/>
          <w:lang w:val="en-US" w:eastAsia="en-GB"/>
        </w:rPr>
        <w:t>(4), 413-421.</w:t>
      </w:r>
    </w:p>
    <w:p w14:paraId="51578C69" w14:textId="67B3A5E2" w:rsidR="00CB65A4" w:rsidRPr="00864246" w:rsidRDefault="00CB65A4" w:rsidP="00CB65A4">
      <w:pPr>
        <w:widowControl w:val="0"/>
        <w:autoSpaceDE w:val="0"/>
        <w:autoSpaceDN w:val="0"/>
        <w:adjustRightInd w:val="0"/>
        <w:spacing w:after="240" w:line="240" w:lineRule="auto"/>
        <w:jc w:val="left"/>
        <w:rPr>
          <w:rFonts w:cs="Arial"/>
          <w:sz w:val="24"/>
          <w:szCs w:val="24"/>
          <w:lang w:val="en-US"/>
        </w:rPr>
      </w:pPr>
      <w:r w:rsidRPr="00864246">
        <w:rPr>
          <w:rFonts w:cs="Arial"/>
          <w:sz w:val="24"/>
          <w:szCs w:val="24"/>
          <w:lang w:val="en-US"/>
        </w:rPr>
        <w:t>Murdoch, J. (1997) Towards a geography of heterogeneous associations, Progress in Human Geography 21(3): 321–337.</w:t>
      </w:r>
      <w:r w:rsidRPr="00864246">
        <w:rPr>
          <w:rFonts w:ascii="MS Mincho" w:eastAsia="MS Mincho" w:hAnsi="MS Mincho" w:cs="MS Mincho"/>
          <w:sz w:val="24"/>
          <w:szCs w:val="24"/>
          <w:lang w:val="en-US"/>
        </w:rPr>
        <w:t> </w:t>
      </w:r>
    </w:p>
    <w:p w14:paraId="49B4E3BC" w14:textId="77777777" w:rsidR="006C1E3A" w:rsidRPr="00864246" w:rsidRDefault="006C1E3A" w:rsidP="006C1E3A">
      <w:pPr>
        <w:spacing w:line="240" w:lineRule="auto"/>
        <w:ind w:right="567"/>
        <w:rPr>
          <w:rFonts w:cs="Arial"/>
          <w:sz w:val="24"/>
          <w:szCs w:val="24"/>
          <w:lang w:val="en-US" w:eastAsia="en-GB"/>
        </w:rPr>
      </w:pPr>
      <w:r w:rsidRPr="00864246">
        <w:rPr>
          <w:rFonts w:cs="Arial"/>
          <w:sz w:val="24"/>
          <w:szCs w:val="24"/>
          <w:lang w:val="en-US" w:eastAsia="en-GB"/>
        </w:rPr>
        <w:t xml:space="preserve">Murphy, S., Waldorf, D. &amp; Reinarman, C. (1990) 'Drifting into dealing: Becoming a cocaine seller'. Qualitative Sociology, 13 (4). pp 321-343. </w:t>
      </w:r>
    </w:p>
    <w:p w14:paraId="3B917413" w14:textId="54C9C669" w:rsidR="006C1E3A" w:rsidRPr="00864246" w:rsidRDefault="006C1E3A" w:rsidP="00F84D98">
      <w:pPr>
        <w:spacing w:line="240" w:lineRule="auto"/>
        <w:ind w:right="567"/>
        <w:rPr>
          <w:rFonts w:cs="Arial"/>
          <w:sz w:val="24"/>
          <w:szCs w:val="24"/>
          <w:lang w:val="en-US" w:eastAsia="en-GB"/>
        </w:rPr>
      </w:pPr>
      <w:r w:rsidRPr="00864246">
        <w:rPr>
          <w:rFonts w:cs="Arial"/>
          <w:sz w:val="24"/>
          <w:szCs w:val="24"/>
          <w:lang w:val="en-US" w:eastAsia="en-GB"/>
        </w:rPr>
        <w:t xml:space="preserve">Murphy, S., Sales, P., Duterte, M and Jacinto, C. (2004) A Qualitative Study of Ecstasy Sellers in the San Francisco Bay Area, Final Report to the National Institute of Justice </w:t>
      </w:r>
    </w:p>
    <w:p w14:paraId="561EC009" w14:textId="77777777" w:rsidR="00F84D98" w:rsidRDefault="00F84D98" w:rsidP="00F84D98">
      <w:pPr>
        <w:spacing w:line="240" w:lineRule="auto"/>
        <w:ind w:right="567"/>
        <w:rPr>
          <w:rFonts w:cs="Arial"/>
          <w:sz w:val="24"/>
          <w:szCs w:val="24"/>
          <w:lang w:eastAsia="en-GB"/>
        </w:rPr>
      </w:pPr>
      <w:r w:rsidRPr="00864246">
        <w:rPr>
          <w:rFonts w:cs="Arial"/>
          <w:sz w:val="24"/>
          <w:szCs w:val="24"/>
          <w:lang w:eastAsia="en-GB"/>
        </w:rPr>
        <w:t>Newbury-Birch, D., White, M., &amp; Kamali, F. (2000). Factors influencing alcohol and illicit drug use amongst medical students. </w:t>
      </w:r>
      <w:r w:rsidRPr="00864246">
        <w:rPr>
          <w:rFonts w:cs="Arial"/>
          <w:i/>
          <w:iCs/>
          <w:sz w:val="24"/>
          <w:szCs w:val="24"/>
          <w:lang w:eastAsia="en-GB"/>
        </w:rPr>
        <w:t>Drug and Alcohol Dependence</w:t>
      </w:r>
      <w:r w:rsidRPr="00864246">
        <w:rPr>
          <w:rFonts w:cs="Arial"/>
          <w:sz w:val="24"/>
          <w:szCs w:val="24"/>
          <w:lang w:eastAsia="en-GB"/>
        </w:rPr>
        <w:t>,</w:t>
      </w:r>
      <w:r w:rsidRPr="00864246">
        <w:rPr>
          <w:rFonts w:cs="Arial"/>
          <w:i/>
          <w:iCs/>
          <w:sz w:val="24"/>
          <w:szCs w:val="24"/>
          <w:lang w:eastAsia="en-GB"/>
        </w:rPr>
        <w:t>59</w:t>
      </w:r>
      <w:r w:rsidRPr="00864246">
        <w:rPr>
          <w:rFonts w:cs="Arial"/>
          <w:sz w:val="24"/>
          <w:szCs w:val="24"/>
          <w:lang w:eastAsia="en-GB"/>
        </w:rPr>
        <w:t>(2), 125-130.</w:t>
      </w:r>
    </w:p>
    <w:p w14:paraId="74BA0FE1" w14:textId="77777777" w:rsidR="00C50B82" w:rsidRPr="00864246" w:rsidRDefault="00C50B82" w:rsidP="00C50B82">
      <w:pPr>
        <w:spacing w:line="240" w:lineRule="auto"/>
        <w:ind w:right="567"/>
        <w:rPr>
          <w:rFonts w:cs="Arial"/>
          <w:sz w:val="24"/>
          <w:szCs w:val="24"/>
          <w:lang w:val="en-US" w:eastAsia="en-GB"/>
        </w:rPr>
      </w:pPr>
      <w:r w:rsidRPr="00864246">
        <w:rPr>
          <w:rFonts w:cs="Arial"/>
          <w:sz w:val="24"/>
          <w:szCs w:val="24"/>
          <w:lang w:val="en-US" w:eastAsia="en-GB"/>
        </w:rPr>
        <w:t>Parker, H., Aldridge, J. &amp; Measham, F. (1998</w:t>
      </w:r>
      <w:r w:rsidRPr="00864246">
        <w:rPr>
          <w:rFonts w:cs="Arial"/>
          <w:i/>
          <w:sz w:val="24"/>
          <w:szCs w:val="24"/>
          <w:lang w:val="en-US" w:eastAsia="en-GB"/>
        </w:rPr>
        <w:t>) Illegal leisure: The normalization of adolescent recreational drug use</w:t>
      </w:r>
      <w:r w:rsidRPr="00864246">
        <w:rPr>
          <w:rFonts w:cs="Arial"/>
          <w:sz w:val="24"/>
          <w:szCs w:val="24"/>
          <w:lang w:val="en-US" w:eastAsia="en-GB"/>
        </w:rPr>
        <w:t xml:space="preserve">. Adolescence and society series. London: Routledge </w:t>
      </w:r>
    </w:p>
    <w:p w14:paraId="1C43EE09" w14:textId="77777777" w:rsidR="00990036" w:rsidRPr="00864246" w:rsidRDefault="00990036" w:rsidP="00990036">
      <w:pPr>
        <w:spacing w:line="240" w:lineRule="auto"/>
        <w:ind w:right="567"/>
        <w:rPr>
          <w:rFonts w:cs="Arial"/>
          <w:sz w:val="24"/>
          <w:szCs w:val="24"/>
          <w:lang w:eastAsia="en-GB"/>
        </w:rPr>
      </w:pPr>
      <w:r w:rsidRPr="00864246">
        <w:rPr>
          <w:rFonts w:cs="Arial"/>
          <w:sz w:val="24"/>
          <w:szCs w:val="24"/>
          <w:lang w:eastAsia="en-GB"/>
        </w:rPr>
        <w:t>Petersen, M. A., Lyngsø-Dahl, L., &amp; Nørgaard, L. S. (2017). Contextualizing study drugs: What general practitioners, psychiatrists and university counsellors say. </w:t>
      </w:r>
      <w:r w:rsidRPr="00864246">
        <w:rPr>
          <w:rFonts w:cs="Arial"/>
          <w:i/>
          <w:iCs/>
          <w:sz w:val="24"/>
          <w:szCs w:val="24"/>
          <w:lang w:eastAsia="en-GB"/>
        </w:rPr>
        <w:t>Research in Social and Administrative Pharmacy</w:t>
      </w:r>
      <w:r w:rsidRPr="00864246">
        <w:rPr>
          <w:rFonts w:cs="Arial"/>
          <w:sz w:val="24"/>
          <w:szCs w:val="24"/>
          <w:lang w:eastAsia="en-GB"/>
        </w:rPr>
        <w:t>, </w:t>
      </w:r>
      <w:r w:rsidRPr="00864246">
        <w:rPr>
          <w:rFonts w:cs="Arial"/>
          <w:i/>
          <w:iCs/>
          <w:sz w:val="24"/>
          <w:szCs w:val="24"/>
          <w:lang w:eastAsia="en-GB"/>
        </w:rPr>
        <w:t>13</w:t>
      </w:r>
      <w:r w:rsidRPr="00864246">
        <w:rPr>
          <w:rFonts w:cs="Arial"/>
          <w:sz w:val="24"/>
          <w:szCs w:val="24"/>
          <w:lang w:eastAsia="en-GB"/>
        </w:rPr>
        <w:t>(3), e6.</w:t>
      </w:r>
    </w:p>
    <w:p w14:paraId="71707007" w14:textId="77777777" w:rsidR="00EB3F73" w:rsidRPr="00864246" w:rsidRDefault="009217EC" w:rsidP="00F84D98">
      <w:pPr>
        <w:spacing w:line="240" w:lineRule="auto"/>
        <w:ind w:right="567"/>
        <w:rPr>
          <w:rFonts w:cs="Arial"/>
          <w:sz w:val="24"/>
          <w:szCs w:val="24"/>
          <w:lang w:eastAsia="en-GB"/>
        </w:rPr>
      </w:pPr>
      <w:r w:rsidRPr="00864246">
        <w:rPr>
          <w:rFonts w:cs="Arial"/>
          <w:sz w:val="24"/>
          <w:szCs w:val="24"/>
          <w:lang w:eastAsia="en-GB"/>
        </w:rPr>
        <w:t>Pickard, M., Bates, L., Dorian, M., Greig, H., &amp; Saint, D. (2000). Alcohol and drug use in second</w:t>
      </w:r>
      <w:r w:rsidRPr="00864246">
        <w:rPr>
          <w:rFonts w:ascii="Calibri" w:hAnsi="Calibri" w:cs="Calibri"/>
          <w:sz w:val="24"/>
          <w:szCs w:val="24"/>
          <w:lang w:eastAsia="en-GB"/>
        </w:rPr>
        <w:t>‐</w:t>
      </w:r>
      <w:r w:rsidRPr="00864246">
        <w:rPr>
          <w:rFonts w:cs="Arial"/>
          <w:sz w:val="24"/>
          <w:szCs w:val="24"/>
          <w:lang w:eastAsia="en-GB"/>
        </w:rPr>
        <w:t>year medical students at the University of Leeds. </w:t>
      </w:r>
      <w:r w:rsidRPr="00864246">
        <w:rPr>
          <w:rFonts w:cs="Arial"/>
          <w:i/>
          <w:iCs/>
          <w:sz w:val="24"/>
          <w:szCs w:val="24"/>
          <w:lang w:eastAsia="en-GB"/>
        </w:rPr>
        <w:t>Medical education</w:t>
      </w:r>
      <w:r w:rsidRPr="00864246">
        <w:rPr>
          <w:rFonts w:cs="Arial"/>
          <w:sz w:val="24"/>
          <w:szCs w:val="24"/>
          <w:lang w:eastAsia="en-GB"/>
        </w:rPr>
        <w:t>, </w:t>
      </w:r>
      <w:r w:rsidRPr="00864246">
        <w:rPr>
          <w:rFonts w:cs="Arial"/>
          <w:i/>
          <w:iCs/>
          <w:sz w:val="24"/>
          <w:szCs w:val="24"/>
          <w:lang w:eastAsia="en-GB"/>
        </w:rPr>
        <w:t>34</w:t>
      </w:r>
      <w:r w:rsidRPr="00864246">
        <w:rPr>
          <w:rFonts w:cs="Arial"/>
          <w:sz w:val="24"/>
          <w:szCs w:val="24"/>
          <w:lang w:eastAsia="en-GB"/>
        </w:rPr>
        <w:t>(2), 148-150.</w:t>
      </w:r>
    </w:p>
    <w:p w14:paraId="6489CFC1" w14:textId="32719224" w:rsidR="00864246" w:rsidRPr="00864246" w:rsidRDefault="00864246" w:rsidP="00F84D98">
      <w:pPr>
        <w:spacing w:line="240" w:lineRule="auto"/>
        <w:ind w:right="567"/>
        <w:rPr>
          <w:rFonts w:cs="Arial"/>
          <w:sz w:val="24"/>
          <w:szCs w:val="24"/>
          <w:lang w:val="en-US" w:eastAsia="en-GB"/>
        </w:rPr>
      </w:pPr>
      <w:r w:rsidRPr="00864246">
        <w:rPr>
          <w:rFonts w:cs="Arial"/>
          <w:sz w:val="24"/>
          <w:szCs w:val="24"/>
          <w:lang w:val="en-US" w:eastAsia="en-GB"/>
        </w:rPr>
        <w:t>Police Foundation, (2000) Drugs and the law: Report of the Independent Inquiry into the Misuse of Drugs Act 1971. London: The Police Foundation</w:t>
      </w:r>
      <w:r w:rsidRPr="00864246">
        <w:rPr>
          <w:rFonts w:ascii="MS Mincho" w:eastAsia="MS Mincho" w:hAnsi="MS Mincho" w:cs="MS Mincho"/>
          <w:sz w:val="24"/>
          <w:szCs w:val="24"/>
          <w:lang w:val="en-US" w:eastAsia="en-GB"/>
        </w:rPr>
        <w:t> </w:t>
      </w:r>
    </w:p>
    <w:p w14:paraId="265D5BA8" w14:textId="6B923CB0" w:rsidR="008F5345" w:rsidRPr="00864246" w:rsidRDefault="001D18EB" w:rsidP="00F84D98">
      <w:pPr>
        <w:spacing w:line="240" w:lineRule="auto"/>
        <w:ind w:right="567"/>
        <w:rPr>
          <w:rFonts w:cs="Arial"/>
          <w:sz w:val="24"/>
          <w:szCs w:val="24"/>
          <w:lang w:val="en-US" w:eastAsia="en-GB"/>
        </w:rPr>
      </w:pPr>
      <w:r w:rsidRPr="00864246">
        <w:rPr>
          <w:rFonts w:cs="Arial"/>
          <w:sz w:val="24"/>
          <w:szCs w:val="24"/>
          <w:lang w:val="en-US" w:eastAsia="en-GB"/>
        </w:rPr>
        <w:t>Roche, A. M., &amp; Watt, K. (1999). Drinking and university students: From celebration to inebriation. </w:t>
      </w:r>
      <w:r w:rsidRPr="00864246">
        <w:rPr>
          <w:rFonts w:cs="Arial"/>
          <w:i/>
          <w:iCs/>
          <w:sz w:val="24"/>
          <w:szCs w:val="24"/>
          <w:lang w:val="en-US" w:eastAsia="en-GB"/>
        </w:rPr>
        <w:t>Drug and alcohol review</w:t>
      </w:r>
      <w:r w:rsidRPr="00864246">
        <w:rPr>
          <w:rFonts w:cs="Arial"/>
          <w:sz w:val="24"/>
          <w:szCs w:val="24"/>
          <w:lang w:val="en-US" w:eastAsia="en-GB"/>
        </w:rPr>
        <w:t>, </w:t>
      </w:r>
      <w:r w:rsidRPr="00864246">
        <w:rPr>
          <w:rFonts w:cs="Arial"/>
          <w:i/>
          <w:iCs/>
          <w:sz w:val="24"/>
          <w:szCs w:val="24"/>
          <w:lang w:val="en-US" w:eastAsia="en-GB"/>
        </w:rPr>
        <w:t>18</w:t>
      </w:r>
      <w:r w:rsidRPr="00864246">
        <w:rPr>
          <w:rFonts w:cs="Arial"/>
          <w:sz w:val="24"/>
          <w:szCs w:val="24"/>
          <w:lang w:val="en-US" w:eastAsia="en-GB"/>
        </w:rPr>
        <w:t>(4), 389-399.</w:t>
      </w:r>
    </w:p>
    <w:p w14:paraId="48966838" w14:textId="77777777" w:rsidR="00141966" w:rsidRPr="00864246" w:rsidRDefault="00141966" w:rsidP="00141966">
      <w:pPr>
        <w:spacing w:after="0" w:line="240" w:lineRule="auto"/>
        <w:jc w:val="left"/>
        <w:rPr>
          <w:rFonts w:eastAsia="Times New Roman" w:cs="Arial"/>
          <w:sz w:val="24"/>
          <w:szCs w:val="24"/>
          <w:lang w:val="en-US"/>
        </w:rPr>
      </w:pPr>
      <w:r w:rsidRPr="00864246">
        <w:rPr>
          <w:rFonts w:eastAsia="Times New Roman" w:cs="Arial"/>
          <w:color w:val="222222"/>
          <w:sz w:val="24"/>
          <w:szCs w:val="24"/>
          <w:shd w:val="clear" w:color="auto" w:fill="FFFFFF"/>
          <w:lang w:val="en-US"/>
        </w:rPr>
        <w:t>Rutter, M. (1996). Transitions and turning points in developmental psychopathology: As applied to the age span between childhood and mid-adulthood. </w:t>
      </w:r>
      <w:r w:rsidRPr="00864246">
        <w:rPr>
          <w:rFonts w:eastAsia="Times New Roman" w:cs="Arial"/>
          <w:i/>
          <w:iCs/>
          <w:color w:val="222222"/>
          <w:sz w:val="24"/>
          <w:szCs w:val="24"/>
          <w:shd w:val="clear" w:color="auto" w:fill="FFFFFF"/>
          <w:lang w:val="en-US"/>
        </w:rPr>
        <w:t>International Journal of Behavioral Development</w:t>
      </w:r>
      <w:r w:rsidRPr="00864246">
        <w:rPr>
          <w:rFonts w:eastAsia="Times New Roman" w:cs="Arial"/>
          <w:color w:val="222222"/>
          <w:sz w:val="24"/>
          <w:szCs w:val="24"/>
          <w:shd w:val="clear" w:color="auto" w:fill="FFFFFF"/>
          <w:lang w:val="en-US"/>
        </w:rPr>
        <w:t>, </w:t>
      </w:r>
      <w:r w:rsidRPr="00864246">
        <w:rPr>
          <w:rFonts w:eastAsia="Times New Roman" w:cs="Arial"/>
          <w:i/>
          <w:iCs/>
          <w:color w:val="222222"/>
          <w:sz w:val="24"/>
          <w:szCs w:val="24"/>
          <w:shd w:val="clear" w:color="auto" w:fill="FFFFFF"/>
          <w:lang w:val="en-US"/>
        </w:rPr>
        <w:t>19</w:t>
      </w:r>
      <w:r w:rsidRPr="00864246">
        <w:rPr>
          <w:rFonts w:eastAsia="Times New Roman" w:cs="Arial"/>
          <w:color w:val="222222"/>
          <w:sz w:val="24"/>
          <w:szCs w:val="24"/>
          <w:shd w:val="clear" w:color="auto" w:fill="FFFFFF"/>
          <w:lang w:val="en-US"/>
        </w:rPr>
        <w:t>(3), 603-626.</w:t>
      </w:r>
    </w:p>
    <w:p w14:paraId="7E9F9172" w14:textId="77777777" w:rsidR="00141966" w:rsidRPr="00864246" w:rsidRDefault="00141966" w:rsidP="00F84D98">
      <w:pPr>
        <w:spacing w:line="240" w:lineRule="auto"/>
        <w:ind w:right="567"/>
        <w:rPr>
          <w:rFonts w:cs="Arial"/>
          <w:sz w:val="24"/>
          <w:szCs w:val="24"/>
          <w:lang w:val="en-US" w:eastAsia="en-GB"/>
        </w:rPr>
      </w:pPr>
    </w:p>
    <w:p w14:paraId="5D6440F0" w14:textId="48D45331" w:rsidR="007115AA" w:rsidRPr="00864246" w:rsidRDefault="007115AA" w:rsidP="00F84D98">
      <w:pPr>
        <w:spacing w:line="240" w:lineRule="auto"/>
        <w:ind w:right="567"/>
        <w:rPr>
          <w:rFonts w:cs="Arial"/>
          <w:sz w:val="24"/>
          <w:szCs w:val="24"/>
          <w:lang w:val="en-US" w:eastAsia="en-GB"/>
        </w:rPr>
      </w:pPr>
      <w:r w:rsidRPr="00864246">
        <w:rPr>
          <w:rFonts w:cs="Arial"/>
          <w:sz w:val="24"/>
          <w:szCs w:val="24"/>
          <w:lang w:val="en-US" w:eastAsia="en-GB"/>
        </w:rPr>
        <w:t>Sampson, R. J., &amp; Laub, J. H. (2005). A life-course view of the development of crime. </w:t>
      </w:r>
      <w:r w:rsidRPr="00864246">
        <w:rPr>
          <w:rFonts w:cs="Arial"/>
          <w:i/>
          <w:iCs/>
          <w:sz w:val="24"/>
          <w:szCs w:val="24"/>
          <w:lang w:val="en-US" w:eastAsia="en-GB"/>
        </w:rPr>
        <w:t>The Annals of the American Academy of Political and Social Science</w:t>
      </w:r>
      <w:r w:rsidRPr="00864246">
        <w:rPr>
          <w:rFonts w:cs="Arial"/>
          <w:sz w:val="24"/>
          <w:szCs w:val="24"/>
          <w:lang w:val="en-US" w:eastAsia="en-GB"/>
        </w:rPr>
        <w:t>, </w:t>
      </w:r>
      <w:r w:rsidRPr="00864246">
        <w:rPr>
          <w:rFonts w:cs="Arial"/>
          <w:i/>
          <w:iCs/>
          <w:sz w:val="24"/>
          <w:szCs w:val="24"/>
          <w:lang w:val="en-US" w:eastAsia="en-GB"/>
        </w:rPr>
        <w:t>602</w:t>
      </w:r>
      <w:r w:rsidRPr="00864246">
        <w:rPr>
          <w:rFonts w:cs="Arial"/>
          <w:sz w:val="24"/>
          <w:szCs w:val="24"/>
          <w:lang w:val="en-US" w:eastAsia="en-GB"/>
        </w:rPr>
        <w:t>(1), 12-45.</w:t>
      </w:r>
    </w:p>
    <w:p w14:paraId="3E0EC6FF" w14:textId="419E28DB" w:rsidR="00654639" w:rsidRPr="00864246" w:rsidRDefault="00654639" w:rsidP="00654639">
      <w:pPr>
        <w:spacing w:after="0" w:line="240" w:lineRule="auto"/>
        <w:jc w:val="left"/>
        <w:rPr>
          <w:rFonts w:eastAsia="Times New Roman" w:cs="Arial"/>
          <w:sz w:val="24"/>
          <w:szCs w:val="24"/>
          <w:lang w:val="en-US"/>
        </w:rPr>
      </w:pPr>
      <w:r w:rsidRPr="00864246">
        <w:rPr>
          <w:rFonts w:eastAsia="Times New Roman" w:cs="Arial"/>
          <w:color w:val="222222"/>
          <w:sz w:val="24"/>
          <w:szCs w:val="24"/>
          <w:shd w:val="clear" w:color="auto" w:fill="FFFFFF"/>
          <w:lang w:val="en-US"/>
        </w:rPr>
        <w:t>Shiner, M. (2009). In </w:t>
      </w:r>
      <w:r w:rsidR="008B6671" w:rsidRPr="00864246">
        <w:rPr>
          <w:rFonts w:eastAsia="Times New Roman" w:cs="Arial"/>
          <w:i/>
          <w:iCs/>
          <w:color w:val="222222"/>
          <w:sz w:val="24"/>
          <w:szCs w:val="24"/>
          <w:shd w:val="clear" w:color="auto" w:fill="FFFFFF"/>
          <w:lang w:val="en-US"/>
        </w:rPr>
        <w:t>D</w:t>
      </w:r>
      <w:r w:rsidRPr="00864246">
        <w:rPr>
          <w:rFonts w:eastAsia="Times New Roman" w:cs="Arial"/>
          <w:i/>
          <w:iCs/>
          <w:color w:val="222222"/>
          <w:sz w:val="24"/>
          <w:szCs w:val="24"/>
          <w:shd w:val="clear" w:color="auto" w:fill="FFFFFF"/>
          <w:lang w:val="en-US"/>
        </w:rPr>
        <w:t>rug Use and Social Change</w:t>
      </w:r>
      <w:r w:rsidR="008B6671" w:rsidRPr="00864246">
        <w:rPr>
          <w:rFonts w:eastAsia="Times New Roman" w:cs="Arial"/>
          <w:i/>
          <w:iCs/>
          <w:color w:val="222222"/>
          <w:sz w:val="24"/>
          <w:szCs w:val="24"/>
          <w:shd w:val="clear" w:color="auto" w:fill="FFFFFF"/>
          <w:lang w:val="en-US"/>
        </w:rPr>
        <w:t>, The Distortion of History</w:t>
      </w:r>
      <w:r w:rsidR="008B6671" w:rsidRPr="00864246">
        <w:rPr>
          <w:rFonts w:eastAsia="Times New Roman" w:cs="Arial"/>
          <w:iCs/>
          <w:color w:val="222222"/>
          <w:sz w:val="24"/>
          <w:szCs w:val="24"/>
          <w:shd w:val="clear" w:color="auto" w:fill="FFFFFF"/>
          <w:lang w:val="en-US"/>
        </w:rPr>
        <w:t xml:space="preserve">. London: </w:t>
      </w:r>
      <w:r w:rsidRPr="00864246">
        <w:rPr>
          <w:rFonts w:eastAsia="Times New Roman" w:cs="Arial"/>
          <w:color w:val="222222"/>
          <w:sz w:val="24"/>
          <w:szCs w:val="24"/>
          <w:shd w:val="clear" w:color="auto" w:fill="FFFFFF"/>
          <w:lang w:val="en-US"/>
        </w:rPr>
        <w:t>Palgrave Macmillan UK.</w:t>
      </w:r>
    </w:p>
    <w:p w14:paraId="53DA0932" w14:textId="77777777" w:rsidR="006A5F0E" w:rsidRDefault="006A5F0E" w:rsidP="00F1513D">
      <w:pPr>
        <w:spacing w:line="240" w:lineRule="auto"/>
        <w:ind w:right="567"/>
        <w:rPr>
          <w:rFonts w:cs="Arial"/>
          <w:color w:val="000000"/>
          <w:sz w:val="24"/>
          <w:szCs w:val="24"/>
          <w:lang w:val="en-US"/>
        </w:rPr>
      </w:pPr>
    </w:p>
    <w:p w14:paraId="08753B9F" w14:textId="079BAB8A" w:rsidR="00F1513D" w:rsidRPr="00864246" w:rsidRDefault="00F1513D" w:rsidP="00F1513D">
      <w:pPr>
        <w:spacing w:line="240" w:lineRule="auto"/>
        <w:ind w:right="567"/>
        <w:rPr>
          <w:rFonts w:cs="Arial"/>
          <w:color w:val="000000"/>
          <w:sz w:val="24"/>
          <w:szCs w:val="24"/>
          <w:lang w:val="en-US"/>
        </w:rPr>
      </w:pPr>
      <w:r w:rsidRPr="00864246">
        <w:rPr>
          <w:rFonts w:cs="Arial"/>
          <w:color w:val="000000"/>
          <w:sz w:val="24"/>
          <w:szCs w:val="24"/>
          <w:lang w:val="en-US"/>
        </w:rPr>
        <w:t xml:space="preserve">Sykes, G. &amp; Matza, D. (1957) 'Techniques of neutralization: A theory of delinquency'. </w:t>
      </w:r>
      <w:r w:rsidR="00CA6089">
        <w:rPr>
          <w:rFonts w:cs="Arial"/>
          <w:i/>
          <w:color w:val="000000"/>
          <w:sz w:val="24"/>
          <w:szCs w:val="24"/>
          <w:lang w:val="en-US"/>
        </w:rPr>
        <w:t>American Sociological R</w:t>
      </w:r>
      <w:r w:rsidRPr="00CA6089">
        <w:rPr>
          <w:rFonts w:cs="Arial"/>
          <w:i/>
          <w:color w:val="000000"/>
          <w:sz w:val="24"/>
          <w:szCs w:val="24"/>
          <w:lang w:val="en-US"/>
        </w:rPr>
        <w:t>eview</w:t>
      </w:r>
      <w:r w:rsidRPr="00864246">
        <w:rPr>
          <w:rFonts w:cs="Arial"/>
          <w:color w:val="000000"/>
          <w:sz w:val="24"/>
          <w:szCs w:val="24"/>
          <w:lang w:val="en-US"/>
        </w:rPr>
        <w:t xml:space="preserve">, pp 664-670. </w:t>
      </w:r>
    </w:p>
    <w:p w14:paraId="31A7E0C2" w14:textId="77777777" w:rsidR="002B1B4D" w:rsidRPr="00864246" w:rsidRDefault="002B1B4D" w:rsidP="002B1B4D">
      <w:pPr>
        <w:spacing w:after="0" w:line="240" w:lineRule="auto"/>
        <w:jc w:val="left"/>
        <w:rPr>
          <w:rFonts w:eastAsia="Times New Roman" w:cs="Arial"/>
          <w:sz w:val="24"/>
          <w:szCs w:val="24"/>
          <w:lang w:val="en-US"/>
        </w:rPr>
      </w:pPr>
      <w:r w:rsidRPr="00864246">
        <w:rPr>
          <w:rFonts w:eastAsia="Times New Roman" w:cs="Arial"/>
          <w:color w:val="222222"/>
          <w:sz w:val="24"/>
          <w:szCs w:val="24"/>
          <w:shd w:val="clear" w:color="auto" w:fill="FFFFFF"/>
          <w:lang w:val="en-US"/>
        </w:rPr>
        <w:t>Teruya, C., &amp; Hser, Y. I. (2010). Turning points in the life course: current findings and future directions in drug use research. </w:t>
      </w:r>
      <w:r w:rsidRPr="00864246">
        <w:rPr>
          <w:rFonts w:eastAsia="Times New Roman" w:cs="Arial"/>
          <w:i/>
          <w:iCs/>
          <w:color w:val="222222"/>
          <w:sz w:val="24"/>
          <w:szCs w:val="24"/>
          <w:shd w:val="clear" w:color="auto" w:fill="FFFFFF"/>
          <w:lang w:val="en-US"/>
        </w:rPr>
        <w:t>Current drug abuse reviews</w:t>
      </w:r>
      <w:r w:rsidRPr="00864246">
        <w:rPr>
          <w:rFonts w:eastAsia="Times New Roman" w:cs="Arial"/>
          <w:color w:val="222222"/>
          <w:sz w:val="24"/>
          <w:szCs w:val="24"/>
          <w:shd w:val="clear" w:color="auto" w:fill="FFFFFF"/>
          <w:lang w:val="en-US"/>
        </w:rPr>
        <w:t>, </w:t>
      </w:r>
      <w:r w:rsidRPr="00864246">
        <w:rPr>
          <w:rFonts w:eastAsia="Times New Roman" w:cs="Arial"/>
          <w:i/>
          <w:iCs/>
          <w:color w:val="222222"/>
          <w:sz w:val="24"/>
          <w:szCs w:val="24"/>
          <w:shd w:val="clear" w:color="auto" w:fill="FFFFFF"/>
          <w:lang w:val="en-US"/>
        </w:rPr>
        <w:t>3</w:t>
      </w:r>
      <w:r w:rsidRPr="00864246">
        <w:rPr>
          <w:rFonts w:eastAsia="Times New Roman" w:cs="Arial"/>
          <w:color w:val="222222"/>
          <w:sz w:val="24"/>
          <w:szCs w:val="24"/>
          <w:shd w:val="clear" w:color="auto" w:fill="FFFFFF"/>
          <w:lang w:val="en-US"/>
        </w:rPr>
        <w:t>(3), 189-195.</w:t>
      </w:r>
    </w:p>
    <w:p w14:paraId="6E9FAE62" w14:textId="77777777" w:rsidR="006A5F0E" w:rsidRDefault="006A5F0E" w:rsidP="000C7FE9">
      <w:pPr>
        <w:spacing w:line="240" w:lineRule="auto"/>
        <w:ind w:right="567"/>
        <w:rPr>
          <w:rFonts w:cs="Arial"/>
          <w:color w:val="000000"/>
          <w:sz w:val="24"/>
          <w:szCs w:val="24"/>
        </w:rPr>
      </w:pPr>
    </w:p>
    <w:p w14:paraId="147CFF02" w14:textId="38B71784" w:rsidR="00F1513D" w:rsidRPr="00864246" w:rsidRDefault="00E712D3" w:rsidP="000C7FE9">
      <w:pPr>
        <w:spacing w:line="240" w:lineRule="auto"/>
        <w:ind w:right="567"/>
        <w:rPr>
          <w:rFonts w:cs="Arial"/>
          <w:color w:val="000000"/>
          <w:sz w:val="24"/>
          <w:szCs w:val="24"/>
        </w:rPr>
      </w:pPr>
      <w:r w:rsidRPr="00864246">
        <w:rPr>
          <w:rFonts w:cs="Arial"/>
          <w:color w:val="000000"/>
          <w:sz w:val="24"/>
          <w:szCs w:val="24"/>
        </w:rPr>
        <w:t xml:space="preserve">Universities UK (2017) </w:t>
      </w:r>
      <w:r w:rsidRPr="001861AC">
        <w:rPr>
          <w:rFonts w:cs="Arial"/>
          <w:i/>
          <w:color w:val="000000"/>
          <w:sz w:val="24"/>
          <w:szCs w:val="24"/>
        </w:rPr>
        <w:t>Higher Education in numbers</w:t>
      </w:r>
      <w:r w:rsidR="000D3B70">
        <w:rPr>
          <w:rFonts w:cs="Arial"/>
          <w:color w:val="000000"/>
          <w:sz w:val="24"/>
          <w:szCs w:val="24"/>
        </w:rPr>
        <w:t xml:space="preserve">. Available at: </w:t>
      </w:r>
      <w:r w:rsidRPr="00864246">
        <w:rPr>
          <w:rFonts w:cs="Arial"/>
          <w:color w:val="000000"/>
          <w:sz w:val="24"/>
          <w:szCs w:val="24"/>
        </w:rPr>
        <w:t xml:space="preserve"> </w:t>
      </w:r>
      <w:hyperlink r:id="rId8" w:history="1">
        <w:r w:rsidRPr="00864246">
          <w:rPr>
            <w:rStyle w:val="Hyperlink"/>
            <w:rFonts w:cs="Arial"/>
            <w:sz w:val="24"/>
            <w:szCs w:val="24"/>
          </w:rPr>
          <w:t>http://www.universitiesuk.ac.uk/facts-and-stats/Pages/higher-education-data.aspx</w:t>
        </w:r>
      </w:hyperlink>
      <w:r w:rsidRPr="00864246">
        <w:rPr>
          <w:rFonts w:cs="Arial"/>
          <w:color w:val="000000"/>
          <w:sz w:val="24"/>
          <w:szCs w:val="24"/>
        </w:rPr>
        <w:t xml:space="preserve"> </w:t>
      </w:r>
    </w:p>
    <w:p w14:paraId="1A4FA4B4" w14:textId="2A294F1C" w:rsidR="00062643" w:rsidRPr="00864246" w:rsidRDefault="002B7719" w:rsidP="000C7FE9">
      <w:pPr>
        <w:spacing w:line="240" w:lineRule="auto"/>
        <w:ind w:right="567"/>
        <w:rPr>
          <w:rFonts w:cs="Arial"/>
          <w:sz w:val="24"/>
          <w:szCs w:val="24"/>
          <w:lang w:eastAsia="en-GB"/>
        </w:rPr>
      </w:pPr>
      <w:r w:rsidRPr="00864246">
        <w:rPr>
          <w:rFonts w:cs="Arial"/>
          <w:sz w:val="24"/>
          <w:szCs w:val="24"/>
          <w:lang w:eastAsia="en-GB"/>
        </w:rPr>
        <w:t xml:space="preserve">Whitehouse, H., (2016) In their own words: Students Share Their Views on Smart drugs. The Guardian. </w:t>
      </w:r>
      <w:r w:rsidR="000D3B70">
        <w:rPr>
          <w:rFonts w:cs="Arial"/>
          <w:sz w:val="24"/>
          <w:szCs w:val="24"/>
          <w:lang w:eastAsia="en-GB"/>
        </w:rPr>
        <w:t xml:space="preserve">Available at: </w:t>
      </w:r>
      <w:r w:rsidRPr="00864246">
        <w:rPr>
          <w:rFonts w:cs="Arial"/>
          <w:sz w:val="24"/>
          <w:szCs w:val="24"/>
          <w:lang w:eastAsia="en-GB"/>
        </w:rPr>
        <w:t>https://www.theguardian.com/education/2016/mar/01/in-their-own-words-students-share-their-views-on-smart-drugs</w:t>
      </w:r>
      <w:r w:rsidR="00FB6801" w:rsidRPr="00864246">
        <w:rPr>
          <w:rFonts w:cs="Arial"/>
          <w:sz w:val="24"/>
          <w:szCs w:val="24"/>
          <w:lang w:eastAsia="en-GB"/>
        </w:rPr>
        <w:t xml:space="preserve"> </w:t>
      </w:r>
    </w:p>
    <w:p w14:paraId="7C6E50F9" w14:textId="77777777" w:rsidR="00583D14" w:rsidRPr="00864246" w:rsidRDefault="00583D14" w:rsidP="000C7FE9">
      <w:pPr>
        <w:spacing w:line="240" w:lineRule="auto"/>
        <w:ind w:right="567"/>
        <w:rPr>
          <w:rFonts w:cs="Arial"/>
          <w:sz w:val="24"/>
          <w:szCs w:val="24"/>
          <w:lang w:eastAsia="en-GB"/>
        </w:rPr>
      </w:pPr>
      <w:r w:rsidRPr="00864246">
        <w:rPr>
          <w:rFonts w:cs="Arial"/>
          <w:sz w:val="24"/>
          <w:szCs w:val="24"/>
          <w:lang w:eastAsia="en-GB"/>
        </w:rPr>
        <w:t xml:space="preserve">Williams, L. (2013) </w:t>
      </w:r>
      <w:r w:rsidRPr="00864246">
        <w:rPr>
          <w:rFonts w:cs="Arial"/>
          <w:i/>
          <w:sz w:val="24"/>
          <w:szCs w:val="24"/>
          <w:lang w:eastAsia="en-GB"/>
        </w:rPr>
        <w:t>Changing Lives, Changing Drug Journeys. Drug Taking Decisions from Adolescence to Adulthood</w:t>
      </w:r>
      <w:r w:rsidRPr="00864246">
        <w:rPr>
          <w:rFonts w:cs="Arial"/>
          <w:sz w:val="24"/>
          <w:szCs w:val="24"/>
          <w:lang w:eastAsia="en-GB"/>
        </w:rPr>
        <w:t>. Abingdon: Routledge</w:t>
      </w:r>
    </w:p>
    <w:p w14:paraId="0FF5329A" w14:textId="79BBC459" w:rsidR="000157EE" w:rsidRPr="00864246" w:rsidRDefault="000157EE" w:rsidP="000C7FE9">
      <w:pPr>
        <w:spacing w:line="240" w:lineRule="auto"/>
        <w:ind w:right="567"/>
        <w:rPr>
          <w:rFonts w:cs="Arial"/>
          <w:sz w:val="24"/>
          <w:szCs w:val="24"/>
          <w:lang w:val="en-US" w:eastAsia="en-GB"/>
        </w:rPr>
      </w:pPr>
      <w:r w:rsidRPr="00864246">
        <w:rPr>
          <w:rFonts w:cs="Arial"/>
          <w:sz w:val="24"/>
          <w:szCs w:val="24"/>
          <w:lang w:val="en-US" w:eastAsia="en-GB"/>
        </w:rPr>
        <w:t>Warr, M. (1998). Life</w:t>
      </w:r>
      <w:r w:rsidRPr="00864246">
        <w:rPr>
          <w:rFonts w:ascii="Calibri" w:hAnsi="Calibri" w:cs="Calibri"/>
          <w:sz w:val="24"/>
          <w:szCs w:val="24"/>
          <w:lang w:val="en-US" w:eastAsia="en-GB"/>
        </w:rPr>
        <w:t>‐</w:t>
      </w:r>
      <w:r w:rsidRPr="00864246">
        <w:rPr>
          <w:rFonts w:cs="Arial"/>
          <w:sz w:val="24"/>
          <w:szCs w:val="24"/>
          <w:lang w:val="en-US" w:eastAsia="en-GB"/>
        </w:rPr>
        <w:t>course transitions and desistance from crime. </w:t>
      </w:r>
      <w:r w:rsidRPr="00864246">
        <w:rPr>
          <w:rFonts w:cs="Arial"/>
          <w:i/>
          <w:iCs/>
          <w:sz w:val="24"/>
          <w:szCs w:val="24"/>
          <w:lang w:val="en-US" w:eastAsia="en-GB"/>
        </w:rPr>
        <w:t>Criminology</w:t>
      </w:r>
      <w:r w:rsidRPr="00864246">
        <w:rPr>
          <w:rFonts w:cs="Arial"/>
          <w:sz w:val="24"/>
          <w:szCs w:val="24"/>
          <w:lang w:val="en-US" w:eastAsia="en-GB"/>
        </w:rPr>
        <w:t>, </w:t>
      </w:r>
      <w:r w:rsidRPr="00864246">
        <w:rPr>
          <w:rFonts w:cs="Arial"/>
          <w:i/>
          <w:iCs/>
          <w:sz w:val="24"/>
          <w:szCs w:val="24"/>
          <w:lang w:val="en-US" w:eastAsia="en-GB"/>
        </w:rPr>
        <w:t>36</w:t>
      </w:r>
      <w:r w:rsidRPr="00864246">
        <w:rPr>
          <w:rFonts w:cs="Arial"/>
          <w:sz w:val="24"/>
          <w:szCs w:val="24"/>
          <w:lang w:val="en-US" w:eastAsia="en-GB"/>
        </w:rPr>
        <w:t>(2), 183-216.</w:t>
      </w:r>
    </w:p>
    <w:p w14:paraId="470E4FBF" w14:textId="77777777" w:rsidR="00C50B82" w:rsidRPr="00864246" w:rsidRDefault="00C50B82" w:rsidP="00C50B82">
      <w:pPr>
        <w:spacing w:line="240" w:lineRule="auto"/>
        <w:ind w:right="567"/>
        <w:rPr>
          <w:rFonts w:cs="Arial"/>
          <w:sz w:val="24"/>
          <w:szCs w:val="24"/>
          <w:lang w:val="en-US" w:eastAsia="en-GB"/>
        </w:rPr>
      </w:pPr>
      <w:r w:rsidRPr="00864246">
        <w:rPr>
          <w:rFonts w:cs="Arial"/>
          <w:sz w:val="24"/>
          <w:szCs w:val="24"/>
          <w:lang w:val="en-US" w:eastAsia="en-GB"/>
        </w:rPr>
        <w:t xml:space="preserve">Young, J. (1971) The Drugtakers: The social meaning of drug use. London: Paladin. </w:t>
      </w:r>
    </w:p>
    <w:p w14:paraId="6867472B" w14:textId="2C6B0AED" w:rsidR="00044291" w:rsidRPr="00864246" w:rsidRDefault="001C38B8" w:rsidP="00044291">
      <w:pPr>
        <w:spacing w:line="240" w:lineRule="auto"/>
        <w:ind w:right="567"/>
        <w:rPr>
          <w:rFonts w:cs="Arial"/>
          <w:sz w:val="24"/>
          <w:szCs w:val="24"/>
          <w:lang w:val="en-US" w:eastAsia="en-GB"/>
        </w:rPr>
      </w:pPr>
      <w:r>
        <w:rPr>
          <w:rFonts w:cs="Arial"/>
          <w:sz w:val="24"/>
          <w:szCs w:val="24"/>
          <w:lang w:val="en-US" w:eastAsia="en-GB"/>
        </w:rPr>
        <w:t>Zinberg, N. (1984</w:t>
      </w:r>
      <w:r w:rsidR="00044291" w:rsidRPr="00864246">
        <w:rPr>
          <w:rFonts w:cs="Arial"/>
          <w:sz w:val="24"/>
          <w:szCs w:val="24"/>
          <w:lang w:val="en-US" w:eastAsia="en-GB"/>
        </w:rPr>
        <w:t xml:space="preserve">) </w:t>
      </w:r>
      <w:r w:rsidR="00044291" w:rsidRPr="00864246">
        <w:rPr>
          <w:rFonts w:cs="Arial"/>
          <w:i/>
          <w:sz w:val="24"/>
          <w:szCs w:val="24"/>
          <w:lang w:val="en-US" w:eastAsia="en-GB"/>
        </w:rPr>
        <w:t>Drug, Set and Setting.</w:t>
      </w:r>
      <w:r w:rsidR="00044291" w:rsidRPr="00864246">
        <w:rPr>
          <w:rFonts w:cs="Arial"/>
          <w:sz w:val="24"/>
          <w:szCs w:val="24"/>
          <w:lang w:val="en-US" w:eastAsia="en-GB"/>
        </w:rPr>
        <w:t xml:space="preserve"> New Haven: Yale University Press </w:t>
      </w:r>
    </w:p>
    <w:p w14:paraId="0B162B68" w14:textId="77777777" w:rsidR="00F1513D" w:rsidRPr="00864246" w:rsidRDefault="00F1513D" w:rsidP="00F1513D">
      <w:pPr>
        <w:spacing w:line="240" w:lineRule="auto"/>
        <w:ind w:right="567"/>
        <w:rPr>
          <w:rFonts w:cs="Arial"/>
          <w:sz w:val="24"/>
          <w:szCs w:val="24"/>
          <w:lang w:val="en-US" w:eastAsia="en-GB"/>
        </w:rPr>
      </w:pPr>
    </w:p>
    <w:p w14:paraId="6C8BE02A" w14:textId="77777777" w:rsidR="00F1513D" w:rsidRPr="00F1513D" w:rsidRDefault="00F1513D" w:rsidP="00F1513D">
      <w:pPr>
        <w:spacing w:line="240" w:lineRule="auto"/>
        <w:ind w:right="567"/>
        <w:rPr>
          <w:rFonts w:ascii="Fd43442-Identity-H" w:hAnsi="Fd43442-Identity-H" w:cs="Fd43442-Identity-H"/>
          <w:sz w:val="24"/>
          <w:szCs w:val="24"/>
          <w:lang w:eastAsia="en-GB"/>
        </w:rPr>
      </w:pPr>
    </w:p>
    <w:p w14:paraId="4D238B9D" w14:textId="77777777" w:rsidR="00F1513D" w:rsidRPr="00425CE9" w:rsidRDefault="00F1513D" w:rsidP="000C7FE9">
      <w:pPr>
        <w:spacing w:line="240" w:lineRule="auto"/>
        <w:ind w:right="567"/>
        <w:rPr>
          <w:rFonts w:ascii="Fd43442-Identity-H" w:hAnsi="Fd43442-Identity-H" w:cs="Fd43442-Identity-H"/>
          <w:sz w:val="24"/>
          <w:szCs w:val="24"/>
          <w:lang w:eastAsia="en-GB"/>
        </w:rPr>
      </w:pPr>
    </w:p>
    <w:sectPr w:rsidR="00F1513D" w:rsidRPr="00425CE9" w:rsidSect="00A34901">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764E5" w14:textId="77777777" w:rsidR="005C5EEF" w:rsidRDefault="005C5EEF" w:rsidP="00341403">
      <w:pPr>
        <w:spacing w:after="0" w:line="240" w:lineRule="auto"/>
      </w:pPr>
      <w:r>
        <w:separator/>
      </w:r>
    </w:p>
  </w:endnote>
  <w:endnote w:type="continuationSeparator" w:id="0">
    <w:p w14:paraId="14814375" w14:textId="77777777" w:rsidR="005C5EEF" w:rsidRDefault="005C5EEF" w:rsidP="0034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d43442-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B69A" w14:textId="77777777" w:rsidR="00DD6454" w:rsidRDefault="00DD6454" w:rsidP="00BF6E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5FEAB" w14:textId="77777777" w:rsidR="00DD6454" w:rsidRDefault="00DD6454" w:rsidP="003414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CFE5" w14:textId="77777777" w:rsidR="00DD6454" w:rsidRDefault="00DD6454" w:rsidP="00BF6E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B90">
      <w:rPr>
        <w:rStyle w:val="PageNumber"/>
        <w:noProof/>
      </w:rPr>
      <w:t>2</w:t>
    </w:r>
    <w:r>
      <w:rPr>
        <w:rStyle w:val="PageNumber"/>
      </w:rPr>
      <w:fldChar w:fldCharType="end"/>
    </w:r>
  </w:p>
  <w:p w14:paraId="58A38AFC" w14:textId="77777777" w:rsidR="00DD6454" w:rsidRDefault="00DD6454" w:rsidP="003414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6447C" w14:textId="77777777" w:rsidR="005C5EEF" w:rsidRDefault="005C5EEF" w:rsidP="00341403">
      <w:pPr>
        <w:spacing w:after="0" w:line="240" w:lineRule="auto"/>
      </w:pPr>
      <w:r>
        <w:separator/>
      </w:r>
    </w:p>
  </w:footnote>
  <w:footnote w:type="continuationSeparator" w:id="0">
    <w:p w14:paraId="3C68841C" w14:textId="77777777" w:rsidR="005C5EEF" w:rsidRDefault="005C5EEF" w:rsidP="00341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06F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0F6A07"/>
    <w:multiLevelType w:val="multilevel"/>
    <w:tmpl w:val="B896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41990"/>
    <w:multiLevelType w:val="hybridMultilevel"/>
    <w:tmpl w:val="23FAA414"/>
    <w:lvl w:ilvl="0" w:tplc="48B47D7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82"/>
    <w:rsid w:val="00002984"/>
    <w:rsid w:val="000051DC"/>
    <w:rsid w:val="00006883"/>
    <w:rsid w:val="0001178E"/>
    <w:rsid w:val="00012622"/>
    <w:rsid w:val="00012FFB"/>
    <w:rsid w:val="0001444B"/>
    <w:rsid w:val="000157A2"/>
    <w:rsid w:val="000157EE"/>
    <w:rsid w:val="0002113F"/>
    <w:rsid w:val="000219DA"/>
    <w:rsid w:val="00026B8C"/>
    <w:rsid w:val="00026BB4"/>
    <w:rsid w:val="00027703"/>
    <w:rsid w:val="000304ED"/>
    <w:rsid w:val="0003242B"/>
    <w:rsid w:val="00032AC6"/>
    <w:rsid w:val="00032F06"/>
    <w:rsid w:val="00033E86"/>
    <w:rsid w:val="00033E93"/>
    <w:rsid w:val="0003458A"/>
    <w:rsid w:val="000360BA"/>
    <w:rsid w:val="0003707F"/>
    <w:rsid w:val="0003793D"/>
    <w:rsid w:val="00037FFA"/>
    <w:rsid w:val="000400F1"/>
    <w:rsid w:val="00044291"/>
    <w:rsid w:val="000463F3"/>
    <w:rsid w:val="0004693A"/>
    <w:rsid w:val="00050695"/>
    <w:rsid w:val="00050C7F"/>
    <w:rsid w:val="00051767"/>
    <w:rsid w:val="000534BB"/>
    <w:rsid w:val="0005350A"/>
    <w:rsid w:val="0005388B"/>
    <w:rsid w:val="00053950"/>
    <w:rsid w:val="00053EE2"/>
    <w:rsid w:val="000546C6"/>
    <w:rsid w:val="00057A21"/>
    <w:rsid w:val="00060F8A"/>
    <w:rsid w:val="00061BC0"/>
    <w:rsid w:val="00061EF1"/>
    <w:rsid w:val="00062643"/>
    <w:rsid w:val="00063354"/>
    <w:rsid w:val="00063A14"/>
    <w:rsid w:val="00064674"/>
    <w:rsid w:val="000701BC"/>
    <w:rsid w:val="00071E9D"/>
    <w:rsid w:val="00073091"/>
    <w:rsid w:val="0007323A"/>
    <w:rsid w:val="00077C44"/>
    <w:rsid w:val="00080F41"/>
    <w:rsid w:val="000810C6"/>
    <w:rsid w:val="00081C94"/>
    <w:rsid w:val="00082474"/>
    <w:rsid w:val="000840FD"/>
    <w:rsid w:val="000852DD"/>
    <w:rsid w:val="00086276"/>
    <w:rsid w:val="000876B5"/>
    <w:rsid w:val="000909F3"/>
    <w:rsid w:val="00091FF5"/>
    <w:rsid w:val="00093668"/>
    <w:rsid w:val="00093837"/>
    <w:rsid w:val="00095DB3"/>
    <w:rsid w:val="000A1E5B"/>
    <w:rsid w:val="000A204F"/>
    <w:rsid w:val="000A31FA"/>
    <w:rsid w:val="000A3910"/>
    <w:rsid w:val="000A4FB3"/>
    <w:rsid w:val="000A5D97"/>
    <w:rsid w:val="000A640E"/>
    <w:rsid w:val="000A6AE5"/>
    <w:rsid w:val="000A6D71"/>
    <w:rsid w:val="000A74DD"/>
    <w:rsid w:val="000A7E04"/>
    <w:rsid w:val="000A7ECB"/>
    <w:rsid w:val="000B13B4"/>
    <w:rsid w:val="000B20A2"/>
    <w:rsid w:val="000B5880"/>
    <w:rsid w:val="000B5B44"/>
    <w:rsid w:val="000B6707"/>
    <w:rsid w:val="000B749E"/>
    <w:rsid w:val="000C1784"/>
    <w:rsid w:val="000C1877"/>
    <w:rsid w:val="000C2A74"/>
    <w:rsid w:val="000C3E97"/>
    <w:rsid w:val="000C74FE"/>
    <w:rsid w:val="000C7C77"/>
    <w:rsid w:val="000C7FE9"/>
    <w:rsid w:val="000D0B99"/>
    <w:rsid w:val="000D2786"/>
    <w:rsid w:val="000D3B70"/>
    <w:rsid w:val="000D436A"/>
    <w:rsid w:val="000D502C"/>
    <w:rsid w:val="000D6203"/>
    <w:rsid w:val="000D66B2"/>
    <w:rsid w:val="000D6FF7"/>
    <w:rsid w:val="000D7061"/>
    <w:rsid w:val="000E00F7"/>
    <w:rsid w:val="000E09A0"/>
    <w:rsid w:val="000E18B0"/>
    <w:rsid w:val="000E1A6C"/>
    <w:rsid w:val="000E1C37"/>
    <w:rsid w:val="000E1DDD"/>
    <w:rsid w:val="000E3F7D"/>
    <w:rsid w:val="000E609B"/>
    <w:rsid w:val="000E6311"/>
    <w:rsid w:val="000E7B3C"/>
    <w:rsid w:val="000F07EE"/>
    <w:rsid w:val="000F1321"/>
    <w:rsid w:val="000F23CF"/>
    <w:rsid w:val="000F29B4"/>
    <w:rsid w:val="000F30C9"/>
    <w:rsid w:val="000F39D6"/>
    <w:rsid w:val="000F3D7B"/>
    <w:rsid w:val="000F3FB6"/>
    <w:rsid w:val="000F41B4"/>
    <w:rsid w:val="000F5A48"/>
    <w:rsid w:val="00100213"/>
    <w:rsid w:val="00100DEA"/>
    <w:rsid w:val="00101F59"/>
    <w:rsid w:val="00103755"/>
    <w:rsid w:val="00104F63"/>
    <w:rsid w:val="00105140"/>
    <w:rsid w:val="00105D13"/>
    <w:rsid w:val="001105C4"/>
    <w:rsid w:val="00110964"/>
    <w:rsid w:val="00110C44"/>
    <w:rsid w:val="00114A51"/>
    <w:rsid w:val="00115DF4"/>
    <w:rsid w:val="00117F8D"/>
    <w:rsid w:val="001202DD"/>
    <w:rsid w:val="00121594"/>
    <w:rsid w:val="001221C0"/>
    <w:rsid w:val="001233DC"/>
    <w:rsid w:val="00124EFF"/>
    <w:rsid w:val="001251D1"/>
    <w:rsid w:val="00125FFB"/>
    <w:rsid w:val="00127213"/>
    <w:rsid w:val="001345BA"/>
    <w:rsid w:val="0013543C"/>
    <w:rsid w:val="0013593C"/>
    <w:rsid w:val="00137607"/>
    <w:rsid w:val="00140825"/>
    <w:rsid w:val="00140AA6"/>
    <w:rsid w:val="0014159D"/>
    <w:rsid w:val="00141966"/>
    <w:rsid w:val="00142295"/>
    <w:rsid w:val="00142797"/>
    <w:rsid w:val="00142F61"/>
    <w:rsid w:val="00143508"/>
    <w:rsid w:val="001438C5"/>
    <w:rsid w:val="00150737"/>
    <w:rsid w:val="00151775"/>
    <w:rsid w:val="00151B73"/>
    <w:rsid w:val="001524A8"/>
    <w:rsid w:val="00152CE5"/>
    <w:rsid w:val="00152D56"/>
    <w:rsid w:val="001532B9"/>
    <w:rsid w:val="001538C2"/>
    <w:rsid w:val="0015442C"/>
    <w:rsid w:val="001549BA"/>
    <w:rsid w:val="0015665D"/>
    <w:rsid w:val="00157677"/>
    <w:rsid w:val="00163DC2"/>
    <w:rsid w:val="00166714"/>
    <w:rsid w:val="00166B42"/>
    <w:rsid w:val="00170BD7"/>
    <w:rsid w:val="001714F4"/>
    <w:rsid w:val="00171DE9"/>
    <w:rsid w:val="00172583"/>
    <w:rsid w:val="001742C0"/>
    <w:rsid w:val="001761AA"/>
    <w:rsid w:val="001765F2"/>
    <w:rsid w:val="00176AAE"/>
    <w:rsid w:val="00180DF4"/>
    <w:rsid w:val="00181A30"/>
    <w:rsid w:val="00182389"/>
    <w:rsid w:val="0018464C"/>
    <w:rsid w:val="00184C59"/>
    <w:rsid w:val="001861AC"/>
    <w:rsid w:val="00186435"/>
    <w:rsid w:val="001909C5"/>
    <w:rsid w:val="00190B3D"/>
    <w:rsid w:val="00190CFC"/>
    <w:rsid w:val="0019176A"/>
    <w:rsid w:val="00192550"/>
    <w:rsid w:val="00193D3E"/>
    <w:rsid w:val="001957C2"/>
    <w:rsid w:val="00197631"/>
    <w:rsid w:val="001A0323"/>
    <w:rsid w:val="001A38D6"/>
    <w:rsid w:val="001B1888"/>
    <w:rsid w:val="001B2481"/>
    <w:rsid w:val="001B47FB"/>
    <w:rsid w:val="001B574E"/>
    <w:rsid w:val="001B6C23"/>
    <w:rsid w:val="001C0C0A"/>
    <w:rsid w:val="001C17D8"/>
    <w:rsid w:val="001C2BA6"/>
    <w:rsid w:val="001C38B8"/>
    <w:rsid w:val="001C4693"/>
    <w:rsid w:val="001C56A5"/>
    <w:rsid w:val="001C5B96"/>
    <w:rsid w:val="001C682F"/>
    <w:rsid w:val="001D18EB"/>
    <w:rsid w:val="001D50AB"/>
    <w:rsid w:val="001D5E60"/>
    <w:rsid w:val="001D6CAA"/>
    <w:rsid w:val="001E1CEA"/>
    <w:rsid w:val="001E29F5"/>
    <w:rsid w:val="001E2DD2"/>
    <w:rsid w:val="001E3E6B"/>
    <w:rsid w:val="001E4496"/>
    <w:rsid w:val="001E4A2E"/>
    <w:rsid w:val="001E7E50"/>
    <w:rsid w:val="001F0EB0"/>
    <w:rsid w:val="001F15D0"/>
    <w:rsid w:val="001F275B"/>
    <w:rsid w:val="001F2D02"/>
    <w:rsid w:val="001F31D3"/>
    <w:rsid w:val="001F4C63"/>
    <w:rsid w:val="001F556D"/>
    <w:rsid w:val="001F5ADF"/>
    <w:rsid w:val="001F68F9"/>
    <w:rsid w:val="001F7100"/>
    <w:rsid w:val="002012B4"/>
    <w:rsid w:val="00204636"/>
    <w:rsid w:val="00206C0F"/>
    <w:rsid w:val="002073E2"/>
    <w:rsid w:val="00207874"/>
    <w:rsid w:val="00210AC1"/>
    <w:rsid w:val="00210E29"/>
    <w:rsid w:val="00214DFC"/>
    <w:rsid w:val="00214E05"/>
    <w:rsid w:val="00217AA1"/>
    <w:rsid w:val="00220D1B"/>
    <w:rsid w:val="00222F06"/>
    <w:rsid w:val="00227560"/>
    <w:rsid w:val="00227807"/>
    <w:rsid w:val="002321DC"/>
    <w:rsid w:val="00234424"/>
    <w:rsid w:val="002345F0"/>
    <w:rsid w:val="00234AF0"/>
    <w:rsid w:val="002365E7"/>
    <w:rsid w:val="0024237E"/>
    <w:rsid w:val="00244353"/>
    <w:rsid w:val="00244822"/>
    <w:rsid w:val="0024679B"/>
    <w:rsid w:val="00250C6F"/>
    <w:rsid w:val="00253EF2"/>
    <w:rsid w:val="00254151"/>
    <w:rsid w:val="00256CE5"/>
    <w:rsid w:val="00257C5B"/>
    <w:rsid w:val="00261D4C"/>
    <w:rsid w:val="00263255"/>
    <w:rsid w:val="002648D4"/>
    <w:rsid w:val="00264A2E"/>
    <w:rsid w:val="00265307"/>
    <w:rsid w:val="00265F2E"/>
    <w:rsid w:val="002667C5"/>
    <w:rsid w:val="00267C7A"/>
    <w:rsid w:val="00273CE8"/>
    <w:rsid w:val="002751CA"/>
    <w:rsid w:val="00276B11"/>
    <w:rsid w:val="0028035B"/>
    <w:rsid w:val="002815D2"/>
    <w:rsid w:val="00284BE2"/>
    <w:rsid w:val="002855F7"/>
    <w:rsid w:val="0028649F"/>
    <w:rsid w:val="002872DB"/>
    <w:rsid w:val="00287C84"/>
    <w:rsid w:val="002918C8"/>
    <w:rsid w:val="00291FA6"/>
    <w:rsid w:val="00292B90"/>
    <w:rsid w:val="00293870"/>
    <w:rsid w:val="002946F7"/>
    <w:rsid w:val="00294974"/>
    <w:rsid w:val="00294B30"/>
    <w:rsid w:val="00295BAB"/>
    <w:rsid w:val="00295F97"/>
    <w:rsid w:val="00297445"/>
    <w:rsid w:val="00297D29"/>
    <w:rsid w:val="002A0017"/>
    <w:rsid w:val="002A057E"/>
    <w:rsid w:val="002A2B7A"/>
    <w:rsid w:val="002A3841"/>
    <w:rsid w:val="002A47D0"/>
    <w:rsid w:val="002A5682"/>
    <w:rsid w:val="002A60A5"/>
    <w:rsid w:val="002A724B"/>
    <w:rsid w:val="002B0D6E"/>
    <w:rsid w:val="002B0E36"/>
    <w:rsid w:val="002B1B4D"/>
    <w:rsid w:val="002B3730"/>
    <w:rsid w:val="002B3C3E"/>
    <w:rsid w:val="002B55AF"/>
    <w:rsid w:val="002B5AA9"/>
    <w:rsid w:val="002B7541"/>
    <w:rsid w:val="002B7719"/>
    <w:rsid w:val="002C02D3"/>
    <w:rsid w:val="002C0D07"/>
    <w:rsid w:val="002C39ED"/>
    <w:rsid w:val="002C452C"/>
    <w:rsid w:val="002C675B"/>
    <w:rsid w:val="002C68B5"/>
    <w:rsid w:val="002D2806"/>
    <w:rsid w:val="002D39A7"/>
    <w:rsid w:val="002D46D4"/>
    <w:rsid w:val="002E0749"/>
    <w:rsid w:val="002E0AAC"/>
    <w:rsid w:val="002E0ED8"/>
    <w:rsid w:val="002E2B2C"/>
    <w:rsid w:val="002E2FDC"/>
    <w:rsid w:val="002E3A6B"/>
    <w:rsid w:val="002E4E84"/>
    <w:rsid w:val="002E5D62"/>
    <w:rsid w:val="002E79FB"/>
    <w:rsid w:val="002F10B3"/>
    <w:rsid w:val="002F401D"/>
    <w:rsid w:val="002F5D48"/>
    <w:rsid w:val="002F600E"/>
    <w:rsid w:val="002F6676"/>
    <w:rsid w:val="002F7A4B"/>
    <w:rsid w:val="002F7CFC"/>
    <w:rsid w:val="00300641"/>
    <w:rsid w:val="00301A02"/>
    <w:rsid w:val="00302411"/>
    <w:rsid w:val="0030269B"/>
    <w:rsid w:val="0030525B"/>
    <w:rsid w:val="003054F3"/>
    <w:rsid w:val="00310F00"/>
    <w:rsid w:val="003121BA"/>
    <w:rsid w:val="00312592"/>
    <w:rsid w:val="00312A03"/>
    <w:rsid w:val="0031356C"/>
    <w:rsid w:val="00314EB6"/>
    <w:rsid w:val="003239C7"/>
    <w:rsid w:val="00323C0B"/>
    <w:rsid w:val="003250F5"/>
    <w:rsid w:val="00325C1B"/>
    <w:rsid w:val="00331D58"/>
    <w:rsid w:val="0033289E"/>
    <w:rsid w:val="00336D39"/>
    <w:rsid w:val="00341403"/>
    <w:rsid w:val="00342495"/>
    <w:rsid w:val="00342C2D"/>
    <w:rsid w:val="003434F6"/>
    <w:rsid w:val="00343BEB"/>
    <w:rsid w:val="003466B6"/>
    <w:rsid w:val="00346AA0"/>
    <w:rsid w:val="00347887"/>
    <w:rsid w:val="00357EB8"/>
    <w:rsid w:val="00360451"/>
    <w:rsid w:val="00360D1D"/>
    <w:rsid w:val="00361D1D"/>
    <w:rsid w:val="003621D3"/>
    <w:rsid w:val="003625ED"/>
    <w:rsid w:val="00362DCB"/>
    <w:rsid w:val="0036303C"/>
    <w:rsid w:val="003631CC"/>
    <w:rsid w:val="0036325D"/>
    <w:rsid w:val="00364FF3"/>
    <w:rsid w:val="00366A81"/>
    <w:rsid w:val="003670FC"/>
    <w:rsid w:val="0036751B"/>
    <w:rsid w:val="00371D74"/>
    <w:rsid w:val="003729BF"/>
    <w:rsid w:val="00372C41"/>
    <w:rsid w:val="00374103"/>
    <w:rsid w:val="00375F02"/>
    <w:rsid w:val="003769E6"/>
    <w:rsid w:val="0037735B"/>
    <w:rsid w:val="00377598"/>
    <w:rsid w:val="003776D0"/>
    <w:rsid w:val="003801FA"/>
    <w:rsid w:val="00383437"/>
    <w:rsid w:val="0038529A"/>
    <w:rsid w:val="0038540D"/>
    <w:rsid w:val="00385685"/>
    <w:rsid w:val="00385A73"/>
    <w:rsid w:val="0038692F"/>
    <w:rsid w:val="00386AEA"/>
    <w:rsid w:val="00390091"/>
    <w:rsid w:val="00390D26"/>
    <w:rsid w:val="003911F7"/>
    <w:rsid w:val="00391230"/>
    <w:rsid w:val="003913A8"/>
    <w:rsid w:val="0039331F"/>
    <w:rsid w:val="003953B6"/>
    <w:rsid w:val="00395CA7"/>
    <w:rsid w:val="003961E2"/>
    <w:rsid w:val="003A10A7"/>
    <w:rsid w:val="003A1CA2"/>
    <w:rsid w:val="003A2285"/>
    <w:rsid w:val="003A32E3"/>
    <w:rsid w:val="003A5053"/>
    <w:rsid w:val="003A5456"/>
    <w:rsid w:val="003A773E"/>
    <w:rsid w:val="003A7F5F"/>
    <w:rsid w:val="003B3D56"/>
    <w:rsid w:val="003B3E09"/>
    <w:rsid w:val="003B5D33"/>
    <w:rsid w:val="003C0B79"/>
    <w:rsid w:val="003C1BCF"/>
    <w:rsid w:val="003C3973"/>
    <w:rsid w:val="003C5D96"/>
    <w:rsid w:val="003C653F"/>
    <w:rsid w:val="003D059A"/>
    <w:rsid w:val="003D2319"/>
    <w:rsid w:val="003D2731"/>
    <w:rsid w:val="003D3616"/>
    <w:rsid w:val="003D3F00"/>
    <w:rsid w:val="003D4751"/>
    <w:rsid w:val="003D4E54"/>
    <w:rsid w:val="003D6AE9"/>
    <w:rsid w:val="003E0082"/>
    <w:rsid w:val="003E073D"/>
    <w:rsid w:val="003E0BD8"/>
    <w:rsid w:val="003E15D9"/>
    <w:rsid w:val="003E16A8"/>
    <w:rsid w:val="003E2104"/>
    <w:rsid w:val="003E28BA"/>
    <w:rsid w:val="003E3574"/>
    <w:rsid w:val="003E39F1"/>
    <w:rsid w:val="003E4513"/>
    <w:rsid w:val="003E461C"/>
    <w:rsid w:val="003E4B72"/>
    <w:rsid w:val="003E6080"/>
    <w:rsid w:val="003E66B9"/>
    <w:rsid w:val="003E6B02"/>
    <w:rsid w:val="003F0406"/>
    <w:rsid w:val="003F083E"/>
    <w:rsid w:val="003F0B85"/>
    <w:rsid w:val="003F0EB7"/>
    <w:rsid w:val="003F27F1"/>
    <w:rsid w:val="003F5C33"/>
    <w:rsid w:val="003F654F"/>
    <w:rsid w:val="003F739F"/>
    <w:rsid w:val="004005D6"/>
    <w:rsid w:val="00400EFA"/>
    <w:rsid w:val="004013E7"/>
    <w:rsid w:val="0040192B"/>
    <w:rsid w:val="00402257"/>
    <w:rsid w:val="00403057"/>
    <w:rsid w:val="00403850"/>
    <w:rsid w:val="00404BC7"/>
    <w:rsid w:val="004054B5"/>
    <w:rsid w:val="004078CE"/>
    <w:rsid w:val="004110AC"/>
    <w:rsid w:val="0041173F"/>
    <w:rsid w:val="00412A92"/>
    <w:rsid w:val="00415A59"/>
    <w:rsid w:val="00415CFE"/>
    <w:rsid w:val="00417152"/>
    <w:rsid w:val="0042003B"/>
    <w:rsid w:val="00421253"/>
    <w:rsid w:val="0042217A"/>
    <w:rsid w:val="004249AF"/>
    <w:rsid w:val="00425CE9"/>
    <w:rsid w:val="0042618E"/>
    <w:rsid w:val="0042733B"/>
    <w:rsid w:val="00432608"/>
    <w:rsid w:val="004333B4"/>
    <w:rsid w:val="00433421"/>
    <w:rsid w:val="00434C75"/>
    <w:rsid w:val="004355A9"/>
    <w:rsid w:val="00436DA4"/>
    <w:rsid w:val="00443D23"/>
    <w:rsid w:val="00443FC8"/>
    <w:rsid w:val="00446A9C"/>
    <w:rsid w:val="00450624"/>
    <w:rsid w:val="004524E9"/>
    <w:rsid w:val="00452B37"/>
    <w:rsid w:val="00453985"/>
    <w:rsid w:val="0045662A"/>
    <w:rsid w:val="004569AA"/>
    <w:rsid w:val="00457C94"/>
    <w:rsid w:val="00457ED8"/>
    <w:rsid w:val="00460628"/>
    <w:rsid w:val="00460858"/>
    <w:rsid w:val="00461BB8"/>
    <w:rsid w:val="00464321"/>
    <w:rsid w:val="0046467D"/>
    <w:rsid w:val="004654D9"/>
    <w:rsid w:val="00465ABA"/>
    <w:rsid w:val="00465B8A"/>
    <w:rsid w:val="00465B96"/>
    <w:rsid w:val="004713BE"/>
    <w:rsid w:val="0047172B"/>
    <w:rsid w:val="00472A98"/>
    <w:rsid w:val="00476D15"/>
    <w:rsid w:val="00476FB5"/>
    <w:rsid w:val="004807DD"/>
    <w:rsid w:val="00480B9D"/>
    <w:rsid w:val="00481DC7"/>
    <w:rsid w:val="00481F22"/>
    <w:rsid w:val="00483EB0"/>
    <w:rsid w:val="00484C4D"/>
    <w:rsid w:val="00487D80"/>
    <w:rsid w:val="00490ABB"/>
    <w:rsid w:val="00492AA7"/>
    <w:rsid w:val="00493A1E"/>
    <w:rsid w:val="004943D7"/>
    <w:rsid w:val="0049498E"/>
    <w:rsid w:val="004952BF"/>
    <w:rsid w:val="0049556A"/>
    <w:rsid w:val="0049775D"/>
    <w:rsid w:val="004A1E0F"/>
    <w:rsid w:val="004A2244"/>
    <w:rsid w:val="004A25A8"/>
    <w:rsid w:val="004A623C"/>
    <w:rsid w:val="004A7A47"/>
    <w:rsid w:val="004A7BA4"/>
    <w:rsid w:val="004A7D91"/>
    <w:rsid w:val="004B0ABF"/>
    <w:rsid w:val="004B384A"/>
    <w:rsid w:val="004B4787"/>
    <w:rsid w:val="004B50C7"/>
    <w:rsid w:val="004B5595"/>
    <w:rsid w:val="004B5F6C"/>
    <w:rsid w:val="004B66AC"/>
    <w:rsid w:val="004B6C43"/>
    <w:rsid w:val="004B70A3"/>
    <w:rsid w:val="004C394C"/>
    <w:rsid w:val="004C75EE"/>
    <w:rsid w:val="004D09DC"/>
    <w:rsid w:val="004D0A28"/>
    <w:rsid w:val="004D4042"/>
    <w:rsid w:val="004D4F69"/>
    <w:rsid w:val="004D57F1"/>
    <w:rsid w:val="004D5B5F"/>
    <w:rsid w:val="004D728C"/>
    <w:rsid w:val="004E0AAB"/>
    <w:rsid w:val="004E17F2"/>
    <w:rsid w:val="004E1A20"/>
    <w:rsid w:val="004E2BD1"/>
    <w:rsid w:val="004E48C2"/>
    <w:rsid w:val="004E4D3A"/>
    <w:rsid w:val="004E567D"/>
    <w:rsid w:val="004F19D9"/>
    <w:rsid w:val="004F228B"/>
    <w:rsid w:val="004F37FB"/>
    <w:rsid w:val="004F4A63"/>
    <w:rsid w:val="004F5D16"/>
    <w:rsid w:val="004F5DE4"/>
    <w:rsid w:val="004F6742"/>
    <w:rsid w:val="004F7112"/>
    <w:rsid w:val="004F7B37"/>
    <w:rsid w:val="0050074B"/>
    <w:rsid w:val="005009D2"/>
    <w:rsid w:val="00507EFC"/>
    <w:rsid w:val="00510D55"/>
    <w:rsid w:val="0051558A"/>
    <w:rsid w:val="00516B15"/>
    <w:rsid w:val="00516B72"/>
    <w:rsid w:val="00524E75"/>
    <w:rsid w:val="005265DB"/>
    <w:rsid w:val="00526C69"/>
    <w:rsid w:val="005307B4"/>
    <w:rsid w:val="00530CB1"/>
    <w:rsid w:val="00530E4A"/>
    <w:rsid w:val="005314EC"/>
    <w:rsid w:val="0053387C"/>
    <w:rsid w:val="0053510C"/>
    <w:rsid w:val="00536854"/>
    <w:rsid w:val="005404BE"/>
    <w:rsid w:val="00540E35"/>
    <w:rsid w:val="00540EB6"/>
    <w:rsid w:val="005447E0"/>
    <w:rsid w:val="0054614D"/>
    <w:rsid w:val="0054622E"/>
    <w:rsid w:val="005510DE"/>
    <w:rsid w:val="00555190"/>
    <w:rsid w:val="00555AAF"/>
    <w:rsid w:val="0055659F"/>
    <w:rsid w:val="00560744"/>
    <w:rsid w:val="005621DA"/>
    <w:rsid w:val="0056227B"/>
    <w:rsid w:val="00562EB5"/>
    <w:rsid w:val="0056350A"/>
    <w:rsid w:val="005639B6"/>
    <w:rsid w:val="00563F7E"/>
    <w:rsid w:val="00565E97"/>
    <w:rsid w:val="00567667"/>
    <w:rsid w:val="0057036B"/>
    <w:rsid w:val="0057123E"/>
    <w:rsid w:val="00573BED"/>
    <w:rsid w:val="00574983"/>
    <w:rsid w:val="00574A88"/>
    <w:rsid w:val="00574D38"/>
    <w:rsid w:val="00574FD2"/>
    <w:rsid w:val="00575AEE"/>
    <w:rsid w:val="0057692B"/>
    <w:rsid w:val="00576A3C"/>
    <w:rsid w:val="005775B7"/>
    <w:rsid w:val="00583D14"/>
    <w:rsid w:val="0058426C"/>
    <w:rsid w:val="0058626E"/>
    <w:rsid w:val="00586633"/>
    <w:rsid w:val="00586B08"/>
    <w:rsid w:val="005904ED"/>
    <w:rsid w:val="00591033"/>
    <w:rsid w:val="00594BCE"/>
    <w:rsid w:val="005955EA"/>
    <w:rsid w:val="0059579B"/>
    <w:rsid w:val="0059687F"/>
    <w:rsid w:val="00596C51"/>
    <w:rsid w:val="00597FA4"/>
    <w:rsid w:val="005A1350"/>
    <w:rsid w:val="005A471C"/>
    <w:rsid w:val="005A5FA6"/>
    <w:rsid w:val="005A63DA"/>
    <w:rsid w:val="005A6798"/>
    <w:rsid w:val="005A76A1"/>
    <w:rsid w:val="005B0059"/>
    <w:rsid w:val="005B0BDA"/>
    <w:rsid w:val="005B3249"/>
    <w:rsid w:val="005B391B"/>
    <w:rsid w:val="005B3BCB"/>
    <w:rsid w:val="005B5126"/>
    <w:rsid w:val="005B51FD"/>
    <w:rsid w:val="005B6A65"/>
    <w:rsid w:val="005B7BE9"/>
    <w:rsid w:val="005B7F0A"/>
    <w:rsid w:val="005C167A"/>
    <w:rsid w:val="005C44E0"/>
    <w:rsid w:val="005C5EEF"/>
    <w:rsid w:val="005C7F43"/>
    <w:rsid w:val="005D0D80"/>
    <w:rsid w:val="005D0DCC"/>
    <w:rsid w:val="005D4565"/>
    <w:rsid w:val="005D58D6"/>
    <w:rsid w:val="005D6EDD"/>
    <w:rsid w:val="005D7292"/>
    <w:rsid w:val="005E0699"/>
    <w:rsid w:val="005E1CC5"/>
    <w:rsid w:val="005E29C3"/>
    <w:rsid w:val="005E4A9E"/>
    <w:rsid w:val="005E7EC2"/>
    <w:rsid w:val="005F034B"/>
    <w:rsid w:val="005F065B"/>
    <w:rsid w:val="005F123F"/>
    <w:rsid w:val="005F151E"/>
    <w:rsid w:val="005F32FD"/>
    <w:rsid w:val="005F3827"/>
    <w:rsid w:val="005F6D5A"/>
    <w:rsid w:val="005F702C"/>
    <w:rsid w:val="005F7801"/>
    <w:rsid w:val="00600012"/>
    <w:rsid w:val="006009D3"/>
    <w:rsid w:val="0060285E"/>
    <w:rsid w:val="0060516F"/>
    <w:rsid w:val="00606489"/>
    <w:rsid w:val="006126FA"/>
    <w:rsid w:val="00613C43"/>
    <w:rsid w:val="006174DA"/>
    <w:rsid w:val="0061777D"/>
    <w:rsid w:val="00620833"/>
    <w:rsid w:val="006209C2"/>
    <w:rsid w:val="00621765"/>
    <w:rsid w:val="00623E7B"/>
    <w:rsid w:val="00624943"/>
    <w:rsid w:val="00624A80"/>
    <w:rsid w:val="00625028"/>
    <w:rsid w:val="006264C6"/>
    <w:rsid w:val="006277D8"/>
    <w:rsid w:val="00627EF1"/>
    <w:rsid w:val="00630603"/>
    <w:rsid w:val="0063076A"/>
    <w:rsid w:val="00630C0C"/>
    <w:rsid w:val="006318C2"/>
    <w:rsid w:val="006366D0"/>
    <w:rsid w:val="0063704B"/>
    <w:rsid w:val="00637651"/>
    <w:rsid w:val="00637970"/>
    <w:rsid w:val="006411F0"/>
    <w:rsid w:val="006435CE"/>
    <w:rsid w:val="0064361A"/>
    <w:rsid w:val="0064499B"/>
    <w:rsid w:val="0064533C"/>
    <w:rsid w:val="0064572A"/>
    <w:rsid w:val="00645914"/>
    <w:rsid w:val="00645A20"/>
    <w:rsid w:val="00650018"/>
    <w:rsid w:val="00651039"/>
    <w:rsid w:val="00653944"/>
    <w:rsid w:val="00654639"/>
    <w:rsid w:val="00654968"/>
    <w:rsid w:val="006567BA"/>
    <w:rsid w:val="00657CAF"/>
    <w:rsid w:val="00657EE7"/>
    <w:rsid w:val="00660AAB"/>
    <w:rsid w:val="0066270B"/>
    <w:rsid w:val="00662849"/>
    <w:rsid w:val="006629C9"/>
    <w:rsid w:val="00663927"/>
    <w:rsid w:val="00665F82"/>
    <w:rsid w:val="006703EE"/>
    <w:rsid w:val="00670D49"/>
    <w:rsid w:val="006724B1"/>
    <w:rsid w:val="006733B5"/>
    <w:rsid w:val="0067563E"/>
    <w:rsid w:val="00676103"/>
    <w:rsid w:val="0068062E"/>
    <w:rsid w:val="00690670"/>
    <w:rsid w:val="00691BB3"/>
    <w:rsid w:val="00691D1E"/>
    <w:rsid w:val="006927D4"/>
    <w:rsid w:val="00692D34"/>
    <w:rsid w:val="0069309D"/>
    <w:rsid w:val="0069315B"/>
    <w:rsid w:val="006934C4"/>
    <w:rsid w:val="00693B3A"/>
    <w:rsid w:val="0069403B"/>
    <w:rsid w:val="00696518"/>
    <w:rsid w:val="006A1307"/>
    <w:rsid w:val="006A13F2"/>
    <w:rsid w:val="006A1450"/>
    <w:rsid w:val="006A2204"/>
    <w:rsid w:val="006A2DD9"/>
    <w:rsid w:val="006A48E5"/>
    <w:rsid w:val="006A5EA7"/>
    <w:rsid w:val="006A5F0E"/>
    <w:rsid w:val="006A6B7E"/>
    <w:rsid w:val="006B34D1"/>
    <w:rsid w:val="006B525D"/>
    <w:rsid w:val="006B5360"/>
    <w:rsid w:val="006B7339"/>
    <w:rsid w:val="006B7A4A"/>
    <w:rsid w:val="006B7D59"/>
    <w:rsid w:val="006C0B5C"/>
    <w:rsid w:val="006C15C3"/>
    <w:rsid w:val="006C1E3A"/>
    <w:rsid w:val="006C63B0"/>
    <w:rsid w:val="006C6831"/>
    <w:rsid w:val="006C6A1E"/>
    <w:rsid w:val="006C766D"/>
    <w:rsid w:val="006D21AE"/>
    <w:rsid w:val="006D5A76"/>
    <w:rsid w:val="006E0187"/>
    <w:rsid w:val="006E15DA"/>
    <w:rsid w:val="006E1767"/>
    <w:rsid w:val="006E34E7"/>
    <w:rsid w:val="006E701B"/>
    <w:rsid w:val="006E7852"/>
    <w:rsid w:val="006F34FB"/>
    <w:rsid w:val="006F4464"/>
    <w:rsid w:val="006F65DF"/>
    <w:rsid w:val="006F6B14"/>
    <w:rsid w:val="006F7168"/>
    <w:rsid w:val="0070458C"/>
    <w:rsid w:val="00704F70"/>
    <w:rsid w:val="00705920"/>
    <w:rsid w:val="00706D07"/>
    <w:rsid w:val="007100B9"/>
    <w:rsid w:val="00711026"/>
    <w:rsid w:val="007113E3"/>
    <w:rsid w:val="007115AA"/>
    <w:rsid w:val="00712010"/>
    <w:rsid w:val="0071313C"/>
    <w:rsid w:val="00713B48"/>
    <w:rsid w:val="00714DDD"/>
    <w:rsid w:val="00716073"/>
    <w:rsid w:val="0071720E"/>
    <w:rsid w:val="00717704"/>
    <w:rsid w:val="0072131C"/>
    <w:rsid w:val="007242DF"/>
    <w:rsid w:val="00724D07"/>
    <w:rsid w:val="00726A8D"/>
    <w:rsid w:val="00730B7D"/>
    <w:rsid w:val="00732ABF"/>
    <w:rsid w:val="00732D51"/>
    <w:rsid w:val="00733E5B"/>
    <w:rsid w:val="00734614"/>
    <w:rsid w:val="00735E28"/>
    <w:rsid w:val="0073618B"/>
    <w:rsid w:val="007371AE"/>
    <w:rsid w:val="00740A00"/>
    <w:rsid w:val="00741583"/>
    <w:rsid w:val="0074396C"/>
    <w:rsid w:val="00744836"/>
    <w:rsid w:val="00744C3D"/>
    <w:rsid w:val="007457C0"/>
    <w:rsid w:val="00750C76"/>
    <w:rsid w:val="00751784"/>
    <w:rsid w:val="0075268E"/>
    <w:rsid w:val="007527E3"/>
    <w:rsid w:val="00752EEE"/>
    <w:rsid w:val="007530FD"/>
    <w:rsid w:val="0075389A"/>
    <w:rsid w:val="0075462F"/>
    <w:rsid w:val="00756C77"/>
    <w:rsid w:val="00757136"/>
    <w:rsid w:val="00757180"/>
    <w:rsid w:val="0075749E"/>
    <w:rsid w:val="00760B05"/>
    <w:rsid w:val="00761DEE"/>
    <w:rsid w:val="007620EE"/>
    <w:rsid w:val="00762786"/>
    <w:rsid w:val="00762CD9"/>
    <w:rsid w:val="00763D79"/>
    <w:rsid w:val="00763F8D"/>
    <w:rsid w:val="007664E4"/>
    <w:rsid w:val="0076689B"/>
    <w:rsid w:val="00767141"/>
    <w:rsid w:val="007704A3"/>
    <w:rsid w:val="0077111C"/>
    <w:rsid w:val="00773DEA"/>
    <w:rsid w:val="007773FB"/>
    <w:rsid w:val="007806FB"/>
    <w:rsid w:val="007807B0"/>
    <w:rsid w:val="00781EEE"/>
    <w:rsid w:val="00782295"/>
    <w:rsid w:val="00784118"/>
    <w:rsid w:val="0078612B"/>
    <w:rsid w:val="00791D0C"/>
    <w:rsid w:val="00792E6A"/>
    <w:rsid w:val="007931AD"/>
    <w:rsid w:val="00793C61"/>
    <w:rsid w:val="007940C8"/>
    <w:rsid w:val="00795CD1"/>
    <w:rsid w:val="00796A1A"/>
    <w:rsid w:val="007A042C"/>
    <w:rsid w:val="007A1355"/>
    <w:rsid w:val="007A5B56"/>
    <w:rsid w:val="007A62F6"/>
    <w:rsid w:val="007B1CC0"/>
    <w:rsid w:val="007B2532"/>
    <w:rsid w:val="007B34F2"/>
    <w:rsid w:val="007B6F95"/>
    <w:rsid w:val="007C161B"/>
    <w:rsid w:val="007C1660"/>
    <w:rsid w:val="007C39DE"/>
    <w:rsid w:val="007C527C"/>
    <w:rsid w:val="007C5FB1"/>
    <w:rsid w:val="007C62C8"/>
    <w:rsid w:val="007D0D22"/>
    <w:rsid w:val="007D46D8"/>
    <w:rsid w:val="007D7CE8"/>
    <w:rsid w:val="007E0A2D"/>
    <w:rsid w:val="007E18DA"/>
    <w:rsid w:val="007E30FB"/>
    <w:rsid w:val="007E4095"/>
    <w:rsid w:val="007E452C"/>
    <w:rsid w:val="007E7B34"/>
    <w:rsid w:val="007F2649"/>
    <w:rsid w:val="007F3CE6"/>
    <w:rsid w:val="007F3E26"/>
    <w:rsid w:val="007F42DF"/>
    <w:rsid w:val="00800036"/>
    <w:rsid w:val="00800093"/>
    <w:rsid w:val="00801B53"/>
    <w:rsid w:val="008037AF"/>
    <w:rsid w:val="00803BE6"/>
    <w:rsid w:val="00806BF3"/>
    <w:rsid w:val="008079B7"/>
    <w:rsid w:val="00807E5B"/>
    <w:rsid w:val="00810837"/>
    <w:rsid w:val="00810980"/>
    <w:rsid w:val="00813392"/>
    <w:rsid w:val="00813F92"/>
    <w:rsid w:val="00815BEE"/>
    <w:rsid w:val="00817174"/>
    <w:rsid w:val="008204A9"/>
    <w:rsid w:val="00821DCA"/>
    <w:rsid w:val="00823D83"/>
    <w:rsid w:val="00823EC4"/>
    <w:rsid w:val="00825ACB"/>
    <w:rsid w:val="008274D0"/>
    <w:rsid w:val="0082794A"/>
    <w:rsid w:val="00830270"/>
    <w:rsid w:val="008302AC"/>
    <w:rsid w:val="008310B2"/>
    <w:rsid w:val="00833A70"/>
    <w:rsid w:val="00834449"/>
    <w:rsid w:val="008350C7"/>
    <w:rsid w:val="00835FC5"/>
    <w:rsid w:val="00836572"/>
    <w:rsid w:val="00837C5C"/>
    <w:rsid w:val="00840493"/>
    <w:rsid w:val="008438B7"/>
    <w:rsid w:val="00843ED0"/>
    <w:rsid w:val="00844516"/>
    <w:rsid w:val="0085123A"/>
    <w:rsid w:val="0085168E"/>
    <w:rsid w:val="00852A46"/>
    <w:rsid w:val="00852ECF"/>
    <w:rsid w:val="00852F6A"/>
    <w:rsid w:val="00853D96"/>
    <w:rsid w:val="008566F3"/>
    <w:rsid w:val="0085755A"/>
    <w:rsid w:val="00860713"/>
    <w:rsid w:val="00860732"/>
    <w:rsid w:val="0086095A"/>
    <w:rsid w:val="008625A3"/>
    <w:rsid w:val="008625D4"/>
    <w:rsid w:val="00862A66"/>
    <w:rsid w:val="00864246"/>
    <w:rsid w:val="008649BC"/>
    <w:rsid w:val="00864B00"/>
    <w:rsid w:val="00867C59"/>
    <w:rsid w:val="00867FC4"/>
    <w:rsid w:val="0087029A"/>
    <w:rsid w:val="0087029F"/>
    <w:rsid w:val="0087339A"/>
    <w:rsid w:val="00874F0E"/>
    <w:rsid w:val="008753DD"/>
    <w:rsid w:val="00875DE0"/>
    <w:rsid w:val="00875F79"/>
    <w:rsid w:val="00877F11"/>
    <w:rsid w:val="008801A5"/>
    <w:rsid w:val="00880F5E"/>
    <w:rsid w:val="008811BD"/>
    <w:rsid w:val="0088164D"/>
    <w:rsid w:val="00886507"/>
    <w:rsid w:val="0088657B"/>
    <w:rsid w:val="00886A83"/>
    <w:rsid w:val="00886C2A"/>
    <w:rsid w:val="008908A7"/>
    <w:rsid w:val="00891B69"/>
    <w:rsid w:val="00891CDF"/>
    <w:rsid w:val="0089418B"/>
    <w:rsid w:val="0089427C"/>
    <w:rsid w:val="008946DA"/>
    <w:rsid w:val="008953DD"/>
    <w:rsid w:val="008955CD"/>
    <w:rsid w:val="008A0605"/>
    <w:rsid w:val="008A1218"/>
    <w:rsid w:val="008A12E5"/>
    <w:rsid w:val="008A320A"/>
    <w:rsid w:val="008A4209"/>
    <w:rsid w:val="008A4DDB"/>
    <w:rsid w:val="008A6EC0"/>
    <w:rsid w:val="008B0C13"/>
    <w:rsid w:val="008B0D90"/>
    <w:rsid w:val="008B0F0B"/>
    <w:rsid w:val="008B43A0"/>
    <w:rsid w:val="008B4E6D"/>
    <w:rsid w:val="008B6671"/>
    <w:rsid w:val="008B6D65"/>
    <w:rsid w:val="008C069E"/>
    <w:rsid w:val="008C0ED3"/>
    <w:rsid w:val="008C1F9B"/>
    <w:rsid w:val="008C3F7C"/>
    <w:rsid w:val="008C4ACA"/>
    <w:rsid w:val="008C4C80"/>
    <w:rsid w:val="008C56DB"/>
    <w:rsid w:val="008C57D0"/>
    <w:rsid w:val="008C6D25"/>
    <w:rsid w:val="008C7229"/>
    <w:rsid w:val="008C7904"/>
    <w:rsid w:val="008D1799"/>
    <w:rsid w:val="008D1811"/>
    <w:rsid w:val="008D32DA"/>
    <w:rsid w:val="008D3365"/>
    <w:rsid w:val="008D50E9"/>
    <w:rsid w:val="008D6BD1"/>
    <w:rsid w:val="008E09FB"/>
    <w:rsid w:val="008E16BE"/>
    <w:rsid w:val="008E1B2E"/>
    <w:rsid w:val="008E1C74"/>
    <w:rsid w:val="008E2F27"/>
    <w:rsid w:val="008E4030"/>
    <w:rsid w:val="008E44D9"/>
    <w:rsid w:val="008E49F5"/>
    <w:rsid w:val="008E4A97"/>
    <w:rsid w:val="008E5AC3"/>
    <w:rsid w:val="008E625D"/>
    <w:rsid w:val="008E64D2"/>
    <w:rsid w:val="008E6A6F"/>
    <w:rsid w:val="008E74DB"/>
    <w:rsid w:val="008F1B7C"/>
    <w:rsid w:val="008F1D4F"/>
    <w:rsid w:val="008F2758"/>
    <w:rsid w:val="008F2BC6"/>
    <w:rsid w:val="008F5345"/>
    <w:rsid w:val="008F6801"/>
    <w:rsid w:val="008F7B5D"/>
    <w:rsid w:val="009001D9"/>
    <w:rsid w:val="0090030F"/>
    <w:rsid w:val="00900558"/>
    <w:rsid w:val="00902139"/>
    <w:rsid w:val="0090249E"/>
    <w:rsid w:val="00902B0B"/>
    <w:rsid w:val="00904615"/>
    <w:rsid w:val="009047E2"/>
    <w:rsid w:val="00904E0D"/>
    <w:rsid w:val="0090579E"/>
    <w:rsid w:val="00906593"/>
    <w:rsid w:val="0090688B"/>
    <w:rsid w:val="009073AB"/>
    <w:rsid w:val="00911694"/>
    <w:rsid w:val="00913090"/>
    <w:rsid w:val="009134E2"/>
    <w:rsid w:val="00915213"/>
    <w:rsid w:val="0091713E"/>
    <w:rsid w:val="0092003A"/>
    <w:rsid w:val="009213AA"/>
    <w:rsid w:val="009217EC"/>
    <w:rsid w:val="00922E80"/>
    <w:rsid w:val="00924E6F"/>
    <w:rsid w:val="00925C12"/>
    <w:rsid w:val="009271EC"/>
    <w:rsid w:val="00927848"/>
    <w:rsid w:val="0093255C"/>
    <w:rsid w:val="00932914"/>
    <w:rsid w:val="0093436D"/>
    <w:rsid w:val="00935718"/>
    <w:rsid w:val="0093595E"/>
    <w:rsid w:val="00936BDA"/>
    <w:rsid w:val="00940010"/>
    <w:rsid w:val="009406BC"/>
    <w:rsid w:val="00940962"/>
    <w:rsid w:val="009412C6"/>
    <w:rsid w:val="0094350D"/>
    <w:rsid w:val="009450FA"/>
    <w:rsid w:val="00947C03"/>
    <w:rsid w:val="00952D84"/>
    <w:rsid w:val="0095304C"/>
    <w:rsid w:val="00953071"/>
    <w:rsid w:val="009547D8"/>
    <w:rsid w:val="009553AA"/>
    <w:rsid w:val="00955C2B"/>
    <w:rsid w:val="00957F82"/>
    <w:rsid w:val="009612B9"/>
    <w:rsid w:val="0096270F"/>
    <w:rsid w:val="00962ADC"/>
    <w:rsid w:val="009630C8"/>
    <w:rsid w:val="00964958"/>
    <w:rsid w:val="0096628A"/>
    <w:rsid w:val="00966E7C"/>
    <w:rsid w:val="009707B6"/>
    <w:rsid w:val="00971174"/>
    <w:rsid w:val="00972FAE"/>
    <w:rsid w:val="00974ACA"/>
    <w:rsid w:val="0097592B"/>
    <w:rsid w:val="00976746"/>
    <w:rsid w:val="00976E84"/>
    <w:rsid w:val="00976F5D"/>
    <w:rsid w:val="009775DC"/>
    <w:rsid w:val="0098340C"/>
    <w:rsid w:val="00985646"/>
    <w:rsid w:val="009870C9"/>
    <w:rsid w:val="00990036"/>
    <w:rsid w:val="00990E80"/>
    <w:rsid w:val="009920D6"/>
    <w:rsid w:val="009939DA"/>
    <w:rsid w:val="00993F7A"/>
    <w:rsid w:val="0099433B"/>
    <w:rsid w:val="00994F7A"/>
    <w:rsid w:val="009972EB"/>
    <w:rsid w:val="00997699"/>
    <w:rsid w:val="009A0249"/>
    <w:rsid w:val="009A15FC"/>
    <w:rsid w:val="009A1D49"/>
    <w:rsid w:val="009A245A"/>
    <w:rsid w:val="009A40E5"/>
    <w:rsid w:val="009A4F3F"/>
    <w:rsid w:val="009A5F33"/>
    <w:rsid w:val="009A68F5"/>
    <w:rsid w:val="009B006E"/>
    <w:rsid w:val="009B180B"/>
    <w:rsid w:val="009B1C8C"/>
    <w:rsid w:val="009B3F29"/>
    <w:rsid w:val="009B4C30"/>
    <w:rsid w:val="009B5ACC"/>
    <w:rsid w:val="009B68AA"/>
    <w:rsid w:val="009B7E62"/>
    <w:rsid w:val="009C05E8"/>
    <w:rsid w:val="009C0602"/>
    <w:rsid w:val="009C0898"/>
    <w:rsid w:val="009C3C2F"/>
    <w:rsid w:val="009C7684"/>
    <w:rsid w:val="009D2D9A"/>
    <w:rsid w:val="009D423D"/>
    <w:rsid w:val="009D4547"/>
    <w:rsid w:val="009D68C0"/>
    <w:rsid w:val="009D6BF2"/>
    <w:rsid w:val="009E1197"/>
    <w:rsid w:val="009E1FF3"/>
    <w:rsid w:val="009E5336"/>
    <w:rsid w:val="009E717C"/>
    <w:rsid w:val="009E7CD0"/>
    <w:rsid w:val="009F1A88"/>
    <w:rsid w:val="009F2FB3"/>
    <w:rsid w:val="009F31AE"/>
    <w:rsid w:val="009F4F48"/>
    <w:rsid w:val="009F5388"/>
    <w:rsid w:val="009F6B2B"/>
    <w:rsid w:val="009F71F4"/>
    <w:rsid w:val="009F7909"/>
    <w:rsid w:val="00A01A16"/>
    <w:rsid w:val="00A02587"/>
    <w:rsid w:val="00A032B4"/>
    <w:rsid w:val="00A043E7"/>
    <w:rsid w:val="00A10D79"/>
    <w:rsid w:val="00A11D5E"/>
    <w:rsid w:val="00A12305"/>
    <w:rsid w:val="00A13889"/>
    <w:rsid w:val="00A14585"/>
    <w:rsid w:val="00A1510F"/>
    <w:rsid w:val="00A16CB5"/>
    <w:rsid w:val="00A216F2"/>
    <w:rsid w:val="00A22B06"/>
    <w:rsid w:val="00A30075"/>
    <w:rsid w:val="00A31DE1"/>
    <w:rsid w:val="00A31EB7"/>
    <w:rsid w:val="00A32854"/>
    <w:rsid w:val="00A34901"/>
    <w:rsid w:val="00A35130"/>
    <w:rsid w:val="00A35EBB"/>
    <w:rsid w:val="00A3693F"/>
    <w:rsid w:val="00A36A03"/>
    <w:rsid w:val="00A36EFA"/>
    <w:rsid w:val="00A419C9"/>
    <w:rsid w:val="00A43DE8"/>
    <w:rsid w:val="00A440A5"/>
    <w:rsid w:val="00A455AE"/>
    <w:rsid w:val="00A45C92"/>
    <w:rsid w:val="00A46C06"/>
    <w:rsid w:val="00A46C67"/>
    <w:rsid w:val="00A46E3C"/>
    <w:rsid w:val="00A4751C"/>
    <w:rsid w:val="00A5009F"/>
    <w:rsid w:val="00A5293C"/>
    <w:rsid w:val="00A5431A"/>
    <w:rsid w:val="00A5457F"/>
    <w:rsid w:val="00A56CF9"/>
    <w:rsid w:val="00A57A68"/>
    <w:rsid w:val="00A60124"/>
    <w:rsid w:val="00A60D86"/>
    <w:rsid w:val="00A61BD0"/>
    <w:rsid w:val="00A621DB"/>
    <w:rsid w:val="00A64316"/>
    <w:rsid w:val="00A64CB3"/>
    <w:rsid w:val="00A67C8B"/>
    <w:rsid w:val="00A70993"/>
    <w:rsid w:val="00A712D6"/>
    <w:rsid w:val="00A73FC7"/>
    <w:rsid w:val="00A74D0B"/>
    <w:rsid w:val="00A75FB5"/>
    <w:rsid w:val="00A775BA"/>
    <w:rsid w:val="00A807E2"/>
    <w:rsid w:val="00A809A3"/>
    <w:rsid w:val="00A80AC9"/>
    <w:rsid w:val="00A813F6"/>
    <w:rsid w:val="00A85DE4"/>
    <w:rsid w:val="00A85FFB"/>
    <w:rsid w:val="00A8672D"/>
    <w:rsid w:val="00A9042F"/>
    <w:rsid w:val="00A9099A"/>
    <w:rsid w:val="00A90BBD"/>
    <w:rsid w:val="00A92A71"/>
    <w:rsid w:val="00A92E0A"/>
    <w:rsid w:val="00A936C9"/>
    <w:rsid w:val="00A95589"/>
    <w:rsid w:val="00A96114"/>
    <w:rsid w:val="00AA0869"/>
    <w:rsid w:val="00AA127F"/>
    <w:rsid w:val="00AA1E0B"/>
    <w:rsid w:val="00AA2FF2"/>
    <w:rsid w:val="00AA30D2"/>
    <w:rsid w:val="00AA5381"/>
    <w:rsid w:val="00AA6ABE"/>
    <w:rsid w:val="00AB1575"/>
    <w:rsid w:val="00AB2942"/>
    <w:rsid w:val="00AB4DD9"/>
    <w:rsid w:val="00AB5487"/>
    <w:rsid w:val="00AB5776"/>
    <w:rsid w:val="00AB5A7A"/>
    <w:rsid w:val="00AB5B2D"/>
    <w:rsid w:val="00AB63E2"/>
    <w:rsid w:val="00AC0C89"/>
    <w:rsid w:val="00AC1E13"/>
    <w:rsid w:val="00AC2215"/>
    <w:rsid w:val="00AC2609"/>
    <w:rsid w:val="00AC359F"/>
    <w:rsid w:val="00AC410D"/>
    <w:rsid w:val="00AC5039"/>
    <w:rsid w:val="00AC51C6"/>
    <w:rsid w:val="00AC5E71"/>
    <w:rsid w:val="00AC7130"/>
    <w:rsid w:val="00AC7BEA"/>
    <w:rsid w:val="00AD07B7"/>
    <w:rsid w:val="00AD358D"/>
    <w:rsid w:val="00AD496C"/>
    <w:rsid w:val="00AD5C47"/>
    <w:rsid w:val="00AD5DA8"/>
    <w:rsid w:val="00AD6284"/>
    <w:rsid w:val="00AD7276"/>
    <w:rsid w:val="00AD7641"/>
    <w:rsid w:val="00AE0B27"/>
    <w:rsid w:val="00AE1907"/>
    <w:rsid w:val="00AE1DBB"/>
    <w:rsid w:val="00AE2E2A"/>
    <w:rsid w:val="00AE2EFD"/>
    <w:rsid w:val="00AE3141"/>
    <w:rsid w:val="00AE3233"/>
    <w:rsid w:val="00AE4A99"/>
    <w:rsid w:val="00AE4C4F"/>
    <w:rsid w:val="00AE5888"/>
    <w:rsid w:val="00AE5B40"/>
    <w:rsid w:val="00AE700B"/>
    <w:rsid w:val="00AF128E"/>
    <w:rsid w:val="00AF1E3B"/>
    <w:rsid w:val="00AF29BA"/>
    <w:rsid w:val="00AF3CC9"/>
    <w:rsid w:val="00AF4E4F"/>
    <w:rsid w:val="00B00700"/>
    <w:rsid w:val="00B00881"/>
    <w:rsid w:val="00B0092E"/>
    <w:rsid w:val="00B00DD5"/>
    <w:rsid w:val="00B01196"/>
    <w:rsid w:val="00B01C7B"/>
    <w:rsid w:val="00B02498"/>
    <w:rsid w:val="00B02BFD"/>
    <w:rsid w:val="00B03095"/>
    <w:rsid w:val="00B030FB"/>
    <w:rsid w:val="00B038C5"/>
    <w:rsid w:val="00B03975"/>
    <w:rsid w:val="00B040DB"/>
    <w:rsid w:val="00B06149"/>
    <w:rsid w:val="00B06166"/>
    <w:rsid w:val="00B07F4E"/>
    <w:rsid w:val="00B11294"/>
    <w:rsid w:val="00B13620"/>
    <w:rsid w:val="00B13CEC"/>
    <w:rsid w:val="00B1419C"/>
    <w:rsid w:val="00B14370"/>
    <w:rsid w:val="00B21958"/>
    <w:rsid w:val="00B21989"/>
    <w:rsid w:val="00B21ED8"/>
    <w:rsid w:val="00B25198"/>
    <w:rsid w:val="00B25BA1"/>
    <w:rsid w:val="00B3069B"/>
    <w:rsid w:val="00B31DD5"/>
    <w:rsid w:val="00B3319D"/>
    <w:rsid w:val="00B34B52"/>
    <w:rsid w:val="00B34EAC"/>
    <w:rsid w:val="00B3516C"/>
    <w:rsid w:val="00B35A87"/>
    <w:rsid w:val="00B371F5"/>
    <w:rsid w:val="00B43BBC"/>
    <w:rsid w:val="00B45134"/>
    <w:rsid w:val="00B451D6"/>
    <w:rsid w:val="00B45BEC"/>
    <w:rsid w:val="00B46BEA"/>
    <w:rsid w:val="00B47712"/>
    <w:rsid w:val="00B47844"/>
    <w:rsid w:val="00B50789"/>
    <w:rsid w:val="00B51D75"/>
    <w:rsid w:val="00B51FD5"/>
    <w:rsid w:val="00B51FFA"/>
    <w:rsid w:val="00B52021"/>
    <w:rsid w:val="00B528E3"/>
    <w:rsid w:val="00B5399B"/>
    <w:rsid w:val="00B53A60"/>
    <w:rsid w:val="00B54C01"/>
    <w:rsid w:val="00B5732E"/>
    <w:rsid w:val="00B61113"/>
    <w:rsid w:val="00B621F2"/>
    <w:rsid w:val="00B63D15"/>
    <w:rsid w:val="00B64195"/>
    <w:rsid w:val="00B6453D"/>
    <w:rsid w:val="00B651A8"/>
    <w:rsid w:val="00B66321"/>
    <w:rsid w:val="00B671A4"/>
    <w:rsid w:val="00B70E43"/>
    <w:rsid w:val="00B70FA6"/>
    <w:rsid w:val="00B711A2"/>
    <w:rsid w:val="00B72019"/>
    <w:rsid w:val="00B73F14"/>
    <w:rsid w:val="00B74927"/>
    <w:rsid w:val="00B76FB0"/>
    <w:rsid w:val="00B7777B"/>
    <w:rsid w:val="00B779C5"/>
    <w:rsid w:val="00B77EBE"/>
    <w:rsid w:val="00B823B7"/>
    <w:rsid w:val="00B82472"/>
    <w:rsid w:val="00B83259"/>
    <w:rsid w:val="00B875B3"/>
    <w:rsid w:val="00B87A79"/>
    <w:rsid w:val="00B91AF9"/>
    <w:rsid w:val="00B91F2F"/>
    <w:rsid w:val="00B921A1"/>
    <w:rsid w:val="00B92E60"/>
    <w:rsid w:val="00B9425F"/>
    <w:rsid w:val="00B949EC"/>
    <w:rsid w:val="00BA19EA"/>
    <w:rsid w:val="00BA2766"/>
    <w:rsid w:val="00BA38BA"/>
    <w:rsid w:val="00BA3EB9"/>
    <w:rsid w:val="00BA48C7"/>
    <w:rsid w:val="00BA7B69"/>
    <w:rsid w:val="00BA7C3F"/>
    <w:rsid w:val="00BB01F3"/>
    <w:rsid w:val="00BB0711"/>
    <w:rsid w:val="00BB383F"/>
    <w:rsid w:val="00BB46E2"/>
    <w:rsid w:val="00BB7064"/>
    <w:rsid w:val="00BC0E53"/>
    <w:rsid w:val="00BC119C"/>
    <w:rsid w:val="00BC23AB"/>
    <w:rsid w:val="00BC254C"/>
    <w:rsid w:val="00BC42C2"/>
    <w:rsid w:val="00BC463A"/>
    <w:rsid w:val="00BC4953"/>
    <w:rsid w:val="00BC5D69"/>
    <w:rsid w:val="00BC6C76"/>
    <w:rsid w:val="00BC7010"/>
    <w:rsid w:val="00BC724A"/>
    <w:rsid w:val="00BD0761"/>
    <w:rsid w:val="00BD0B85"/>
    <w:rsid w:val="00BD12D6"/>
    <w:rsid w:val="00BD14E5"/>
    <w:rsid w:val="00BD22D8"/>
    <w:rsid w:val="00BD2FEA"/>
    <w:rsid w:val="00BD3226"/>
    <w:rsid w:val="00BD39AC"/>
    <w:rsid w:val="00BD419D"/>
    <w:rsid w:val="00BD4607"/>
    <w:rsid w:val="00BD5AAE"/>
    <w:rsid w:val="00BD616A"/>
    <w:rsid w:val="00BD65B5"/>
    <w:rsid w:val="00BE0CF8"/>
    <w:rsid w:val="00BE2A2D"/>
    <w:rsid w:val="00BE35DD"/>
    <w:rsid w:val="00BE41D1"/>
    <w:rsid w:val="00BE44B1"/>
    <w:rsid w:val="00BE5797"/>
    <w:rsid w:val="00BE5ABB"/>
    <w:rsid w:val="00BE5E5E"/>
    <w:rsid w:val="00BE654F"/>
    <w:rsid w:val="00BF329E"/>
    <w:rsid w:val="00BF49C8"/>
    <w:rsid w:val="00BF4D08"/>
    <w:rsid w:val="00BF6876"/>
    <w:rsid w:val="00BF6E42"/>
    <w:rsid w:val="00BF72FF"/>
    <w:rsid w:val="00C0062F"/>
    <w:rsid w:val="00C00C10"/>
    <w:rsid w:val="00C01371"/>
    <w:rsid w:val="00C020C5"/>
    <w:rsid w:val="00C027F8"/>
    <w:rsid w:val="00C03717"/>
    <w:rsid w:val="00C03E51"/>
    <w:rsid w:val="00C06045"/>
    <w:rsid w:val="00C07255"/>
    <w:rsid w:val="00C07705"/>
    <w:rsid w:val="00C114E8"/>
    <w:rsid w:val="00C11A18"/>
    <w:rsid w:val="00C13F7D"/>
    <w:rsid w:val="00C1587C"/>
    <w:rsid w:val="00C17D26"/>
    <w:rsid w:val="00C20955"/>
    <w:rsid w:val="00C211F8"/>
    <w:rsid w:val="00C217DE"/>
    <w:rsid w:val="00C223E4"/>
    <w:rsid w:val="00C234A8"/>
    <w:rsid w:val="00C24310"/>
    <w:rsid w:val="00C25722"/>
    <w:rsid w:val="00C260D2"/>
    <w:rsid w:val="00C26562"/>
    <w:rsid w:val="00C3082B"/>
    <w:rsid w:val="00C33A04"/>
    <w:rsid w:val="00C3578F"/>
    <w:rsid w:val="00C3615D"/>
    <w:rsid w:val="00C36274"/>
    <w:rsid w:val="00C364A8"/>
    <w:rsid w:val="00C37BB2"/>
    <w:rsid w:val="00C406C0"/>
    <w:rsid w:val="00C41A47"/>
    <w:rsid w:val="00C41E66"/>
    <w:rsid w:val="00C43FCC"/>
    <w:rsid w:val="00C4408E"/>
    <w:rsid w:val="00C46CB6"/>
    <w:rsid w:val="00C50B82"/>
    <w:rsid w:val="00C50D4E"/>
    <w:rsid w:val="00C52EDB"/>
    <w:rsid w:val="00C55022"/>
    <w:rsid w:val="00C562AB"/>
    <w:rsid w:val="00C577EF"/>
    <w:rsid w:val="00C57D77"/>
    <w:rsid w:val="00C57FA3"/>
    <w:rsid w:val="00C61868"/>
    <w:rsid w:val="00C6199E"/>
    <w:rsid w:val="00C61DED"/>
    <w:rsid w:val="00C63411"/>
    <w:rsid w:val="00C63F32"/>
    <w:rsid w:val="00C643EE"/>
    <w:rsid w:val="00C64578"/>
    <w:rsid w:val="00C6556A"/>
    <w:rsid w:val="00C655B5"/>
    <w:rsid w:val="00C66A72"/>
    <w:rsid w:val="00C66B62"/>
    <w:rsid w:val="00C71AFD"/>
    <w:rsid w:val="00C722CC"/>
    <w:rsid w:val="00C739D7"/>
    <w:rsid w:val="00C74F0F"/>
    <w:rsid w:val="00C752E6"/>
    <w:rsid w:val="00C754C8"/>
    <w:rsid w:val="00C763CB"/>
    <w:rsid w:val="00C77208"/>
    <w:rsid w:val="00C80614"/>
    <w:rsid w:val="00C80B37"/>
    <w:rsid w:val="00C80DED"/>
    <w:rsid w:val="00C8114F"/>
    <w:rsid w:val="00C82FF2"/>
    <w:rsid w:val="00C855AB"/>
    <w:rsid w:val="00C85ECB"/>
    <w:rsid w:val="00C86372"/>
    <w:rsid w:val="00C8640C"/>
    <w:rsid w:val="00C87728"/>
    <w:rsid w:val="00C91D01"/>
    <w:rsid w:val="00C94183"/>
    <w:rsid w:val="00C94737"/>
    <w:rsid w:val="00C95004"/>
    <w:rsid w:val="00CA3B98"/>
    <w:rsid w:val="00CA4EA4"/>
    <w:rsid w:val="00CA53BE"/>
    <w:rsid w:val="00CA5A7F"/>
    <w:rsid w:val="00CA604E"/>
    <w:rsid w:val="00CA6089"/>
    <w:rsid w:val="00CB0DF1"/>
    <w:rsid w:val="00CB106C"/>
    <w:rsid w:val="00CB280A"/>
    <w:rsid w:val="00CB2F1B"/>
    <w:rsid w:val="00CB4A9D"/>
    <w:rsid w:val="00CB65A4"/>
    <w:rsid w:val="00CB7DC1"/>
    <w:rsid w:val="00CB7F36"/>
    <w:rsid w:val="00CB7FDC"/>
    <w:rsid w:val="00CC7E78"/>
    <w:rsid w:val="00CD19AF"/>
    <w:rsid w:val="00CD22D1"/>
    <w:rsid w:val="00CD3360"/>
    <w:rsid w:val="00CD3C6F"/>
    <w:rsid w:val="00CD4A58"/>
    <w:rsid w:val="00CD4CE2"/>
    <w:rsid w:val="00CD5C55"/>
    <w:rsid w:val="00CD5C92"/>
    <w:rsid w:val="00CD70F7"/>
    <w:rsid w:val="00CE34AE"/>
    <w:rsid w:val="00CE53D4"/>
    <w:rsid w:val="00CE55FF"/>
    <w:rsid w:val="00CE6E8D"/>
    <w:rsid w:val="00CE778D"/>
    <w:rsid w:val="00CF030E"/>
    <w:rsid w:val="00CF13AF"/>
    <w:rsid w:val="00CF19CF"/>
    <w:rsid w:val="00CF4C59"/>
    <w:rsid w:val="00CF545A"/>
    <w:rsid w:val="00CF6D73"/>
    <w:rsid w:val="00D02812"/>
    <w:rsid w:val="00D0326E"/>
    <w:rsid w:val="00D03D94"/>
    <w:rsid w:val="00D0629E"/>
    <w:rsid w:val="00D076EA"/>
    <w:rsid w:val="00D07A30"/>
    <w:rsid w:val="00D1092F"/>
    <w:rsid w:val="00D11FB9"/>
    <w:rsid w:val="00D122DB"/>
    <w:rsid w:val="00D12E91"/>
    <w:rsid w:val="00D13CBA"/>
    <w:rsid w:val="00D15C6D"/>
    <w:rsid w:val="00D177D4"/>
    <w:rsid w:val="00D17DC0"/>
    <w:rsid w:val="00D21518"/>
    <w:rsid w:val="00D23F62"/>
    <w:rsid w:val="00D2611B"/>
    <w:rsid w:val="00D26665"/>
    <w:rsid w:val="00D279DF"/>
    <w:rsid w:val="00D312BC"/>
    <w:rsid w:val="00D31898"/>
    <w:rsid w:val="00D3363C"/>
    <w:rsid w:val="00D3554B"/>
    <w:rsid w:val="00D35AD1"/>
    <w:rsid w:val="00D370C1"/>
    <w:rsid w:val="00D37143"/>
    <w:rsid w:val="00D4364E"/>
    <w:rsid w:val="00D438B7"/>
    <w:rsid w:val="00D44172"/>
    <w:rsid w:val="00D45296"/>
    <w:rsid w:val="00D4795C"/>
    <w:rsid w:val="00D5082F"/>
    <w:rsid w:val="00D5168E"/>
    <w:rsid w:val="00D522E5"/>
    <w:rsid w:val="00D524C7"/>
    <w:rsid w:val="00D525FA"/>
    <w:rsid w:val="00D534A9"/>
    <w:rsid w:val="00D53B5A"/>
    <w:rsid w:val="00D5420D"/>
    <w:rsid w:val="00D54B58"/>
    <w:rsid w:val="00D5517C"/>
    <w:rsid w:val="00D627FF"/>
    <w:rsid w:val="00D629BD"/>
    <w:rsid w:val="00D6331A"/>
    <w:rsid w:val="00D643D9"/>
    <w:rsid w:val="00D65A76"/>
    <w:rsid w:val="00D66158"/>
    <w:rsid w:val="00D70B2F"/>
    <w:rsid w:val="00D740C4"/>
    <w:rsid w:val="00D76277"/>
    <w:rsid w:val="00D77678"/>
    <w:rsid w:val="00D80163"/>
    <w:rsid w:val="00D83117"/>
    <w:rsid w:val="00D8351D"/>
    <w:rsid w:val="00D835C0"/>
    <w:rsid w:val="00D8367F"/>
    <w:rsid w:val="00D85899"/>
    <w:rsid w:val="00D85AD4"/>
    <w:rsid w:val="00D8604A"/>
    <w:rsid w:val="00D90F08"/>
    <w:rsid w:val="00D91D6A"/>
    <w:rsid w:val="00D93CE9"/>
    <w:rsid w:val="00D94043"/>
    <w:rsid w:val="00D96561"/>
    <w:rsid w:val="00D9715B"/>
    <w:rsid w:val="00DA091A"/>
    <w:rsid w:val="00DA11D1"/>
    <w:rsid w:val="00DA18FB"/>
    <w:rsid w:val="00DA2F44"/>
    <w:rsid w:val="00DA4B0B"/>
    <w:rsid w:val="00DA5EEB"/>
    <w:rsid w:val="00DA6FDF"/>
    <w:rsid w:val="00DA7859"/>
    <w:rsid w:val="00DB0C02"/>
    <w:rsid w:val="00DB0FC0"/>
    <w:rsid w:val="00DB17E8"/>
    <w:rsid w:val="00DB18F7"/>
    <w:rsid w:val="00DB206D"/>
    <w:rsid w:val="00DB24BD"/>
    <w:rsid w:val="00DB2C73"/>
    <w:rsid w:val="00DB33A2"/>
    <w:rsid w:val="00DB359A"/>
    <w:rsid w:val="00DB4573"/>
    <w:rsid w:val="00DB5A6D"/>
    <w:rsid w:val="00DB60BC"/>
    <w:rsid w:val="00DB6218"/>
    <w:rsid w:val="00DC3A8F"/>
    <w:rsid w:val="00DC5935"/>
    <w:rsid w:val="00DC5E9D"/>
    <w:rsid w:val="00DD2DAB"/>
    <w:rsid w:val="00DD3511"/>
    <w:rsid w:val="00DD38D0"/>
    <w:rsid w:val="00DD3E49"/>
    <w:rsid w:val="00DD45B2"/>
    <w:rsid w:val="00DD5855"/>
    <w:rsid w:val="00DD6454"/>
    <w:rsid w:val="00DD6652"/>
    <w:rsid w:val="00DD7669"/>
    <w:rsid w:val="00DE1CF6"/>
    <w:rsid w:val="00DE1E50"/>
    <w:rsid w:val="00DE2C56"/>
    <w:rsid w:val="00DE3C6C"/>
    <w:rsid w:val="00DE5062"/>
    <w:rsid w:val="00DE53E6"/>
    <w:rsid w:val="00DE61D7"/>
    <w:rsid w:val="00DE76E3"/>
    <w:rsid w:val="00DF154B"/>
    <w:rsid w:val="00DF2583"/>
    <w:rsid w:val="00DF27B8"/>
    <w:rsid w:val="00DF44DF"/>
    <w:rsid w:val="00DF48D7"/>
    <w:rsid w:val="00DF567C"/>
    <w:rsid w:val="00DF6063"/>
    <w:rsid w:val="00DF7A85"/>
    <w:rsid w:val="00E01C0A"/>
    <w:rsid w:val="00E01E89"/>
    <w:rsid w:val="00E02E4C"/>
    <w:rsid w:val="00E03CAC"/>
    <w:rsid w:val="00E03E8C"/>
    <w:rsid w:val="00E0501D"/>
    <w:rsid w:val="00E0688E"/>
    <w:rsid w:val="00E078FE"/>
    <w:rsid w:val="00E11EA5"/>
    <w:rsid w:val="00E1225A"/>
    <w:rsid w:val="00E14090"/>
    <w:rsid w:val="00E143DB"/>
    <w:rsid w:val="00E14A64"/>
    <w:rsid w:val="00E152F6"/>
    <w:rsid w:val="00E1714A"/>
    <w:rsid w:val="00E17ED3"/>
    <w:rsid w:val="00E231DB"/>
    <w:rsid w:val="00E239E4"/>
    <w:rsid w:val="00E23B03"/>
    <w:rsid w:val="00E245C8"/>
    <w:rsid w:val="00E247EB"/>
    <w:rsid w:val="00E2538D"/>
    <w:rsid w:val="00E32174"/>
    <w:rsid w:val="00E32AE4"/>
    <w:rsid w:val="00E341E8"/>
    <w:rsid w:val="00E34856"/>
    <w:rsid w:val="00E352A4"/>
    <w:rsid w:val="00E353AD"/>
    <w:rsid w:val="00E37E82"/>
    <w:rsid w:val="00E40049"/>
    <w:rsid w:val="00E40A52"/>
    <w:rsid w:val="00E415EC"/>
    <w:rsid w:val="00E42694"/>
    <w:rsid w:val="00E42842"/>
    <w:rsid w:val="00E43082"/>
    <w:rsid w:val="00E4363D"/>
    <w:rsid w:val="00E44700"/>
    <w:rsid w:val="00E46180"/>
    <w:rsid w:val="00E536CE"/>
    <w:rsid w:val="00E54106"/>
    <w:rsid w:val="00E558D0"/>
    <w:rsid w:val="00E56AAF"/>
    <w:rsid w:val="00E56C38"/>
    <w:rsid w:val="00E603E1"/>
    <w:rsid w:val="00E608F1"/>
    <w:rsid w:val="00E61C47"/>
    <w:rsid w:val="00E61F2C"/>
    <w:rsid w:val="00E631B3"/>
    <w:rsid w:val="00E633B6"/>
    <w:rsid w:val="00E63600"/>
    <w:rsid w:val="00E65412"/>
    <w:rsid w:val="00E659B8"/>
    <w:rsid w:val="00E712D3"/>
    <w:rsid w:val="00E71F9C"/>
    <w:rsid w:val="00E72BAA"/>
    <w:rsid w:val="00E74195"/>
    <w:rsid w:val="00E75E42"/>
    <w:rsid w:val="00E768A2"/>
    <w:rsid w:val="00E76A34"/>
    <w:rsid w:val="00E81AA0"/>
    <w:rsid w:val="00E82E1B"/>
    <w:rsid w:val="00E8385B"/>
    <w:rsid w:val="00E841E3"/>
    <w:rsid w:val="00E84E3D"/>
    <w:rsid w:val="00E8660A"/>
    <w:rsid w:val="00E86E5A"/>
    <w:rsid w:val="00E87798"/>
    <w:rsid w:val="00EA1961"/>
    <w:rsid w:val="00EA241B"/>
    <w:rsid w:val="00EA3FEB"/>
    <w:rsid w:val="00EA53EB"/>
    <w:rsid w:val="00EA59E7"/>
    <w:rsid w:val="00EA6E26"/>
    <w:rsid w:val="00EB0894"/>
    <w:rsid w:val="00EB0D01"/>
    <w:rsid w:val="00EB3D17"/>
    <w:rsid w:val="00EB3F73"/>
    <w:rsid w:val="00EB5643"/>
    <w:rsid w:val="00EB5C2C"/>
    <w:rsid w:val="00EB7F96"/>
    <w:rsid w:val="00EC0090"/>
    <w:rsid w:val="00EC0847"/>
    <w:rsid w:val="00EC110F"/>
    <w:rsid w:val="00EC17C5"/>
    <w:rsid w:val="00EC19FF"/>
    <w:rsid w:val="00EC2453"/>
    <w:rsid w:val="00EC2F69"/>
    <w:rsid w:val="00EC3C9A"/>
    <w:rsid w:val="00EC3F13"/>
    <w:rsid w:val="00EC75B2"/>
    <w:rsid w:val="00EC7E2A"/>
    <w:rsid w:val="00ED0982"/>
    <w:rsid w:val="00ED131A"/>
    <w:rsid w:val="00ED3700"/>
    <w:rsid w:val="00ED4BF9"/>
    <w:rsid w:val="00ED4FC0"/>
    <w:rsid w:val="00ED5076"/>
    <w:rsid w:val="00ED6AF4"/>
    <w:rsid w:val="00ED73C4"/>
    <w:rsid w:val="00EE0CA8"/>
    <w:rsid w:val="00EE3545"/>
    <w:rsid w:val="00EE3751"/>
    <w:rsid w:val="00EE3909"/>
    <w:rsid w:val="00EE507A"/>
    <w:rsid w:val="00EE50FB"/>
    <w:rsid w:val="00EE6B77"/>
    <w:rsid w:val="00EE7B38"/>
    <w:rsid w:val="00EF156A"/>
    <w:rsid w:val="00EF1FC0"/>
    <w:rsid w:val="00EF248E"/>
    <w:rsid w:val="00EF41FD"/>
    <w:rsid w:val="00EF7862"/>
    <w:rsid w:val="00F0228D"/>
    <w:rsid w:val="00F03032"/>
    <w:rsid w:val="00F05D39"/>
    <w:rsid w:val="00F06FC8"/>
    <w:rsid w:val="00F076B1"/>
    <w:rsid w:val="00F077EF"/>
    <w:rsid w:val="00F10548"/>
    <w:rsid w:val="00F10B09"/>
    <w:rsid w:val="00F12273"/>
    <w:rsid w:val="00F1513D"/>
    <w:rsid w:val="00F1669C"/>
    <w:rsid w:val="00F17BAE"/>
    <w:rsid w:val="00F201C0"/>
    <w:rsid w:val="00F234D0"/>
    <w:rsid w:val="00F23D2D"/>
    <w:rsid w:val="00F25EB8"/>
    <w:rsid w:val="00F25F69"/>
    <w:rsid w:val="00F26324"/>
    <w:rsid w:val="00F26C85"/>
    <w:rsid w:val="00F278B6"/>
    <w:rsid w:val="00F2799B"/>
    <w:rsid w:val="00F32CFE"/>
    <w:rsid w:val="00F330F4"/>
    <w:rsid w:val="00F337C6"/>
    <w:rsid w:val="00F341F6"/>
    <w:rsid w:val="00F34DCE"/>
    <w:rsid w:val="00F407C8"/>
    <w:rsid w:val="00F42396"/>
    <w:rsid w:val="00F42B20"/>
    <w:rsid w:val="00F431AD"/>
    <w:rsid w:val="00F44EA7"/>
    <w:rsid w:val="00F4683D"/>
    <w:rsid w:val="00F47B77"/>
    <w:rsid w:val="00F51201"/>
    <w:rsid w:val="00F52490"/>
    <w:rsid w:val="00F52CF2"/>
    <w:rsid w:val="00F5349C"/>
    <w:rsid w:val="00F53C5D"/>
    <w:rsid w:val="00F55AD9"/>
    <w:rsid w:val="00F55FF5"/>
    <w:rsid w:val="00F5671A"/>
    <w:rsid w:val="00F571A6"/>
    <w:rsid w:val="00F600D6"/>
    <w:rsid w:val="00F6300A"/>
    <w:rsid w:val="00F63405"/>
    <w:rsid w:val="00F63641"/>
    <w:rsid w:val="00F65B12"/>
    <w:rsid w:val="00F65C09"/>
    <w:rsid w:val="00F65DA6"/>
    <w:rsid w:val="00F7128A"/>
    <w:rsid w:val="00F725C3"/>
    <w:rsid w:val="00F7450F"/>
    <w:rsid w:val="00F76412"/>
    <w:rsid w:val="00F77AAD"/>
    <w:rsid w:val="00F81137"/>
    <w:rsid w:val="00F8168C"/>
    <w:rsid w:val="00F822CD"/>
    <w:rsid w:val="00F847ED"/>
    <w:rsid w:val="00F84D98"/>
    <w:rsid w:val="00F8590B"/>
    <w:rsid w:val="00F861E9"/>
    <w:rsid w:val="00F87F4B"/>
    <w:rsid w:val="00F87FCA"/>
    <w:rsid w:val="00F918F0"/>
    <w:rsid w:val="00F932FC"/>
    <w:rsid w:val="00F94AD8"/>
    <w:rsid w:val="00F94B6D"/>
    <w:rsid w:val="00F95E65"/>
    <w:rsid w:val="00F95FFE"/>
    <w:rsid w:val="00F96916"/>
    <w:rsid w:val="00F9728F"/>
    <w:rsid w:val="00FA02D0"/>
    <w:rsid w:val="00FA041D"/>
    <w:rsid w:val="00FA28ED"/>
    <w:rsid w:val="00FA3FE7"/>
    <w:rsid w:val="00FA6030"/>
    <w:rsid w:val="00FA72C6"/>
    <w:rsid w:val="00FA7F20"/>
    <w:rsid w:val="00FB0AEF"/>
    <w:rsid w:val="00FB1A50"/>
    <w:rsid w:val="00FB2413"/>
    <w:rsid w:val="00FB33AF"/>
    <w:rsid w:val="00FB364C"/>
    <w:rsid w:val="00FB364D"/>
    <w:rsid w:val="00FB62E0"/>
    <w:rsid w:val="00FB648D"/>
    <w:rsid w:val="00FB659F"/>
    <w:rsid w:val="00FB6801"/>
    <w:rsid w:val="00FB77B3"/>
    <w:rsid w:val="00FB793C"/>
    <w:rsid w:val="00FC01B5"/>
    <w:rsid w:val="00FC3E11"/>
    <w:rsid w:val="00FC40C9"/>
    <w:rsid w:val="00FC40FA"/>
    <w:rsid w:val="00FC43E5"/>
    <w:rsid w:val="00FC5523"/>
    <w:rsid w:val="00FC71C0"/>
    <w:rsid w:val="00FC779C"/>
    <w:rsid w:val="00FD0AB0"/>
    <w:rsid w:val="00FD0DC0"/>
    <w:rsid w:val="00FD15D0"/>
    <w:rsid w:val="00FD6CE2"/>
    <w:rsid w:val="00FD75D4"/>
    <w:rsid w:val="00FE1128"/>
    <w:rsid w:val="00FE1607"/>
    <w:rsid w:val="00FE2423"/>
    <w:rsid w:val="00FE545D"/>
    <w:rsid w:val="00FE5A06"/>
    <w:rsid w:val="00FE5C6A"/>
    <w:rsid w:val="00FE6A46"/>
    <w:rsid w:val="00FE7872"/>
    <w:rsid w:val="00FE78C4"/>
    <w:rsid w:val="00FF0472"/>
    <w:rsid w:val="00FF113C"/>
    <w:rsid w:val="00FF2250"/>
    <w:rsid w:val="00FF3C8E"/>
    <w:rsid w:val="00F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6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ssay Conventions"/>
    <w:qFormat/>
    <w:rsid w:val="00F847ED"/>
    <w:pPr>
      <w:spacing w:after="200" w:line="360" w:lineRule="auto"/>
      <w:jc w:val="both"/>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0F1"/>
    <w:pPr>
      <w:jc w:val="both"/>
    </w:pPr>
    <w:rPr>
      <w:sz w:val="22"/>
      <w:szCs w:val="22"/>
      <w:lang w:val="en-GB"/>
    </w:rPr>
  </w:style>
  <w:style w:type="character" w:styleId="CommentReference">
    <w:name w:val="annotation reference"/>
    <w:uiPriority w:val="99"/>
    <w:semiHidden/>
    <w:unhideWhenUsed/>
    <w:rsid w:val="00F234D0"/>
    <w:rPr>
      <w:sz w:val="16"/>
      <w:szCs w:val="16"/>
    </w:rPr>
  </w:style>
  <w:style w:type="paragraph" w:styleId="CommentText">
    <w:name w:val="annotation text"/>
    <w:basedOn w:val="Normal"/>
    <w:link w:val="CommentTextChar"/>
    <w:uiPriority w:val="99"/>
    <w:unhideWhenUsed/>
    <w:rsid w:val="00F234D0"/>
    <w:rPr>
      <w:sz w:val="20"/>
      <w:szCs w:val="20"/>
    </w:rPr>
  </w:style>
  <w:style w:type="character" w:customStyle="1" w:styleId="CommentTextChar">
    <w:name w:val="Comment Text Char"/>
    <w:link w:val="CommentText"/>
    <w:uiPriority w:val="99"/>
    <w:rsid w:val="00F234D0"/>
    <w:rPr>
      <w:lang w:eastAsia="en-US"/>
    </w:rPr>
  </w:style>
  <w:style w:type="paragraph" w:styleId="CommentSubject">
    <w:name w:val="annotation subject"/>
    <w:basedOn w:val="CommentText"/>
    <w:next w:val="CommentText"/>
    <w:link w:val="CommentSubjectChar"/>
    <w:uiPriority w:val="99"/>
    <w:semiHidden/>
    <w:unhideWhenUsed/>
    <w:rsid w:val="00F234D0"/>
    <w:rPr>
      <w:b/>
      <w:bCs/>
    </w:rPr>
  </w:style>
  <w:style w:type="character" w:customStyle="1" w:styleId="CommentSubjectChar">
    <w:name w:val="Comment Subject Char"/>
    <w:link w:val="CommentSubject"/>
    <w:uiPriority w:val="99"/>
    <w:semiHidden/>
    <w:rsid w:val="00F234D0"/>
    <w:rPr>
      <w:b/>
      <w:bCs/>
      <w:lang w:eastAsia="en-US"/>
    </w:rPr>
  </w:style>
  <w:style w:type="paragraph" w:styleId="BalloonText">
    <w:name w:val="Balloon Text"/>
    <w:basedOn w:val="Normal"/>
    <w:link w:val="BalloonTextChar"/>
    <w:uiPriority w:val="99"/>
    <w:semiHidden/>
    <w:unhideWhenUsed/>
    <w:rsid w:val="00F234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34D0"/>
    <w:rPr>
      <w:rFonts w:ascii="Tahoma" w:hAnsi="Tahoma" w:cs="Tahoma"/>
      <w:sz w:val="16"/>
      <w:szCs w:val="16"/>
      <w:lang w:eastAsia="en-US"/>
    </w:rPr>
  </w:style>
  <w:style w:type="paragraph" w:customStyle="1" w:styleId="BodyTextIndent1">
    <w:name w:val="Body Text Indent+1"/>
    <w:basedOn w:val="Normal"/>
    <w:next w:val="Normal"/>
    <w:uiPriority w:val="99"/>
    <w:rsid w:val="00A74D0B"/>
    <w:pPr>
      <w:autoSpaceDE w:val="0"/>
      <w:autoSpaceDN w:val="0"/>
      <w:adjustRightInd w:val="0"/>
      <w:spacing w:after="0" w:line="240" w:lineRule="auto"/>
      <w:jc w:val="left"/>
    </w:pPr>
    <w:rPr>
      <w:rFonts w:cs="Arial"/>
      <w:sz w:val="24"/>
      <w:szCs w:val="24"/>
      <w:lang w:eastAsia="en-GB"/>
    </w:rPr>
  </w:style>
  <w:style w:type="paragraph" w:customStyle="1" w:styleId="Normal0">
    <w:name w:val="[Normal]"/>
    <w:uiPriority w:val="99"/>
    <w:rsid w:val="00BC4953"/>
    <w:pPr>
      <w:widowControl w:val="0"/>
      <w:autoSpaceDE w:val="0"/>
      <w:autoSpaceDN w:val="0"/>
      <w:adjustRightInd w:val="0"/>
    </w:pPr>
    <w:rPr>
      <w:rFonts w:cs="Arial"/>
      <w:sz w:val="24"/>
      <w:szCs w:val="24"/>
      <w:lang w:val="en-GB" w:eastAsia="en-GB"/>
    </w:rPr>
  </w:style>
  <w:style w:type="character" w:customStyle="1" w:styleId="apple-converted-space">
    <w:name w:val="apple-converted-space"/>
    <w:rsid w:val="009F7909"/>
  </w:style>
  <w:style w:type="character" w:customStyle="1" w:styleId="ref-lnk">
    <w:name w:val="ref-lnk"/>
    <w:rsid w:val="005B3249"/>
  </w:style>
  <w:style w:type="character" w:styleId="Hyperlink">
    <w:name w:val="Hyperlink"/>
    <w:uiPriority w:val="99"/>
    <w:unhideWhenUsed/>
    <w:rsid w:val="005B3249"/>
    <w:rPr>
      <w:color w:val="0000FF"/>
      <w:u w:val="single"/>
    </w:rPr>
  </w:style>
  <w:style w:type="character" w:customStyle="1" w:styleId="ref-overlay">
    <w:name w:val="ref-overlay"/>
    <w:rsid w:val="005B3249"/>
  </w:style>
  <w:style w:type="character" w:customStyle="1" w:styleId="hlfld-contribauthor">
    <w:name w:val="hlfld-contribauthor"/>
    <w:rsid w:val="005B3249"/>
  </w:style>
  <w:style w:type="character" w:customStyle="1" w:styleId="nlmgiven-names">
    <w:name w:val="nlm_given-names"/>
    <w:rsid w:val="005B3249"/>
  </w:style>
  <w:style w:type="character" w:customStyle="1" w:styleId="nlmyear">
    <w:name w:val="nlm_year"/>
    <w:rsid w:val="005B3249"/>
  </w:style>
  <w:style w:type="character" w:customStyle="1" w:styleId="nlmarticle-title">
    <w:name w:val="nlm_article-title"/>
    <w:rsid w:val="005B3249"/>
  </w:style>
  <w:style w:type="character" w:customStyle="1" w:styleId="nlmfpage">
    <w:name w:val="nlm_fpage"/>
    <w:rsid w:val="005B3249"/>
  </w:style>
  <w:style w:type="character" w:customStyle="1" w:styleId="nlmlpage">
    <w:name w:val="nlm_lpage"/>
    <w:rsid w:val="005B3249"/>
  </w:style>
  <w:style w:type="character" w:customStyle="1" w:styleId="ref-links">
    <w:name w:val="ref-links"/>
    <w:rsid w:val="005B3249"/>
  </w:style>
  <w:style w:type="character" w:customStyle="1" w:styleId="xlinks-container">
    <w:name w:val="xlinks-container"/>
    <w:rsid w:val="005B3249"/>
  </w:style>
  <w:style w:type="character" w:customStyle="1" w:styleId="googlescholar-container">
    <w:name w:val="googlescholar-container"/>
    <w:rsid w:val="005B3249"/>
  </w:style>
  <w:style w:type="paragraph" w:styleId="Revision">
    <w:name w:val="Revision"/>
    <w:hidden/>
    <w:uiPriority w:val="71"/>
    <w:rsid w:val="00DB6218"/>
    <w:rPr>
      <w:sz w:val="22"/>
      <w:szCs w:val="22"/>
      <w:lang w:val="en-GB"/>
    </w:rPr>
  </w:style>
  <w:style w:type="paragraph" w:styleId="Footer">
    <w:name w:val="footer"/>
    <w:basedOn w:val="Normal"/>
    <w:link w:val="FooterChar"/>
    <w:uiPriority w:val="99"/>
    <w:unhideWhenUsed/>
    <w:rsid w:val="00341403"/>
    <w:pPr>
      <w:tabs>
        <w:tab w:val="center" w:pos="4513"/>
        <w:tab w:val="right" w:pos="9026"/>
      </w:tabs>
    </w:pPr>
  </w:style>
  <w:style w:type="character" w:customStyle="1" w:styleId="FooterChar">
    <w:name w:val="Footer Char"/>
    <w:link w:val="Footer"/>
    <w:uiPriority w:val="99"/>
    <w:rsid w:val="00341403"/>
    <w:rPr>
      <w:sz w:val="22"/>
      <w:szCs w:val="22"/>
      <w:lang w:val="en-GB"/>
    </w:rPr>
  </w:style>
  <w:style w:type="character" w:styleId="PageNumber">
    <w:name w:val="page number"/>
    <w:uiPriority w:val="99"/>
    <w:semiHidden/>
    <w:unhideWhenUsed/>
    <w:rsid w:val="00341403"/>
  </w:style>
  <w:style w:type="character" w:styleId="Emphasis">
    <w:name w:val="Emphasis"/>
    <w:uiPriority w:val="20"/>
    <w:qFormat/>
    <w:rsid w:val="00193D3E"/>
    <w:rPr>
      <w:i/>
      <w:iCs/>
    </w:rPr>
  </w:style>
  <w:style w:type="character" w:styleId="FollowedHyperlink">
    <w:name w:val="FollowedHyperlink"/>
    <w:basedOn w:val="DefaultParagraphFont"/>
    <w:uiPriority w:val="99"/>
    <w:semiHidden/>
    <w:unhideWhenUsed/>
    <w:rsid w:val="00142F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321">
      <w:bodyDiv w:val="1"/>
      <w:marLeft w:val="0"/>
      <w:marRight w:val="0"/>
      <w:marTop w:val="0"/>
      <w:marBottom w:val="0"/>
      <w:divBdr>
        <w:top w:val="none" w:sz="0" w:space="0" w:color="auto"/>
        <w:left w:val="none" w:sz="0" w:space="0" w:color="auto"/>
        <w:bottom w:val="none" w:sz="0" w:space="0" w:color="auto"/>
        <w:right w:val="none" w:sz="0" w:space="0" w:color="auto"/>
      </w:divBdr>
      <w:divsChild>
        <w:div w:id="142816230">
          <w:marLeft w:val="0"/>
          <w:marRight w:val="0"/>
          <w:marTop w:val="0"/>
          <w:marBottom w:val="0"/>
          <w:divBdr>
            <w:top w:val="none" w:sz="0" w:space="0" w:color="auto"/>
            <w:left w:val="none" w:sz="0" w:space="0" w:color="auto"/>
            <w:bottom w:val="none" w:sz="0" w:space="0" w:color="auto"/>
            <w:right w:val="none" w:sz="0" w:space="0" w:color="auto"/>
          </w:divBdr>
        </w:div>
        <w:div w:id="181945186">
          <w:marLeft w:val="0"/>
          <w:marRight w:val="0"/>
          <w:marTop w:val="0"/>
          <w:marBottom w:val="0"/>
          <w:divBdr>
            <w:top w:val="none" w:sz="0" w:space="0" w:color="auto"/>
            <w:left w:val="none" w:sz="0" w:space="0" w:color="auto"/>
            <w:bottom w:val="none" w:sz="0" w:space="0" w:color="auto"/>
            <w:right w:val="none" w:sz="0" w:space="0" w:color="auto"/>
          </w:divBdr>
        </w:div>
        <w:div w:id="316544313">
          <w:marLeft w:val="0"/>
          <w:marRight w:val="0"/>
          <w:marTop w:val="0"/>
          <w:marBottom w:val="0"/>
          <w:divBdr>
            <w:top w:val="none" w:sz="0" w:space="0" w:color="auto"/>
            <w:left w:val="none" w:sz="0" w:space="0" w:color="auto"/>
            <w:bottom w:val="none" w:sz="0" w:space="0" w:color="auto"/>
            <w:right w:val="none" w:sz="0" w:space="0" w:color="auto"/>
          </w:divBdr>
        </w:div>
        <w:div w:id="795177542">
          <w:marLeft w:val="0"/>
          <w:marRight w:val="0"/>
          <w:marTop w:val="0"/>
          <w:marBottom w:val="0"/>
          <w:divBdr>
            <w:top w:val="none" w:sz="0" w:space="0" w:color="auto"/>
            <w:left w:val="none" w:sz="0" w:space="0" w:color="auto"/>
            <w:bottom w:val="none" w:sz="0" w:space="0" w:color="auto"/>
            <w:right w:val="none" w:sz="0" w:space="0" w:color="auto"/>
          </w:divBdr>
        </w:div>
        <w:div w:id="873888522">
          <w:marLeft w:val="0"/>
          <w:marRight w:val="0"/>
          <w:marTop w:val="0"/>
          <w:marBottom w:val="0"/>
          <w:divBdr>
            <w:top w:val="none" w:sz="0" w:space="0" w:color="auto"/>
            <w:left w:val="none" w:sz="0" w:space="0" w:color="auto"/>
            <w:bottom w:val="none" w:sz="0" w:space="0" w:color="auto"/>
            <w:right w:val="none" w:sz="0" w:space="0" w:color="auto"/>
          </w:divBdr>
        </w:div>
        <w:div w:id="969749508">
          <w:marLeft w:val="0"/>
          <w:marRight w:val="0"/>
          <w:marTop w:val="0"/>
          <w:marBottom w:val="0"/>
          <w:divBdr>
            <w:top w:val="none" w:sz="0" w:space="0" w:color="auto"/>
            <w:left w:val="none" w:sz="0" w:space="0" w:color="auto"/>
            <w:bottom w:val="none" w:sz="0" w:space="0" w:color="auto"/>
            <w:right w:val="none" w:sz="0" w:space="0" w:color="auto"/>
          </w:divBdr>
        </w:div>
        <w:div w:id="1465653776">
          <w:marLeft w:val="0"/>
          <w:marRight w:val="0"/>
          <w:marTop w:val="0"/>
          <w:marBottom w:val="0"/>
          <w:divBdr>
            <w:top w:val="none" w:sz="0" w:space="0" w:color="auto"/>
            <w:left w:val="none" w:sz="0" w:space="0" w:color="auto"/>
            <w:bottom w:val="none" w:sz="0" w:space="0" w:color="auto"/>
            <w:right w:val="none" w:sz="0" w:space="0" w:color="auto"/>
          </w:divBdr>
        </w:div>
        <w:div w:id="1497500236">
          <w:marLeft w:val="0"/>
          <w:marRight w:val="0"/>
          <w:marTop w:val="0"/>
          <w:marBottom w:val="0"/>
          <w:divBdr>
            <w:top w:val="none" w:sz="0" w:space="0" w:color="auto"/>
            <w:left w:val="none" w:sz="0" w:space="0" w:color="auto"/>
            <w:bottom w:val="none" w:sz="0" w:space="0" w:color="auto"/>
            <w:right w:val="none" w:sz="0" w:space="0" w:color="auto"/>
          </w:divBdr>
        </w:div>
      </w:divsChild>
    </w:div>
    <w:div w:id="40138615">
      <w:bodyDiv w:val="1"/>
      <w:marLeft w:val="0"/>
      <w:marRight w:val="0"/>
      <w:marTop w:val="0"/>
      <w:marBottom w:val="0"/>
      <w:divBdr>
        <w:top w:val="none" w:sz="0" w:space="0" w:color="auto"/>
        <w:left w:val="none" w:sz="0" w:space="0" w:color="auto"/>
        <w:bottom w:val="none" w:sz="0" w:space="0" w:color="auto"/>
        <w:right w:val="none" w:sz="0" w:space="0" w:color="auto"/>
      </w:divBdr>
    </w:div>
    <w:div w:id="52386805">
      <w:bodyDiv w:val="1"/>
      <w:marLeft w:val="0"/>
      <w:marRight w:val="0"/>
      <w:marTop w:val="0"/>
      <w:marBottom w:val="0"/>
      <w:divBdr>
        <w:top w:val="none" w:sz="0" w:space="0" w:color="auto"/>
        <w:left w:val="none" w:sz="0" w:space="0" w:color="auto"/>
        <w:bottom w:val="none" w:sz="0" w:space="0" w:color="auto"/>
        <w:right w:val="none" w:sz="0" w:space="0" w:color="auto"/>
      </w:divBdr>
    </w:div>
    <w:div w:id="67307753">
      <w:bodyDiv w:val="1"/>
      <w:marLeft w:val="0"/>
      <w:marRight w:val="0"/>
      <w:marTop w:val="0"/>
      <w:marBottom w:val="0"/>
      <w:divBdr>
        <w:top w:val="none" w:sz="0" w:space="0" w:color="auto"/>
        <w:left w:val="none" w:sz="0" w:space="0" w:color="auto"/>
        <w:bottom w:val="none" w:sz="0" w:space="0" w:color="auto"/>
        <w:right w:val="none" w:sz="0" w:space="0" w:color="auto"/>
      </w:divBdr>
    </w:div>
    <w:div w:id="113444438">
      <w:bodyDiv w:val="1"/>
      <w:marLeft w:val="0"/>
      <w:marRight w:val="0"/>
      <w:marTop w:val="0"/>
      <w:marBottom w:val="0"/>
      <w:divBdr>
        <w:top w:val="none" w:sz="0" w:space="0" w:color="auto"/>
        <w:left w:val="none" w:sz="0" w:space="0" w:color="auto"/>
        <w:bottom w:val="none" w:sz="0" w:space="0" w:color="auto"/>
        <w:right w:val="none" w:sz="0" w:space="0" w:color="auto"/>
      </w:divBdr>
    </w:div>
    <w:div w:id="135531508">
      <w:bodyDiv w:val="1"/>
      <w:marLeft w:val="0"/>
      <w:marRight w:val="0"/>
      <w:marTop w:val="0"/>
      <w:marBottom w:val="0"/>
      <w:divBdr>
        <w:top w:val="none" w:sz="0" w:space="0" w:color="auto"/>
        <w:left w:val="none" w:sz="0" w:space="0" w:color="auto"/>
        <w:bottom w:val="none" w:sz="0" w:space="0" w:color="auto"/>
        <w:right w:val="none" w:sz="0" w:space="0" w:color="auto"/>
      </w:divBdr>
    </w:div>
    <w:div w:id="138767467">
      <w:bodyDiv w:val="1"/>
      <w:marLeft w:val="0"/>
      <w:marRight w:val="0"/>
      <w:marTop w:val="0"/>
      <w:marBottom w:val="0"/>
      <w:divBdr>
        <w:top w:val="none" w:sz="0" w:space="0" w:color="auto"/>
        <w:left w:val="none" w:sz="0" w:space="0" w:color="auto"/>
        <w:bottom w:val="none" w:sz="0" w:space="0" w:color="auto"/>
        <w:right w:val="none" w:sz="0" w:space="0" w:color="auto"/>
      </w:divBdr>
    </w:div>
    <w:div w:id="154995176">
      <w:bodyDiv w:val="1"/>
      <w:marLeft w:val="0"/>
      <w:marRight w:val="0"/>
      <w:marTop w:val="0"/>
      <w:marBottom w:val="0"/>
      <w:divBdr>
        <w:top w:val="none" w:sz="0" w:space="0" w:color="auto"/>
        <w:left w:val="none" w:sz="0" w:space="0" w:color="auto"/>
        <w:bottom w:val="none" w:sz="0" w:space="0" w:color="auto"/>
        <w:right w:val="none" w:sz="0" w:space="0" w:color="auto"/>
      </w:divBdr>
    </w:div>
    <w:div w:id="162791627">
      <w:bodyDiv w:val="1"/>
      <w:marLeft w:val="0"/>
      <w:marRight w:val="0"/>
      <w:marTop w:val="0"/>
      <w:marBottom w:val="0"/>
      <w:divBdr>
        <w:top w:val="none" w:sz="0" w:space="0" w:color="auto"/>
        <w:left w:val="none" w:sz="0" w:space="0" w:color="auto"/>
        <w:bottom w:val="none" w:sz="0" w:space="0" w:color="auto"/>
        <w:right w:val="none" w:sz="0" w:space="0" w:color="auto"/>
      </w:divBdr>
    </w:div>
    <w:div w:id="205724359">
      <w:bodyDiv w:val="1"/>
      <w:marLeft w:val="0"/>
      <w:marRight w:val="0"/>
      <w:marTop w:val="0"/>
      <w:marBottom w:val="0"/>
      <w:divBdr>
        <w:top w:val="none" w:sz="0" w:space="0" w:color="auto"/>
        <w:left w:val="none" w:sz="0" w:space="0" w:color="auto"/>
        <w:bottom w:val="none" w:sz="0" w:space="0" w:color="auto"/>
        <w:right w:val="none" w:sz="0" w:space="0" w:color="auto"/>
      </w:divBdr>
    </w:div>
    <w:div w:id="212691705">
      <w:bodyDiv w:val="1"/>
      <w:marLeft w:val="0"/>
      <w:marRight w:val="0"/>
      <w:marTop w:val="0"/>
      <w:marBottom w:val="0"/>
      <w:divBdr>
        <w:top w:val="none" w:sz="0" w:space="0" w:color="auto"/>
        <w:left w:val="none" w:sz="0" w:space="0" w:color="auto"/>
        <w:bottom w:val="none" w:sz="0" w:space="0" w:color="auto"/>
        <w:right w:val="none" w:sz="0" w:space="0" w:color="auto"/>
      </w:divBdr>
    </w:div>
    <w:div w:id="241303986">
      <w:bodyDiv w:val="1"/>
      <w:marLeft w:val="0"/>
      <w:marRight w:val="0"/>
      <w:marTop w:val="0"/>
      <w:marBottom w:val="0"/>
      <w:divBdr>
        <w:top w:val="none" w:sz="0" w:space="0" w:color="auto"/>
        <w:left w:val="none" w:sz="0" w:space="0" w:color="auto"/>
        <w:bottom w:val="none" w:sz="0" w:space="0" w:color="auto"/>
        <w:right w:val="none" w:sz="0" w:space="0" w:color="auto"/>
      </w:divBdr>
    </w:div>
    <w:div w:id="251474761">
      <w:bodyDiv w:val="1"/>
      <w:marLeft w:val="0"/>
      <w:marRight w:val="0"/>
      <w:marTop w:val="0"/>
      <w:marBottom w:val="0"/>
      <w:divBdr>
        <w:top w:val="none" w:sz="0" w:space="0" w:color="auto"/>
        <w:left w:val="none" w:sz="0" w:space="0" w:color="auto"/>
        <w:bottom w:val="none" w:sz="0" w:space="0" w:color="auto"/>
        <w:right w:val="none" w:sz="0" w:space="0" w:color="auto"/>
      </w:divBdr>
    </w:div>
    <w:div w:id="262542508">
      <w:bodyDiv w:val="1"/>
      <w:marLeft w:val="0"/>
      <w:marRight w:val="0"/>
      <w:marTop w:val="0"/>
      <w:marBottom w:val="0"/>
      <w:divBdr>
        <w:top w:val="none" w:sz="0" w:space="0" w:color="auto"/>
        <w:left w:val="none" w:sz="0" w:space="0" w:color="auto"/>
        <w:bottom w:val="none" w:sz="0" w:space="0" w:color="auto"/>
        <w:right w:val="none" w:sz="0" w:space="0" w:color="auto"/>
      </w:divBdr>
    </w:div>
    <w:div w:id="277421582">
      <w:bodyDiv w:val="1"/>
      <w:marLeft w:val="0"/>
      <w:marRight w:val="0"/>
      <w:marTop w:val="0"/>
      <w:marBottom w:val="0"/>
      <w:divBdr>
        <w:top w:val="none" w:sz="0" w:space="0" w:color="auto"/>
        <w:left w:val="none" w:sz="0" w:space="0" w:color="auto"/>
        <w:bottom w:val="none" w:sz="0" w:space="0" w:color="auto"/>
        <w:right w:val="none" w:sz="0" w:space="0" w:color="auto"/>
      </w:divBdr>
    </w:div>
    <w:div w:id="327901231">
      <w:bodyDiv w:val="1"/>
      <w:marLeft w:val="0"/>
      <w:marRight w:val="0"/>
      <w:marTop w:val="0"/>
      <w:marBottom w:val="0"/>
      <w:divBdr>
        <w:top w:val="none" w:sz="0" w:space="0" w:color="auto"/>
        <w:left w:val="none" w:sz="0" w:space="0" w:color="auto"/>
        <w:bottom w:val="none" w:sz="0" w:space="0" w:color="auto"/>
        <w:right w:val="none" w:sz="0" w:space="0" w:color="auto"/>
      </w:divBdr>
    </w:div>
    <w:div w:id="380254382">
      <w:bodyDiv w:val="1"/>
      <w:marLeft w:val="0"/>
      <w:marRight w:val="0"/>
      <w:marTop w:val="0"/>
      <w:marBottom w:val="0"/>
      <w:divBdr>
        <w:top w:val="none" w:sz="0" w:space="0" w:color="auto"/>
        <w:left w:val="none" w:sz="0" w:space="0" w:color="auto"/>
        <w:bottom w:val="none" w:sz="0" w:space="0" w:color="auto"/>
        <w:right w:val="none" w:sz="0" w:space="0" w:color="auto"/>
      </w:divBdr>
    </w:div>
    <w:div w:id="382947619">
      <w:bodyDiv w:val="1"/>
      <w:marLeft w:val="0"/>
      <w:marRight w:val="0"/>
      <w:marTop w:val="0"/>
      <w:marBottom w:val="0"/>
      <w:divBdr>
        <w:top w:val="none" w:sz="0" w:space="0" w:color="auto"/>
        <w:left w:val="none" w:sz="0" w:space="0" w:color="auto"/>
        <w:bottom w:val="none" w:sz="0" w:space="0" w:color="auto"/>
        <w:right w:val="none" w:sz="0" w:space="0" w:color="auto"/>
      </w:divBdr>
    </w:div>
    <w:div w:id="391543584">
      <w:bodyDiv w:val="1"/>
      <w:marLeft w:val="0"/>
      <w:marRight w:val="0"/>
      <w:marTop w:val="0"/>
      <w:marBottom w:val="0"/>
      <w:divBdr>
        <w:top w:val="none" w:sz="0" w:space="0" w:color="auto"/>
        <w:left w:val="none" w:sz="0" w:space="0" w:color="auto"/>
        <w:bottom w:val="none" w:sz="0" w:space="0" w:color="auto"/>
        <w:right w:val="none" w:sz="0" w:space="0" w:color="auto"/>
      </w:divBdr>
    </w:div>
    <w:div w:id="418448400">
      <w:bodyDiv w:val="1"/>
      <w:marLeft w:val="0"/>
      <w:marRight w:val="0"/>
      <w:marTop w:val="0"/>
      <w:marBottom w:val="0"/>
      <w:divBdr>
        <w:top w:val="none" w:sz="0" w:space="0" w:color="auto"/>
        <w:left w:val="none" w:sz="0" w:space="0" w:color="auto"/>
        <w:bottom w:val="none" w:sz="0" w:space="0" w:color="auto"/>
        <w:right w:val="none" w:sz="0" w:space="0" w:color="auto"/>
      </w:divBdr>
    </w:div>
    <w:div w:id="450248116">
      <w:bodyDiv w:val="1"/>
      <w:marLeft w:val="0"/>
      <w:marRight w:val="0"/>
      <w:marTop w:val="0"/>
      <w:marBottom w:val="0"/>
      <w:divBdr>
        <w:top w:val="none" w:sz="0" w:space="0" w:color="auto"/>
        <w:left w:val="none" w:sz="0" w:space="0" w:color="auto"/>
        <w:bottom w:val="none" w:sz="0" w:space="0" w:color="auto"/>
        <w:right w:val="none" w:sz="0" w:space="0" w:color="auto"/>
      </w:divBdr>
    </w:div>
    <w:div w:id="451754528">
      <w:bodyDiv w:val="1"/>
      <w:marLeft w:val="0"/>
      <w:marRight w:val="0"/>
      <w:marTop w:val="0"/>
      <w:marBottom w:val="0"/>
      <w:divBdr>
        <w:top w:val="none" w:sz="0" w:space="0" w:color="auto"/>
        <w:left w:val="none" w:sz="0" w:space="0" w:color="auto"/>
        <w:bottom w:val="none" w:sz="0" w:space="0" w:color="auto"/>
        <w:right w:val="none" w:sz="0" w:space="0" w:color="auto"/>
      </w:divBdr>
    </w:div>
    <w:div w:id="465466484">
      <w:bodyDiv w:val="1"/>
      <w:marLeft w:val="0"/>
      <w:marRight w:val="0"/>
      <w:marTop w:val="0"/>
      <w:marBottom w:val="0"/>
      <w:divBdr>
        <w:top w:val="none" w:sz="0" w:space="0" w:color="auto"/>
        <w:left w:val="none" w:sz="0" w:space="0" w:color="auto"/>
        <w:bottom w:val="none" w:sz="0" w:space="0" w:color="auto"/>
        <w:right w:val="none" w:sz="0" w:space="0" w:color="auto"/>
      </w:divBdr>
    </w:div>
    <w:div w:id="575745816">
      <w:bodyDiv w:val="1"/>
      <w:marLeft w:val="0"/>
      <w:marRight w:val="0"/>
      <w:marTop w:val="0"/>
      <w:marBottom w:val="0"/>
      <w:divBdr>
        <w:top w:val="none" w:sz="0" w:space="0" w:color="auto"/>
        <w:left w:val="none" w:sz="0" w:space="0" w:color="auto"/>
        <w:bottom w:val="none" w:sz="0" w:space="0" w:color="auto"/>
        <w:right w:val="none" w:sz="0" w:space="0" w:color="auto"/>
      </w:divBdr>
    </w:div>
    <w:div w:id="590087556">
      <w:bodyDiv w:val="1"/>
      <w:marLeft w:val="0"/>
      <w:marRight w:val="0"/>
      <w:marTop w:val="0"/>
      <w:marBottom w:val="0"/>
      <w:divBdr>
        <w:top w:val="none" w:sz="0" w:space="0" w:color="auto"/>
        <w:left w:val="none" w:sz="0" w:space="0" w:color="auto"/>
        <w:bottom w:val="none" w:sz="0" w:space="0" w:color="auto"/>
        <w:right w:val="none" w:sz="0" w:space="0" w:color="auto"/>
      </w:divBdr>
    </w:div>
    <w:div w:id="606695855">
      <w:bodyDiv w:val="1"/>
      <w:marLeft w:val="0"/>
      <w:marRight w:val="0"/>
      <w:marTop w:val="0"/>
      <w:marBottom w:val="0"/>
      <w:divBdr>
        <w:top w:val="none" w:sz="0" w:space="0" w:color="auto"/>
        <w:left w:val="none" w:sz="0" w:space="0" w:color="auto"/>
        <w:bottom w:val="none" w:sz="0" w:space="0" w:color="auto"/>
        <w:right w:val="none" w:sz="0" w:space="0" w:color="auto"/>
      </w:divBdr>
    </w:div>
    <w:div w:id="627900522">
      <w:bodyDiv w:val="1"/>
      <w:marLeft w:val="0"/>
      <w:marRight w:val="0"/>
      <w:marTop w:val="0"/>
      <w:marBottom w:val="0"/>
      <w:divBdr>
        <w:top w:val="none" w:sz="0" w:space="0" w:color="auto"/>
        <w:left w:val="none" w:sz="0" w:space="0" w:color="auto"/>
        <w:bottom w:val="none" w:sz="0" w:space="0" w:color="auto"/>
        <w:right w:val="none" w:sz="0" w:space="0" w:color="auto"/>
      </w:divBdr>
    </w:div>
    <w:div w:id="638999183">
      <w:bodyDiv w:val="1"/>
      <w:marLeft w:val="0"/>
      <w:marRight w:val="0"/>
      <w:marTop w:val="0"/>
      <w:marBottom w:val="0"/>
      <w:divBdr>
        <w:top w:val="none" w:sz="0" w:space="0" w:color="auto"/>
        <w:left w:val="none" w:sz="0" w:space="0" w:color="auto"/>
        <w:bottom w:val="none" w:sz="0" w:space="0" w:color="auto"/>
        <w:right w:val="none" w:sz="0" w:space="0" w:color="auto"/>
      </w:divBdr>
    </w:div>
    <w:div w:id="644552803">
      <w:bodyDiv w:val="1"/>
      <w:marLeft w:val="0"/>
      <w:marRight w:val="0"/>
      <w:marTop w:val="0"/>
      <w:marBottom w:val="0"/>
      <w:divBdr>
        <w:top w:val="none" w:sz="0" w:space="0" w:color="auto"/>
        <w:left w:val="none" w:sz="0" w:space="0" w:color="auto"/>
        <w:bottom w:val="none" w:sz="0" w:space="0" w:color="auto"/>
        <w:right w:val="none" w:sz="0" w:space="0" w:color="auto"/>
      </w:divBdr>
    </w:div>
    <w:div w:id="647327268">
      <w:bodyDiv w:val="1"/>
      <w:marLeft w:val="0"/>
      <w:marRight w:val="0"/>
      <w:marTop w:val="0"/>
      <w:marBottom w:val="0"/>
      <w:divBdr>
        <w:top w:val="none" w:sz="0" w:space="0" w:color="auto"/>
        <w:left w:val="none" w:sz="0" w:space="0" w:color="auto"/>
        <w:bottom w:val="none" w:sz="0" w:space="0" w:color="auto"/>
        <w:right w:val="none" w:sz="0" w:space="0" w:color="auto"/>
      </w:divBdr>
    </w:div>
    <w:div w:id="676999115">
      <w:bodyDiv w:val="1"/>
      <w:marLeft w:val="0"/>
      <w:marRight w:val="0"/>
      <w:marTop w:val="0"/>
      <w:marBottom w:val="0"/>
      <w:divBdr>
        <w:top w:val="none" w:sz="0" w:space="0" w:color="auto"/>
        <w:left w:val="none" w:sz="0" w:space="0" w:color="auto"/>
        <w:bottom w:val="none" w:sz="0" w:space="0" w:color="auto"/>
        <w:right w:val="none" w:sz="0" w:space="0" w:color="auto"/>
      </w:divBdr>
    </w:div>
    <w:div w:id="677150400">
      <w:bodyDiv w:val="1"/>
      <w:marLeft w:val="0"/>
      <w:marRight w:val="0"/>
      <w:marTop w:val="0"/>
      <w:marBottom w:val="0"/>
      <w:divBdr>
        <w:top w:val="none" w:sz="0" w:space="0" w:color="auto"/>
        <w:left w:val="none" w:sz="0" w:space="0" w:color="auto"/>
        <w:bottom w:val="none" w:sz="0" w:space="0" w:color="auto"/>
        <w:right w:val="none" w:sz="0" w:space="0" w:color="auto"/>
      </w:divBdr>
    </w:div>
    <w:div w:id="683092350">
      <w:bodyDiv w:val="1"/>
      <w:marLeft w:val="0"/>
      <w:marRight w:val="0"/>
      <w:marTop w:val="0"/>
      <w:marBottom w:val="0"/>
      <w:divBdr>
        <w:top w:val="none" w:sz="0" w:space="0" w:color="auto"/>
        <w:left w:val="none" w:sz="0" w:space="0" w:color="auto"/>
        <w:bottom w:val="none" w:sz="0" w:space="0" w:color="auto"/>
        <w:right w:val="none" w:sz="0" w:space="0" w:color="auto"/>
      </w:divBdr>
    </w:div>
    <w:div w:id="699090823">
      <w:bodyDiv w:val="1"/>
      <w:marLeft w:val="0"/>
      <w:marRight w:val="0"/>
      <w:marTop w:val="0"/>
      <w:marBottom w:val="0"/>
      <w:divBdr>
        <w:top w:val="none" w:sz="0" w:space="0" w:color="auto"/>
        <w:left w:val="none" w:sz="0" w:space="0" w:color="auto"/>
        <w:bottom w:val="none" w:sz="0" w:space="0" w:color="auto"/>
        <w:right w:val="none" w:sz="0" w:space="0" w:color="auto"/>
      </w:divBdr>
    </w:div>
    <w:div w:id="705644137">
      <w:bodyDiv w:val="1"/>
      <w:marLeft w:val="0"/>
      <w:marRight w:val="0"/>
      <w:marTop w:val="0"/>
      <w:marBottom w:val="0"/>
      <w:divBdr>
        <w:top w:val="none" w:sz="0" w:space="0" w:color="auto"/>
        <w:left w:val="none" w:sz="0" w:space="0" w:color="auto"/>
        <w:bottom w:val="none" w:sz="0" w:space="0" w:color="auto"/>
        <w:right w:val="none" w:sz="0" w:space="0" w:color="auto"/>
      </w:divBdr>
    </w:div>
    <w:div w:id="713843914">
      <w:bodyDiv w:val="1"/>
      <w:marLeft w:val="0"/>
      <w:marRight w:val="0"/>
      <w:marTop w:val="0"/>
      <w:marBottom w:val="0"/>
      <w:divBdr>
        <w:top w:val="none" w:sz="0" w:space="0" w:color="auto"/>
        <w:left w:val="none" w:sz="0" w:space="0" w:color="auto"/>
        <w:bottom w:val="none" w:sz="0" w:space="0" w:color="auto"/>
        <w:right w:val="none" w:sz="0" w:space="0" w:color="auto"/>
      </w:divBdr>
    </w:div>
    <w:div w:id="716702991">
      <w:bodyDiv w:val="1"/>
      <w:marLeft w:val="0"/>
      <w:marRight w:val="0"/>
      <w:marTop w:val="0"/>
      <w:marBottom w:val="0"/>
      <w:divBdr>
        <w:top w:val="none" w:sz="0" w:space="0" w:color="auto"/>
        <w:left w:val="none" w:sz="0" w:space="0" w:color="auto"/>
        <w:bottom w:val="none" w:sz="0" w:space="0" w:color="auto"/>
        <w:right w:val="none" w:sz="0" w:space="0" w:color="auto"/>
      </w:divBdr>
    </w:div>
    <w:div w:id="727647208">
      <w:bodyDiv w:val="1"/>
      <w:marLeft w:val="0"/>
      <w:marRight w:val="0"/>
      <w:marTop w:val="0"/>
      <w:marBottom w:val="0"/>
      <w:divBdr>
        <w:top w:val="none" w:sz="0" w:space="0" w:color="auto"/>
        <w:left w:val="none" w:sz="0" w:space="0" w:color="auto"/>
        <w:bottom w:val="none" w:sz="0" w:space="0" w:color="auto"/>
        <w:right w:val="none" w:sz="0" w:space="0" w:color="auto"/>
      </w:divBdr>
    </w:div>
    <w:div w:id="734547616">
      <w:bodyDiv w:val="1"/>
      <w:marLeft w:val="0"/>
      <w:marRight w:val="0"/>
      <w:marTop w:val="0"/>
      <w:marBottom w:val="0"/>
      <w:divBdr>
        <w:top w:val="none" w:sz="0" w:space="0" w:color="auto"/>
        <w:left w:val="none" w:sz="0" w:space="0" w:color="auto"/>
        <w:bottom w:val="none" w:sz="0" w:space="0" w:color="auto"/>
        <w:right w:val="none" w:sz="0" w:space="0" w:color="auto"/>
      </w:divBdr>
    </w:div>
    <w:div w:id="778530904">
      <w:bodyDiv w:val="1"/>
      <w:marLeft w:val="0"/>
      <w:marRight w:val="0"/>
      <w:marTop w:val="0"/>
      <w:marBottom w:val="0"/>
      <w:divBdr>
        <w:top w:val="none" w:sz="0" w:space="0" w:color="auto"/>
        <w:left w:val="none" w:sz="0" w:space="0" w:color="auto"/>
        <w:bottom w:val="none" w:sz="0" w:space="0" w:color="auto"/>
        <w:right w:val="none" w:sz="0" w:space="0" w:color="auto"/>
      </w:divBdr>
    </w:div>
    <w:div w:id="788595199">
      <w:bodyDiv w:val="1"/>
      <w:marLeft w:val="0"/>
      <w:marRight w:val="0"/>
      <w:marTop w:val="0"/>
      <w:marBottom w:val="0"/>
      <w:divBdr>
        <w:top w:val="none" w:sz="0" w:space="0" w:color="auto"/>
        <w:left w:val="none" w:sz="0" w:space="0" w:color="auto"/>
        <w:bottom w:val="none" w:sz="0" w:space="0" w:color="auto"/>
        <w:right w:val="none" w:sz="0" w:space="0" w:color="auto"/>
      </w:divBdr>
    </w:div>
    <w:div w:id="828981291">
      <w:bodyDiv w:val="1"/>
      <w:marLeft w:val="0"/>
      <w:marRight w:val="0"/>
      <w:marTop w:val="0"/>
      <w:marBottom w:val="0"/>
      <w:divBdr>
        <w:top w:val="none" w:sz="0" w:space="0" w:color="auto"/>
        <w:left w:val="none" w:sz="0" w:space="0" w:color="auto"/>
        <w:bottom w:val="none" w:sz="0" w:space="0" w:color="auto"/>
        <w:right w:val="none" w:sz="0" w:space="0" w:color="auto"/>
      </w:divBdr>
    </w:div>
    <w:div w:id="852299963">
      <w:bodyDiv w:val="1"/>
      <w:marLeft w:val="0"/>
      <w:marRight w:val="0"/>
      <w:marTop w:val="0"/>
      <w:marBottom w:val="0"/>
      <w:divBdr>
        <w:top w:val="none" w:sz="0" w:space="0" w:color="auto"/>
        <w:left w:val="none" w:sz="0" w:space="0" w:color="auto"/>
        <w:bottom w:val="none" w:sz="0" w:space="0" w:color="auto"/>
        <w:right w:val="none" w:sz="0" w:space="0" w:color="auto"/>
      </w:divBdr>
    </w:div>
    <w:div w:id="884293245">
      <w:bodyDiv w:val="1"/>
      <w:marLeft w:val="0"/>
      <w:marRight w:val="0"/>
      <w:marTop w:val="0"/>
      <w:marBottom w:val="0"/>
      <w:divBdr>
        <w:top w:val="none" w:sz="0" w:space="0" w:color="auto"/>
        <w:left w:val="none" w:sz="0" w:space="0" w:color="auto"/>
        <w:bottom w:val="none" w:sz="0" w:space="0" w:color="auto"/>
        <w:right w:val="none" w:sz="0" w:space="0" w:color="auto"/>
      </w:divBdr>
    </w:div>
    <w:div w:id="899946730">
      <w:bodyDiv w:val="1"/>
      <w:marLeft w:val="0"/>
      <w:marRight w:val="0"/>
      <w:marTop w:val="0"/>
      <w:marBottom w:val="0"/>
      <w:divBdr>
        <w:top w:val="none" w:sz="0" w:space="0" w:color="auto"/>
        <w:left w:val="none" w:sz="0" w:space="0" w:color="auto"/>
        <w:bottom w:val="none" w:sz="0" w:space="0" w:color="auto"/>
        <w:right w:val="none" w:sz="0" w:space="0" w:color="auto"/>
      </w:divBdr>
    </w:div>
    <w:div w:id="926156570">
      <w:bodyDiv w:val="1"/>
      <w:marLeft w:val="0"/>
      <w:marRight w:val="0"/>
      <w:marTop w:val="0"/>
      <w:marBottom w:val="0"/>
      <w:divBdr>
        <w:top w:val="none" w:sz="0" w:space="0" w:color="auto"/>
        <w:left w:val="none" w:sz="0" w:space="0" w:color="auto"/>
        <w:bottom w:val="none" w:sz="0" w:space="0" w:color="auto"/>
        <w:right w:val="none" w:sz="0" w:space="0" w:color="auto"/>
      </w:divBdr>
    </w:div>
    <w:div w:id="927084012">
      <w:bodyDiv w:val="1"/>
      <w:marLeft w:val="0"/>
      <w:marRight w:val="0"/>
      <w:marTop w:val="0"/>
      <w:marBottom w:val="0"/>
      <w:divBdr>
        <w:top w:val="none" w:sz="0" w:space="0" w:color="auto"/>
        <w:left w:val="none" w:sz="0" w:space="0" w:color="auto"/>
        <w:bottom w:val="none" w:sz="0" w:space="0" w:color="auto"/>
        <w:right w:val="none" w:sz="0" w:space="0" w:color="auto"/>
      </w:divBdr>
    </w:div>
    <w:div w:id="931932084">
      <w:bodyDiv w:val="1"/>
      <w:marLeft w:val="0"/>
      <w:marRight w:val="0"/>
      <w:marTop w:val="0"/>
      <w:marBottom w:val="0"/>
      <w:divBdr>
        <w:top w:val="none" w:sz="0" w:space="0" w:color="auto"/>
        <w:left w:val="none" w:sz="0" w:space="0" w:color="auto"/>
        <w:bottom w:val="none" w:sz="0" w:space="0" w:color="auto"/>
        <w:right w:val="none" w:sz="0" w:space="0" w:color="auto"/>
      </w:divBdr>
    </w:div>
    <w:div w:id="948128179">
      <w:bodyDiv w:val="1"/>
      <w:marLeft w:val="0"/>
      <w:marRight w:val="0"/>
      <w:marTop w:val="0"/>
      <w:marBottom w:val="0"/>
      <w:divBdr>
        <w:top w:val="none" w:sz="0" w:space="0" w:color="auto"/>
        <w:left w:val="none" w:sz="0" w:space="0" w:color="auto"/>
        <w:bottom w:val="none" w:sz="0" w:space="0" w:color="auto"/>
        <w:right w:val="none" w:sz="0" w:space="0" w:color="auto"/>
      </w:divBdr>
    </w:div>
    <w:div w:id="964239480">
      <w:bodyDiv w:val="1"/>
      <w:marLeft w:val="0"/>
      <w:marRight w:val="0"/>
      <w:marTop w:val="0"/>
      <w:marBottom w:val="0"/>
      <w:divBdr>
        <w:top w:val="none" w:sz="0" w:space="0" w:color="auto"/>
        <w:left w:val="none" w:sz="0" w:space="0" w:color="auto"/>
        <w:bottom w:val="none" w:sz="0" w:space="0" w:color="auto"/>
        <w:right w:val="none" w:sz="0" w:space="0" w:color="auto"/>
      </w:divBdr>
    </w:div>
    <w:div w:id="980423985">
      <w:bodyDiv w:val="1"/>
      <w:marLeft w:val="0"/>
      <w:marRight w:val="0"/>
      <w:marTop w:val="0"/>
      <w:marBottom w:val="0"/>
      <w:divBdr>
        <w:top w:val="none" w:sz="0" w:space="0" w:color="auto"/>
        <w:left w:val="none" w:sz="0" w:space="0" w:color="auto"/>
        <w:bottom w:val="none" w:sz="0" w:space="0" w:color="auto"/>
        <w:right w:val="none" w:sz="0" w:space="0" w:color="auto"/>
      </w:divBdr>
    </w:div>
    <w:div w:id="987325511">
      <w:bodyDiv w:val="1"/>
      <w:marLeft w:val="0"/>
      <w:marRight w:val="0"/>
      <w:marTop w:val="0"/>
      <w:marBottom w:val="0"/>
      <w:divBdr>
        <w:top w:val="none" w:sz="0" w:space="0" w:color="auto"/>
        <w:left w:val="none" w:sz="0" w:space="0" w:color="auto"/>
        <w:bottom w:val="none" w:sz="0" w:space="0" w:color="auto"/>
        <w:right w:val="none" w:sz="0" w:space="0" w:color="auto"/>
      </w:divBdr>
    </w:div>
    <w:div w:id="991829755">
      <w:bodyDiv w:val="1"/>
      <w:marLeft w:val="0"/>
      <w:marRight w:val="0"/>
      <w:marTop w:val="0"/>
      <w:marBottom w:val="0"/>
      <w:divBdr>
        <w:top w:val="none" w:sz="0" w:space="0" w:color="auto"/>
        <w:left w:val="none" w:sz="0" w:space="0" w:color="auto"/>
        <w:bottom w:val="none" w:sz="0" w:space="0" w:color="auto"/>
        <w:right w:val="none" w:sz="0" w:space="0" w:color="auto"/>
      </w:divBdr>
    </w:div>
    <w:div w:id="1008823387">
      <w:bodyDiv w:val="1"/>
      <w:marLeft w:val="0"/>
      <w:marRight w:val="0"/>
      <w:marTop w:val="0"/>
      <w:marBottom w:val="0"/>
      <w:divBdr>
        <w:top w:val="none" w:sz="0" w:space="0" w:color="auto"/>
        <w:left w:val="none" w:sz="0" w:space="0" w:color="auto"/>
        <w:bottom w:val="none" w:sz="0" w:space="0" w:color="auto"/>
        <w:right w:val="none" w:sz="0" w:space="0" w:color="auto"/>
      </w:divBdr>
    </w:div>
    <w:div w:id="1045375757">
      <w:bodyDiv w:val="1"/>
      <w:marLeft w:val="0"/>
      <w:marRight w:val="0"/>
      <w:marTop w:val="0"/>
      <w:marBottom w:val="0"/>
      <w:divBdr>
        <w:top w:val="none" w:sz="0" w:space="0" w:color="auto"/>
        <w:left w:val="none" w:sz="0" w:space="0" w:color="auto"/>
        <w:bottom w:val="none" w:sz="0" w:space="0" w:color="auto"/>
        <w:right w:val="none" w:sz="0" w:space="0" w:color="auto"/>
      </w:divBdr>
    </w:div>
    <w:div w:id="1086225773">
      <w:bodyDiv w:val="1"/>
      <w:marLeft w:val="0"/>
      <w:marRight w:val="0"/>
      <w:marTop w:val="0"/>
      <w:marBottom w:val="0"/>
      <w:divBdr>
        <w:top w:val="none" w:sz="0" w:space="0" w:color="auto"/>
        <w:left w:val="none" w:sz="0" w:space="0" w:color="auto"/>
        <w:bottom w:val="none" w:sz="0" w:space="0" w:color="auto"/>
        <w:right w:val="none" w:sz="0" w:space="0" w:color="auto"/>
      </w:divBdr>
    </w:div>
    <w:div w:id="1091973711">
      <w:bodyDiv w:val="1"/>
      <w:marLeft w:val="0"/>
      <w:marRight w:val="0"/>
      <w:marTop w:val="0"/>
      <w:marBottom w:val="0"/>
      <w:divBdr>
        <w:top w:val="none" w:sz="0" w:space="0" w:color="auto"/>
        <w:left w:val="none" w:sz="0" w:space="0" w:color="auto"/>
        <w:bottom w:val="none" w:sz="0" w:space="0" w:color="auto"/>
        <w:right w:val="none" w:sz="0" w:space="0" w:color="auto"/>
      </w:divBdr>
    </w:div>
    <w:div w:id="1108544730">
      <w:bodyDiv w:val="1"/>
      <w:marLeft w:val="0"/>
      <w:marRight w:val="0"/>
      <w:marTop w:val="0"/>
      <w:marBottom w:val="0"/>
      <w:divBdr>
        <w:top w:val="none" w:sz="0" w:space="0" w:color="auto"/>
        <w:left w:val="none" w:sz="0" w:space="0" w:color="auto"/>
        <w:bottom w:val="none" w:sz="0" w:space="0" w:color="auto"/>
        <w:right w:val="none" w:sz="0" w:space="0" w:color="auto"/>
      </w:divBdr>
    </w:div>
    <w:div w:id="1115052897">
      <w:bodyDiv w:val="1"/>
      <w:marLeft w:val="0"/>
      <w:marRight w:val="0"/>
      <w:marTop w:val="0"/>
      <w:marBottom w:val="0"/>
      <w:divBdr>
        <w:top w:val="none" w:sz="0" w:space="0" w:color="auto"/>
        <w:left w:val="none" w:sz="0" w:space="0" w:color="auto"/>
        <w:bottom w:val="none" w:sz="0" w:space="0" w:color="auto"/>
        <w:right w:val="none" w:sz="0" w:space="0" w:color="auto"/>
      </w:divBdr>
    </w:div>
    <w:div w:id="1144808349">
      <w:bodyDiv w:val="1"/>
      <w:marLeft w:val="0"/>
      <w:marRight w:val="0"/>
      <w:marTop w:val="0"/>
      <w:marBottom w:val="0"/>
      <w:divBdr>
        <w:top w:val="none" w:sz="0" w:space="0" w:color="auto"/>
        <w:left w:val="none" w:sz="0" w:space="0" w:color="auto"/>
        <w:bottom w:val="none" w:sz="0" w:space="0" w:color="auto"/>
        <w:right w:val="none" w:sz="0" w:space="0" w:color="auto"/>
      </w:divBdr>
    </w:div>
    <w:div w:id="1150755683">
      <w:bodyDiv w:val="1"/>
      <w:marLeft w:val="0"/>
      <w:marRight w:val="0"/>
      <w:marTop w:val="0"/>
      <w:marBottom w:val="0"/>
      <w:divBdr>
        <w:top w:val="none" w:sz="0" w:space="0" w:color="auto"/>
        <w:left w:val="none" w:sz="0" w:space="0" w:color="auto"/>
        <w:bottom w:val="none" w:sz="0" w:space="0" w:color="auto"/>
        <w:right w:val="none" w:sz="0" w:space="0" w:color="auto"/>
      </w:divBdr>
    </w:div>
    <w:div w:id="1169054947">
      <w:bodyDiv w:val="1"/>
      <w:marLeft w:val="0"/>
      <w:marRight w:val="0"/>
      <w:marTop w:val="0"/>
      <w:marBottom w:val="0"/>
      <w:divBdr>
        <w:top w:val="none" w:sz="0" w:space="0" w:color="auto"/>
        <w:left w:val="none" w:sz="0" w:space="0" w:color="auto"/>
        <w:bottom w:val="none" w:sz="0" w:space="0" w:color="auto"/>
        <w:right w:val="none" w:sz="0" w:space="0" w:color="auto"/>
      </w:divBdr>
    </w:div>
    <w:div w:id="1217594318">
      <w:bodyDiv w:val="1"/>
      <w:marLeft w:val="0"/>
      <w:marRight w:val="0"/>
      <w:marTop w:val="0"/>
      <w:marBottom w:val="0"/>
      <w:divBdr>
        <w:top w:val="none" w:sz="0" w:space="0" w:color="auto"/>
        <w:left w:val="none" w:sz="0" w:space="0" w:color="auto"/>
        <w:bottom w:val="none" w:sz="0" w:space="0" w:color="auto"/>
        <w:right w:val="none" w:sz="0" w:space="0" w:color="auto"/>
      </w:divBdr>
    </w:div>
    <w:div w:id="1220097472">
      <w:bodyDiv w:val="1"/>
      <w:marLeft w:val="0"/>
      <w:marRight w:val="0"/>
      <w:marTop w:val="0"/>
      <w:marBottom w:val="0"/>
      <w:divBdr>
        <w:top w:val="none" w:sz="0" w:space="0" w:color="auto"/>
        <w:left w:val="none" w:sz="0" w:space="0" w:color="auto"/>
        <w:bottom w:val="none" w:sz="0" w:space="0" w:color="auto"/>
        <w:right w:val="none" w:sz="0" w:space="0" w:color="auto"/>
      </w:divBdr>
    </w:div>
    <w:div w:id="1221597292">
      <w:bodyDiv w:val="1"/>
      <w:marLeft w:val="0"/>
      <w:marRight w:val="0"/>
      <w:marTop w:val="0"/>
      <w:marBottom w:val="0"/>
      <w:divBdr>
        <w:top w:val="none" w:sz="0" w:space="0" w:color="auto"/>
        <w:left w:val="none" w:sz="0" w:space="0" w:color="auto"/>
        <w:bottom w:val="none" w:sz="0" w:space="0" w:color="auto"/>
        <w:right w:val="none" w:sz="0" w:space="0" w:color="auto"/>
      </w:divBdr>
    </w:div>
    <w:div w:id="1223829280">
      <w:bodyDiv w:val="1"/>
      <w:marLeft w:val="0"/>
      <w:marRight w:val="0"/>
      <w:marTop w:val="0"/>
      <w:marBottom w:val="0"/>
      <w:divBdr>
        <w:top w:val="none" w:sz="0" w:space="0" w:color="auto"/>
        <w:left w:val="none" w:sz="0" w:space="0" w:color="auto"/>
        <w:bottom w:val="none" w:sz="0" w:space="0" w:color="auto"/>
        <w:right w:val="none" w:sz="0" w:space="0" w:color="auto"/>
      </w:divBdr>
    </w:div>
    <w:div w:id="1244530477">
      <w:bodyDiv w:val="1"/>
      <w:marLeft w:val="0"/>
      <w:marRight w:val="0"/>
      <w:marTop w:val="0"/>
      <w:marBottom w:val="0"/>
      <w:divBdr>
        <w:top w:val="none" w:sz="0" w:space="0" w:color="auto"/>
        <w:left w:val="none" w:sz="0" w:space="0" w:color="auto"/>
        <w:bottom w:val="none" w:sz="0" w:space="0" w:color="auto"/>
        <w:right w:val="none" w:sz="0" w:space="0" w:color="auto"/>
      </w:divBdr>
    </w:div>
    <w:div w:id="1266839755">
      <w:bodyDiv w:val="1"/>
      <w:marLeft w:val="0"/>
      <w:marRight w:val="0"/>
      <w:marTop w:val="0"/>
      <w:marBottom w:val="0"/>
      <w:divBdr>
        <w:top w:val="none" w:sz="0" w:space="0" w:color="auto"/>
        <w:left w:val="none" w:sz="0" w:space="0" w:color="auto"/>
        <w:bottom w:val="none" w:sz="0" w:space="0" w:color="auto"/>
        <w:right w:val="none" w:sz="0" w:space="0" w:color="auto"/>
      </w:divBdr>
    </w:div>
    <w:div w:id="1276522653">
      <w:bodyDiv w:val="1"/>
      <w:marLeft w:val="0"/>
      <w:marRight w:val="0"/>
      <w:marTop w:val="0"/>
      <w:marBottom w:val="0"/>
      <w:divBdr>
        <w:top w:val="none" w:sz="0" w:space="0" w:color="auto"/>
        <w:left w:val="none" w:sz="0" w:space="0" w:color="auto"/>
        <w:bottom w:val="none" w:sz="0" w:space="0" w:color="auto"/>
        <w:right w:val="none" w:sz="0" w:space="0" w:color="auto"/>
      </w:divBdr>
    </w:div>
    <w:div w:id="1282764682">
      <w:bodyDiv w:val="1"/>
      <w:marLeft w:val="0"/>
      <w:marRight w:val="0"/>
      <w:marTop w:val="0"/>
      <w:marBottom w:val="0"/>
      <w:divBdr>
        <w:top w:val="none" w:sz="0" w:space="0" w:color="auto"/>
        <w:left w:val="none" w:sz="0" w:space="0" w:color="auto"/>
        <w:bottom w:val="none" w:sz="0" w:space="0" w:color="auto"/>
        <w:right w:val="none" w:sz="0" w:space="0" w:color="auto"/>
      </w:divBdr>
    </w:div>
    <w:div w:id="1289169264">
      <w:bodyDiv w:val="1"/>
      <w:marLeft w:val="0"/>
      <w:marRight w:val="0"/>
      <w:marTop w:val="0"/>
      <w:marBottom w:val="0"/>
      <w:divBdr>
        <w:top w:val="none" w:sz="0" w:space="0" w:color="auto"/>
        <w:left w:val="none" w:sz="0" w:space="0" w:color="auto"/>
        <w:bottom w:val="none" w:sz="0" w:space="0" w:color="auto"/>
        <w:right w:val="none" w:sz="0" w:space="0" w:color="auto"/>
      </w:divBdr>
    </w:div>
    <w:div w:id="1305816369">
      <w:bodyDiv w:val="1"/>
      <w:marLeft w:val="0"/>
      <w:marRight w:val="0"/>
      <w:marTop w:val="0"/>
      <w:marBottom w:val="0"/>
      <w:divBdr>
        <w:top w:val="none" w:sz="0" w:space="0" w:color="auto"/>
        <w:left w:val="none" w:sz="0" w:space="0" w:color="auto"/>
        <w:bottom w:val="none" w:sz="0" w:space="0" w:color="auto"/>
        <w:right w:val="none" w:sz="0" w:space="0" w:color="auto"/>
      </w:divBdr>
    </w:div>
    <w:div w:id="1311059781">
      <w:bodyDiv w:val="1"/>
      <w:marLeft w:val="0"/>
      <w:marRight w:val="0"/>
      <w:marTop w:val="0"/>
      <w:marBottom w:val="0"/>
      <w:divBdr>
        <w:top w:val="none" w:sz="0" w:space="0" w:color="auto"/>
        <w:left w:val="none" w:sz="0" w:space="0" w:color="auto"/>
        <w:bottom w:val="none" w:sz="0" w:space="0" w:color="auto"/>
        <w:right w:val="none" w:sz="0" w:space="0" w:color="auto"/>
      </w:divBdr>
    </w:div>
    <w:div w:id="1343891684">
      <w:bodyDiv w:val="1"/>
      <w:marLeft w:val="0"/>
      <w:marRight w:val="0"/>
      <w:marTop w:val="0"/>
      <w:marBottom w:val="0"/>
      <w:divBdr>
        <w:top w:val="none" w:sz="0" w:space="0" w:color="auto"/>
        <w:left w:val="none" w:sz="0" w:space="0" w:color="auto"/>
        <w:bottom w:val="none" w:sz="0" w:space="0" w:color="auto"/>
        <w:right w:val="none" w:sz="0" w:space="0" w:color="auto"/>
      </w:divBdr>
    </w:div>
    <w:div w:id="1352688116">
      <w:bodyDiv w:val="1"/>
      <w:marLeft w:val="0"/>
      <w:marRight w:val="0"/>
      <w:marTop w:val="0"/>
      <w:marBottom w:val="0"/>
      <w:divBdr>
        <w:top w:val="none" w:sz="0" w:space="0" w:color="auto"/>
        <w:left w:val="none" w:sz="0" w:space="0" w:color="auto"/>
        <w:bottom w:val="none" w:sz="0" w:space="0" w:color="auto"/>
        <w:right w:val="none" w:sz="0" w:space="0" w:color="auto"/>
      </w:divBdr>
    </w:div>
    <w:div w:id="1355616838">
      <w:bodyDiv w:val="1"/>
      <w:marLeft w:val="0"/>
      <w:marRight w:val="0"/>
      <w:marTop w:val="0"/>
      <w:marBottom w:val="0"/>
      <w:divBdr>
        <w:top w:val="none" w:sz="0" w:space="0" w:color="auto"/>
        <w:left w:val="none" w:sz="0" w:space="0" w:color="auto"/>
        <w:bottom w:val="none" w:sz="0" w:space="0" w:color="auto"/>
        <w:right w:val="none" w:sz="0" w:space="0" w:color="auto"/>
      </w:divBdr>
    </w:div>
    <w:div w:id="1359814093">
      <w:bodyDiv w:val="1"/>
      <w:marLeft w:val="0"/>
      <w:marRight w:val="0"/>
      <w:marTop w:val="0"/>
      <w:marBottom w:val="0"/>
      <w:divBdr>
        <w:top w:val="none" w:sz="0" w:space="0" w:color="auto"/>
        <w:left w:val="none" w:sz="0" w:space="0" w:color="auto"/>
        <w:bottom w:val="none" w:sz="0" w:space="0" w:color="auto"/>
        <w:right w:val="none" w:sz="0" w:space="0" w:color="auto"/>
      </w:divBdr>
    </w:div>
    <w:div w:id="1401051841">
      <w:bodyDiv w:val="1"/>
      <w:marLeft w:val="0"/>
      <w:marRight w:val="0"/>
      <w:marTop w:val="0"/>
      <w:marBottom w:val="0"/>
      <w:divBdr>
        <w:top w:val="none" w:sz="0" w:space="0" w:color="auto"/>
        <w:left w:val="none" w:sz="0" w:space="0" w:color="auto"/>
        <w:bottom w:val="none" w:sz="0" w:space="0" w:color="auto"/>
        <w:right w:val="none" w:sz="0" w:space="0" w:color="auto"/>
      </w:divBdr>
    </w:div>
    <w:div w:id="1453162407">
      <w:bodyDiv w:val="1"/>
      <w:marLeft w:val="0"/>
      <w:marRight w:val="0"/>
      <w:marTop w:val="0"/>
      <w:marBottom w:val="0"/>
      <w:divBdr>
        <w:top w:val="none" w:sz="0" w:space="0" w:color="auto"/>
        <w:left w:val="none" w:sz="0" w:space="0" w:color="auto"/>
        <w:bottom w:val="none" w:sz="0" w:space="0" w:color="auto"/>
        <w:right w:val="none" w:sz="0" w:space="0" w:color="auto"/>
      </w:divBdr>
    </w:div>
    <w:div w:id="1472821604">
      <w:bodyDiv w:val="1"/>
      <w:marLeft w:val="0"/>
      <w:marRight w:val="0"/>
      <w:marTop w:val="0"/>
      <w:marBottom w:val="0"/>
      <w:divBdr>
        <w:top w:val="none" w:sz="0" w:space="0" w:color="auto"/>
        <w:left w:val="none" w:sz="0" w:space="0" w:color="auto"/>
        <w:bottom w:val="none" w:sz="0" w:space="0" w:color="auto"/>
        <w:right w:val="none" w:sz="0" w:space="0" w:color="auto"/>
      </w:divBdr>
    </w:div>
    <w:div w:id="1492983155">
      <w:bodyDiv w:val="1"/>
      <w:marLeft w:val="0"/>
      <w:marRight w:val="0"/>
      <w:marTop w:val="0"/>
      <w:marBottom w:val="0"/>
      <w:divBdr>
        <w:top w:val="none" w:sz="0" w:space="0" w:color="auto"/>
        <w:left w:val="none" w:sz="0" w:space="0" w:color="auto"/>
        <w:bottom w:val="none" w:sz="0" w:space="0" w:color="auto"/>
        <w:right w:val="none" w:sz="0" w:space="0" w:color="auto"/>
      </w:divBdr>
    </w:div>
    <w:div w:id="1503082161">
      <w:bodyDiv w:val="1"/>
      <w:marLeft w:val="0"/>
      <w:marRight w:val="0"/>
      <w:marTop w:val="0"/>
      <w:marBottom w:val="0"/>
      <w:divBdr>
        <w:top w:val="none" w:sz="0" w:space="0" w:color="auto"/>
        <w:left w:val="none" w:sz="0" w:space="0" w:color="auto"/>
        <w:bottom w:val="none" w:sz="0" w:space="0" w:color="auto"/>
        <w:right w:val="none" w:sz="0" w:space="0" w:color="auto"/>
      </w:divBdr>
    </w:div>
    <w:div w:id="1503669026">
      <w:bodyDiv w:val="1"/>
      <w:marLeft w:val="0"/>
      <w:marRight w:val="0"/>
      <w:marTop w:val="0"/>
      <w:marBottom w:val="0"/>
      <w:divBdr>
        <w:top w:val="none" w:sz="0" w:space="0" w:color="auto"/>
        <w:left w:val="none" w:sz="0" w:space="0" w:color="auto"/>
        <w:bottom w:val="none" w:sz="0" w:space="0" w:color="auto"/>
        <w:right w:val="none" w:sz="0" w:space="0" w:color="auto"/>
      </w:divBdr>
    </w:div>
    <w:div w:id="1517231259">
      <w:bodyDiv w:val="1"/>
      <w:marLeft w:val="0"/>
      <w:marRight w:val="0"/>
      <w:marTop w:val="0"/>
      <w:marBottom w:val="0"/>
      <w:divBdr>
        <w:top w:val="none" w:sz="0" w:space="0" w:color="auto"/>
        <w:left w:val="none" w:sz="0" w:space="0" w:color="auto"/>
        <w:bottom w:val="none" w:sz="0" w:space="0" w:color="auto"/>
        <w:right w:val="none" w:sz="0" w:space="0" w:color="auto"/>
      </w:divBdr>
    </w:div>
    <w:div w:id="1521966021">
      <w:bodyDiv w:val="1"/>
      <w:marLeft w:val="0"/>
      <w:marRight w:val="0"/>
      <w:marTop w:val="0"/>
      <w:marBottom w:val="0"/>
      <w:divBdr>
        <w:top w:val="none" w:sz="0" w:space="0" w:color="auto"/>
        <w:left w:val="none" w:sz="0" w:space="0" w:color="auto"/>
        <w:bottom w:val="none" w:sz="0" w:space="0" w:color="auto"/>
        <w:right w:val="none" w:sz="0" w:space="0" w:color="auto"/>
      </w:divBdr>
    </w:div>
    <w:div w:id="1578250082">
      <w:bodyDiv w:val="1"/>
      <w:marLeft w:val="0"/>
      <w:marRight w:val="0"/>
      <w:marTop w:val="0"/>
      <w:marBottom w:val="0"/>
      <w:divBdr>
        <w:top w:val="none" w:sz="0" w:space="0" w:color="auto"/>
        <w:left w:val="none" w:sz="0" w:space="0" w:color="auto"/>
        <w:bottom w:val="none" w:sz="0" w:space="0" w:color="auto"/>
        <w:right w:val="none" w:sz="0" w:space="0" w:color="auto"/>
      </w:divBdr>
    </w:div>
    <w:div w:id="1588343818">
      <w:bodyDiv w:val="1"/>
      <w:marLeft w:val="0"/>
      <w:marRight w:val="0"/>
      <w:marTop w:val="0"/>
      <w:marBottom w:val="0"/>
      <w:divBdr>
        <w:top w:val="none" w:sz="0" w:space="0" w:color="auto"/>
        <w:left w:val="none" w:sz="0" w:space="0" w:color="auto"/>
        <w:bottom w:val="none" w:sz="0" w:space="0" w:color="auto"/>
        <w:right w:val="none" w:sz="0" w:space="0" w:color="auto"/>
      </w:divBdr>
    </w:div>
    <w:div w:id="1609894982">
      <w:bodyDiv w:val="1"/>
      <w:marLeft w:val="0"/>
      <w:marRight w:val="0"/>
      <w:marTop w:val="0"/>
      <w:marBottom w:val="0"/>
      <w:divBdr>
        <w:top w:val="none" w:sz="0" w:space="0" w:color="auto"/>
        <w:left w:val="none" w:sz="0" w:space="0" w:color="auto"/>
        <w:bottom w:val="none" w:sz="0" w:space="0" w:color="auto"/>
        <w:right w:val="none" w:sz="0" w:space="0" w:color="auto"/>
      </w:divBdr>
    </w:div>
    <w:div w:id="1628466208">
      <w:bodyDiv w:val="1"/>
      <w:marLeft w:val="0"/>
      <w:marRight w:val="0"/>
      <w:marTop w:val="0"/>
      <w:marBottom w:val="0"/>
      <w:divBdr>
        <w:top w:val="none" w:sz="0" w:space="0" w:color="auto"/>
        <w:left w:val="none" w:sz="0" w:space="0" w:color="auto"/>
        <w:bottom w:val="none" w:sz="0" w:space="0" w:color="auto"/>
        <w:right w:val="none" w:sz="0" w:space="0" w:color="auto"/>
      </w:divBdr>
    </w:div>
    <w:div w:id="1637024126">
      <w:bodyDiv w:val="1"/>
      <w:marLeft w:val="0"/>
      <w:marRight w:val="0"/>
      <w:marTop w:val="0"/>
      <w:marBottom w:val="0"/>
      <w:divBdr>
        <w:top w:val="none" w:sz="0" w:space="0" w:color="auto"/>
        <w:left w:val="none" w:sz="0" w:space="0" w:color="auto"/>
        <w:bottom w:val="none" w:sz="0" w:space="0" w:color="auto"/>
        <w:right w:val="none" w:sz="0" w:space="0" w:color="auto"/>
      </w:divBdr>
    </w:div>
    <w:div w:id="1637685854">
      <w:bodyDiv w:val="1"/>
      <w:marLeft w:val="0"/>
      <w:marRight w:val="0"/>
      <w:marTop w:val="0"/>
      <w:marBottom w:val="0"/>
      <w:divBdr>
        <w:top w:val="none" w:sz="0" w:space="0" w:color="auto"/>
        <w:left w:val="none" w:sz="0" w:space="0" w:color="auto"/>
        <w:bottom w:val="none" w:sz="0" w:space="0" w:color="auto"/>
        <w:right w:val="none" w:sz="0" w:space="0" w:color="auto"/>
      </w:divBdr>
    </w:div>
    <w:div w:id="1666395793">
      <w:bodyDiv w:val="1"/>
      <w:marLeft w:val="0"/>
      <w:marRight w:val="0"/>
      <w:marTop w:val="0"/>
      <w:marBottom w:val="0"/>
      <w:divBdr>
        <w:top w:val="none" w:sz="0" w:space="0" w:color="auto"/>
        <w:left w:val="none" w:sz="0" w:space="0" w:color="auto"/>
        <w:bottom w:val="none" w:sz="0" w:space="0" w:color="auto"/>
        <w:right w:val="none" w:sz="0" w:space="0" w:color="auto"/>
      </w:divBdr>
    </w:div>
    <w:div w:id="1680962373">
      <w:bodyDiv w:val="1"/>
      <w:marLeft w:val="0"/>
      <w:marRight w:val="0"/>
      <w:marTop w:val="0"/>
      <w:marBottom w:val="0"/>
      <w:divBdr>
        <w:top w:val="none" w:sz="0" w:space="0" w:color="auto"/>
        <w:left w:val="none" w:sz="0" w:space="0" w:color="auto"/>
        <w:bottom w:val="none" w:sz="0" w:space="0" w:color="auto"/>
        <w:right w:val="none" w:sz="0" w:space="0" w:color="auto"/>
      </w:divBdr>
    </w:div>
    <w:div w:id="1694576289">
      <w:bodyDiv w:val="1"/>
      <w:marLeft w:val="0"/>
      <w:marRight w:val="0"/>
      <w:marTop w:val="0"/>
      <w:marBottom w:val="0"/>
      <w:divBdr>
        <w:top w:val="none" w:sz="0" w:space="0" w:color="auto"/>
        <w:left w:val="none" w:sz="0" w:space="0" w:color="auto"/>
        <w:bottom w:val="none" w:sz="0" w:space="0" w:color="auto"/>
        <w:right w:val="none" w:sz="0" w:space="0" w:color="auto"/>
      </w:divBdr>
    </w:div>
    <w:div w:id="1731462337">
      <w:bodyDiv w:val="1"/>
      <w:marLeft w:val="0"/>
      <w:marRight w:val="0"/>
      <w:marTop w:val="0"/>
      <w:marBottom w:val="0"/>
      <w:divBdr>
        <w:top w:val="none" w:sz="0" w:space="0" w:color="auto"/>
        <w:left w:val="none" w:sz="0" w:space="0" w:color="auto"/>
        <w:bottom w:val="none" w:sz="0" w:space="0" w:color="auto"/>
        <w:right w:val="none" w:sz="0" w:space="0" w:color="auto"/>
      </w:divBdr>
    </w:div>
    <w:div w:id="1732459207">
      <w:bodyDiv w:val="1"/>
      <w:marLeft w:val="0"/>
      <w:marRight w:val="0"/>
      <w:marTop w:val="0"/>
      <w:marBottom w:val="0"/>
      <w:divBdr>
        <w:top w:val="none" w:sz="0" w:space="0" w:color="auto"/>
        <w:left w:val="none" w:sz="0" w:space="0" w:color="auto"/>
        <w:bottom w:val="none" w:sz="0" w:space="0" w:color="auto"/>
        <w:right w:val="none" w:sz="0" w:space="0" w:color="auto"/>
      </w:divBdr>
    </w:div>
    <w:div w:id="1737584977">
      <w:bodyDiv w:val="1"/>
      <w:marLeft w:val="0"/>
      <w:marRight w:val="0"/>
      <w:marTop w:val="0"/>
      <w:marBottom w:val="0"/>
      <w:divBdr>
        <w:top w:val="none" w:sz="0" w:space="0" w:color="auto"/>
        <w:left w:val="none" w:sz="0" w:space="0" w:color="auto"/>
        <w:bottom w:val="none" w:sz="0" w:space="0" w:color="auto"/>
        <w:right w:val="none" w:sz="0" w:space="0" w:color="auto"/>
      </w:divBdr>
    </w:div>
    <w:div w:id="1744448353">
      <w:bodyDiv w:val="1"/>
      <w:marLeft w:val="0"/>
      <w:marRight w:val="0"/>
      <w:marTop w:val="0"/>
      <w:marBottom w:val="0"/>
      <w:divBdr>
        <w:top w:val="none" w:sz="0" w:space="0" w:color="auto"/>
        <w:left w:val="none" w:sz="0" w:space="0" w:color="auto"/>
        <w:bottom w:val="none" w:sz="0" w:space="0" w:color="auto"/>
        <w:right w:val="none" w:sz="0" w:space="0" w:color="auto"/>
      </w:divBdr>
    </w:div>
    <w:div w:id="1759593051">
      <w:bodyDiv w:val="1"/>
      <w:marLeft w:val="0"/>
      <w:marRight w:val="0"/>
      <w:marTop w:val="0"/>
      <w:marBottom w:val="0"/>
      <w:divBdr>
        <w:top w:val="none" w:sz="0" w:space="0" w:color="auto"/>
        <w:left w:val="none" w:sz="0" w:space="0" w:color="auto"/>
        <w:bottom w:val="none" w:sz="0" w:space="0" w:color="auto"/>
        <w:right w:val="none" w:sz="0" w:space="0" w:color="auto"/>
      </w:divBdr>
    </w:div>
    <w:div w:id="1836607830">
      <w:bodyDiv w:val="1"/>
      <w:marLeft w:val="0"/>
      <w:marRight w:val="0"/>
      <w:marTop w:val="0"/>
      <w:marBottom w:val="0"/>
      <w:divBdr>
        <w:top w:val="none" w:sz="0" w:space="0" w:color="auto"/>
        <w:left w:val="none" w:sz="0" w:space="0" w:color="auto"/>
        <w:bottom w:val="none" w:sz="0" w:space="0" w:color="auto"/>
        <w:right w:val="none" w:sz="0" w:space="0" w:color="auto"/>
      </w:divBdr>
    </w:div>
    <w:div w:id="1842814561">
      <w:bodyDiv w:val="1"/>
      <w:marLeft w:val="0"/>
      <w:marRight w:val="0"/>
      <w:marTop w:val="0"/>
      <w:marBottom w:val="0"/>
      <w:divBdr>
        <w:top w:val="none" w:sz="0" w:space="0" w:color="auto"/>
        <w:left w:val="none" w:sz="0" w:space="0" w:color="auto"/>
        <w:bottom w:val="none" w:sz="0" w:space="0" w:color="auto"/>
        <w:right w:val="none" w:sz="0" w:space="0" w:color="auto"/>
      </w:divBdr>
    </w:div>
    <w:div w:id="1852334027">
      <w:bodyDiv w:val="1"/>
      <w:marLeft w:val="0"/>
      <w:marRight w:val="0"/>
      <w:marTop w:val="0"/>
      <w:marBottom w:val="0"/>
      <w:divBdr>
        <w:top w:val="none" w:sz="0" w:space="0" w:color="auto"/>
        <w:left w:val="none" w:sz="0" w:space="0" w:color="auto"/>
        <w:bottom w:val="none" w:sz="0" w:space="0" w:color="auto"/>
        <w:right w:val="none" w:sz="0" w:space="0" w:color="auto"/>
      </w:divBdr>
    </w:div>
    <w:div w:id="1928494547">
      <w:bodyDiv w:val="1"/>
      <w:marLeft w:val="0"/>
      <w:marRight w:val="0"/>
      <w:marTop w:val="0"/>
      <w:marBottom w:val="0"/>
      <w:divBdr>
        <w:top w:val="none" w:sz="0" w:space="0" w:color="auto"/>
        <w:left w:val="none" w:sz="0" w:space="0" w:color="auto"/>
        <w:bottom w:val="none" w:sz="0" w:space="0" w:color="auto"/>
        <w:right w:val="none" w:sz="0" w:space="0" w:color="auto"/>
      </w:divBdr>
    </w:div>
    <w:div w:id="2021195996">
      <w:bodyDiv w:val="1"/>
      <w:marLeft w:val="0"/>
      <w:marRight w:val="0"/>
      <w:marTop w:val="0"/>
      <w:marBottom w:val="0"/>
      <w:divBdr>
        <w:top w:val="none" w:sz="0" w:space="0" w:color="auto"/>
        <w:left w:val="none" w:sz="0" w:space="0" w:color="auto"/>
        <w:bottom w:val="none" w:sz="0" w:space="0" w:color="auto"/>
        <w:right w:val="none" w:sz="0" w:space="0" w:color="auto"/>
      </w:divBdr>
    </w:div>
    <w:div w:id="2024437404">
      <w:bodyDiv w:val="1"/>
      <w:marLeft w:val="0"/>
      <w:marRight w:val="0"/>
      <w:marTop w:val="0"/>
      <w:marBottom w:val="0"/>
      <w:divBdr>
        <w:top w:val="none" w:sz="0" w:space="0" w:color="auto"/>
        <w:left w:val="none" w:sz="0" w:space="0" w:color="auto"/>
        <w:bottom w:val="none" w:sz="0" w:space="0" w:color="auto"/>
        <w:right w:val="none" w:sz="0" w:space="0" w:color="auto"/>
      </w:divBdr>
    </w:div>
    <w:div w:id="2040079962">
      <w:bodyDiv w:val="1"/>
      <w:marLeft w:val="0"/>
      <w:marRight w:val="0"/>
      <w:marTop w:val="0"/>
      <w:marBottom w:val="0"/>
      <w:divBdr>
        <w:top w:val="none" w:sz="0" w:space="0" w:color="auto"/>
        <w:left w:val="none" w:sz="0" w:space="0" w:color="auto"/>
        <w:bottom w:val="none" w:sz="0" w:space="0" w:color="auto"/>
        <w:right w:val="none" w:sz="0" w:space="0" w:color="auto"/>
      </w:divBdr>
    </w:div>
    <w:div w:id="2049599522">
      <w:bodyDiv w:val="1"/>
      <w:marLeft w:val="0"/>
      <w:marRight w:val="0"/>
      <w:marTop w:val="0"/>
      <w:marBottom w:val="0"/>
      <w:divBdr>
        <w:top w:val="none" w:sz="0" w:space="0" w:color="auto"/>
        <w:left w:val="none" w:sz="0" w:space="0" w:color="auto"/>
        <w:bottom w:val="none" w:sz="0" w:space="0" w:color="auto"/>
        <w:right w:val="none" w:sz="0" w:space="0" w:color="auto"/>
      </w:divBdr>
    </w:div>
    <w:div w:id="2081754309">
      <w:bodyDiv w:val="1"/>
      <w:marLeft w:val="0"/>
      <w:marRight w:val="0"/>
      <w:marTop w:val="0"/>
      <w:marBottom w:val="0"/>
      <w:divBdr>
        <w:top w:val="none" w:sz="0" w:space="0" w:color="auto"/>
        <w:left w:val="none" w:sz="0" w:space="0" w:color="auto"/>
        <w:bottom w:val="none" w:sz="0" w:space="0" w:color="auto"/>
        <w:right w:val="none" w:sz="0" w:space="0" w:color="auto"/>
      </w:divBdr>
    </w:div>
    <w:div w:id="2134135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tiesuk.ac.uk/facts-and-stats/Pages/higher-education-data.aspx" TargetMode="External"/><Relationship Id="rId3" Type="http://schemas.openxmlformats.org/officeDocument/2006/relationships/settings" Target="settings.xml"/><Relationship Id="rId7" Type="http://schemas.openxmlformats.org/officeDocument/2006/relationships/hyperlink" Target="https://www.vice.com/en_dk/article/student-drug-deal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7873</Words>
  <Characters>44880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52648</CharactersWithSpaces>
  <SharedDoc>false</SharedDoc>
  <HLinks>
    <vt:vector size="12" baseType="variant">
      <vt:variant>
        <vt:i4>1900567</vt:i4>
      </vt:variant>
      <vt:variant>
        <vt:i4>3</vt:i4>
      </vt:variant>
      <vt:variant>
        <vt:i4>0</vt:i4>
      </vt:variant>
      <vt:variant>
        <vt:i4>5</vt:i4>
      </vt:variant>
      <vt:variant>
        <vt:lpwstr>http://www.universitiesuk.ac.uk/facts-and-stats/Pages/higher-education-data.aspx</vt:lpwstr>
      </vt:variant>
      <vt:variant>
        <vt:lpwstr/>
      </vt:variant>
      <vt:variant>
        <vt:i4>5767187</vt:i4>
      </vt:variant>
      <vt:variant>
        <vt:i4>0</vt:i4>
      </vt:variant>
      <vt:variant>
        <vt:i4>0</vt:i4>
      </vt:variant>
      <vt:variant>
        <vt:i4>5</vt:i4>
      </vt:variant>
      <vt:variant>
        <vt:lpwstr>https://www.vice.com/en_dk/article/student-drug-dealers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Revan, Jade</cp:lastModifiedBy>
  <cp:revision>3</cp:revision>
  <cp:lastPrinted>2017-05-09T02:38:00Z</cp:lastPrinted>
  <dcterms:created xsi:type="dcterms:W3CDTF">2018-10-24T15:22:00Z</dcterms:created>
  <dcterms:modified xsi:type="dcterms:W3CDTF">2018-10-24T15:22:00Z</dcterms:modified>
</cp:coreProperties>
</file>