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0031A" w14:textId="40F99A0C" w:rsidR="001F72AA" w:rsidRPr="00051CDE" w:rsidRDefault="00E70163" w:rsidP="00887411">
      <w:pPr>
        <w:pStyle w:val="NoSpacing"/>
        <w:spacing w:line="360" w:lineRule="auto"/>
        <w:rPr>
          <w:b/>
          <w:lang w:val="en-IE"/>
        </w:rPr>
      </w:pPr>
      <w:r w:rsidRPr="00051CDE">
        <w:rPr>
          <w:b/>
        </w:rPr>
        <w:t>The Regulation of Takeover Bids in the UK</w:t>
      </w:r>
      <w:r w:rsidR="00F6561C">
        <w:rPr>
          <w:b/>
        </w:rPr>
        <w:t xml:space="preserve"> (2006-17)</w:t>
      </w:r>
      <w:r w:rsidRPr="00051CDE">
        <w:rPr>
          <w:b/>
        </w:rPr>
        <w:t xml:space="preserve">: An Evaluation of Provisions </w:t>
      </w:r>
      <w:r w:rsidRPr="00051CDE">
        <w:rPr>
          <w:b/>
          <w:lang w:val="en-IE"/>
        </w:rPr>
        <w:t xml:space="preserve">for </w:t>
      </w:r>
      <w:r w:rsidR="00951AC6" w:rsidRPr="00051CDE">
        <w:rPr>
          <w:b/>
          <w:lang w:val="en-IE"/>
        </w:rPr>
        <w:t>Employee Involvement</w:t>
      </w:r>
    </w:p>
    <w:p w14:paraId="557F1F17" w14:textId="77777777" w:rsidR="00E70163" w:rsidRPr="00051CDE" w:rsidRDefault="00E70163" w:rsidP="00887411">
      <w:pPr>
        <w:pStyle w:val="NoSpacing"/>
        <w:spacing w:line="360" w:lineRule="auto"/>
        <w:rPr>
          <w:b/>
          <w:lang w:val="en-IE"/>
        </w:rPr>
      </w:pPr>
    </w:p>
    <w:p w14:paraId="6743C572" w14:textId="0D71A172" w:rsidR="001E6F76" w:rsidRPr="00051CDE" w:rsidRDefault="001E6F76" w:rsidP="00887411">
      <w:pPr>
        <w:pStyle w:val="NoSpacing"/>
        <w:spacing w:line="360" w:lineRule="auto"/>
        <w:rPr>
          <w:b/>
          <w:lang w:val="en-IE"/>
        </w:rPr>
      </w:pPr>
      <w:r w:rsidRPr="00051CDE">
        <w:rPr>
          <w:b/>
          <w:lang w:val="en-IE"/>
        </w:rPr>
        <w:t>Abstract</w:t>
      </w:r>
    </w:p>
    <w:p w14:paraId="6183E7E1" w14:textId="77777777" w:rsidR="00F20351" w:rsidRPr="00051CDE" w:rsidRDefault="00F20351" w:rsidP="00887411">
      <w:pPr>
        <w:pStyle w:val="NoSpacing"/>
        <w:spacing w:line="360" w:lineRule="auto"/>
        <w:rPr>
          <w:lang w:val="en-IE"/>
        </w:rPr>
      </w:pPr>
      <w:bookmarkStart w:id="0" w:name="_GoBack"/>
      <w:bookmarkEnd w:id="0"/>
    </w:p>
    <w:p w14:paraId="27C19437" w14:textId="3057A3A7" w:rsidR="00F20351" w:rsidRPr="00051CDE" w:rsidRDefault="00F20351" w:rsidP="00887411">
      <w:pPr>
        <w:pStyle w:val="NoSpacing"/>
        <w:spacing w:line="360" w:lineRule="auto"/>
      </w:pPr>
      <w:r w:rsidRPr="00051CDE">
        <w:rPr>
          <w:lang w:val="en-IE"/>
        </w:rPr>
        <w:t xml:space="preserve">This article evaluates the provisions for information disclosure to employees contained in the UK Takeover Code, following the implementation of the Directive on Takeover Bids </w:t>
      </w:r>
      <w:r w:rsidRPr="00051CDE">
        <w:rPr>
          <w:rStyle w:val="st1"/>
        </w:rPr>
        <w:t>(</w:t>
      </w:r>
      <w:r w:rsidRPr="00051CDE">
        <w:rPr>
          <w:rStyle w:val="Emphasis"/>
          <w:b w:val="0"/>
        </w:rPr>
        <w:t>2004/25</w:t>
      </w:r>
      <w:r w:rsidRPr="00051CDE">
        <w:rPr>
          <w:rStyle w:val="st1"/>
        </w:rPr>
        <w:t>/</w:t>
      </w:r>
      <w:r w:rsidRPr="00051CDE">
        <w:rPr>
          <w:rStyle w:val="Emphasis"/>
          <w:b w:val="0"/>
        </w:rPr>
        <w:t>EC</w:t>
      </w:r>
      <w:r w:rsidRPr="00051CDE">
        <w:rPr>
          <w:rStyle w:val="st1"/>
        </w:rPr>
        <w:t xml:space="preserve">) </w:t>
      </w:r>
      <w:r w:rsidRPr="00051CDE">
        <w:rPr>
          <w:lang w:val="en-IE"/>
        </w:rPr>
        <w:t>in 2006 and further amendments resulting from the Kraft/Cadbury takeover in 2010</w:t>
      </w:r>
      <w:r w:rsidR="005E1292">
        <w:rPr>
          <w:lang w:val="en-IE"/>
        </w:rPr>
        <w:t>, among other developments</w:t>
      </w:r>
      <w:r w:rsidRPr="00051CDE">
        <w:rPr>
          <w:lang w:val="en-IE"/>
        </w:rPr>
        <w:t xml:space="preserve">. It contrasts information and consultation (I&amp;C) provisions across other EU Directives </w:t>
      </w:r>
      <w:r w:rsidR="004B15C6" w:rsidRPr="00051CDE">
        <w:rPr>
          <w:lang w:val="en-IE"/>
        </w:rPr>
        <w:t xml:space="preserve">on employment relations </w:t>
      </w:r>
      <w:r w:rsidRPr="00051CDE">
        <w:rPr>
          <w:lang w:val="en-IE"/>
        </w:rPr>
        <w:t xml:space="preserve">and </w:t>
      </w:r>
      <w:r w:rsidR="00002BC7" w:rsidRPr="00051CDE">
        <w:rPr>
          <w:lang w:val="en-IE"/>
        </w:rPr>
        <w:t xml:space="preserve">emphasizes </w:t>
      </w:r>
      <w:r w:rsidRPr="00051CDE">
        <w:rPr>
          <w:lang w:val="en-IE"/>
        </w:rPr>
        <w:t>that the Takeover Bids Directive restricts itself to information disclosure, allowing employees merely to append their opinion to the offer</w:t>
      </w:r>
      <w:r w:rsidR="000E5281" w:rsidRPr="00051CDE">
        <w:rPr>
          <w:lang w:val="en-IE"/>
        </w:rPr>
        <w:t xml:space="preserve">ee board circular. </w:t>
      </w:r>
      <w:r w:rsidR="00191520" w:rsidRPr="00051CDE">
        <w:rPr>
          <w:lang w:val="en-IE"/>
        </w:rPr>
        <w:t>Detailed a</w:t>
      </w:r>
      <w:r w:rsidRPr="00051CDE">
        <w:rPr>
          <w:lang w:val="en-IE"/>
        </w:rPr>
        <w:t xml:space="preserve">nalysis reveals that very few </w:t>
      </w:r>
      <w:r w:rsidR="000E5281" w:rsidRPr="00051CDE">
        <w:rPr>
          <w:lang w:val="en-IE"/>
        </w:rPr>
        <w:t xml:space="preserve">opinions </w:t>
      </w:r>
      <w:r w:rsidRPr="00051CDE">
        <w:rPr>
          <w:lang w:val="en-IE"/>
        </w:rPr>
        <w:t xml:space="preserve">have </w:t>
      </w:r>
      <w:r w:rsidR="004A77FD" w:rsidRPr="00051CDE">
        <w:rPr>
          <w:lang w:val="en-IE"/>
        </w:rPr>
        <w:t xml:space="preserve">actually </w:t>
      </w:r>
      <w:r w:rsidRPr="00051CDE">
        <w:rPr>
          <w:lang w:val="en-IE"/>
        </w:rPr>
        <w:t xml:space="preserve">been </w:t>
      </w:r>
      <w:r w:rsidR="000E5281" w:rsidRPr="00051CDE">
        <w:rPr>
          <w:lang w:val="en-IE"/>
        </w:rPr>
        <w:t>given over the past twelve years (2006-17</w:t>
      </w:r>
      <w:r w:rsidR="004E11B5" w:rsidRPr="00051CDE">
        <w:rPr>
          <w:lang w:val="en-IE"/>
        </w:rPr>
        <w:t xml:space="preserve"> inclusive</w:t>
      </w:r>
      <w:r w:rsidR="000E5281" w:rsidRPr="00051CDE">
        <w:rPr>
          <w:lang w:val="en-IE"/>
        </w:rPr>
        <w:t>)</w:t>
      </w:r>
      <w:r w:rsidR="004A77FD" w:rsidRPr="00051CDE">
        <w:rPr>
          <w:lang w:val="en-IE"/>
        </w:rPr>
        <w:t xml:space="preserve">, </w:t>
      </w:r>
      <w:r w:rsidRPr="00051CDE">
        <w:rPr>
          <w:lang w:val="en-IE"/>
        </w:rPr>
        <w:t xml:space="preserve">and of these almost one third complain about lack of information. These empirical </w:t>
      </w:r>
      <w:r w:rsidR="004A77FD" w:rsidRPr="00051CDE">
        <w:rPr>
          <w:lang w:val="en-IE"/>
        </w:rPr>
        <w:t xml:space="preserve">findings </w:t>
      </w:r>
      <w:r w:rsidRPr="00051CDE">
        <w:rPr>
          <w:lang w:val="en-IE"/>
        </w:rPr>
        <w:t xml:space="preserve">highlight the weakness of the UK provisions, and the article concludes by proposing </w:t>
      </w:r>
      <w:r w:rsidRPr="00051CDE">
        <w:t>areas where further regulatory reform might strengthen I&amp;C in the takeover process.</w:t>
      </w:r>
    </w:p>
    <w:p w14:paraId="485FBB86" w14:textId="77777777" w:rsidR="00F20351" w:rsidRPr="00051CDE" w:rsidRDefault="00F20351" w:rsidP="00887411">
      <w:pPr>
        <w:pStyle w:val="NoSpacing"/>
        <w:spacing w:line="360" w:lineRule="auto"/>
      </w:pPr>
    </w:p>
    <w:p w14:paraId="2B88AB0D" w14:textId="77777777" w:rsidR="001E6F76" w:rsidRPr="00051CDE" w:rsidRDefault="001E6F76" w:rsidP="00887411">
      <w:pPr>
        <w:pStyle w:val="NoSpacing"/>
        <w:spacing w:line="360" w:lineRule="auto"/>
        <w:rPr>
          <w:lang w:val="en-IE"/>
        </w:rPr>
      </w:pPr>
      <w:r w:rsidRPr="00051CDE">
        <w:rPr>
          <w:b/>
          <w:lang w:val="en-IE"/>
        </w:rPr>
        <w:t>Keywords</w:t>
      </w:r>
    </w:p>
    <w:p w14:paraId="3516CD97" w14:textId="77777777" w:rsidR="001E6F76" w:rsidRPr="00051CDE" w:rsidRDefault="001E6F76" w:rsidP="00887411">
      <w:pPr>
        <w:pStyle w:val="NoSpacing"/>
        <w:spacing w:line="360" w:lineRule="auto"/>
        <w:rPr>
          <w:lang w:val="en-IE"/>
        </w:rPr>
      </w:pPr>
    </w:p>
    <w:p w14:paraId="46D9F8B7" w14:textId="752EE62F" w:rsidR="001E6F76" w:rsidRPr="00051CDE" w:rsidRDefault="001E6F76" w:rsidP="00887411">
      <w:pPr>
        <w:pStyle w:val="NoSpacing"/>
        <w:spacing w:line="360" w:lineRule="auto"/>
        <w:rPr>
          <w:lang w:val="en-IE"/>
        </w:rPr>
      </w:pPr>
      <w:r w:rsidRPr="00051CDE">
        <w:rPr>
          <w:lang w:val="en-IE"/>
        </w:rPr>
        <w:t>Employee participation, European Union, information</w:t>
      </w:r>
      <w:r w:rsidR="00241202" w:rsidRPr="00051CDE">
        <w:rPr>
          <w:lang w:val="en-IE"/>
        </w:rPr>
        <w:t xml:space="preserve">, labour relations, </w:t>
      </w:r>
      <w:r w:rsidR="003651CA" w:rsidRPr="00051CDE">
        <w:rPr>
          <w:lang w:val="en-IE"/>
        </w:rPr>
        <w:t xml:space="preserve">takeovers </w:t>
      </w:r>
    </w:p>
    <w:p w14:paraId="33275CAC" w14:textId="77777777" w:rsidR="001E6F76" w:rsidRPr="00051CDE" w:rsidRDefault="001E6F76" w:rsidP="00887411">
      <w:pPr>
        <w:pStyle w:val="NoSpacing"/>
        <w:spacing w:line="360" w:lineRule="auto"/>
      </w:pPr>
    </w:p>
    <w:p w14:paraId="081B044F" w14:textId="77777777" w:rsidR="001E6F76" w:rsidRPr="00051CDE" w:rsidRDefault="001E6F76" w:rsidP="00887411">
      <w:pPr>
        <w:pStyle w:val="NoSpacing"/>
        <w:spacing w:line="360" w:lineRule="auto"/>
        <w:rPr>
          <w:b/>
        </w:rPr>
      </w:pPr>
      <w:r w:rsidRPr="00051CDE">
        <w:rPr>
          <w:b/>
        </w:rPr>
        <w:t>Introduction</w:t>
      </w:r>
    </w:p>
    <w:p w14:paraId="7BE67894" w14:textId="15E16C4B" w:rsidR="004E11B5" w:rsidRPr="00051CDE" w:rsidRDefault="004E11B5" w:rsidP="00887411">
      <w:pPr>
        <w:pStyle w:val="NoSpacing"/>
        <w:spacing w:line="360" w:lineRule="auto"/>
        <w:rPr>
          <w:lang w:val="en-IE"/>
        </w:rPr>
      </w:pPr>
    </w:p>
    <w:p w14:paraId="53ACBE53" w14:textId="4A68CA7C" w:rsidR="004E11B5" w:rsidRPr="00051CDE" w:rsidRDefault="004E11B5" w:rsidP="00887411">
      <w:pPr>
        <w:pStyle w:val="NoSpacing"/>
        <w:spacing w:line="360" w:lineRule="auto"/>
        <w:rPr>
          <w:lang w:val="en-IE"/>
        </w:rPr>
      </w:pPr>
      <w:r w:rsidRPr="00051CDE">
        <w:rPr>
          <w:lang w:val="en-IE"/>
        </w:rPr>
        <w:t xml:space="preserve">The impact of takeovers on the lives of those workers affected has recently been explicitly recognised by the European Union (EU) in its </w:t>
      </w:r>
      <w:r w:rsidRPr="00051CDE">
        <w:rPr>
          <w:i/>
          <w:lang w:val="en-IE"/>
        </w:rPr>
        <w:t>European Pillar of Social Rights</w:t>
      </w:r>
      <w:r w:rsidRPr="00051CDE">
        <w:rPr>
          <w:lang w:val="en-IE"/>
        </w:rPr>
        <w:t>, which was proclaimed unanimously by the EU institutions in November 2017. Paragraph 8(b) states:</w:t>
      </w:r>
    </w:p>
    <w:p w14:paraId="7AB344F1" w14:textId="77777777" w:rsidR="004E11B5" w:rsidRPr="00051CDE" w:rsidRDefault="004E11B5" w:rsidP="00887411">
      <w:pPr>
        <w:pStyle w:val="NoSpacing"/>
        <w:spacing w:line="360" w:lineRule="auto"/>
        <w:rPr>
          <w:lang w:val="en-IE"/>
        </w:rPr>
      </w:pPr>
    </w:p>
    <w:p w14:paraId="312CD77B" w14:textId="06F750DE" w:rsidR="004E11B5" w:rsidRPr="00051CDE" w:rsidRDefault="004E11B5" w:rsidP="00785765">
      <w:pPr>
        <w:pStyle w:val="NoSpacing"/>
        <w:tabs>
          <w:tab w:val="left" w:pos="0"/>
        </w:tabs>
        <w:spacing w:line="360" w:lineRule="auto"/>
        <w:ind w:left="851"/>
        <w:rPr>
          <w:lang w:val="en-IE"/>
        </w:rPr>
      </w:pPr>
      <w:r w:rsidRPr="00051CDE">
        <w:rPr>
          <w:lang w:val="en-IE"/>
        </w:rPr>
        <w:t>Workers and their representatives have the right to be informed and consulted in good time on matters relevant to them, in particular on the transfer, restructuring and merger of undertakings and on collective redundancies. (</w:t>
      </w:r>
      <w:r w:rsidR="009B6E7B" w:rsidRPr="00051CDE">
        <w:rPr>
          <w:lang w:val="en-IE"/>
        </w:rPr>
        <w:t>European Commission, 2017</w:t>
      </w:r>
      <w:r w:rsidR="00C525D1" w:rsidRPr="00051CDE">
        <w:rPr>
          <w:lang w:val="en-IE"/>
        </w:rPr>
        <w:t>: 16</w:t>
      </w:r>
      <w:r w:rsidRPr="00051CDE">
        <w:rPr>
          <w:lang w:val="en-IE"/>
        </w:rPr>
        <w:t xml:space="preserve">) </w:t>
      </w:r>
    </w:p>
    <w:p w14:paraId="50FC8E00" w14:textId="77777777" w:rsidR="004E11B5" w:rsidRPr="00051CDE" w:rsidRDefault="004E11B5" w:rsidP="00887411">
      <w:pPr>
        <w:pStyle w:val="NoSpacing"/>
        <w:spacing w:line="360" w:lineRule="auto"/>
        <w:rPr>
          <w:lang w:val="en-IE"/>
        </w:rPr>
      </w:pPr>
    </w:p>
    <w:p w14:paraId="7037DE10" w14:textId="15AAF2A3" w:rsidR="00C525D1" w:rsidRPr="00051CDE" w:rsidRDefault="00FB4E33" w:rsidP="00887411">
      <w:pPr>
        <w:pStyle w:val="NoSpacing"/>
        <w:spacing w:line="360" w:lineRule="auto"/>
        <w:rPr>
          <w:lang w:val="en-IE"/>
        </w:rPr>
      </w:pPr>
      <w:r w:rsidRPr="00051CDE">
        <w:rPr>
          <w:lang w:val="en-IE"/>
        </w:rPr>
        <w:t>A significant element of the ‘transfer, restructuring and merger of undertakings’ results from takeover activity by companies operating across member states</w:t>
      </w:r>
      <w:r w:rsidR="004F21D2" w:rsidRPr="00051CDE">
        <w:rPr>
          <w:lang w:val="en-IE"/>
        </w:rPr>
        <w:t xml:space="preserve">. </w:t>
      </w:r>
      <w:r w:rsidRPr="00051CDE">
        <w:rPr>
          <w:lang w:val="en-IE"/>
        </w:rPr>
        <w:t xml:space="preserve">Such activity is regulated by </w:t>
      </w:r>
      <w:r w:rsidRPr="00051CDE">
        <w:rPr>
          <w:lang w:val="en-IE"/>
        </w:rPr>
        <w:lastRenderedPageBreak/>
        <w:t xml:space="preserve">the EU Takeover Bids Directive (2004/25/EC) the </w:t>
      </w:r>
      <w:r w:rsidR="00117DF2" w:rsidRPr="00051CDE">
        <w:rPr>
          <w:lang w:val="en-IE"/>
        </w:rPr>
        <w:t xml:space="preserve">legal provisions of which </w:t>
      </w:r>
      <w:r w:rsidRPr="00051CDE">
        <w:rPr>
          <w:lang w:val="en-IE"/>
        </w:rPr>
        <w:t>– as noted below – ha</w:t>
      </w:r>
      <w:r w:rsidR="00117DF2" w:rsidRPr="00051CDE">
        <w:rPr>
          <w:lang w:val="en-IE"/>
        </w:rPr>
        <w:t>ve</w:t>
      </w:r>
      <w:r w:rsidRPr="00051CDE">
        <w:rPr>
          <w:lang w:val="en-IE"/>
        </w:rPr>
        <w:t xml:space="preserve"> been widely researched. </w:t>
      </w:r>
      <w:r w:rsidR="00117DF2" w:rsidRPr="00051CDE">
        <w:rPr>
          <w:lang w:val="en-IE"/>
        </w:rPr>
        <w:t>H</w:t>
      </w:r>
      <w:r w:rsidRPr="00051CDE">
        <w:rPr>
          <w:lang w:val="en-IE"/>
        </w:rPr>
        <w:t xml:space="preserve">owever, the impact of its provisions on the information and consultation (I&amp;C) of employees </w:t>
      </w:r>
      <w:r w:rsidR="00AA3DBD" w:rsidRPr="00051CDE">
        <w:rPr>
          <w:lang w:val="en-IE"/>
        </w:rPr>
        <w:t xml:space="preserve">has barely been evaluated in comparison with those contained in other EU directives. This article attempts to redress the </w:t>
      </w:r>
      <w:r w:rsidR="00117DF2" w:rsidRPr="00051CDE">
        <w:rPr>
          <w:lang w:val="en-IE"/>
        </w:rPr>
        <w:t>im</w:t>
      </w:r>
      <w:r w:rsidR="00AA3DBD" w:rsidRPr="00051CDE">
        <w:rPr>
          <w:lang w:val="en-IE"/>
        </w:rPr>
        <w:t>balance by evaluating its provisions on I&amp;C in the U</w:t>
      </w:r>
      <w:r w:rsidR="004F21D2" w:rsidRPr="00051CDE">
        <w:rPr>
          <w:lang w:val="en-IE"/>
        </w:rPr>
        <w:t>nited Kingdom (UK)</w:t>
      </w:r>
      <w:r w:rsidR="002157B4" w:rsidRPr="00051CDE">
        <w:rPr>
          <w:lang w:val="en-IE"/>
        </w:rPr>
        <w:t xml:space="preserve">, a country which is </w:t>
      </w:r>
      <w:r w:rsidR="004F21D2" w:rsidRPr="00051CDE">
        <w:rPr>
          <w:lang w:val="en-IE"/>
        </w:rPr>
        <w:t xml:space="preserve">particularly affected by cross-border </w:t>
      </w:r>
      <w:r w:rsidR="00706A9E" w:rsidRPr="00051CDE">
        <w:rPr>
          <w:lang w:val="en-IE"/>
        </w:rPr>
        <w:t>takeover</w:t>
      </w:r>
      <w:r w:rsidR="00D43E69" w:rsidRPr="00051CDE">
        <w:rPr>
          <w:lang w:val="en-IE"/>
        </w:rPr>
        <w:t xml:space="preserve"> deals</w:t>
      </w:r>
      <w:r w:rsidR="00EF253C">
        <w:rPr>
          <w:lang w:val="en-IE"/>
        </w:rPr>
        <w:t>. O</w:t>
      </w:r>
      <w:r w:rsidR="006304B9" w:rsidRPr="00051CDE">
        <w:rPr>
          <w:lang w:val="en-IE"/>
        </w:rPr>
        <w:t xml:space="preserve">ver the period 2001-07, the UK </w:t>
      </w:r>
      <w:r w:rsidR="00117DF2" w:rsidRPr="00051CDE">
        <w:rPr>
          <w:lang w:val="en-IE"/>
        </w:rPr>
        <w:t xml:space="preserve">had </w:t>
      </w:r>
      <w:r w:rsidR="00DE1560" w:rsidRPr="00051CDE">
        <w:rPr>
          <w:lang w:val="en-IE"/>
        </w:rPr>
        <w:t xml:space="preserve">‘the greatest number of completed deals’ across the EU-15, </w:t>
      </w:r>
      <w:r w:rsidR="00117DF2" w:rsidRPr="00051CDE">
        <w:rPr>
          <w:lang w:val="en-IE"/>
        </w:rPr>
        <w:t xml:space="preserve">33 per cent </w:t>
      </w:r>
      <w:r w:rsidR="00D43E69" w:rsidRPr="00051CDE">
        <w:rPr>
          <w:lang w:val="en-IE"/>
        </w:rPr>
        <w:t xml:space="preserve">of the total </w:t>
      </w:r>
      <w:r w:rsidR="006304B9" w:rsidRPr="00051CDE">
        <w:rPr>
          <w:lang w:val="en-IE"/>
        </w:rPr>
        <w:t>(</w:t>
      </w:r>
      <w:proofErr w:type="spellStart"/>
      <w:r w:rsidR="006304B9" w:rsidRPr="00051CDE">
        <w:rPr>
          <w:lang w:val="en-IE"/>
        </w:rPr>
        <w:t>Campa</w:t>
      </w:r>
      <w:proofErr w:type="spellEnd"/>
      <w:r w:rsidR="006304B9" w:rsidRPr="00051CDE">
        <w:rPr>
          <w:lang w:val="en-IE"/>
        </w:rPr>
        <w:t xml:space="preserve"> and </w:t>
      </w:r>
      <w:proofErr w:type="spellStart"/>
      <w:r w:rsidR="006304B9" w:rsidRPr="00051CDE">
        <w:rPr>
          <w:lang w:val="en-IE"/>
        </w:rPr>
        <w:t>Moschieri</w:t>
      </w:r>
      <w:proofErr w:type="spellEnd"/>
      <w:r w:rsidR="006304B9" w:rsidRPr="00051CDE">
        <w:rPr>
          <w:lang w:val="en-IE"/>
        </w:rPr>
        <w:t>, 2008: 10</w:t>
      </w:r>
      <w:r w:rsidR="00117DF2" w:rsidRPr="00051CDE">
        <w:rPr>
          <w:lang w:val="en-IE"/>
        </w:rPr>
        <w:t>)</w:t>
      </w:r>
      <w:r w:rsidR="00693D49" w:rsidRPr="00051CDE">
        <w:rPr>
          <w:lang w:val="en-IE"/>
        </w:rPr>
        <w:t xml:space="preserve">, while over the period 2000-14 the UK had 20% of the total number of takeovers by EU/EEA country, compared with France (13%) and Germany (12%) in second and third place respectively </w:t>
      </w:r>
      <w:r w:rsidR="00117DF2" w:rsidRPr="00051CDE">
        <w:rPr>
          <w:lang w:val="en-IE"/>
        </w:rPr>
        <w:t>(</w:t>
      </w:r>
      <w:proofErr w:type="spellStart"/>
      <w:r w:rsidR="00051715" w:rsidRPr="00051CDE">
        <w:rPr>
          <w:color w:val="000000"/>
        </w:rPr>
        <w:t>Cremers</w:t>
      </w:r>
      <w:proofErr w:type="spellEnd"/>
      <w:r w:rsidR="00051715" w:rsidRPr="00051CDE">
        <w:rPr>
          <w:color w:val="000000"/>
        </w:rPr>
        <w:t xml:space="preserve"> and Vitols, 2016</w:t>
      </w:r>
      <w:r w:rsidR="003B4DBF" w:rsidRPr="00051CDE">
        <w:rPr>
          <w:color w:val="000000"/>
        </w:rPr>
        <w:t>b</w:t>
      </w:r>
      <w:r w:rsidR="005202F7" w:rsidRPr="00051CDE">
        <w:rPr>
          <w:color w:val="000000"/>
        </w:rPr>
        <w:t>: 15</w:t>
      </w:r>
      <w:r w:rsidR="00051715" w:rsidRPr="00051CDE">
        <w:rPr>
          <w:lang w:val="en-IE"/>
        </w:rPr>
        <w:t>)</w:t>
      </w:r>
      <w:r w:rsidR="006304B9" w:rsidRPr="00051CDE">
        <w:rPr>
          <w:lang w:val="en-IE"/>
        </w:rPr>
        <w:t xml:space="preserve">. </w:t>
      </w:r>
    </w:p>
    <w:p w14:paraId="334F50F7" w14:textId="77777777" w:rsidR="00C525D1" w:rsidRPr="00051CDE" w:rsidRDefault="00C525D1" w:rsidP="00887411">
      <w:pPr>
        <w:pStyle w:val="NoSpacing"/>
        <w:spacing w:line="360" w:lineRule="auto"/>
        <w:rPr>
          <w:lang w:val="en-IE"/>
        </w:rPr>
      </w:pPr>
    </w:p>
    <w:p w14:paraId="464F368C" w14:textId="35015FC7" w:rsidR="00DE1A7A" w:rsidRPr="00051CDE" w:rsidRDefault="00DE1A7A" w:rsidP="00887411">
      <w:pPr>
        <w:pStyle w:val="NoSpacing"/>
        <w:spacing w:line="360" w:lineRule="auto"/>
        <w:rPr>
          <w:lang w:val="en-IE"/>
        </w:rPr>
      </w:pPr>
      <w:r w:rsidRPr="00051CDE">
        <w:rPr>
          <w:lang w:val="en-IE"/>
        </w:rPr>
        <w:t xml:space="preserve">The </w:t>
      </w:r>
      <w:r w:rsidR="002157B4" w:rsidRPr="00051CDE">
        <w:rPr>
          <w:lang w:val="en-IE"/>
        </w:rPr>
        <w:t xml:space="preserve">Takeover Bids </w:t>
      </w:r>
      <w:r w:rsidRPr="00051CDE">
        <w:rPr>
          <w:lang w:val="en-IE"/>
        </w:rPr>
        <w:t xml:space="preserve">Directive </w:t>
      </w:r>
      <w:r w:rsidR="00F6561C">
        <w:rPr>
          <w:lang w:val="en-IE"/>
        </w:rPr>
        <w:t xml:space="preserve">requires </w:t>
      </w:r>
      <w:r w:rsidRPr="00051CDE">
        <w:rPr>
          <w:lang w:val="en-IE"/>
        </w:rPr>
        <w:t xml:space="preserve">both offeror and offeree companies </w:t>
      </w:r>
      <w:r w:rsidR="00F6561C">
        <w:rPr>
          <w:lang w:val="en-IE"/>
        </w:rPr>
        <w:t xml:space="preserve">to </w:t>
      </w:r>
      <w:r w:rsidRPr="00051CDE">
        <w:rPr>
          <w:lang w:val="en-IE"/>
        </w:rPr>
        <w:t xml:space="preserve">inform employees or their representatives that a takeover bid has been made and that the subsequent offer document has been published. It requires the offer document to state the offeror’s intentions with respect to employment matters, with the disclosure of all information to be made ‘readily and promptly available’. The Directive also </w:t>
      </w:r>
      <w:r w:rsidR="00F6561C">
        <w:rPr>
          <w:lang w:val="en-IE"/>
        </w:rPr>
        <w:t xml:space="preserve">requires </w:t>
      </w:r>
      <w:r w:rsidRPr="00051CDE">
        <w:rPr>
          <w:lang w:val="en-IE"/>
        </w:rPr>
        <w:t xml:space="preserve">that, when the offeree company publishes its opinion of the bid, </w:t>
      </w:r>
      <w:r w:rsidR="00523945" w:rsidRPr="00051CDE">
        <w:rPr>
          <w:lang w:val="en-IE"/>
        </w:rPr>
        <w:t xml:space="preserve">it communicates </w:t>
      </w:r>
      <w:r w:rsidR="00E70163" w:rsidRPr="00051CDE">
        <w:rPr>
          <w:lang w:val="en-IE"/>
        </w:rPr>
        <w:t xml:space="preserve">this </w:t>
      </w:r>
      <w:r w:rsidR="00DE1560" w:rsidRPr="00051CDE">
        <w:rPr>
          <w:lang w:val="en-IE"/>
        </w:rPr>
        <w:t xml:space="preserve">to </w:t>
      </w:r>
      <w:r w:rsidR="00523945" w:rsidRPr="00051CDE">
        <w:rPr>
          <w:lang w:val="en-IE"/>
        </w:rPr>
        <w:t>its employees</w:t>
      </w:r>
      <w:r w:rsidR="00D02AF1">
        <w:rPr>
          <w:lang w:val="en-IE"/>
        </w:rPr>
        <w:t xml:space="preserve"> or their representatives, and gives them the right to append their own opinion on the effect of the bid on employment to the offeree board’s circular. </w:t>
      </w:r>
      <w:r w:rsidR="00F6561C">
        <w:rPr>
          <w:lang w:val="en-IE"/>
        </w:rPr>
        <w:t xml:space="preserve">The </w:t>
      </w:r>
      <w:r w:rsidR="00D02AF1">
        <w:rPr>
          <w:lang w:val="en-IE"/>
        </w:rPr>
        <w:t xml:space="preserve">UK </w:t>
      </w:r>
      <w:r w:rsidR="00F6561C">
        <w:rPr>
          <w:lang w:val="en-IE"/>
        </w:rPr>
        <w:t xml:space="preserve">Takeover Code </w:t>
      </w:r>
      <w:r w:rsidR="00D02AF1">
        <w:rPr>
          <w:lang w:val="en-IE"/>
        </w:rPr>
        <w:t xml:space="preserve">subsequently added that </w:t>
      </w:r>
      <w:r w:rsidR="00F6561C">
        <w:rPr>
          <w:lang w:val="en-IE"/>
        </w:rPr>
        <w:t xml:space="preserve">the offeree company must also </w:t>
      </w:r>
      <w:r w:rsidR="002157B4" w:rsidRPr="004424F5">
        <w:rPr>
          <w:i/>
          <w:lang w:val="en-IE"/>
        </w:rPr>
        <w:t>inform</w:t>
      </w:r>
      <w:r w:rsidR="002157B4" w:rsidRPr="00051CDE">
        <w:rPr>
          <w:lang w:val="en-IE"/>
        </w:rPr>
        <w:t xml:space="preserve"> them that they have th</w:t>
      </w:r>
      <w:r w:rsidR="00D02AF1">
        <w:rPr>
          <w:lang w:val="en-IE"/>
        </w:rPr>
        <w:t xml:space="preserve">is </w:t>
      </w:r>
      <w:r w:rsidR="002157B4" w:rsidRPr="00051CDE">
        <w:rPr>
          <w:lang w:val="en-IE"/>
        </w:rPr>
        <w:t>right</w:t>
      </w:r>
      <w:r w:rsidR="00D02AF1">
        <w:rPr>
          <w:lang w:val="en-IE"/>
        </w:rPr>
        <w:t xml:space="preserve">. </w:t>
      </w:r>
      <w:r w:rsidR="00523945" w:rsidRPr="00051CDE">
        <w:rPr>
          <w:lang w:val="en-IE"/>
        </w:rPr>
        <w:t xml:space="preserve"> </w:t>
      </w:r>
    </w:p>
    <w:p w14:paraId="74DE5E7D" w14:textId="77777777" w:rsidR="00DE1A7A" w:rsidRPr="00051CDE" w:rsidRDefault="00DE1A7A" w:rsidP="00887411">
      <w:pPr>
        <w:pStyle w:val="NoSpacing"/>
        <w:spacing w:line="360" w:lineRule="auto"/>
        <w:rPr>
          <w:lang w:val="en-IE"/>
        </w:rPr>
      </w:pPr>
    </w:p>
    <w:p w14:paraId="64A93EBD" w14:textId="55C74B9B" w:rsidR="001E6F76" w:rsidRPr="00051CDE" w:rsidRDefault="001E6F76" w:rsidP="00887411">
      <w:pPr>
        <w:pStyle w:val="NoSpacing"/>
        <w:spacing w:line="360" w:lineRule="auto"/>
      </w:pPr>
      <w:r w:rsidRPr="00051CDE">
        <w:rPr>
          <w:lang w:val="en-IE"/>
        </w:rPr>
        <w:t xml:space="preserve">The article begins </w:t>
      </w:r>
      <w:r w:rsidR="0077738D" w:rsidRPr="00051CDE">
        <w:rPr>
          <w:lang w:val="en-IE"/>
        </w:rPr>
        <w:t xml:space="preserve">by contrasting </w:t>
      </w:r>
      <w:r w:rsidRPr="00051CDE">
        <w:rPr>
          <w:lang w:val="en-IE"/>
        </w:rPr>
        <w:t xml:space="preserve">I&amp;C rights across </w:t>
      </w:r>
      <w:r w:rsidR="002157B4" w:rsidRPr="00051CDE">
        <w:rPr>
          <w:lang w:val="en-IE"/>
        </w:rPr>
        <w:t xml:space="preserve">the principal employment and company law </w:t>
      </w:r>
      <w:r w:rsidRPr="00051CDE">
        <w:rPr>
          <w:lang w:val="en-IE"/>
        </w:rPr>
        <w:t xml:space="preserve">directives, </w:t>
      </w:r>
      <w:r w:rsidR="0077738D" w:rsidRPr="00051CDE">
        <w:rPr>
          <w:lang w:val="en-IE"/>
        </w:rPr>
        <w:t>reveal</w:t>
      </w:r>
      <w:r w:rsidR="00E70163" w:rsidRPr="00051CDE">
        <w:rPr>
          <w:lang w:val="en-IE"/>
        </w:rPr>
        <w:t>ing</w:t>
      </w:r>
      <w:r w:rsidR="0077738D" w:rsidRPr="00051CDE">
        <w:rPr>
          <w:lang w:val="en-IE"/>
        </w:rPr>
        <w:t xml:space="preserve"> that those </w:t>
      </w:r>
      <w:r w:rsidRPr="00051CDE">
        <w:rPr>
          <w:lang w:val="en-IE"/>
        </w:rPr>
        <w:t xml:space="preserve">contained in the Takeover Bids Directive </w:t>
      </w:r>
      <w:r w:rsidR="0077738D" w:rsidRPr="00051CDE">
        <w:rPr>
          <w:lang w:val="en-IE"/>
        </w:rPr>
        <w:t>are restricted to information disclosure</w:t>
      </w:r>
      <w:r w:rsidR="00B04A39" w:rsidRPr="00051CDE">
        <w:rPr>
          <w:lang w:val="en-IE"/>
        </w:rPr>
        <w:t>,</w:t>
      </w:r>
      <w:r w:rsidR="0077738D" w:rsidRPr="00051CDE">
        <w:rPr>
          <w:lang w:val="en-IE"/>
        </w:rPr>
        <w:t xml:space="preserve"> with no provision for consultation. </w:t>
      </w:r>
      <w:r w:rsidRPr="00051CDE">
        <w:rPr>
          <w:lang w:val="en-IE"/>
        </w:rPr>
        <w:t xml:space="preserve">It examines the way in which the takeovers regime in the UK is regulated, with particular regard to the impact of the Directive and the Kraft/Cadbury takeover in 2010. The article analyses all the employee opinions </w:t>
      </w:r>
      <w:r w:rsidR="000E5281" w:rsidRPr="00051CDE">
        <w:rPr>
          <w:lang w:val="en-IE"/>
        </w:rPr>
        <w:t xml:space="preserve">given </w:t>
      </w:r>
      <w:r w:rsidRPr="00051CDE">
        <w:rPr>
          <w:lang w:val="en-IE"/>
        </w:rPr>
        <w:t xml:space="preserve">since 2006 under the terms of the </w:t>
      </w:r>
      <w:r w:rsidR="000E5281" w:rsidRPr="00051CDE">
        <w:rPr>
          <w:lang w:val="en-IE"/>
        </w:rPr>
        <w:t>UK Takeover Code</w:t>
      </w:r>
      <w:r w:rsidR="009C3EF6" w:rsidRPr="00051CDE">
        <w:rPr>
          <w:lang w:val="en-IE"/>
        </w:rPr>
        <w:t xml:space="preserve">, </w:t>
      </w:r>
      <w:r w:rsidRPr="00051CDE">
        <w:rPr>
          <w:lang w:val="en-IE"/>
        </w:rPr>
        <w:t xml:space="preserve">before drawing some broad policy-oriented conclusions which </w:t>
      </w:r>
      <w:r w:rsidRPr="00051CDE">
        <w:t xml:space="preserve">suggest several areas where further regulatory reform might be considered in relation to improving employee </w:t>
      </w:r>
      <w:r w:rsidR="00E73517" w:rsidRPr="00051CDE">
        <w:t xml:space="preserve">involvement </w:t>
      </w:r>
      <w:r w:rsidRPr="00051CDE">
        <w:t xml:space="preserve">in the takeover process. </w:t>
      </w:r>
    </w:p>
    <w:p w14:paraId="4BD8CB86" w14:textId="77777777" w:rsidR="000E6888" w:rsidRPr="00051CDE" w:rsidRDefault="000E6888" w:rsidP="00887411">
      <w:pPr>
        <w:pStyle w:val="NoSpacing"/>
        <w:spacing w:line="360" w:lineRule="auto"/>
      </w:pPr>
    </w:p>
    <w:p w14:paraId="6C1F5ADA" w14:textId="34664C9F" w:rsidR="000E6888" w:rsidRPr="00051CDE" w:rsidRDefault="00AB276D" w:rsidP="00887411">
      <w:pPr>
        <w:autoSpaceDE w:val="0"/>
        <w:autoSpaceDN w:val="0"/>
        <w:adjustRightInd w:val="0"/>
        <w:spacing w:after="0" w:line="360" w:lineRule="auto"/>
        <w:rPr>
          <w:rFonts w:ascii="Times New Roman" w:hAnsi="Times New Roman" w:cs="Times New Roman"/>
          <w:b/>
          <w:sz w:val="24"/>
          <w:szCs w:val="24"/>
        </w:rPr>
      </w:pPr>
      <w:r w:rsidRPr="00051CDE">
        <w:rPr>
          <w:rFonts w:ascii="Times New Roman" w:hAnsi="Times New Roman" w:cs="Times New Roman"/>
          <w:b/>
          <w:sz w:val="24"/>
          <w:szCs w:val="24"/>
        </w:rPr>
        <w:t>Methods</w:t>
      </w:r>
    </w:p>
    <w:p w14:paraId="53963718" w14:textId="77777777" w:rsidR="00AB276D" w:rsidRPr="00051CDE" w:rsidRDefault="00AB276D" w:rsidP="00887411">
      <w:pPr>
        <w:autoSpaceDE w:val="0"/>
        <w:autoSpaceDN w:val="0"/>
        <w:adjustRightInd w:val="0"/>
        <w:spacing w:after="0" w:line="360" w:lineRule="auto"/>
        <w:rPr>
          <w:rFonts w:ascii="Times New Roman" w:hAnsi="Times New Roman" w:cs="Times New Roman"/>
          <w:sz w:val="24"/>
          <w:szCs w:val="24"/>
        </w:rPr>
      </w:pPr>
    </w:p>
    <w:p w14:paraId="4DA90096" w14:textId="4D6E69C5" w:rsidR="00E73517" w:rsidRPr="00051CDE" w:rsidRDefault="00E73517" w:rsidP="00887411">
      <w:pPr>
        <w:autoSpaceDE w:val="0"/>
        <w:autoSpaceDN w:val="0"/>
        <w:adjustRightInd w:val="0"/>
        <w:spacing w:after="0" w:line="360" w:lineRule="auto"/>
        <w:rPr>
          <w:rFonts w:ascii="Times New Roman" w:hAnsi="Times New Roman" w:cs="Times New Roman"/>
          <w:sz w:val="24"/>
          <w:szCs w:val="24"/>
        </w:rPr>
      </w:pPr>
      <w:r w:rsidRPr="00051CDE">
        <w:rPr>
          <w:rFonts w:ascii="Times New Roman" w:hAnsi="Times New Roman" w:cs="Times New Roman"/>
          <w:sz w:val="24"/>
          <w:szCs w:val="24"/>
        </w:rPr>
        <w:t>The authors conduct</w:t>
      </w:r>
      <w:r w:rsidR="00C16BC3" w:rsidRPr="00051CDE">
        <w:rPr>
          <w:rFonts w:ascii="Times New Roman" w:hAnsi="Times New Roman" w:cs="Times New Roman"/>
          <w:sz w:val="24"/>
          <w:szCs w:val="24"/>
        </w:rPr>
        <w:t xml:space="preserve">ed </w:t>
      </w:r>
      <w:r w:rsidRPr="00051CDE">
        <w:rPr>
          <w:rFonts w:ascii="Times New Roman" w:hAnsi="Times New Roman" w:cs="Times New Roman"/>
          <w:sz w:val="24"/>
          <w:szCs w:val="24"/>
        </w:rPr>
        <w:t xml:space="preserve">a literature survey of the relevant area, including the annual reports and statements issued by the UK Takeover Panel in the reference period covered (2006-17 </w:t>
      </w:r>
      <w:r w:rsidRPr="00051CDE">
        <w:rPr>
          <w:rFonts w:ascii="Times New Roman" w:hAnsi="Times New Roman" w:cs="Times New Roman"/>
          <w:sz w:val="24"/>
          <w:szCs w:val="24"/>
        </w:rPr>
        <w:lastRenderedPageBreak/>
        <w:t>inclusive)</w:t>
      </w:r>
      <w:r w:rsidR="00AA0699" w:rsidRPr="00051CDE">
        <w:rPr>
          <w:rFonts w:ascii="Times New Roman" w:hAnsi="Times New Roman" w:cs="Times New Roman"/>
          <w:sz w:val="24"/>
          <w:szCs w:val="24"/>
        </w:rPr>
        <w:t xml:space="preserve">. </w:t>
      </w:r>
      <w:r w:rsidR="00C525D1" w:rsidRPr="00051CDE">
        <w:rPr>
          <w:rFonts w:ascii="Times New Roman" w:hAnsi="Times New Roman" w:cs="Times New Roman"/>
          <w:sz w:val="24"/>
          <w:szCs w:val="24"/>
        </w:rPr>
        <w:t xml:space="preserve">Outstanding issues were </w:t>
      </w:r>
      <w:r w:rsidR="00AA0699" w:rsidRPr="00051CDE">
        <w:rPr>
          <w:rFonts w:ascii="Times New Roman" w:hAnsi="Times New Roman" w:cs="Times New Roman"/>
          <w:sz w:val="24"/>
          <w:szCs w:val="24"/>
        </w:rPr>
        <w:t xml:space="preserve">then </w:t>
      </w:r>
      <w:r w:rsidR="00C525D1" w:rsidRPr="00051CDE">
        <w:rPr>
          <w:rFonts w:ascii="Times New Roman" w:hAnsi="Times New Roman" w:cs="Times New Roman"/>
          <w:sz w:val="24"/>
          <w:szCs w:val="24"/>
        </w:rPr>
        <w:t xml:space="preserve">clarified at </w:t>
      </w:r>
      <w:r w:rsidR="00AA0699" w:rsidRPr="00051CDE">
        <w:rPr>
          <w:rFonts w:ascii="Times New Roman" w:hAnsi="Times New Roman" w:cs="Times New Roman"/>
          <w:sz w:val="24"/>
          <w:szCs w:val="24"/>
        </w:rPr>
        <w:t xml:space="preserve">a background briefing with members of the Takeover Panel Executive and </w:t>
      </w:r>
      <w:r w:rsidR="00C525D1" w:rsidRPr="00051CDE">
        <w:rPr>
          <w:rFonts w:ascii="Times New Roman" w:hAnsi="Times New Roman" w:cs="Times New Roman"/>
          <w:sz w:val="24"/>
          <w:szCs w:val="24"/>
        </w:rPr>
        <w:t xml:space="preserve">at a </w:t>
      </w:r>
      <w:r w:rsidR="00AA0699" w:rsidRPr="00051CDE">
        <w:rPr>
          <w:rFonts w:ascii="Times New Roman" w:hAnsi="Times New Roman" w:cs="Times New Roman"/>
          <w:sz w:val="24"/>
          <w:szCs w:val="24"/>
        </w:rPr>
        <w:t>semi-structured interview with the policy officer at the Trades Union Congress (TUC) responsible for corporate governance. The</w:t>
      </w:r>
      <w:r w:rsidR="002C6141">
        <w:rPr>
          <w:rFonts w:ascii="Times New Roman" w:hAnsi="Times New Roman" w:cs="Times New Roman"/>
          <w:sz w:val="24"/>
          <w:szCs w:val="24"/>
        </w:rPr>
        <w:t xml:space="preserve"> lead author </w:t>
      </w:r>
      <w:r w:rsidR="00AA0699" w:rsidRPr="00051CDE">
        <w:rPr>
          <w:rFonts w:ascii="Times New Roman" w:hAnsi="Times New Roman" w:cs="Times New Roman"/>
          <w:sz w:val="24"/>
          <w:szCs w:val="24"/>
        </w:rPr>
        <w:t>subsequently carried out a content analysis of all 42 employee opinions appended to UK offer documents</w:t>
      </w:r>
      <w:r w:rsidR="00E70163" w:rsidRPr="00051CDE">
        <w:rPr>
          <w:rFonts w:ascii="Times New Roman" w:hAnsi="Times New Roman" w:cs="Times New Roman"/>
          <w:sz w:val="24"/>
          <w:szCs w:val="24"/>
        </w:rPr>
        <w:t xml:space="preserve"> </w:t>
      </w:r>
      <w:r w:rsidR="00AA0699" w:rsidRPr="00051CDE">
        <w:rPr>
          <w:rFonts w:ascii="Times New Roman" w:hAnsi="Times New Roman" w:cs="Times New Roman"/>
          <w:sz w:val="24"/>
          <w:szCs w:val="24"/>
        </w:rPr>
        <w:t>o</w:t>
      </w:r>
      <w:r w:rsidR="00AB276D" w:rsidRPr="00051CDE">
        <w:rPr>
          <w:rFonts w:ascii="Times New Roman" w:hAnsi="Times New Roman" w:cs="Times New Roman"/>
          <w:sz w:val="24"/>
          <w:szCs w:val="24"/>
        </w:rPr>
        <w:t>r</w:t>
      </w:r>
      <w:r w:rsidR="00AA0699" w:rsidRPr="00051CDE">
        <w:rPr>
          <w:rFonts w:ascii="Times New Roman" w:hAnsi="Times New Roman" w:cs="Times New Roman"/>
          <w:sz w:val="24"/>
          <w:szCs w:val="24"/>
        </w:rPr>
        <w:t xml:space="preserve"> offeree board circulars or published on a website</w:t>
      </w:r>
      <w:r w:rsidR="00AB276D" w:rsidRPr="00051CDE">
        <w:rPr>
          <w:rFonts w:ascii="Times New Roman" w:hAnsi="Times New Roman" w:cs="Times New Roman"/>
          <w:sz w:val="24"/>
          <w:szCs w:val="24"/>
        </w:rPr>
        <w:t xml:space="preserve"> </w:t>
      </w:r>
      <w:r w:rsidR="00964C77" w:rsidRPr="00051CDE">
        <w:rPr>
          <w:rFonts w:ascii="Times New Roman" w:hAnsi="Times New Roman" w:cs="Times New Roman"/>
          <w:sz w:val="24"/>
          <w:szCs w:val="24"/>
        </w:rPr>
        <w:t xml:space="preserve">since </w:t>
      </w:r>
      <w:r w:rsidR="00AB276D" w:rsidRPr="00051CDE">
        <w:rPr>
          <w:rFonts w:ascii="Times New Roman" w:hAnsi="Times New Roman" w:cs="Times New Roman"/>
          <w:sz w:val="24"/>
          <w:szCs w:val="24"/>
        </w:rPr>
        <w:t>2006</w:t>
      </w:r>
      <w:r w:rsidR="00964C77" w:rsidRPr="00051CDE">
        <w:rPr>
          <w:rFonts w:ascii="Times New Roman" w:hAnsi="Times New Roman" w:cs="Times New Roman"/>
          <w:sz w:val="24"/>
          <w:szCs w:val="24"/>
        </w:rPr>
        <w:t xml:space="preserve">, the year in which </w:t>
      </w:r>
      <w:r w:rsidR="00AA0699" w:rsidRPr="00051CDE">
        <w:rPr>
          <w:rFonts w:ascii="Times New Roman" w:hAnsi="Times New Roman" w:cs="Times New Roman"/>
          <w:sz w:val="24"/>
          <w:szCs w:val="24"/>
        </w:rPr>
        <w:t>revisions were introduced to the Takeover Code</w:t>
      </w:r>
      <w:r w:rsidR="00964C77" w:rsidRPr="00051CDE">
        <w:rPr>
          <w:rFonts w:ascii="Times New Roman" w:hAnsi="Times New Roman" w:cs="Times New Roman"/>
          <w:sz w:val="24"/>
          <w:szCs w:val="24"/>
        </w:rPr>
        <w:t xml:space="preserve">. </w:t>
      </w:r>
      <w:r w:rsidR="00AA0699" w:rsidRPr="00051CDE">
        <w:rPr>
          <w:rFonts w:ascii="Times New Roman" w:hAnsi="Times New Roman" w:cs="Times New Roman"/>
          <w:sz w:val="24"/>
          <w:szCs w:val="24"/>
        </w:rPr>
        <w:t xml:space="preserve">Key terms were coded and recorded manually, and collated in order to compile the Tables on which analysis </w:t>
      </w:r>
      <w:r w:rsidR="00E70163" w:rsidRPr="00051CDE">
        <w:rPr>
          <w:rFonts w:ascii="Times New Roman" w:hAnsi="Times New Roman" w:cs="Times New Roman"/>
          <w:sz w:val="24"/>
          <w:szCs w:val="24"/>
        </w:rPr>
        <w:t xml:space="preserve">is </w:t>
      </w:r>
      <w:r w:rsidR="00AA0699" w:rsidRPr="00051CDE">
        <w:rPr>
          <w:rFonts w:ascii="Times New Roman" w:hAnsi="Times New Roman" w:cs="Times New Roman"/>
          <w:sz w:val="24"/>
          <w:szCs w:val="24"/>
        </w:rPr>
        <w:t xml:space="preserve">based. </w:t>
      </w:r>
      <w:r w:rsidR="00EE63DE" w:rsidRPr="00051CDE">
        <w:rPr>
          <w:rFonts w:ascii="Times New Roman" w:hAnsi="Times New Roman" w:cs="Times New Roman"/>
          <w:sz w:val="24"/>
          <w:szCs w:val="24"/>
        </w:rPr>
        <w:t>The research did not cover opinions given by the trustees of pension funds</w:t>
      </w:r>
      <w:r w:rsidR="00C16BC3" w:rsidRPr="00051CDE">
        <w:rPr>
          <w:rFonts w:ascii="Times New Roman" w:hAnsi="Times New Roman" w:cs="Times New Roman"/>
          <w:sz w:val="24"/>
          <w:szCs w:val="24"/>
        </w:rPr>
        <w:t>, a right introduced only in 2013</w:t>
      </w:r>
      <w:r w:rsidR="00EE63DE" w:rsidRPr="00051CDE">
        <w:rPr>
          <w:rFonts w:ascii="Times New Roman" w:hAnsi="Times New Roman" w:cs="Times New Roman"/>
          <w:sz w:val="24"/>
          <w:szCs w:val="24"/>
        </w:rPr>
        <w:t xml:space="preserve">. </w:t>
      </w:r>
    </w:p>
    <w:p w14:paraId="08A4FCDA" w14:textId="77777777" w:rsidR="000958DB" w:rsidRPr="00051CDE" w:rsidRDefault="000958DB" w:rsidP="00887411">
      <w:pPr>
        <w:autoSpaceDE w:val="0"/>
        <w:autoSpaceDN w:val="0"/>
        <w:adjustRightInd w:val="0"/>
        <w:spacing w:after="0" w:line="360" w:lineRule="auto"/>
        <w:rPr>
          <w:rFonts w:ascii="Times New Roman" w:hAnsi="Times New Roman" w:cs="Times New Roman"/>
          <w:sz w:val="24"/>
          <w:szCs w:val="24"/>
        </w:rPr>
      </w:pPr>
    </w:p>
    <w:p w14:paraId="54594111" w14:textId="64B7F8B3" w:rsidR="000958DB" w:rsidRPr="00051CDE" w:rsidRDefault="000958DB" w:rsidP="000958DB">
      <w:pPr>
        <w:pStyle w:val="NoSpacing"/>
        <w:spacing w:line="360" w:lineRule="auto"/>
        <w:rPr>
          <w:lang w:val="en-IE"/>
        </w:rPr>
      </w:pPr>
      <w:r w:rsidRPr="00051CDE">
        <w:rPr>
          <w:lang w:val="en-IE"/>
        </w:rPr>
        <w:t xml:space="preserve">The </w:t>
      </w:r>
      <w:r w:rsidR="00C16BC3" w:rsidRPr="00051CDE">
        <w:rPr>
          <w:lang w:val="en-IE"/>
        </w:rPr>
        <w:t xml:space="preserve">authors </w:t>
      </w:r>
      <w:r w:rsidRPr="00051CDE">
        <w:rPr>
          <w:lang w:val="en-IE"/>
        </w:rPr>
        <w:t>adopt a stakeholder approach towards corporate governance</w:t>
      </w:r>
      <w:r w:rsidR="00C16BC3" w:rsidRPr="00051CDE">
        <w:rPr>
          <w:lang w:val="en-IE"/>
        </w:rPr>
        <w:t xml:space="preserve">, arguing </w:t>
      </w:r>
      <w:r w:rsidRPr="00051CDE">
        <w:rPr>
          <w:lang w:val="en-IE"/>
        </w:rPr>
        <w:t>that ‘a company’s management should manage in the interests of the company and, in that regard, take account not only of shareholder concerns but also of the concerns of workers and other groups involved with the company’ (</w:t>
      </w:r>
      <w:proofErr w:type="spellStart"/>
      <w:r w:rsidRPr="00051CDE">
        <w:rPr>
          <w:lang w:val="en-IE"/>
        </w:rPr>
        <w:t>Heuschmid</w:t>
      </w:r>
      <w:proofErr w:type="spellEnd"/>
      <w:r w:rsidRPr="00051CDE">
        <w:rPr>
          <w:lang w:val="en-IE"/>
        </w:rPr>
        <w:t xml:space="preserve">, 2012: 115). </w:t>
      </w:r>
      <w:r w:rsidR="00C16BC3" w:rsidRPr="00051CDE">
        <w:rPr>
          <w:lang w:val="en-IE"/>
        </w:rPr>
        <w:t>This argument is justified principally by the evidence (reviewed below) that m</w:t>
      </w:r>
      <w:r w:rsidR="00DB2509" w:rsidRPr="00051CDE">
        <w:rPr>
          <w:lang w:val="en-IE"/>
        </w:rPr>
        <w:t xml:space="preserve">any </w:t>
      </w:r>
      <w:r w:rsidR="00C16BC3" w:rsidRPr="00051CDE">
        <w:rPr>
          <w:lang w:val="en-IE"/>
        </w:rPr>
        <w:t xml:space="preserve">takeovers lead to poor economic outcomes and job losses, in the course of which the interests of the employees covered </w:t>
      </w:r>
      <w:r w:rsidR="007F02CE" w:rsidRPr="00051CDE">
        <w:rPr>
          <w:lang w:val="en-IE"/>
        </w:rPr>
        <w:t xml:space="preserve">in the UK </w:t>
      </w:r>
      <w:r w:rsidR="00DB2509" w:rsidRPr="00051CDE">
        <w:rPr>
          <w:lang w:val="en-IE"/>
        </w:rPr>
        <w:t xml:space="preserve">are </w:t>
      </w:r>
      <w:r w:rsidR="007F02CE" w:rsidRPr="00051CDE">
        <w:rPr>
          <w:lang w:val="en-IE"/>
        </w:rPr>
        <w:t xml:space="preserve">considered at too late a stage, if they are considered at all. </w:t>
      </w:r>
      <w:r w:rsidR="00AA525D" w:rsidRPr="00051CDE">
        <w:rPr>
          <w:lang w:val="en-IE"/>
        </w:rPr>
        <w:t>Broader d</w:t>
      </w:r>
      <w:r w:rsidR="00022A16" w:rsidRPr="00051CDE">
        <w:rPr>
          <w:lang w:val="en-IE"/>
        </w:rPr>
        <w:t xml:space="preserve">iscussions </w:t>
      </w:r>
      <w:r w:rsidR="00EB23B4" w:rsidRPr="00051CDE">
        <w:rPr>
          <w:lang w:val="en-IE"/>
        </w:rPr>
        <w:t xml:space="preserve">that examine </w:t>
      </w:r>
      <w:r w:rsidR="00022A16" w:rsidRPr="00051CDE">
        <w:rPr>
          <w:lang w:val="en-IE"/>
        </w:rPr>
        <w:t xml:space="preserve">the </w:t>
      </w:r>
      <w:r w:rsidR="00340A8A" w:rsidRPr="00051CDE">
        <w:rPr>
          <w:lang w:val="en-IE"/>
        </w:rPr>
        <w:t xml:space="preserve">complex but generally </w:t>
      </w:r>
      <w:r w:rsidR="00EB23B4" w:rsidRPr="00051CDE">
        <w:rPr>
          <w:lang w:val="en-IE"/>
        </w:rPr>
        <w:t xml:space="preserve">positive </w:t>
      </w:r>
      <w:r w:rsidR="00022A16" w:rsidRPr="00051CDE">
        <w:rPr>
          <w:lang w:val="en-IE"/>
        </w:rPr>
        <w:t xml:space="preserve">relationship between employee involvement and company performance </w:t>
      </w:r>
      <w:r w:rsidR="00EB23B4" w:rsidRPr="00051CDE">
        <w:rPr>
          <w:lang w:val="en-IE"/>
        </w:rPr>
        <w:t xml:space="preserve">– which also help to justify the authors’ approach – may </w:t>
      </w:r>
      <w:r w:rsidR="00022A16" w:rsidRPr="00051CDE">
        <w:rPr>
          <w:lang w:val="en-IE"/>
        </w:rPr>
        <w:t>be found elsewhere (for example, Davies, 2015; Summers and Hyman, 2005).</w:t>
      </w:r>
    </w:p>
    <w:p w14:paraId="05D66108" w14:textId="77777777" w:rsidR="00051715" w:rsidRPr="00051CDE" w:rsidRDefault="00051715" w:rsidP="00887411">
      <w:pPr>
        <w:autoSpaceDE w:val="0"/>
        <w:autoSpaceDN w:val="0"/>
        <w:adjustRightInd w:val="0"/>
        <w:spacing w:after="0" w:line="360" w:lineRule="auto"/>
        <w:rPr>
          <w:rFonts w:ascii="Times New Roman" w:hAnsi="Times New Roman" w:cs="Times New Roman"/>
          <w:sz w:val="24"/>
          <w:szCs w:val="24"/>
        </w:rPr>
      </w:pPr>
    </w:p>
    <w:p w14:paraId="71E88697" w14:textId="77777777" w:rsidR="001E6F76" w:rsidRPr="00051CDE" w:rsidRDefault="001E6F76" w:rsidP="00887411">
      <w:pPr>
        <w:pStyle w:val="NoSpacing"/>
        <w:spacing w:line="360" w:lineRule="auto"/>
        <w:rPr>
          <w:rStyle w:val="Emphasis"/>
        </w:rPr>
      </w:pPr>
      <w:r w:rsidRPr="00051CDE">
        <w:rPr>
          <w:rStyle w:val="Emphasis"/>
        </w:rPr>
        <w:t>Information and consultation of employees in EU directives</w:t>
      </w:r>
    </w:p>
    <w:p w14:paraId="26DE4E5F" w14:textId="77777777" w:rsidR="001E6F76" w:rsidRPr="00051CDE" w:rsidRDefault="001E6F76" w:rsidP="00887411">
      <w:pPr>
        <w:pStyle w:val="NoSpacing"/>
        <w:spacing w:line="360" w:lineRule="auto"/>
      </w:pPr>
    </w:p>
    <w:p w14:paraId="4925ABC5" w14:textId="156153BA" w:rsidR="00EE63DE" w:rsidRPr="00051CDE" w:rsidRDefault="00F57F0F" w:rsidP="00887411">
      <w:pPr>
        <w:pStyle w:val="NoSpacing"/>
        <w:spacing w:line="360" w:lineRule="auto"/>
      </w:pPr>
      <w:r w:rsidRPr="00051CDE">
        <w:t>In the European Union (EU), workers’ rights to information and consultation within the undertaking are guaranteed under Article 27 of the EU Charter of Fundamental Rights, which became legally binding across member states in December 2009 when the Treaty of Lisbon came into force:</w:t>
      </w:r>
    </w:p>
    <w:p w14:paraId="706AE1BF" w14:textId="77777777" w:rsidR="00F57F0F" w:rsidRPr="00051CDE" w:rsidRDefault="00F57F0F" w:rsidP="00887411">
      <w:pPr>
        <w:pStyle w:val="NoSpacing"/>
        <w:spacing w:line="360" w:lineRule="auto"/>
      </w:pPr>
    </w:p>
    <w:p w14:paraId="31F51DD4" w14:textId="47349C78" w:rsidR="00F57F0F" w:rsidRPr="00051CDE" w:rsidRDefault="00F57F0F" w:rsidP="00785765">
      <w:pPr>
        <w:pStyle w:val="NoSpacing"/>
        <w:spacing w:line="360" w:lineRule="auto"/>
        <w:ind w:left="360"/>
      </w:pPr>
      <w:r w:rsidRPr="00051CDE">
        <w:t xml:space="preserve">Workers and their representatives must, at the appropriate levels, be guaranteed information and consultation in good time in the cases and conditions </w:t>
      </w:r>
      <w:r w:rsidR="004424DC" w:rsidRPr="00051CDE">
        <w:t>provided for by Union law and national laws and practices. (</w:t>
      </w:r>
      <w:r w:rsidR="004424DC" w:rsidRPr="00051CDE">
        <w:rPr>
          <w:i/>
        </w:rPr>
        <w:t>Official Journal</w:t>
      </w:r>
      <w:r w:rsidR="004424DC" w:rsidRPr="00051CDE">
        <w:t>, 2010: 397)</w:t>
      </w:r>
    </w:p>
    <w:p w14:paraId="453B6F0C" w14:textId="77777777" w:rsidR="00EE63DE" w:rsidRPr="00051CDE" w:rsidRDefault="00EE63DE" w:rsidP="00887411">
      <w:pPr>
        <w:pStyle w:val="NoSpacing"/>
        <w:spacing w:line="360" w:lineRule="auto"/>
      </w:pPr>
    </w:p>
    <w:p w14:paraId="48637EE3" w14:textId="51D5C210" w:rsidR="004424DC" w:rsidRPr="00051CDE" w:rsidRDefault="004424DC" w:rsidP="00887411">
      <w:pPr>
        <w:pStyle w:val="NoSpacing"/>
        <w:spacing w:line="360" w:lineRule="auto"/>
      </w:pPr>
      <w:r w:rsidRPr="00051CDE">
        <w:t xml:space="preserve">These rights to I&amp;C have been described as ‘some of the most fragmented rights in the entire EU legislative corpus’, </w:t>
      </w:r>
      <w:r w:rsidR="001868BA" w:rsidRPr="00051CDE">
        <w:t xml:space="preserve">scattered </w:t>
      </w:r>
      <w:r w:rsidRPr="00051CDE">
        <w:t xml:space="preserve">as they are over </w:t>
      </w:r>
      <w:r w:rsidR="001868BA" w:rsidRPr="00051CDE">
        <w:t xml:space="preserve">more than </w:t>
      </w:r>
      <w:r w:rsidRPr="00051CDE">
        <w:t>25 directives (</w:t>
      </w:r>
      <w:proofErr w:type="spellStart"/>
      <w:r w:rsidRPr="00051CDE">
        <w:t>Schömann</w:t>
      </w:r>
      <w:proofErr w:type="spellEnd"/>
      <w:r w:rsidRPr="00051CDE">
        <w:t xml:space="preserve">, 2012: </w:t>
      </w:r>
      <w:r w:rsidRPr="00051CDE">
        <w:lastRenderedPageBreak/>
        <w:t xml:space="preserve">213). Nevertheless, it is possible to identify four </w:t>
      </w:r>
      <w:r w:rsidR="00E70163" w:rsidRPr="00051CDE">
        <w:t>D</w:t>
      </w:r>
      <w:r w:rsidRPr="00051CDE">
        <w:t>irectives that lay the foundation</w:t>
      </w:r>
      <w:r w:rsidR="001868BA" w:rsidRPr="00051CDE">
        <w:t>s</w:t>
      </w:r>
      <w:r w:rsidRPr="00051CDE">
        <w:t xml:space="preserve"> for the general rights to I&amp;C of workers across the member states:</w:t>
      </w:r>
    </w:p>
    <w:p w14:paraId="141FE7F8" w14:textId="77777777" w:rsidR="00EE63DE" w:rsidRPr="00051CDE" w:rsidRDefault="00EE63DE" w:rsidP="00887411">
      <w:pPr>
        <w:pStyle w:val="NoSpacing"/>
        <w:spacing w:line="360" w:lineRule="auto"/>
      </w:pPr>
    </w:p>
    <w:p w14:paraId="39716562" w14:textId="77777777" w:rsidR="001E6F76" w:rsidRPr="00051CDE" w:rsidRDefault="001E6F76" w:rsidP="00887411">
      <w:pPr>
        <w:pStyle w:val="NoSpacing"/>
        <w:numPr>
          <w:ilvl w:val="0"/>
          <w:numId w:val="8"/>
        </w:numPr>
        <w:spacing w:line="360" w:lineRule="auto"/>
        <w:rPr>
          <w:rStyle w:val="Emphasis"/>
          <w:b w:val="0"/>
        </w:rPr>
      </w:pPr>
      <w:r w:rsidRPr="00051CDE">
        <w:rPr>
          <w:lang w:val="en-IE"/>
        </w:rPr>
        <w:t>European Works Councils (EWC) Directive (</w:t>
      </w:r>
      <w:r w:rsidRPr="00051CDE">
        <w:rPr>
          <w:rStyle w:val="Emphasis"/>
          <w:b w:val="0"/>
        </w:rPr>
        <w:t>94</w:t>
      </w:r>
      <w:r w:rsidRPr="00051CDE">
        <w:rPr>
          <w:rStyle w:val="st1"/>
        </w:rPr>
        <w:t xml:space="preserve">/45/EC), 22 September </w:t>
      </w:r>
      <w:r w:rsidRPr="00051CDE">
        <w:rPr>
          <w:rStyle w:val="Emphasis"/>
          <w:b w:val="0"/>
        </w:rPr>
        <w:t>1994;</w:t>
      </w:r>
    </w:p>
    <w:p w14:paraId="4E4B3665" w14:textId="77777777" w:rsidR="001E6F76" w:rsidRPr="00051CDE" w:rsidRDefault="001E6F76" w:rsidP="00887411">
      <w:pPr>
        <w:pStyle w:val="NoSpacing"/>
        <w:numPr>
          <w:ilvl w:val="0"/>
          <w:numId w:val="8"/>
        </w:numPr>
        <w:spacing w:line="360" w:lineRule="auto"/>
        <w:rPr>
          <w:lang w:val="en-IE"/>
        </w:rPr>
      </w:pPr>
      <w:r w:rsidRPr="00051CDE">
        <w:rPr>
          <w:lang w:val="en-IE"/>
        </w:rPr>
        <w:t xml:space="preserve">EWC recast Directive (2009/38/EC), 6 May 2009; </w:t>
      </w:r>
    </w:p>
    <w:p w14:paraId="367299B5" w14:textId="77777777" w:rsidR="001E6F76" w:rsidRPr="00051CDE" w:rsidRDefault="001E6F76" w:rsidP="00887411">
      <w:pPr>
        <w:pStyle w:val="NoSpacing"/>
        <w:numPr>
          <w:ilvl w:val="0"/>
          <w:numId w:val="8"/>
        </w:numPr>
        <w:spacing w:line="360" w:lineRule="auto"/>
        <w:rPr>
          <w:rStyle w:val="st1"/>
        </w:rPr>
      </w:pPr>
      <w:r w:rsidRPr="00051CDE">
        <w:rPr>
          <w:lang w:val="en-IE"/>
        </w:rPr>
        <w:t>European Company Statute (ECS) Directive (</w:t>
      </w:r>
      <w:r w:rsidRPr="00051CDE">
        <w:t>2001</w:t>
      </w:r>
      <w:r w:rsidRPr="00051CDE">
        <w:rPr>
          <w:rStyle w:val="st1"/>
        </w:rPr>
        <w:t xml:space="preserve">/86/EC), 8 October 2001; and </w:t>
      </w:r>
    </w:p>
    <w:p w14:paraId="657F8680" w14:textId="77777777" w:rsidR="001E6F76" w:rsidRPr="00051CDE" w:rsidRDefault="001E6F76" w:rsidP="00887411">
      <w:pPr>
        <w:pStyle w:val="NoSpacing"/>
        <w:numPr>
          <w:ilvl w:val="0"/>
          <w:numId w:val="8"/>
        </w:numPr>
        <w:spacing w:line="360" w:lineRule="auto"/>
        <w:rPr>
          <w:lang w:val="en-IE"/>
        </w:rPr>
      </w:pPr>
      <w:r w:rsidRPr="00051CDE">
        <w:rPr>
          <w:lang w:val="en-IE"/>
        </w:rPr>
        <w:t xml:space="preserve">Information and Consultation of Employees (ICE) Directive (2002/14/EC), 23 March 2002. </w:t>
      </w:r>
    </w:p>
    <w:p w14:paraId="6857BCDB" w14:textId="77777777" w:rsidR="001E6F76" w:rsidRPr="00051CDE" w:rsidRDefault="001E6F76" w:rsidP="00887411">
      <w:pPr>
        <w:pStyle w:val="NoSpacing"/>
        <w:spacing w:line="360" w:lineRule="auto"/>
        <w:rPr>
          <w:lang w:val="en-IE"/>
        </w:rPr>
      </w:pPr>
    </w:p>
    <w:p w14:paraId="62FC04F0" w14:textId="0360BE9A" w:rsidR="001E6F76" w:rsidRPr="00051CDE" w:rsidRDefault="001E6F76" w:rsidP="00887411">
      <w:pPr>
        <w:pStyle w:val="NoSpacing"/>
        <w:spacing w:line="360" w:lineRule="auto"/>
      </w:pPr>
      <w:r w:rsidRPr="00051CDE">
        <w:t xml:space="preserve">Whilst </w:t>
      </w:r>
      <w:r w:rsidRPr="00051CDE">
        <w:rPr>
          <w:lang w:val="en-IE"/>
        </w:rPr>
        <w:t>the EWC and ICE Directives provide for rights to information and consultation at sub-board level, the ECS Directive provides</w:t>
      </w:r>
      <w:r w:rsidR="00C5560B" w:rsidRPr="00051CDE">
        <w:rPr>
          <w:lang w:val="en-IE"/>
        </w:rPr>
        <w:t>,</w:t>
      </w:r>
      <w:r w:rsidRPr="00051CDE">
        <w:rPr>
          <w:lang w:val="en-IE"/>
        </w:rPr>
        <w:t xml:space="preserve"> under certain circumstances</w:t>
      </w:r>
      <w:r w:rsidR="00C5560B" w:rsidRPr="00051CDE">
        <w:rPr>
          <w:lang w:val="en-IE"/>
        </w:rPr>
        <w:t>,</w:t>
      </w:r>
      <w:r w:rsidRPr="00051CDE">
        <w:rPr>
          <w:lang w:val="en-IE"/>
        </w:rPr>
        <w:t xml:space="preserve"> for employee board-level representation along the lines of arrangements which have already existed in many countries since the early 1970s, or even earlier (Gold, 2010</w:t>
      </w:r>
      <w:r w:rsidR="009333A5" w:rsidRPr="00051CDE">
        <w:rPr>
          <w:lang w:val="en-IE"/>
        </w:rPr>
        <w:t>)</w:t>
      </w:r>
      <w:r w:rsidRPr="00051CDE">
        <w:rPr>
          <w:lang w:val="en-IE"/>
        </w:rPr>
        <w:t xml:space="preserve">. </w:t>
      </w:r>
      <w:r w:rsidRPr="00051CDE">
        <w:t>Much empirical work has now been carried out into the operation and impact of these four Directives: EWCs (Waddington, 2012); recast EWCs (</w:t>
      </w:r>
      <w:proofErr w:type="spellStart"/>
      <w:r w:rsidRPr="00051CDE">
        <w:t>Jagodzinski</w:t>
      </w:r>
      <w:proofErr w:type="spellEnd"/>
      <w:r w:rsidRPr="00051CDE">
        <w:t>, 20</w:t>
      </w:r>
      <w:r w:rsidR="004424DC" w:rsidRPr="00051CDE">
        <w:t>15</w:t>
      </w:r>
      <w:r w:rsidRPr="00051CDE">
        <w:t>); ECS (</w:t>
      </w:r>
      <w:proofErr w:type="spellStart"/>
      <w:r w:rsidRPr="00051CDE">
        <w:t>Cremers</w:t>
      </w:r>
      <w:proofErr w:type="spellEnd"/>
      <w:r w:rsidRPr="00051CDE">
        <w:t xml:space="preserve"> et al., 2013); and ICE (Hall and Purcell, 2012). Less </w:t>
      </w:r>
      <w:r w:rsidR="00C5560B" w:rsidRPr="00051CDE">
        <w:t xml:space="preserve">attention has been given to </w:t>
      </w:r>
      <w:r w:rsidRPr="00051CDE">
        <w:t>the impact of a range of more limited or ‘contextual’ Directives covering specific areas of industrial relations where information and consultation remains important. These Directives include:</w:t>
      </w:r>
    </w:p>
    <w:p w14:paraId="79565DD3" w14:textId="77777777" w:rsidR="001E6F76" w:rsidRPr="00051CDE" w:rsidRDefault="001E6F76" w:rsidP="00887411">
      <w:pPr>
        <w:pStyle w:val="NoSpacing"/>
        <w:spacing w:line="360" w:lineRule="auto"/>
      </w:pPr>
    </w:p>
    <w:p w14:paraId="015A6469" w14:textId="77777777" w:rsidR="001E6F76" w:rsidRPr="00051CDE" w:rsidRDefault="001E6F76" w:rsidP="00887411">
      <w:pPr>
        <w:pStyle w:val="NoSpacing"/>
        <w:numPr>
          <w:ilvl w:val="0"/>
          <w:numId w:val="9"/>
        </w:numPr>
        <w:spacing w:line="360" w:lineRule="auto"/>
      </w:pPr>
      <w:r w:rsidRPr="00051CDE">
        <w:t>Collective redundancies (98/59/EC), 20 July 1998, which consolidated Directive 75/129/EEC and Directive 92/56;</w:t>
      </w:r>
    </w:p>
    <w:p w14:paraId="03CAD442" w14:textId="77777777" w:rsidR="001E6F76" w:rsidRPr="00051CDE" w:rsidRDefault="001E6F76" w:rsidP="00887411">
      <w:pPr>
        <w:pStyle w:val="NoSpacing"/>
        <w:numPr>
          <w:ilvl w:val="0"/>
          <w:numId w:val="9"/>
        </w:numPr>
        <w:spacing w:line="360" w:lineRule="auto"/>
      </w:pPr>
      <w:r w:rsidRPr="00051CDE">
        <w:t>Transfer of undertakings (2001/23/EC), 12 March 2001, which consolidated Directive 77/187/EEC and Directive 98/50;</w:t>
      </w:r>
    </w:p>
    <w:p w14:paraId="173D9FBA" w14:textId="3BECD009" w:rsidR="001E6F76" w:rsidRPr="00051CDE" w:rsidRDefault="001E6F76" w:rsidP="00887411">
      <w:pPr>
        <w:pStyle w:val="NoSpacing"/>
        <w:numPr>
          <w:ilvl w:val="0"/>
          <w:numId w:val="9"/>
        </w:numPr>
        <w:spacing w:line="360" w:lineRule="auto"/>
      </w:pPr>
      <w:r w:rsidRPr="00051CDE">
        <w:t>Health and safety at work ‘framework’ (89/391/EEC), 12 June 1989</w:t>
      </w:r>
      <w:r w:rsidR="00526FC2" w:rsidRPr="00051CDE">
        <w:t>, since complemented by a wide range of more targeted directives on health and safety</w:t>
      </w:r>
      <w:r w:rsidRPr="00051CDE">
        <w:t>;</w:t>
      </w:r>
    </w:p>
    <w:p w14:paraId="322566F0" w14:textId="77777777" w:rsidR="001E6F76" w:rsidRPr="00051CDE" w:rsidRDefault="001E6F76" w:rsidP="00887411">
      <w:pPr>
        <w:pStyle w:val="NoSpacing"/>
        <w:numPr>
          <w:ilvl w:val="0"/>
          <w:numId w:val="9"/>
        </w:numPr>
        <w:spacing w:line="360" w:lineRule="auto"/>
      </w:pPr>
      <w:r w:rsidRPr="00051CDE">
        <w:rPr>
          <w:rStyle w:val="Emphasis"/>
          <w:b w:val="0"/>
        </w:rPr>
        <w:t>Takeover</w:t>
      </w:r>
      <w:r w:rsidRPr="00051CDE">
        <w:rPr>
          <w:rStyle w:val="st1"/>
        </w:rPr>
        <w:t xml:space="preserve"> bids (</w:t>
      </w:r>
      <w:r w:rsidRPr="00051CDE">
        <w:rPr>
          <w:rStyle w:val="Emphasis"/>
          <w:b w:val="0"/>
        </w:rPr>
        <w:t>2004/25</w:t>
      </w:r>
      <w:r w:rsidRPr="00051CDE">
        <w:rPr>
          <w:rStyle w:val="st1"/>
        </w:rPr>
        <w:t>/</w:t>
      </w:r>
      <w:r w:rsidRPr="00051CDE">
        <w:rPr>
          <w:rStyle w:val="Emphasis"/>
          <w:b w:val="0"/>
        </w:rPr>
        <w:t>EC),</w:t>
      </w:r>
      <w:r w:rsidRPr="00051CDE">
        <w:rPr>
          <w:rStyle w:val="Emphasis"/>
        </w:rPr>
        <w:t xml:space="preserve"> </w:t>
      </w:r>
      <w:r w:rsidRPr="00051CDE">
        <w:rPr>
          <w:rStyle w:val="st1"/>
        </w:rPr>
        <w:t>21 April 2004.</w:t>
      </w:r>
    </w:p>
    <w:p w14:paraId="5FEAE0E1" w14:textId="77777777" w:rsidR="001E6F76" w:rsidRPr="00051CDE" w:rsidRDefault="001E6F76" w:rsidP="00887411">
      <w:pPr>
        <w:pStyle w:val="NoSpacing"/>
        <w:spacing w:line="360" w:lineRule="auto"/>
      </w:pPr>
    </w:p>
    <w:p w14:paraId="50C20608" w14:textId="77777777" w:rsidR="001E6F76" w:rsidRPr="00051CDE" w:rsidRDefault="001E6F76" w:rsidP="00887411">
      <w:pPr>
        <w:pStyle w:val="NoSpacing"/>
        <w:spacing w:line="360" w:lineRule="auto"/>
      </w:pPr>
      <w:r w:rsidRPr="00051CDE">
        <w:t>Two further directives which affect workers’ rights in the course of business restructuring do not contain any provisions on information and consultation. The Directive on business insolvencies (2008/94/EC), which consolidated Directive 80/987/EEC, focuses on worker protection by requiring each EU member state to set up a ‘guarantee institution’ to pay workers’ outstanding wages but places no duties on employers, while the Directive on cross-</w:t>
      </w:r>
      <w:r w:rsidRPr="00051CDE">
        <w:lastRenderedPageBreak/>
        <w:t xml:space="preserve">border mergers (2005/56/EC) governs the nature of information and consultation processes in the newly-formed company post-merger but not during its formation. </w:t>
      </w:r>
    </w:p>
    <w:p w14:paraId="3E6E4922" w14:textId="77777777" w:rsidR="001E6F76" w:rsidRPr="00051CDE" w:rsidRDefault="001E6F76" w:rsidP="00887411">
      <w:pPr>
        <w:pStyle w:val="NoSpacing"/>
        <w:spacing w:line="360" w:lineRule="auto"/>
      </w:pPr>
    </w:p>
    <w:p w14:paraId="27F86A3B" w14:textId="7AC443F1" w:rsidR="001E6F76" w:rsidRPr="00051CDE" w:rsidRDefault="001E6F76" w:rsidP="00887411">
      <w:pPr>
        <w:pStyle w:val="NoSpacing"/>
        <w:spacing w:line="360" w:lineRule="auto"/>
      </w:pPr>
      <w:r w:rsidRPr="00051CDE">
        <w:t xml:space="preserve">Many of the information and consultation rights enshrined in these Directives are ad hoc, in that they are triggered by an event initiated by the employer requiring the observance of fair procedures in a particular context (such as redundancies, a transfer of undertakings or a takeover bid), with possibly no ongoing impact on the employment relationship itself (Gospel et al., 2003). Indeed, it was partly the </w:t>
      </w:r>
      <w:r w:rsidRPr="00051CDE">
        <w:rPr>
          <w:i/>
        </w:rPr>
        <w:t>contextual</w:t>
      </w:r>
      <w:r w:rsidRPr="00051CDE">
        <w:t xml:space="preserve"> nature of the Directives </w:t>
      </w:r>
      <w:r w:rsidR="00B05638" w:rsidRPr="00051CDE">
        <w:t xml:space="preserve">on redundancies and transfers </w:t>
      </w:r>
      <w:r w:rsidRPr="00051CDE">
        <w:t>which eventually culminated in the adoption of the ICE Directive</w:t>
      </w:r>
      <w:r w:rsidR="00E70163" w:rsidRPr="00051CDE">
        <w:t xml:space="preserve">, </w:t>
      </w:r>
      <w:r w:rsidRPr="00051CDE">
        <w:t xml:space="preserve">which does establish general rights to information and consultation to be exercised during the normal course of employment, without reference to any specific events. Nevertheless, these contextual </w:t>
      </w:r>
      <w:r w:rsidR="00E70163" w:rsidRPr="00051CDE">
        <w:t>D</w:t>
      </w:r>
      <w:r w:rsidRPr="00051CDE">
        <w:t>irectives remain significant as they ‘provide access to employees to information concerning their conditions of employment and provide the basis for the development of collective bargaining’ (</w:t>
      </w:r>
      <w:proofErr w:type="spellStart"/>
      <w:r w:rsidRPr="00051CDE">
        <w:t>Koukiadaki</w:t>
      </w:r>
      <w:proofErr w:type="spellEnd"/>
      <w:r w:rsidRPr="00051CDE">
        <w:t xml:space="preserve">, 2011: 604). </w:t>
      </w:r>
    </w:p>
    <w:p w14:paraId="00101ADA" w14:textId="77777777" w:rsidR="001E6F76" w:rsidRPr="00051CDE" w:rsidRDefault="001E6F76" w:rsidP="00887411">
      <w:pPr>
        <w:pStyle w:val="NoSpacing"/>
        <w:spacing w:line="360" w:lineRule="auto"/>
      </w:pPr>
    </w:p>
    <w:p w14:paraId="04E2C044" w14:textId="1FDC8A67" w:rsidR="001E6F76" w:rsidRPr="00051CDE" w:rsidRDefault="001E6F76" w:rsidP="00887411">
      <w:pPr>
        <w:pStyle w:val="NoSpacing"/>
        <w:spacing w:line="360" w:lineRule="auto"/>
      </w:pPr>
      <w:r w:rsidRPr="00051CDE">
        <w:t xml:space="preserve">The rights to information and consultation across these measures vary considerably, particularly in relation to the strength of the rights themselves. Article 2 of the 1998 collective redundancies </w:t>
      </w:r>
      <w:r w:rsidR="00E70163" w:rsidRPr="00051CDE">
        <w:t>D</w:t>
      </w:r>
      <w:r w:rsidRPr="00051CDE">
        <w:t xml:space="preserve">irective, for example, requires employers to open consultations with worker representatives ‘with a view to reaching agreement’, while Article 2.2 requires consultation to cover ‘ways and means of avoiding collective redundancies or reducing the number of workers affected, and mitigating the consequences’. Hence unions have the right to table their own alternative plans to those proposed by employers, who are then required to respond and adjust their plans accordingly. As </w:t>
      </w:r>
      <w:proofErr w:type="spellStart"/>
      <w:r w:rsidRPr="00051CDE">
        <w:t>Blanpain</w:t>
      </w:r>
      <w:proofErr w:type="spellEnd"/>
      <w:r w:rsidRPr="00051CDE">
        <w:t xml:space="preserve"> (2014: para. 1934) notes: ‘This is a very strong form of consultation, which is very close to collective bargaining’. A similar definition of consultation may be found in Article 7(2) of the 2001 transfer of undertakings </w:t>
      </w:r>
      <w:r w:rsidR="00E70163" w:rsidRPr="00051CDE">
        <w:t>D</w:t>
      </w:r>
      <w:r w:rsidRPr="00051CDE">
        <w:t>irective, which requires the transferor and transferee to consult worker representatives in good time</w:t>
      </w:r>
      <w:r w:rsidR="00342E81" w:rsidRPr="00051CDE">
        <w:t>,</w:t>
      </w:r>
      <w:r w:rsidRPr="00051CDE">
        <w:t xml:space="preserve"> also ‘with a view to reaching agreement’. Consultation in the ICE </w:t>
      </w:r>
      <w:r w:rsidR="00E70163" w:rsidRPr="00051CDE">
        <w:t>D</w:t>
      </w:r>
      <w:r w:rsidRPr="00051CDE">
        <w:t xml:space="preserve">irective shall also – according to Article 4.4(e) – take place ‘with a view to reaching an agreement on decisions within the scope of the employer’s powers referred to in paragraph 2(c)’, which itself covers ‘decisions likely to lead to substantial changes in work organization or in contractual relations…’. Article 9(1) states that these provisions shall be ‘without prejudice to the specific information and consultation procedures set out in article 2 of Directive 98/59/EC [collective redundancies] and article 7 of Directive 2001/23/EC [transfer of undertakings]’. Of course, even with such a ‘strong’ definition of consultation ‘there is no </w:t>
      </w:r>
      <w:r w:rsidRPr="00051CDE">
        <w:rPr>
          <w:i/>
        </w:rPr>
        <w:t xml:space="preserve">obligation </w:t>
      </w:r>
      <w:r w:rsidRPr="00051CDE">
        <w:t xml:space="preserve">to reach </w:t>
      </w:r>
      <w:r w:rsidRPr="00051CDE">
        <w:lastRenderedPageBreak/>
        <w:t>an agreement and it may be difficult in practice to demonstrate that the employer has approached the negotiations without any intention of agreeing’ (Davies, 2012: 222-3</w:t>
      </w:r>
      <w:r w:rsidR="003740B4" w:rsidRPr="00051CDE">
        <w:t>)</w:t>
      </w:r>
      <w:r w:rsidRPr="00051CDE">
        <w:t>.</w:t>
      </w:r>
      <w:r w:rsidR="0091389A">
        <w:t xml:space="preserve"> </w:t>
      </w:r>
    </w:p>
    <w:p w14:paraId="09F6A47C" w14:textId="77777777" w:rsidR="001E6F76" w:rsidRPr="00051CDE" w:rsidRDefault="001E6F76" w:rsidP="00887411">
      <w:pPr>
        <w:pStyle w:val="NoSpacing"/>
        <w:spacing w:line="360" w:lineRule="auto"/>
      </w:pPr>
    </w:p>
    <w:p w14:paraId="5610D785" w14:textId="77777777" w:rsidR="001E6F76" w:rsidRPr="00051CDE" w:rsidRDefault="001E6F76" w:rsidP="00887411">
      <w:pPr>
        <w:pStyle w:val="NoSpacing"/>
        <w:spacing w:line="360" w:lineRule="auto"/>
        <w:rPr>
          <w:b/>
        </w:rPr>
      </w:pPr>
      <w:r w:rsidRPr="00051CDE">
        <w:rPr>
          <w:b/>
        </w:rPr>
        <w:t>The Takeover Bids Directive</w:t>
      </w:r>
      <w:r w:rsidR="00AA4381" w:rsidRPr="00051CDE">
        <w:rPr>
          <w:b/>
        </w:rPr>
        <w:t xml:space="preserve"> and the UK takeover regime</w:t>
      </w:r>
    </w:p>
    <w:p w14:paraId="5F28F2FC" w14:textId="77777777" w:rsidR="001E6F76" w:rsidRPr="00051CDE" w:rsidRDefault="001E6F76" w:rsidP="00887411">
      <w:pPr>
        <w:pStyle w:val="NoSpacing"/>
        <w:spacing w:line="360" w:lineRule="auto"/>
      </w:pPr>
    </w:p>
    <w:p w14:paraId="40FE83DD" w14:textId="46F15E5D" w:rsidR="001E6F76" w:rsidRPr="00051CDE" w:rsidRDefault="001E6F76" w:rsidP="00887411">
      <w:pPr>
        <w:pStyle w:val="NoSpacing"/>
        <w:spacing w:line="360" w:lineRule="auto"/>
      </w:pPr>
      <w:r w:rsidRPr="00051CDE">
        <w:t>By contrast, the Takeover Bids Directive merely requires the boards of both offeror and offeree company</w:t>
      </w:r>
      <w:r w:rsidRPr="00051CDE">
        <w:rPr>
          <w:rStyle w:val="EndnoteReference"/>
        </w:rPr>
        <w:endnoteReference w:id="1"/>
      </w:r>
      <w:r w:rsidRPr="00051CDE">
        <w:t xml:space="preserve"> to </w:t>
      </w:r>
      <w:r w:rsidRPr="00051CDE">
        <w:rPr>
          <w:i/>
        </w:rPr>
        <w:t>inform</w:t>
      </w:r>
      <w:r w:rsidRPr="00051CDE">
        <w:t xml:space="preserve"> employees or their representatives of the bid</w:t>
      </w:r>
      <w:r w:rsidR="000E5281" w:rsidRPr="00051CDE">
        <w:t>,</w:t>
      </w:r>
      <w:r w:rsidRPr="00051CDE">
        <w:t xml:space="preserve"> </w:t>
      </w:r>
      <w:r w:rsidR="009A0BCF" w:rsidRPr="00051CDE">
        <w:t xml:space="preserve">rather than </w:t>
      </w:r>
      <w:r w:rsidR="00A53504" w:rsidRPr="00051CDE">
        <w:t>affording a</w:t>
      </w:r>
      <w:r w:rsidR="009A0BCF" w:rsidRPr="00051CDE">
        <w:t>ny</w:t>
      </w:r>
      <w:r w:rsidR="008D171B" w:rsidRPr="00051CDE">
        <w:t xml:space="preserve"> meaningful</w:t>
      </w:r>
      <w:r w:rsidR="009A0BCF" w:rsidRPr="00051CDE">
        <w:t xml:space="preserve"> form of </w:t>
      </w:r>
      <w:r w:rsidR="009A0BCF" w:rsidRPr="00051CDE">
        <w:rPr>
          <w:i/>
        </w:rPr>
        <w:t>consultation</w:t>
      </w:r>
      <w:r w:rsidR="009A0BCF" w:rsidRPr="00051CDE">
        <w:t xml:space="preserve">, </w:t>
      </w:r>
      <w:r w:rsidRPr="00051CDE">
        <w:t>and to ensure that the offer document outlines any implications for employment</w:t>
      </w:r>
      <w:r w:rsidR="000E5281" w:rsidRPr="00051CDE">
        <w:t xml:space="preserve"> and </w:t>
      </w:r>
      <w:r w:rsidR="003740B4" w:rsidRPr="00051CDE">
        <w:t xml:space="preserve">that </w:t>
      </w:r>
      <w:r w:rsidR="000E5281" w:rsidRPr="00051CDE">
        <w:t>the offeree board circular includes the board’s views on those implications</w:t>
      </w:r>
      <w:r w:rsidRPr="00051CDE">
        <w:t xml:space="preserve">. </w:t>
      </w:r>
      <w:r w:rsidR="00FB4AD6" w:rsidRPr="00051CDE">
        <w:t>In particular, employee representatives in the offeree company have the right to append a written opinion to the offer</w:t>
      </w:r>
      <w:r w:rsidR="000E5281" w:rsidRPr="00051CDE">
        <w:t xml:space="preserve">ee board circular </w:t>
      </w:r>
      <w:r w:rsidR="00FB4AD6" w:rsidRPr="00051CDE">
        <w:t xml:space="preserve">which may, or may not, </w:t>
      </w:r>
      <w:r w:rsidR="003740B4" w:rsidRPr="00051CDE">
        <w:t xml:space="preserve">be </w:t>
      </w:r>
      <w:r w:rsidR="00FB4AD6" w:rsidRPr="00051CDE">
        <w:t>take</w:t>
      </w:r>
      <w:r w:rsidR="003740B4" w:rsidRPr="00051CDE">
        <w:t>n</w:t>
      </w:r>
      <w:r w:rsidR="00FB4AD6" w:rsidRPr="00051CDE">
        <w:t xml:space="preserve"> into account. </w:t>
      </w:r>
      <w:r w:rsidRPr="00051CDE">
        <w:t>Consultation of employees takes place on the basis of relevant national provisions, especially those deriving from other directives, such as those governing EWCs, collective redundancies</w:t>
      </w:r>
      <w:r w:rsidR="00FB4AD6" w:rsidRPr="00051CDE">
        <w:t>, ICE and the European company.</w:t>
      </w:r>
    </w:p>
    <w:p w14:paraId="7F1598B6" w14:textId="77777777" w:rsidR="00FB4AD6" w:rsidRPr="00051CDE" w:rsidRDefault="00FB4AD6" w:rsidP="00887411">
      <w:pPr>
        <w:pStyle w:val="NoSpacing"/>
        <w:spacing w:line="360" w:lineRule="auto"/>
      </w:pPr>
    </w:p>
    <w:p w14:paraId="0F13DB40" w14:textId="75BB5D80" w:rsidR="001E346F" w:rsidRPr="00051CDE" w:rsidRDefault="000C5168" w:rsidP="00826F17">
      <w:pPr>
        <w:pStyle w:val="NoSpacing"/>
        <w:spacing w:line="360" w:lineRule="auto"/>
      </w:pPr>
      <w:r w:rsidRPr="00051CDE">
        <w:t xml:space="preserve">Studies of the Takeover Bids Directive have tended to </w:t>
      </w:r>
      <w:r w:rsidR="001E6F76" w:rsidRPr="00051CDE">
        <w:t xml:space="preserve">focus on its legal provisions. Some, for example, have argued that the Directive has not sufficiently opened up the </w:t>
      </w:r>
      <w:r w:rsidRPr="00051CDE">
        <w:t>‘</w:t>
      </w:r>
      <w:r w:rsidR="001E6F76" w:rsidRPr="00051CDE">
        <w:t>market for corporate control</w:t>
      </w:r>
      <w:r w:rsidRPr="00051CDE">
        <w:t>’</w:t>
      </w:r>
      <w:r w:rsidR="001E6F76" w:rsidRPr="00051CDE">
        <w:t xml:space="preserve"> (Edwards, 2007), while others have criticized it for having gone too far in that very direction (Horn, 2012; Johnston, 2009). Further research has contrasted the application of the Directive across </w:t>
      </w:r>
      <w:r w:rsidR="0049383A" w:rsidRPr="00051CDE">
        <w:t xml:space="preserve">12 </w:t>
      </w:r>
      <w:r w:rsidR="001E6F76" w:rsidRPr="00051CDE">
        <w:t xml:space="preserve">member states of the EU </w:t>
      </w:r>
      <w:r w:rsidR="0049383A" w:rsidRPr="00051CDE">
        <w:t xml:space="preserve">and EEA </w:t>
      </w:r>
      <w:r w:rsidR="001E6F76" w:rsidRPr="00051CDE">
        <w:t>(</w:t>
      </w:r>
      <w:proofErr w:type="spellStart"/>
      <w:r w:rsidR="001E6F76" w:rsidRPr="00051CDE">
        <w:t>Cremers</w:t>
      </w:r>
      <w:proofErr w:type="spellEnd"/>
      <w:r w:rsidR="001E6F76" w:rsidRPr="00051CDE">
        <w:t xml:space="preserve"> and Vitols, 2016</w:t>
      </w:r>
      <w:r w:rsidR="003E480B" w:rsidRPr="00051CDE">
        <w:t>c</w:t>
      </w:r>
      <w:r w:rsidR="001E6F76" w:rsidRPr="00051CDE">
        <w:t xml:space="preserve">) but, again, from a legal perspective. </w:t>
      </w:r>
      <w:r w:rsidR="00AA4381" w:rsidRPr="00051CDE">
        <w:t xml:space="preserve">By contrast, </w:t>
      </w:r>
      <w:r w:rsidR="001E346F" w:rsidRPr="00051CDE">
        <w:t>our analysis is based upon an examination of the actual opinions appended to offer documents</w:t>
      </w:r>
      <w:r w:rsidR="00653141" w:rsidRPr="00051CDE">
        <w:t xml:space="preserve"> or offeree board circulars or published on a website</w:t>
      </w:r>
      <w:r w:rsidR="001E346F" w:rsidRPr="00051CDE">
        <w:t>, revealing their origins as well as the types of issues and concerns raised by employee representatives.</w:t>
      </w:r>
    </w:p>
    <w:p w14:paraId="14817F28" w14:textId="77777777" w:rsidR="001E6F76" w:rsidRPr="00051CDE" w:rsidRDefault="001E6F76" w:rsidP="00826F17">
      <w:pPr>
        <w:pStyle w:val="NoSpacing"/>
        <w:spacing w:line="360" w:lineRule="auto"/>
      </w:pPr>
    </w:p>
    <w:p w14:paraId="7AF412DC" w14:textId="3DE0173D" w:rsidR="001868BA" w:rsidRPr="00051CDE" w:rsidRDefault="001E6F76" w:rsidP="00826F17">
      <w:pPr>
        <w:spacing w:after="160" w:line="360" w:lineRule="auto"/>
        <w:rPr>
          <w:rFonts w:ascii="Times New Roman" w:hAnsi="Times New Roman" w:cs="Times New Roman"/>
          <w:sz w:val="24"/>
          <w:szCs w:val="24"/>
        </w:rPr>
      </w:pPr>
      <w:r w:rsidRPr="00051CDE">
        <w:rPr>
          <w:rFonts w:ascii="Times New Roman" w:eastAsia="Times New Roman" w:hAnsi="Times New Roman" w:cs="Times New Roman"/>
          <w:sz w:val="24"/>
          <w:szCs w:val="24"/>
          <w:lang w:val="en-IE" w:eastAsia="en-GB"/>
        </w:rPr>
        <w:t>Commentators who have analysed the complex history of the Takeover Bids Directive (</w:t>
      </w:r>
      <w:proofErr w:type="spellStart"/>
      <w:r w:rsidRPr="00051CDE">
        <w:rPr>
          <w:rFonts w:ascii="Times New Roman" w:eastAsia="Times New Roman" w:hAnsi="Times New Roman" w:cs="Times New Roman"/>
          <w:sz w:val="24"/>
          <w:szCs w:val="24"/>
          <w:lang w:val="en-IE" w:eastAsia="en-GB"/>
        </w:rPr>
        <w:t>Cremers</w:t>
      </w:r>
      <w:proofErr w:type="spellEnd"/>
      <w:r w:rsidRPr="00051CDE">
        <w:rPr>
          <w:rFonts w:ascii="Times New Roman" w:eastAsia="Times New Roman" w:hAnsi="Times New Roman" w:cs="Times New Roman"/>
          <w:sz w:val="24"/>
          <w:szCs w:val="24"/>
          <w:lang w:val="en-IE" w:eastAsia="en-GB"/>
        </w:rPr>
        <w:t xml:space="preserve"> and </w:t>
      </w:r>
      <w:proofErr w:type="spellStart"/>
      <w:r w:rsidRPr="00051CDE">
        <w:rPr>
          <w:rFonts w:ascii="Times New Roman" w:eastAsia="Times New Roman" w:hAnsi="Times New Roman" w:cs="Times New Roman"/>
          <w:sz w:val="24"/>
          <w:szCs w:val="24"/>
          <w:lang w:val="en-IE" w:eastAsia="en-GB"/>
        </w:rPr>
        <w:t>Vitols</w:t>
      </w:r>
      <w:proofErr w:type="spellEnd"/>
      <w:r w:rsidRPr="00051CDE">
        <w:rPr>
          <w:rFonts w:ascii="Times New Roman" w:eastAsia="Times New Roman" w:hAnsi="Times New Roman" w:cs="Times New Roman"/>
          <w:sz w:val="24"/>
          <w:szCs w:val="24"/>
          <w:lang w:val="en-IE" w:eastAsia="en-GB"/>
        </w:rPr>
        <w:t>, 2016</w:t>
      </w:r>
      <w:r w:rsidR="003E480B" w:rsidRPr="00051CDE">
        <w:rPr>
          <w:rFonts w:ascii="Times New Roman" w:eastAsia="Times New Roman" w:hAnsi="Times New Roman" w:cs="Times New Roman"/>
          <w:sz w:val="24"/>
          <w:szCs w:val="24"/>
          <w:lang w:val="en-IE" w:eastAsia="en-GB"/>
        </w:rPr>
        <w:t>b</w:t>
      </w:r>
      <w:r w:rsidRPr="00051CDE">
        <w:rPr>
          <w:rFonts w:ascii="Times New Roman" w:eastAsia="Times New Roman" w:hAnsi="Times New Roman" w:cs="Times New Roman"/>
          <w:sz w:val="24"/>
          <w:szCs w:val="24"/>
          <w:lang w:val="en-IE" w:eastAsia="en-GB"/>
        </w:rPr>
        <w:t>) and its general implications for employees (Clarke, 2016) have highlighted the fundamental issue that has dogged its development ever since its first draft, published in 1974: the contrast between the ‘shareholder value</w:t>
      </w:r>
      <w:r w:rsidR="00B04A39" w:rsidRPr="00051CDE">
        <w:rPr>
          <w:rFonts w:ascii="Times New Roman" w:eastAsia="Times New Roman" w:hAnsi="Times New Roman" w:cs="Times New Roman"/>
          <w:sz w:val="24"/>
          <w:szCs w:val="24"/>
          <w:lang w:val="en-IE" w:eastAsia="en-GB"/>
        </w:rPr>
        <w:t>’</w:t>
      </w:r>
      <w:r w:rsidRPr="00051CDE">
        <w:rPr>
          <w:rFonts w:ascii="Times New Roman" w:eastAsia="Times New Roman" w:hAnsi="Times New Roman" w:cs="Times New Roman"/>
          <w:sz w:val="24"/>
          <w:szCs w:val="24"/>
          <w:lang w:val="en-IE" w:eastAsia="en-GB"/>
        </w:rPr>
        <w:t xml:space="preserve"> approach towards takeovers adopted in the UK and the ‘stakeholder</w:t>
      </w:r>
      <w:r w:rsidR="00B04A39" w:rsidRPr="00051CDE">
        <w:rPr>
          <w:rFonts w:ascii="Times New Roman" w:eastAsia="Times New Roman" w:hAnsi="Times New Roman" w:cs="Times New Roman"/>
          <w:sz w:val="24"/>
          <w:szCs w:val="24"/>
          <w:lang w:val="en-IE" w:eastAsia="en-GB"/>
        </w:rPr>
        <w:t>’</w:t>
      </w:r>
      <w:r w:rsidRPr="00051CDE">
        <w:rPr>
          <w:rFonts w:ascii="Times New Roman" w:eastAsia="Times New Roman" w:hAnsi="Times New Roman" w:cs="Times New Roman"/>
          <w:sz w:val="24"/>
          <w:szCs w:val="24"/>
          <w:lang w:val="en-IE" w:eastAsia="en-GB"/>
        </w:rPr>
        <w:t xml:space="preserve"> approach associated with the co-ordinated market economies of continental Europe (Hall and Soskice, 2001). </w:t>
      </w:r>
      <w:r w:rsidRPr="00051CDE">
        <w:rPr>
          <w:rFonts w:ascii="Times New Roman" w:hAnsi="Times New Roman" w:cs="Times New Roman"/>
          <w:sz w:val="24"/>
          <w:szCs w:val="24"/>
          <w:lang w:val="en-IE"/>
        </w:rPr>
        <w:t xml:space="preserve">The </w:t>
      </w:r>
      <w:r w:rsidRPr="00051CDE">
        <w:rPr>
          <w:rFonts w:ascii="Times New Roman" w:hAnsi="Times New Roman" w:cs="Times New Roman"/>
          <w:i/>
          <w:sz w:val="24"/>
          <w:szCs w:val="24"/>
          <w:lang w:val="en-IE"/>
        </w:rPr>
        <w:t>shareholder value approach</w:t>
      </w:r>
      <w:r w:rsidRPr="00051CDE">
        <w:rPr>
          <w:rFonts w:ascii="Times New Roman" w:hAnsi="Times New Roman" w:cs="Times New Roman"/>
          <w:sz w:val="24"/>
          <w:szCs w:val="24"/>
          <w:lang w:val="en-IE"/>
        </w:rPr>
        <w:t xml:space="preserve"> views takeovers as </w:t>
      </w:r>
      <w:r w:rsidRPr="00051CDE">
        <w:rPr>
          <w:rFonts w:ascii="Times New Roman" w:hAnsi="Times New Roman" w:cs="Times New Roman"/>
          <w:sz w:val="24"/>
          <w:szCs w:val="24"/>
        </w:rPr>
        <w:t xml:space="preserve">a key mechanism for increasing </w:t>
      </w:r>
      <w:r w:rsidR="00BA6D7E" w:rsidRPr="00051CDE">
        <w:rPr>
          <w:rFonts w:ascii="Times New Roman" w:hAnsi="Times New Roman" w:cs="Times New Roman"/>
          <w:sz w:val="24"/>
          <w:szCs w:val="24"/>
        </w:rPr>
        <w:t xml:space="preserve">corporate </w:t>
      </w:r>
      <w:r w:rsidRPr="00051CDE">
        <w:rPr>
          <w:rFonts w:ascii="Times New Roman" w:hAnsi="Times New Roman" w:cs="Times New Roman"/>
          <w:sz w:val="24"/>
          <w:szCs w:val="24"/>
        </w:rPr>
        <w:t xml:space="preserve">efficiency and hostile takeovers </w:t>
      </w:r>
      <w:r w:rsidR="00BA6D7E" w:rsidRPr="00051CDE">
        <w:rPr>
          <w:rFonts w:ascii="Times New Roman" w:hAnsi="Times New Roman" w:cs="Times New Roman"/>
          <w:sz w:val="24"/>
          <w:szCs w:val="24"/>
        </w:rPr>
        <w:t xml:space="preserve">as </w:t>
      </w:r>
      <w:r w:rsidRPr="00051CDE">
        <w:rPr>
          <w:rFonts w:ascii="Times New Roman" w:hAnsi="Times New Roman" w:cs="Times New Roman"/>
          <w:sz w:val="24"/>
          <w:szCs w:val="24"/>
        </w:rPr>
        <w:t xml:space="preserve">the ultimate weapon for removing incompetent or self-serving management (Vitols, 2012). Advocates support what they call an ‘open market for corporate control’. This means </w:t>
      </w:r>
      <w:r w:rsidRPr="00051CDE">
        <w:rPr>
          <w:rFonts w:ascii="Times New Roman" w:hAnsi="Times New Roman" w:cs="Times New Roman"/>
          <w:sz w:val="24"/>
          <w:szCs w:val="24"/>
        </w:rPr>
        <w:lastRenderedPageBreak/>
        <w:t xml:space="preserve">regulations that make it easy for companies to be bought up, in part by prohibiting management from blocking takeovers of their company with defensive measures. </w:t>
      </w:r>
      <w:r w:rsidR="00F82C9F" w:rsidRPr="00051CDE">
        <w:rPr>
          <w:rFonts w:ascii="Times New Roman" w:hAnsi="Times New Roman" w:cs="Times New Roman"/>
          <w:sz w:val="24"/>
          <w:szCs w:val="24"/>
          <w:shd w:val="clear" w:color="auto" w:fill="FFFFFF"/>
        </w:rPr>
        <w:t>Company law and the takeover regime in the UK embody this approach</w:t>
      </w:r>
      <w:r w:rsidR="003E480B" w:rsidRPr="00051CDE">
        <w:rPr>
          <w:rFonts w:ascii="Times New Roman" w:hAnsi="Times New Roman" w:cs="Times New Roman"/>
          <w:sz w:val="24"/>
          <w:szCs w:val="24"/>
          <w:shd w:val="clear" w:color="auto" w:fill="FFFFFF"/>
        </w:rPr>
        <w:t xml:space="preserve">: </w:t>
      </w:r>
      <w:r w:rsidR="00F82C9F" w:rsidRPr="00051CDE">
        <w:rPr>
          <w:rFonts w:ascii="Times New Roman" w:hAnsi="Times New Roman" w:cs="Times New Roman"/>
          <w:sz w:val="24"/>
          <w:szCs w:val="24"/>
          <w:shd w:val="clear" w:color="auto" w:fill="FFFFFF"/>
        </w:rPr>
        <w:t>Section 172 of the Companies Act 2006 mak</w:t>
      </w:r>
      <w:r w:rsidR="003E480B" w:rsidRPr="00051CDE">
        <w:rPr>
          <w:rFonts w:ascii="Times New Roman" w:hAnsi="Times New Roman" w:cs="Times New Roman"/>
          <w:sz w:val="24"/>
          <w:szCs w:val="24"/>
          <w:shd w:val="clear" w:color="auto" w:fill="FFFFFF"/>
        </w:rPr>
        <w:t xml:space="preserve">es </w:t>
      </w:r>
      <w:r w:rsidR="00F82C9F" w:rsidRPr="00051CDE">
        <w:rPr>
          <w:rFonts w:ascii="Times New Roman" w:hAnsi="Times New Roman" w:cs="Times New Roman"/>
          <w:sz w:val="24"/>
          <w:szCs w:val="24"/>
          <w:shd w:val="clear" w:color="auto" w:fill="FFFFFF"/>
        </w:rPr>
        <w:t xml:space="preserve">acting in the interests of shareholders a statutory duty for directors, </w:t>
      </w:r>
      <w:r w:rsidR="003E480B" w:rsidRPr="00051CDE">
        <w:rPr>
          <w:rFonts w:ascii="Times New Roman" w:hAnsi="Times New Roman" w:cs="Times New Roman"/>
          <w:sz w:val="24"/>
          <w:szCs w:val="24"/>
          <w:shd w:val="clear" w:color="auto" w:fill="FFFFFF"/>
        </w:rPr>
        <w:t xml:space="preserve">while </w:t>
      </w:r>
      <w:r w:rsidR="00F82C9F" w:rsidRPr="00051CDE">
        <w:rPr>
          <w:rFonts w:ascii="Times New Roman" w:hAnsi="Times New Roman" w:cs="Times New Roman"/>
          <w:sz w:val="24"/>
          <w:szCs w:val="24"/>
          <w:shd w:val="clear" w:color="auto" w:fill="FFFFFF"/>
        </w:rPr>
        <w:t xml:space="preserve">the </w:t>
      </w:r>
      <w:r w:rsidR="003E480B" w:rsidRPr="00051CDE">
        <w:rPr>
          <w:rFonts w:ascii="Times New Roman" w:hAnsi="Times New Roman" w:cs="Times New Roman"/>
          <w:sz w:val="24"/>
          <w:szCs w:val="24"/>
          <w:shd w:val="clear" w:color="auto" w:fill="FFFFFF"/>
        </w:rPr>
        <w:t xml:space="preserve">principles embodied in the Takeover </w:t>
      </w:r>
      <w:r w:rsidR="00F82C9F" w:rsidRPr="00051CDE">
        <w:rPr>
          <w:rFonts w:ascii="Times New Roman" w:hAnsi="Times New Roman" w:cs="Times New Roman"/>
          <w:sz w:val="24"/>
          <w:szCs w:val="24"/>
          <w:shd w:val="clear" w:color="auto" w:fill="FFFFFF"/>
        </w:rPr>
        <w:t xml:space="preserve">Code </w:t>
      </w:r>
      <w:r w:rsidR="003740B4" w:rsidRPr="00051CDE">
        <w:rPr>
          <w:rFonts w:ascii="Times New Roman" w:hAnsi="Times New Roman" w:cs="Times New Roman"/>
          <w:sz w:val="24"/>
          <w:szCs w:val="24"/>
          <w:shd w:val="clear" w:color="auto" w:fill="FFFFFF"/>
        </w:rPr>
        <w:t>‘</w:t>
      </w:r>
      <w:r w:rsidR="00F82C9F" w:rsidRPr="00051CDE">
        <w:rPr>
          <w:rFonts w:ascii="Times New Roman" w:hAnsi="Times New Roman" w:cs="Times New Roman"/>
          <w:sz w:val="24"/>
          <w:szCs w:val="24"/>
          <w:shd w:val="clear" w:color="auto" w:fill="FFFFFF"/>
        </w:rPr>
        <w:t>operat</w:t>
      </w:r>
      <w:r w:rsidR="003E480B" w:rsidRPr="00051CDE">
        <w:rPr>
          <w:rFonts w:ascii="Times New Roman" w:hAnsi="Times New Roman" w:cs="Times New Roman"/>
          <w:sz w:val="24"/>
          <w:szCs w:val="24"/>
          <w:shd w:val="clear" w:color="auto" w:fill="FFFFFF"/>
        </w:rPr>
        <w:t xml:space="preserve">e </w:t>
      </w:r>
      <w:r w:rsidR="00F82C9F" w:rsidRPr="00051CDE">
        <w:rPr>
          <w:rFonts w:ascii="Times New Roman" w:hAnsi="Times New Roman" w:cs="Times New Roman"/>
          <w:sz w:val="24"/>
          <w:szCs w:val="24"/>
          <w:shd w:val="clear" w:color="auto" w:fill="FFFFFF"/>
        </w:rPr>
        <w:t xml:space="preserve">to ensure optimum shareholder value and to minimise directors’ </w:t>
      </w:r>
      <w:r w:rsidR="003740B4" w:rsidRPr="00051CDE">
        <w:rPr>
          <w:rFonts w:ascii="Times New Roman" w:hAnsi="Times New Roman" w:cs="Times New Roman"/>
          <w:sz w:val="24"/>
          <w:szCs w:val="24"/>
          <w:shd w:val="clear" w:color="auto" w:fill="FFFFFF"/>
        </w:rPr>
        <w:t xml:space="preserve">self-interested, or even </w:t>
      </w:r>
      <w:r w:rsidR="00F82C9F" w:rsidRPr="00051CDE">
        <w:rPr>
          <w:rFonts w:ascii="Times New Roman" w:hAnsi="Times New Roman" w:cs="Times New Roman"/>
          <w:sz w:val="24"/>
          <w:szCs w:val="24"/>
          <w:shd w:val="clear" w:color="auto" w:fill="FFFFFF"/>
        </w:rPr>
        <w:t>other stakeholder-interested obstructions to a takeover</w:t>
      </w:r>
      <w:r w:rsidR="003740B4" w:rsidRPr="00051CDE">
        <w:rPr>
          <w:rFonts w:ascii="Times New Roman" w:hAnsi="Times New Roman" w:cs="Times New Roman"/>
          <w:sz w:val="24"/>
          <w:szCs w:val="24"/>
          <w:shd w:val="clear" w:color="auto" w:fill="FFFFFF"/>
        </w:rPr>
        <w:t>’</w:t>
      </w:r>
      <w:r w:rsidR="00F82C9F" w:rsidRPr="00051CDE">
        <w:rPr>
          <w:rFonts w:ascii="Times New Roman" w:hAnsi="Times New Roman" w:cs="Times New Roman"/>
          <w:sz w:val="24"/>
          <w:szCs w:val="24"/>
          <w:shd w:val="clear" w:color="auto" w:fill="FFFFFF"/>
        </w:rPr>
        <w:t xml:space="preserve"> (Talbot, 2013</w:t>
      </w:r>
      <w:r w:rsidR="003740B4" w:rsidRPr="00051CDE">
        <w:rPr>
          <w:rFonts w:ascii="Times New Roman" w:hAnsi="Times New Roman" w:cs="Times New Roman"/>
          <w:sz w:val="24"/>
          <w:szCs w:val="24"/>
          <w:shd w:val="clear" w:color="auto" w:fill="FFFFFF"/>
        </w:rPr>
        <w:t>: 172</w:t>
      </w:r>
      <w:r w:rsidR="00F82C9F" w:rsidRPr="00051CDE">
        <w:rPr>
          <w:rFonts w:ascii="Times New Roman" w:hAnsi="Times New Roman" w:cs="Times New Roman"/>
          <w:sz w:val="24"/>
          <w:szCs w:val="24"/>
          <w:shd w:val="clear" w:color="auto" w:fill="FFFFFF"/>
        </w:rPr>
        <w:t>).</w:t>
      </w:r>
      <w:r w:rsidR="003740B4" w:rsidRPr="00051CDE">
        <w:rPr>
          <w:rFonts w:ascii="Times New Roman" w:hAnsi="Times New Roman" w:cs="Times New Roman"/>
          <w:sz w:val="24"/>
          <w:szCs w:val="24"/>
          <w:shd w:val="clear" w:color="auto" w:fill="FFFFFF"/>
        </w:rPr>
        <w:t xml:space="preserve"> It is, arguably, for this reason that employee rights are restricted to appending their opinion, a point we return to in the discussion. </w:t>
      </w:r>
    </w:p>
    <w:p w14:paraId="4B57B166" w14:textId="034235BD" w:rsidR="00851C35" w:rsidRPr="00051CDE" w:rsidRDefault="001E6F76" w:rsidP="00851C35">
      <w:pPr>
        <w:spacing w:after="160" w:line="360" w:lineRule="auto"/>
        <w:rPr>
          <w:rFonts w:ascii="Times New Roman" w:hAnsi="Times New Roman" w:cs="Times New Roman"/>
          <w:sz w:val="24"/>
          <w:szCs w:val="24"/>
        </w:rPr>
      </w:pPr>
      <w:r w:rsidRPr="00051CDE">
        <w:rPr>
          <w:rFonts w:ascii="Times New Roman" w:hAnsi="Times New Roman" w:cs="Times New Roman"/>
          <w:sz w:val="24"/>
          <w:szCs w:val="24"/>
        </w:rPr>
        <w:t xml:space="preserve">By contrast, those who adopt a </w:t>
      </w:r>
      <w:r w:rsidRPr="00051CDE">
        <w:rPr>
          <w:rFonts w:ascii="Times New Roman" w:hAnsi="Times New Roman" w:cs="Times New Roman"/>
          <w:i/>
          <w:sz w:val="24"/>
          <w:szCs w:val="24"/>
        </w:rPr>
        <w:t>stakeholder approach</w:t>
      </w:r>
      <w:r w:rsidRPr="00051CDE">
        <w:rPr>
          <w:rFonts w:ascii="Times New Roman" w:hAnsi="Times New Roman" w:cs="Times New Roman"/>
          <w:sz w:val="24"/>
          <w:szCs w:val="24"/>
        </w:rPr>
        <w:t xml:space="preserve"> view takeovers, particularly those of the hostile variety, rather differently</w:t>
      </w:r>
      <w:r w:rsidR="00BA6D7E" w:rsidRPr="00051CDE">
        <w:rPr>
          <w:rFonts w:ascii="Times New Roman" w:hAnsi="Times New Roman" w:cs="Times New Roman"/>
          <w:sz w:val="24"/>
          <w:szCs w:val="24"/>
        </w:rPr>
        <w:t>, highlighting how they</w:t>
      </w:r>
      <w:r w:rsidRPr="00051CDE">
        <w:rPr>
          <w:rFonts w:ascii="Times New Roman" w:hAnsi="Times New Roman" w:cs="Times New Roman"/>
          <w:sz w:val="24"/>
          <w:szCs w:val="24"/>
        </w:rPr>
        <w:t xml:space="preserve"> force managers to focus on short-term share price and frequently lead to workforce reductions</w:t>
      </w:r>
      <w:r w:rsidR="00BA1B0E" w:rsidRPr="00051CDE">
        <w:rPr>
          <w:rFonts w:ascii="Times New Roman" w:hAnsi="Times New Roman" w:cs="Times New Roman"/>
          <w:sz w:val="24"/>
          <w:szCs w:val="24"/>
        </w:rPr>
        <w:t>,</w:t>
      </w:r>
      <w:r w:rsidR="005E7D73" w:rsidRPr="00051CDE">
        <w:rPr>
          <w:rFonts w:ascii="Times New Roman" w:hAnsi="Times New Roman" w:cs="Times New Roman"/>
          <w:sz w:val="24"/>
          <w:szCs w:val="24"/>
        </w:rPr>
        <w:t xml:space="preserve"> </w:t>
      </w:r>
      <w:r w:rsidRPr="00051CDE">
        <w:rPr>
          <w:rFonts w:ascii="Times New Roman" w:hAnsi="Times New Roman" w:cs="Times New Roman"/>
          <w:sz w:val="24"/>
          <w:szCs w:val="24"/>
        </w:rPr>
        <w:t>poorer working conditions</w:t>
      </w:r>
      <w:r w:rsidR="00BA1B0E" w:rsidRPr="00051CDE">
        <w:rPr>
          <w:rFonts w:ascii="Times New Roman" w:hAnsi="Times New Roman" w:cs="Times New Roman"/>
          <w:sz w:val="24"/>
          <w:szCs w:val="24"/>
        </w:rPr>
        <w:t xml:space="preserve">, as well as changes to pension provisions. </w:t>
      </w:r>
      <w:r w:rsidR="00CD78F4" w:rsidRPr="00051CDE">
        <w:rPr>
          <w:rFonts w:ascii="Times New Roman" w:hAnsi="Times New Roman" w:cs="Times New Roman"/>
          <w:sz w:val="24"/>
          <w:szCs w:val="24"/>
        </w:rPr>
        <w:t>E</w:t>
      </w:r>
      <w:r w:rsidR="00BA1B0E" w:rsidRPr="00051CDE">
        <w:rPr>
          <w:rFonts w:ascii="Times New Roman" w:hAnsi="Times New Roman" w:cs="Times New Roman"/>
          <w:sz w:val="24"/>
          <w:szCs w:val="24"/>
        </w:rPr>
        <w:t xml:space="preserve">mployees may </w:t>
      </w:r>
      <w:r w:rsidR="00CD78F4" w:rsidRPr="00051CDE">
        <w:rPr>
          <w:rFonts w:ascii="Times New Roman" w:hAnsi="Times New Roman" w:cs="Times New Roman"/>
          <w:sz w:val="24"/>
          <w:szCs w:val="24"/>
        </w:rPr>
        <w:t xml:space="preserve">also </w:t>
      </w:r>
      <w:r w:rsidR="00BA1B0E" w:rsidRPr="00051CDE">
        <w:rPr>
          <w:rFonts w:ascii="Times New Roman" w:hAnsi="Times New Roman" w:cs="Times New Roman"/>
          <w:sz w:val="24"/>
          <w:szCs w:val="24"/>
        </w:rPr>
        <w:t>endure successive changes to their employer as takeovers lead to divestments of parts of the enlarged company</w:t>
      </w:r>
      <w:r w:rsidR="00526984" w:rsidRPr="00051CDE">
        <w:rPr>
          <w:rFonts w:ascii="Times New Roman" w:hAnsi="Times New Roman" w:cs="Times New Roman"/>
          <w:sz w:val="24"/>
          <w:szCs w:val="24"/>
        </w:rPr>
        <w:t xml:space="preserve">, and </w:t>
      </w:r>
      <w:r w:rsidR="00BA1B0E" w:rsidRPr="00051CDE">
        <w:rPr>
          <w:rFonts w:ascii="Times New Roman" w:hAnsi="Times New Roman" w:cs="Times New Roman"/>
          <w:sz w:val="24"/>
          <w:szCs w:val="24"/>
        </w:rPr>
        <w:t>suffer insecurity as established work relationships</w:t>
      </w:r>
      <w:r w:rsidR="00851C35" w:rsidRPr="00051CDE">
        <w:rPr>
          <w:rFonts w:ascii="Times New Roman" w:hAnsi="Times New Roman" w:cs="Times New Roman"/>
          <w:sz w:val="24"/>
          <w:szCs w:val="24"/>
        </w:rPr>
        <w:t xml:space="preserve"> are undermined</w:t>
      </w:r>
      <w:r w:rsidR="00CD78F4" w:rsidRPr="00051CDE">
        <w:rPr>
          <w:rFonts w:ascii="Times New Roman" w:hAnsi="Times New Roman" w:cs="Times New Roman"/>
          <w:sz w:val="24"/>
          <w:szCs w:val="24"/>
        </w:rPr>
        <w:t>. As Pendleton (2016: 71) notes: ‘</w:t>
      </w:r>
      <w:r w:rsidR="00BA1B0E" w:rsidRPr="00051CDE">
        <w:rPr>
          <w:rFonts w:ascii="Times New Roman" w:hAnsi="Times New Roman" w:cs="Times New Roman"/>
          <w:sz w:val="24"/>
          <w:szCs w:val="24"/>
        </w:rPr>
        <w:t>Takeovers disrupt the implicit contracts (the mutual</w:t>
      </w:r>
      <w:r w:rsidR="00CD78F4" w:rsidRPr="00051CDE">
        <w:rPr>
          <w:rFonts w:ascii="Times New Roman" w:hAnsi="Times New Roman" w:cs="Times New Roman"/>
          <w:sz w:val="24"/>
          <w:szCs w:val="24"/>
        </w:rPr>
        <w:t xml:space="preserve"> </w:t>
      </w:r>
      <w:r w:rsidR="00BA1B0E" w:rsidRPr="00051CDE">
        <w:rPr>
          <w:rFonts w:ascii="Times New Roman" w:hAnsi="Times New Roman" w:cs="Times New Roman"/>
          <w:sz w:val="24"/>
          <w:szCs w:val="24"/>
        </w:rPr>
        <w:t>expectations of how employment is managed) between companies and</w:t>
      </w:r>
      <w:r w:rsidR="00CD78F4" w:rsidRPr="00051CDE">
        <w:rPr>
          <w:rFonts w:ascii="Times New Roman" w:hAnsi="Times New Roman" w:cs="Times New Roman"/>
          <w:sz w:val="24"/>
          <w:szCs w:val="24"/>
        </w:rPr>
        <w:t xml:space="preserve"> </w:t>
      </w:r>
      <w:r w:rsidR="00BA1B0E" w:rsidRPr="00051CDE">
        <w:rPr>
          <w:rFonts w:ascii="Times New Roman" w:hAnsi="Times New Roman" w:cs="Times New Roman"/>
          <w:sz w:val="24"/>
          <w:szCs w:val="24"/>
        </w:rPr>
        <w:t>their employees, with acquiring owners reneging on the deals, norms and</w:t>
      </w:r>
      <w:r w:rsidR="00CD78F4" w:rsidRPr="00051CDE">
        <w:rPr>
          <w:rFonts w:ascii="Times New Roman" w:hAnsi="Times New Roman" w:cs="Times New Roman"/>
          <w:sz w:val="24"/>
          <w:szCs w:val="24"/>
        </w:rPr>
        <w:t xml:space="preserve"> </w:t>
      </w:r>
      <w:r w:rsidR="00BA1B0E" w:rsidRPr="00051CDE">
        <w:rPr>
          <w:rFonts w:ascii="Times New Roman" w:hAnsi="Times New Roman" w:cs="Times New Roman"/>
          <w:sz w:val="24"/>
          <w:szCs w:val="24"/>
        </w:rPr>
        <w:t>expectations established under the previous regime</w:t>
      </w:r>
      <w:r w:rsidR="00CD78F4" w:rsidRPr="00051CDE">
        <w:rPr>
          <w:rFonts w:ascii="Times New Roman" w:hAnsi="Times New Roman" w:cs="Times New Roman"/>
          <w:sz w:val="24"/>
          <w:szCs w:val="24"/>
        </w:rPr>
        <w:t xml:space="preserve">’. </w:t>
      </w:r>
      <w:r w:rsidR="00826F17" w:rsidRPr="00051CDE">
        <w:rPr>
          <w:rFonts w:ascii="Times New Roman" w:hAnsi="Times New Roman" w:cs="Times New Roman"/>
          <w:sz w:val="24"/>
          <w:szCs w:val="24"/>
        </w:rPr>
        <w:t xml:space="preserve">Moreover, </w:t>
      </w:r>
      <w:r w:rsidR="00826F17" w:rsidRPr="00051CDE">
        <w:rPr>
          <w:rFonts w:ascii="Times New Roman" w:hAnsi="Times New Roman" w:cs="Times New Roman"/>
          <w:sz w:val="24"/>
          <w:szCs w:val="24"/>
          <w:shd w:val="clear" w:color="auto" w:fill="FFFFFF"/>
        </w:rPr>
        <w:t>shareholder value</w:t>
      </w:r>
      <w:r w:rsidR="003D1FF6" w:rsidRPr="00051CDE">
        <w:rPr>
          <w:rFonts w:ascii="Times New Roman" w:hAnsi="Times New Roman" w:cs="Times New Roman"/>
          <w:sz w:val="24"/>
          <w:szCs w:val="24"/>
          <w:shd w:val="clear" w:color="auto" w:fill="FFFFFF"/>
        </w:rPr>
        <w:t>, which</w:t>
      </w:r>
      <w:r w:rsidR="00826F17" w:rsidRPr="00051CDE">
        <w:rPr>
          <w:rFonts w:ascii="Times New Roman" w:hAnsi="Times New Roman" w:cs="Times New Roman"/>
          <w:sz w:val="24"/>
          <w:szCs w:val="24"/>
          <w:shd w:val="clear" w:color="auto" w:fill="FFFFFF"/>
        </w:rPr>
        <w:t xml:space="preserve"> </w:t>
      </w:r>
      <w:r w:rsidR="003D1FF6" w:rsidRPr="00051CDE">
        <w:rPr>
          <w:rFonts w:ascii="Times New Roman" w:hAnsi="Times New Roman" w:cs="Times New Roman"/>
          <w:sz w:val="24"/>
          <w:szCs w:val="24"/>
          <w:shd w:val="clear" w:color="auto" w:fill="FFFFFF"/>
        </w:rPr>
        <w:t xml:space="preserve">is </w:t>
      </w:r>
      <w:r w:rsidR="00826F17" w:rsidRPr="00051CDE">
        <w:rPr>
          <w:rFonts w:ascii="Times New Roman" w:hAnsi="Times New Roman" w:cs="Times New Roman"/>
          <w:sz w:val="24"/>
          <w:szCs w:val="24"/>
          <w:shd w:val="clear" w:color="auto" w:fill="FFFFFF"/>
        </w:rPr>
        <w:t xml:space="preserve">also generated by cutting costs, encourages managers to bargain hard with employees, outsource work wherever possible, </w:t>
      </w:r>
      <w:proofErr w:type="spellStart"/>
      <w:r w:rsidR="00826F17" w:rsidRPr="00051CDE">
        <w:rPr>
          <w:rFonts w:ascii="Times New Roman" w:hAnsi="Times New Roman" w:cs="Times New Roman"/>
          <w:sz w:val="24"/>
          <w:szCs w:val="24"/>
          <w:shd w:val="clear" w:color="auto" w:fill="FFFFFF"/>
        </w:rPr>
        <w:t>casualize</w:t>
      </w:r>
      <w:proofErr w:type="spellEnd"/>
      <w:r w:rsidR="00826F17" w:rsidRPr="00051CDE">
        <w:rPr>
          <w:rFonts w:ascii="Times New Roman" w:hAnsi="Times New Roman" w:cs="Times New Roman"/>
          <w:sz w:val="24"/>
          <w:szCs w:val="24"/>
          <w:shd w:val="clear" w:color="auto" w:fill="FFFFFF"/>
        </w:rPr>
        <w:t xml:space="preserve"> the workforce </w:t>
      </w:r>
      <w:r w:rsidR="00851C35" w:rsidRPr="00051CDE">
        <w:rPr>
          <w:rFonts w:ascii="Times New Roman" w:hAnsi="Times New Roman" w:cs="Times New Roman"/>
          <w:sz w:val="24"/>
          <w:szCs w:val="24"/>
          <w:shd w:val="clear" w:color="auto" w:fill="FFFFFF"/>
        </w:rPr>
        <w:t xml:space="preserve">and </w:t>
      </w:r>
      <w:r w:rsidR="00826F17" w:rsidRPr="00051CDE">
        <w:rPr>
          <w:rFonts w:ascii="Times New Roman" w:hAnsi="Times New Roman" w:cs="Times New Roman"/>
          <w:sz w:val="24"/>
          <w:szCs w:val="24"/>
          <w:shd w:val="clear" w:color="auto" w:fill="FFFFFF"/>
        </w:rPr>
        <w:t xml:space="preserve">sell off non-core businesses. </w:t>
      </w:r>
      <w:r w:rsidRPr="00051CDE">
        <w:rPr>
          <w:rFonts w:ascii="Times New Roman" w:hAnsi="Times New Roman" w:cs="Times New Roman"/>
          <w:sz w:val="24"/>
          <w:szCs w:val="24"/>
        </w:rPr>
        <w:t xml:space="preserve">In the interests of </w:t>
      </w:r>
      <w:r w:rsidR="00BA6D7E" w:rsidRPr="00051CDE">
        <w:rPr>
          <w:rFonts w:ascii="Times New Roman" w:hAnsi="Times New Roman" w:cs="Times New Roman"/>
          <w:sz w:val="24"/>
          <w:szCs w:val="24"/>
        </w:rPr>
        <w:t xml:space="preserve">fostering more </w:t>
      </w:r>
      <w:r w:rsidRPr="00051CDE">
        <w:rPr>
          <w:rFonts w:ascii="Times New Roman" w:hAnsi="Times New Roman" w:cs="Times New Roman"/>
          <w:sz w:val="24"/>
          <w:szCs w:val="24"/>
        </w:rPr>
        <w:t xml:space="preserve">sustainable companies, stakeholder advocates therefore argue for strengthening regulations to </w:t>
      </w:r>
      <w:r w:rsidR="00BA6D7E" w:rsidRPr="00051CDE">
        <w:rPr>
          <w:rFonts w:ascii="Times New Roman" w:hAnsi="Times New Roman" w:cs="Times New Roman"/>
          <w:sz w:val="24"/>
          <w:szCs w:val="24"/>
        </w:rPr>
        <w:t>allow</w:t>
      </w:r>
      <w:r w:rsidRPr="00051CDE">
        <w:rPr>
          <w:rFonts w:ascii="Times New Roman" w:hAnsi="Times New Roman" w:cs="Times New Roman"/>
          <w:sz w:val="24"/>
          <w:szCs w:val="24"/>
        </w:rPr>
        <w:t xml:space="preserve"> managers </w:t>
      </w:r>
      <w:r w:rsidR="00BA6D7E" w:rsidRPr="00051CDE">
        <w:rPr>
          <w:rFonts w:ascii="Times New Roman" w:hAnsi="Times New Roman" w:cs="Times New Roman"/>
          <w:sz w:val="24"/>
          <w:szCs w:val="24"/>
        </w:rPr>
        <w:t xml:space="preserve">to </w:t>
      </w:r>
      <w:r w:rsidRPr="00051CDE">
        <w:rPr>
          <w:rFonts w:ascii="Times New Roman" w:hAnsi="Times New Roman" w:cs="Times New Roman"/>
          <w:sz w:val="24"/>
          <w:szCs w:val="24"/>
        </w:rPr>
        <w:t>take defensive measures against hostile bids and to give workers</w:t>
      </w:r>
      <w:r w:rsidR="001A607C" w:rsidRPr="00051CDE">
        <w:rPr>
          <w:rFonts w:ascii="Times New Roman" w:hAnsi="Times New Roman" w:cs="Times New Roman"/>
          <w:sz w:val="24"/>
          <w:szCs w:val="24"/>
        </w:rPr>
        <w:t xml:space="preserve"> genuine</w:t>
      </w:r>
      <w:r w:rsidRPr="00051CDE">
        <w:rPr>
          <w:rFonts w:ascii="Times New Roman" w:hAnsi="Times New Roman" w:cs="Times New Roman"/>
          <w:sz w:val="24"/>
          <w:szCs w:val="24"/>
        </w:rPr>
        <w:t xml:space="preserve"> </w:t>
      </w:r>
      <w:r w:rsidR="00ED720C" w:rsidRPr="00051CDE">
        <w:rPr>
          <w:rFonts w:ascii="Times New Roman" w:hAnsi="Times New Roman" w:cs="Times New Roman"/>
          <w:sz w:val="24"/>
          <w:szCs w:val="24"/>
        </w:rPr>
        <w:t xml:space="preserve">influence over the decision: ‘Workers should be involved at an early stage in the takeover process, when discussions within the bidder company or between the potential bidder and management of the target company are developing’ </w:t>
      </w:r>
      <w:r w:rsidR="003E480B" w:rsidRPr="00051CDE">
        <w:rPr>
          <w:rFonts w:ascii="Times New Roman" w:hAnsi="Times New Roman" w:cs="Times New Roman"/>
          <w:sz w:val="24"/>
          <w:szCs w:val="24"/>
        </w:rPr>
        <w:t>(</w:t>
      </w:r>
      <w:proofErr w:type="spellStart"/>
      <w:r w:rsidR="003E480B" w:rsidRPr="00051CDE">
        <w:rPr>
          <w:rFonts w:ascii="Times New Roman" w:hAnsi="Times New Roman" w:cs="Times New Roman"/>
          <w:sz w:val="24"/>
          <w:szCs w:val="24"/>
        </w:rPr>
        <w:t>Cremers</w:t>
      </w:r>
      <w:proofErr w:type="spellEnd"/>
      <w:r w:rsidR="003E480B" w:rsidRPr="00051CDE">
        <w:rPr>
          <w:rFonts w:ascii="Times New Roman" w:hAnsi="Times New Roman" w:cs="Times New Roman"/>
          <w:sz w:val="24"/>
          <w:szCs w:val="24"/>
        </w:rPr>
        <w:t xml:space="preserve"> and Vitols, 2016</w:t>
      </w:r>
      <w:r w:rsidR="00ED720C" w:rsidRPr="00051CDE">
        <w:rPr>
          <w:rFonts w:ascii="Times New Roman" w:hAnsi="Times New Roman" w:cs="Times New Roman"/>
          <w:sz w:val="24"/>
          <w:szCs w:val="24"/>
        </w:rPr>
        <w:t>a: 245</w:t>
      </w:r>
      <w:r w:rsidR="003E480B" w:rsidRPr="00051CDE">
        <w:rPr>
          <w:rFonts w:ascii="Times New Roman" w:hAnsi="Times New Roman" w:cs="Times New Roman"/>
          <w:sz w:val="24"/>
          <w:szCs w:val="24"/>
        </w:rPr>
        <w:t xml:space="preserve">). </w:t>
      </w:r>
    </w:p>
    <w:p w14:paraId="073447E3" w14:textId="237269DA" w:rsidR="001E6F76" w:rsidRPr="00051CDE" w:rsidRDefault="003D1FF6">
      <w:pPr>
        <w:pStyle w:val="NoSpacing"/>
        <w:spacing w:line="360" w:lineRule="auto"/>
      </w:pPr>
      <w:r w:rsidRPr="00051CDE">
        <w:t>Nevertheless, t</w:t>
      </w:r>
      <w:r w:rsidR="001E6F76" w:rsidRPr="00051CDE">
        <w:t xml:space="preserve">he underlying philosophy of the 2004 Takeover Bids Directive is </w:t>
      </w:r>
      <w:r w:rsidR="00AA4381" w:rsidRPr="00051CDE">
        <w:t xml:space="preserve">very much in line with the shareholder value perspective, namely </w:t>
      </w:r>
      <w:r w:rsidR="001E6F76" w:rsidRPr="00051CDE">
        <w:t xml:space="preserve">that, as a whole, takeovers facilitate </w:t>
      </w:r>
      <w:r w:rsidR="00BA6D7E" w:rsidRPr="00051CDE">
        <w:t xml:space="preserve">corporate </w:t>
      </w:r>
      <w:r w:rsidR="001E6F76" w:rsidRPr="00051CDE">
        <w:t xml:space="preserve">restructuring and improve the efficiency of the European economy, and hence should be promoted. Although some proposals (notably from the European Parliament) </w:t>
      </w:r>
      <w:r w:rsidR="00BA6D7E" w:rsidRPr="00051CDE">
        <w:t xml:space="preserve">have </w:t>
      </w:r>
      <w:r w:rsidR="001E6F76" w:rsidRPr="00051CDE">
        <w:t>included stronger rights for employee information and consultation, the 2004 Takeover</w:t>
      </w:r>
      <w:r w:rsidR="00BA6D7E" w:rsidRPr="00051CDE">
        <w:t xml:space="preserve"> Bids</w:t>
      </w:r>
      <w:r w:rsidR="001E6F76" w:rsidRPr="00051CDE">
        <w:t xml:space="preserve"> Directive in effect gives shareholders in the ‘target’ company the final say over accepting or rejecting the takeover bid (Clarke, 2016).</w:t>
      </w:r>
    </w:p>
    <w:p w14:paraId="7BB687CF" w14:textId="77777777" w:rsidR="001E6F76" w:rsidRPr="00051CDE" w:rsidRDefault="001E6F76" w:rsidP="00887411">
      <w:pPr>
        <w:pStyle w:val="NoSpacing"/>
        <w:spacing w:line="360" w:lineRule="auto"/>
        <w:rPr>
          <w:lang w:val="en-IE"/>
        </w:rPr>
      </w:pPr>
    </w:p>
    <w:p w14:paraId="1D7D2C11" w14:textId="7CF16743" w:rsidR="000E6888" w:rsidRPr="00051CDE" w:rsidRDefault="001E6F76" w:rsidP="00887411">
      <w:pPr>
        <w:pStyle w:val="NoSpacing"/>
        <w:spacing w:line="360" w:lineRule="auto"/>
      </w:pPr>
      <w:r w:rsidRPr="00051CDE">
        <w:rPr>
          <w:lang w:val="en-IE"/>
        </w:rPr>
        <w:lastRenderedPageBreak/>
        <w:t>In the UK</w:t>
      </w:r>
      <w:r w:rsidR="00944A31" w:rsidRPr="00051CDE">
        <w:rPr>
          <w:lang w:val="en-IE"/>
        </w:rPr>
        <w:t xml:space="preserve">, takeovers </w:t>
      </w:r>
      <w:r w:rsidR="00BA1B0E" w:rsidRPr="00051CDE">
        <w:rPr>
          <w:shd w:val="clear" w:color="auto" w:fill="FFFFFF"/>
        </w:rPr>
        <w:t>a</w:t>
      </w:r>
      <w:r w:rsidR="00017062" w:rsidRPr="00051CDE">
        <w:rPr>
          <w:shd w:val="clear" w:color="auto" w:fill="FFFFFF"/>
        </w:rPr>
        <w:t>re regulated by a combination of the Takeover Code, the Takeover Panel, the Companies Act 2006 and the Financial Services and Markets Act (FSMA) 2000</w:t>
      </w:r>
      <w:r w:rsidR="00BA1B0E" w:rsidRPr="00051CDE">
        <w:rPr>
          <w:shd w:val="clear" w:color="auto" w:fill="FFFFFF"/>
        </w:rPr>
        <w:t xml:space="preserve">. </w:t>
      </w:r>
      <w:r w:rsidRPr="00051CDE">
        <w:rPr>
          <w:lang w:val="en-IE"/>
        </w:rPr>
        <w:t xml:space="preserve">The </w:t>
      </w:r>
      <w:r w:rsidR="005A3E7F" w:rsidRPr="00051CDE">
        <w:rPr>
          <w:lang w:val="en-IE"/>
        </w:rPr>
        <w:t xml:space="preserve">Takeover </w:t>
      </w:r>
      <w:r w:rsidRPr="00051CDE">
        <w:rPr>
          <w:lang w:val="en-IE"/>
        </w:rPr>
        <w:t>Code (</w:t>
      </w:r>
      <w:r w:rsidR="00E54FAD" w:rsidRPr="00051CDE">
        <w:rPr>
          <w:lang w:val="en-IE"/>
        </w:rPr>
        <w:t>‘</w:t>
      </w:r>
      <w:r w:rsidRPr="00051CDE">
        <w:rPr>
          <w:lang w:val="en-IE"/>
        </w:rPr>
        <w:t>the Code’), which is issued and administered by the Takeover Panel, is the main repository of rules governing the process and focuses on fairness for the target</w:t>
      </w:r>
      <w:r w:rsidR="00B04A39" w:rsidRPr="00051CDE">
        <w:rPr>
          <w:lang w:val="en-IE"/>
        </w:rPr>
        <w:t xml:space="preserve"> company</w:t>
      </w:r>
      <w:r w:rsidRPr="00051CDE">
        <w:rPr>
          <w:lang w:val="en-IE"/>
        </w:rPr>
        <w:t xml:space="preserve">’s shareholders. It is designed to ensure that target shareholders are treated fairly and not denied the opportunity to decide on the merits of a bid, and that they are afforded equivalent treatment by a bidder. </w:t>
      </w:r>
      <w:r w:rsidR="000E6888" w:rsidRPr="00051CDE">
        <w:t xml:space="preserve">Over recent years, the </w:t>
      </w:r>
      <w:r w:rsidR="00E54FAD" w:rsidRPr="00051CDE">
        <w:t xml:space="preserve">Code </w:t>
      </w:r>
      <w:r w:rsidR="000E6888" w:rsidRPr="00051CDE">
        <w:t xml:space="preserve">has been amended </w:t>
      </w:r>
      <w:r w:rsidR="004A3286">
        <w:t xml:space="preserve">several times </w:t>
      </w:r>
      <w:r w:rsidR="000E6888" w:rsidRPr="00051CDE">
        <w:t>in line with the requirements of the Takeover Bids Directive</w:t>
      </w:r>
      <w:r w:rsidR="00E54FAD" w:rsidRPr="00051CDE">
        <w:t>,</w:t>
      </w:r>
      <w:r w:rsidR="000E6888" w:rsidRPr="00051CDE">
        <w:t xml:space="preserve"> </w:t>
      </w:r>
      <w:r w:rsidR="00DE5E5A" w:rsidRPr="00051CDE">
        <w:t xml:space="preserve">as well as in light of </w:t>
      </w:r>
      <w:r w:rsidR="000E6888" w:rsidRPr="00051CDE">
        <w:t xml:space="preserve">the Kraft/Cadbury takeover </w:t>
      </w:r>
      <w:r w:rsidR="00E54FAD" w:rsidRPr="00051CDE">
        <w:t xml:space="preserve">and </w:t>
      </w:r>
      <w:r w:rsidR="00DE5E5A" w:rsidRPr="00051CDE">
        <w:t xml:space="preserve">a </w:t>
      </w:r>
      <w:r w:rsidR="00E54FAD" w:rsidRPr="00051CDE">
        <w:t xml:space="preserve">further </w:t>
      </w:r>
      <w:r w:rsidR="00DE5E5A" w:rsidRPr="00051CDE">
        <w:t xml:space="preserve">subsequent </w:t>
      </w:r>
      <w:r w:rsidR="00E54FAD" w:rsidRPr="00051CDE">
        <w:t xml:space="preserve">review of its effectiveness by the Panel, </w:t>
      </w:r>
      <w:r w:rsidR="000E6888" w:rsidRPr="00051CDE">
        <w:t>as we discuss below. Commentators have pointed out that ‘practice will have to show whether [revisions of the regulations] have resulted in a significant strengthening of workers’ rights in takeover situations’ (</w:t>
      </w:r>
      <w:proofErr w:type="spellStart"/>
      <w:r w:rsidR="000E6888" w:rsidRPr="00051CDE">
        <w:t>Cremers</w:t>
      </w:r>
      <w:proofErr w:type="spellEnd"/>
      <w:r w:rsidR="000E6888" w:rsidRPr="00051CDE">
        <w:t xml:space="preserve"> and Vitols, 2016</w:t>
      </w:r>
      <w:r w:rsidR="00944A31" w:rsidRPr="00051CDE">
        <w:t>b</w:t>
      </w:r>
      <w:r w:rsidR="000E6888" w:rsidRPr="00051CDE">
        <w:t>: 28) and whether they ‘help facilitate an objective and accurate exchange of information’ (</w:t>
      </w:r>
      <w:proofErr w:type="spellStart"/>
      <w:r w:rsidR="000E6888" w:rsidRPr="00051CDE">
        <w:t>Tsagas</w:t>
      </w:r>
      <w:proofErr w:type="spellEnd"/>
      <w:r w:rsidR="000E6888" w:rsidRPr="00051CDE">
        <w:t xml:space="preserve">, 2016: 239). This article accordingly examines the </w:t>
      </w:r>
      <w:r w:rsidR="00404087" w:rsidRPr="00051CDE">
        <w:t xml:space="preserve">information disclosure </w:t>
      </w:r>
      <w:r w:rsidR="00DE5E5A" w:rsidRPr="00051CDE">
        <w:t xml:space="preserve">aspects of the </w:t>
      </w:r>
      <w:r w:rsidR="000E6888" w:rsidRPr="00051CDE">
        <w:t xml:space="preserve">regulations over </w:t>
      </w:r>
      <w:r w:rsidR="00C36EAC" w:rsidRPr="00051CDE">
        <w:t xml:space="preserve">12 </w:t>
      </w:r>
      <w:r w:rsidR="000E6888" w:rsidRPr="00051CDE">
        <w:t>years of operation</w:t>
      </w:r>
      <w:r w:rsidR="003D1FF6" w:rsidRPr="00051CDE">
        <w:t xml:space="preserve">, </w:t>
      </w:r>
      <w:r w:rsidR="000E6888" w:rsidRPr="00051CDE">
        <w:t xml:space="preserve">and </w:t>
      </w:r>
      <w:r w:rsidR="00DE5E5A" w:rsidRPr="00051CDE">
        <w:t>offers an assessment of</w:t>
      </w:r>
      <w:r w:rsidR="000E6888" w:rsidRPr="00051CDE">
        <w:t xml:space="preserve"> the extent to which they </w:t>
      </w:r>
      <w:r w:rsidR="00DE5E5A" w:rsidRPr="00051CDE">
        <w:t xml:space="preserve">are likely to </w:t>
      </w:r>
      <w:r w:rsidR="000E6888" w:rsidRPr="00051CDE">
        <w:t>have strengthened workers’ rights in the UK</w:t>
      </w:r>
      <w:r w:rsidR="003D1FF6" w:rsidRPr="00051CDE">
        <w:t>.</w:t>
      </w:r>
    </w:p>
    <w:p w14:paraId="66104F5B" w14:textId="77777777" w:rsidR="001E6F76" w:rsidRPr="00051CDE" w:rsidRDefault="001E6F76" w:rsidP="00887411">
      <w:pPr>
        <w:pStyle w:val="NoSpacing"/>
        <w:spacing w:line="360" w:lineRule="auto"/>
      </w:pPr>
    </w:p>
    <w:p w14:paraId="1AC14554" w14:textId="66781E8A" w:rsidR="001E6F76" w:rsidRPr="00051CDE" w:rsidRDefault="001E6F76" w:rsidP="00887411">
      <w:pPr>
        <w:pStyle w:val="NoSpacing"/>
        <w:spacing w:line="360" w:lineRule="auto"/>
        <w:rPr>
          <w:i/>
        </w:rPr>
      </w:pPr>
      <w:r w:rsidRPr="00051CDE">
        <w:rPr>
          <w:i/>
        </w:rPr>
        <w:t>Amendments</w:t>
      </w:r>
      <w:r w:rsidR="00AA4381" w:rsidRPr="00051CDE">
        <w:rPr>
          <w:i/>
        </w:rPr>
        <w:t xml:space="preserve"> to the Code</w:t>
      </w:r>
      <w:r w:rsidRPr="00051CDE">
        <w:rPr>
          <w:i/>
        </w:rPr>
        <w:t xml:space="preserve"> </w:t>
      </w:r>
      <w:r w:rsidR="00404087" w:rsidRPr="00051CDE">
        <w:rPr>
          <w:i/>
        </w:rPr>
        <w:t xml:space="preserve">following </w:t>
      </w:r>
      <w:r w:rsidRPr="00051CDE">
        <w:rPr>
          <w:i/>
        </w:rPr>
        <w:t>the Directive</w:t>
      </w:r>
    </w:p>
    <w:p w14:paraId="038D773E" w14:textId="77777777" w:rsidR="001E6F76" w:rsidRPr="00051CDE" w:rsidRDefault="001E6F76" w:rsidP="00887411">
      <w:pPr>
        <w:pStyle w:val="NoSpacing"/>
        <w:spacing w:line="360" w:lineRule="auto"/>
      </w:pPr>
    </w:p>
    <w:p w14:paraId="65244330" w14:textId="102B90B8" w:rsidR="001E6F76" w:rsidRPr="00051CDE" w:rsidRDefault="001E6F76" w:rsidP="00887411">
      <w:pPr>
        <w:pStyle w:val="NoSpacing"/>
        <w:spacing w:line="360" w:lineRule="auto"/>
        <w:rPr>
          <w:color w:val="000000"/>
        </w:rPr>
      </w:pPr>
      <w:r w:rsidRPr="00051CDE">
        <w:rPr>
          <w:color w:val="000000"/>
        </w:rPr>
        <w:t>The</w:t>
      </w:r>
      <w:r w:rsidR="00DE5E5A" w:rsidRPr="00051CDE">
        <w:rPr>
          <w:color w:val="000000"/>
        </w:rPr>
        <w:t xml:space="preserve"> primary</w:t>
      </w:r>
      <w:r w:rsidRPr="00051CDE">
        <w:rPr>
          <w:color w:val="000000"/>
        </w:rPr>
        <w:t xml:space="preserve"> significance of the Takeover Bids Directive for the UK is that it </w:t>
      </w:r>
      <w:r w:rsidR="000958CE" w:rsidRPr="00051CDE">
        <w:rPr>
          <w:color w:val="000000"/>
        </w:rPr>
        <w:t xml:space="preserve">resulted in </w:t>
      </w:r>
      <w:r w:rsidRPr="00051CDE">
        <w:rPr>
          <w:color w:val="000000"/>
        </w:rPr>
        <w:t xml:space="preserve">the Takeover Panel </w:t>
      </w:r>
      <w:r w:rsidR="000958CE" w:rsidRPr="00051CDE">
        <w:rPr>
          <w:color w:val="000000"/>
        </w:rPr>
        <w:t xml:space="preserve">being </w:t>
      </w:r>
      <w:r w:rsidR="005C3FF1" w:rsidRPr="00051CDE">
        <w:rPr>
          <w:color w:val="000000"/>
        </w:rPr>
        <w:t xml:space="preserve">given </w:t>
      </w:r>
      <w:r w:rsidRPr="00051CDE">
        <w:rPr>
          <w:color w:val="000000"/>
        </w:rPr>
        <w:t xml:space="preserve">a statutory </w:t>
      </w:r>
      <w:r w:rsidR="005C3FF1" w:rsidRPr="00051CDE">
        <w:rPr>
          <w:color w:val="000000"/>
        </w:rPr>
        <w:t xml:space="preserve">underpinning </w:t>
      </w:r>
      <w:r w:rsidRPr="00051CDE">
        <w:rPr>
          <w:color w:val="000000"/>
        </w:rPr>
        <w:t>in 2006</w:t>
      </w:r>
      <w:r w:rsidR="001A6238" w:rsidRPr="00051CDE">
        <w:rPr>
          <w:color w:val="000000"/>
        </w:rPr>
        <w:t>,</w:t>
      </w:r>
      <w:r w:rsidR="00D107FE" w:rsidRPr="00051CDE">
        <w:rPr>
          <w:color w:val="000000"/>
        </w:rPr>
        <w:t xml:space="preserve"> though it remains an unincorporated association</w:t>
      </w:r>
      <w:r w:rsidRPr="00051CDE">
        <w:rPr>
          <w:color w:val="000000"/>
        </w:rPr>
        <w:t xml:space="preserve">. Since its establishment in 1968 and until 2006, the Panel had been a self-regulatory body. As such, compliance with its Code was voluntary. The Takeover Bids Directive required the UK government to grant it extra powers and duties to formulate and enforce rules in line with the terms of the Directive (though until </w:t>
      </w:r>
      <w:r w:rsidR="00761FF9" w:rsidRPr="00051CDE">
        <w:rPr>
          <w:color w:val="000000"/>
        </w:rPr>
        <w:t xml:space="preserve">April 2017 </w:t>
      </w:r>
      <w:r w:rsidR="00D107FE" w:rsidRPr="00051CDE">
        <w:rPr>
          <w:color w:val="000000"/>
        </w:rPr>
        <w:t xml:space="preserve">it </w:t>
      </w:r>
      <w:r w:rsidRPr="00051CDE">
        <w:rPr>
          <w:color w:val="000000"/>
        </w:rPr>
        <w:t>ha</w:t>
      </w:r>
      <w:r w:rsidR="00761FF9" w:rsidRPr="00051CDE">
        <w:rPr>
          <w:color w:val="000000"/>
        </w:rPr>
        <w:t>d</w:t>
      </w:r>
      <w:r w:rsidRPr="00051CDE">
        <w:rPr>
          <w:color w:val="000000"/>
        </w:rPr>
        <w:t xml:space="preserve"> </w:t>
      </w:r>
      <w:r w:rsidR="005C3FF1" w:rsidRPr="00051CDE">
        <w:rPr>
          <w:color w:val="000000"/>
        </w:rPr>
        <w:t xml:space="preserve">not </w:t>
      </w:r>
      <w:r w:rsidRPr="00051CDE">
        <w:rPr>
          <w:color w:val="000000"/>
        </w:rPr>
        <w:t>exercise</w:t>
      </w:r>
      <w:r w:rsidR="005C3FF1" w:rsidRPr="00051CDE">
        <w:rPr>
          <w:color w:val="000000"/>
        </w:rPr>
        <w:t>d</w:t>
      </w:r>
      <w:r w:rsidRPr="00051CDE">
        <w:rPr>
          <w:color w:val="000000"/>
        </w:rPr>
        <w:t xml:space="preserve"> its enforcement powers).</w:t>
      </w:r>
      <w:r w:rsidR="00761FF9" w:rsidRPr="00051CDE">
        <w:rPr>
          <w:rStyle w:val="EndnoteReference"/>
          <w:color w:val="000000"/>
        </w:rPr>
        <w:endnoteReference w:id="2"/>
      </w:r>
      <w:r w:rsidRPr="00051CDE">
        <w:rPr>
          <w:color w:val="000000"/>
        </w:rPr>
        <w:t xml:space="preserve"> </w:t>
      </w:r>
    </w:p>
    <w:p w14:paraId="3B327516" w14:textId="77777777" w:rsidR="001E6F76" w:rsidRPr="00051CDE" w:rsidRDefault="001E6F76" w:rsidP="00887411">
      <w:pPr>
        <w:pStyle w:val="NoSpacing"/>
        <w:spacing w:line="360" w:lineRule="auto"/>
      </w:pPr>
    </w:p>
    <w:p w14:paraId="38D185DC" w14:textId="00C78ED6" w:rsidR="001E6F76" w:rsidRPr="00051CDE" w:rsidRDefault="001E6F76" w:rsidP="00887411">
      <w:pPr>
        <w:pStyle w:val="NoSpacing"/>
        <w:spacing w:line="360" w:lineRule="auto"/>
      </w:pPr>
      <w:r w:rsidRPr="00051CDE">
        <w:t>When the Directive was enacted into UK legislation in May 2006,</w:t>
      </w:r>
      <w:r w:rsidRPr="00051CDE">
        <w:rPr>
          <w:rStyle w:val="EndnoteReference"/>
        </w:rPr>
        <w:endnoteReference w:id="3"/>
      </w:r>
      <w:r w:rsidRPr="00051CDE">
        <w:t xml:space="preserve"> the Code required major amendment with respect to information to employees</w:t>
      </w:r>
      <w:r w:rsidR="00D87A24" w:rsidRPr="00051CDE">
        <w:t>.</w:t>
      </w:r>
      <w:r w:rsidR="001F3799" w:rsidRPr="00051CDE">
        <w:t xml:space="preserve"> </w:t>
      </w:r>
      <w:r w:rsidRPr="00051CDE">
        <w:t xml:space="preserve">Article 6 of the Directive </w:t>
      </w:r>
      <w:r w:rsidR="00AA475E" w:rsidRPr="00051CDE">
        <w:t xml:space="preserve">focuses </w:t>
      </w:r>
      <w:r w:rsidRPr="00051CDE">
        <w:t>on informing employees and their representatives</w:t>
      </w:r>
      <w:r w:rsidR="00F65969">
        <w:t xml:space="preserve"> about the bid, the offer document and the offeror’s intentions regarding employment, amongst other matters. </w:t>
      </w:r>
      <w:r w:rsidRPr="00051CDE">
        <w:t>Article 8</w:t>
      </w:r>
      <w:r w:rsidR="00F65969">
        <w:t xml:space="preserve"> </w:t>
      </w:r>
      <w:r w:rsidRPr="00051CDE">
        <w:t xml:space="preserve">specifies that ‘disclosure of all information and documents required by Article 6’ must be carried out in </w:t>
      </w:r>
      <w:r w:rsidR="00D87A24" w:rsidRPr="00051CDE">
        <w:t xml:space="preserve">such </w:t>
      </w:r>
      <w:r w:rsidRPr="00051CDE">
        <w:t>a way that they are ‘both readily and promptly available’ to holders of the company</w:t>
      </w:r>
      <w:r w:rsidR="007B49CA" w:rsidRPr="00051CDE">
        <w:t>’s</w:t>
      </w:r>
      <w:r w:rsidRPr="00051CDE">
        <w:t xml:space="preserve"> securities and to the employees or their representatives. Article 9.5 provides that: ‘The board </w:t>
      </w:r>
      <w:r w:rsidRPr="00051CDE">
        <w:lastRenderedPageBreak/>
        <w:t>of the offeree company shall draw up and make public a document setting out its opinion of the bid’, adding significantly that: ‘The board of the offeree company shall at the same time communicate that opinion to the representatives of its employees […] Where the board of the offeree company receives in good time a separate opinion from the representatives of its employees on the effects of the bid on employment, that opinion shall be appended to the document’</w:t>
      </w:r>
      <w:r w:rsidR="00D87A24" w:rsidRPr="00051CDE">
        <w:t>.</w:t>
      </w:r>
      <w:r w:rsidRPr="00051CDE">
        <w:t xml:space="preserve"> </w:t>
      </w:r>
    </w:p>
    <w:p w14:paraId="6A73EF02" w14:textId="77777777" w:rsidR="002908F3" w:rsidRPr="00051CDE" w:rsidRDefault="002908F3" w:rsidP="005C7087">
      <w:pPr>
        <w:pStyle w:val="NoSpacing"/>
        <w:spacing w:line="360" w:lineRule="auto"/>
      </w:pPr>
    </w:p>
    <w:p w14:paraId="21337AFF" w14:textId="1938A251" w:rsidR="00891AC8" w:rsidRDefault="005C7087" w:rsidP="005C7087">
      <w:pPr>
        <w:pStyle w:val="NoSpacing"/>
        <w:spacing w:line="360" w:lineRule="auto"/>
      </w:pPr>
      <w:r w:rsidRPr="00051CDE">
        <w:t xml:space="preserve">As a result of these Articles, the Takeover Panel had to amend its existing rules, as informing specifically employees and their representatives was a new development </w:t>
      </w:r>
      <w:r w:rsidR="005304B2">
        <w:t>requiring two new provisions</w:t>
      </w:r>
      <w:r w:rsidR="0063364C">
        <w:t xml:space="preserve">. The first was </w:t>
      </w:r>
      <w:r w:rsidR="005304B2">
        <w:t xml:space="preserve">to ensure that employees were </w:t>
      </w:r>
      <w:r w:rsidR="005304B2" w:rsidRPr="004424F5">
        <w:rPr>
          <w:i/>
        </w:rPr>
        <w:t>aware</w:t>
      </w:r>
      <w:r w:rsidR="005304B2">
        <w:t xml:space="preserve"> of a takeover, requiring the disclosure of information that was ‘readily and promptly available’, which as a matter of practice could be disseminated through e-mail or the internet. The second was the right of employee representatives to append </w:t>
      </w:r>
      <w:r w:rsidR="005304B2" w:rsidRPr="004424F5">
        <w:rPr>
          <w:i/>
        </w:rPr>
        <w:t>their own opinion</w:t>
      </w:r>
      <w:r w:rsidR="005304B2">
        <w:t xml:space="preserve"> on the effect of the bid in employment to the </w:t>
      </w:r>
      <w:r w:rsidR="00985844">
        <w:t xml:space="preserve">offeree board’s circular and so acquire a voice in the process, provided they gave it ‘in good time’ to the board of the offeree company. </w:t>
      </w:r>
      <w:r w:rsidR="00D02AF1">
        <w:t>(Further amendments made later are analysed below.)</w:t>
      </w:r>
    </w:p>
    <w:p w14:paraId="238C98ED" w14:textId="77777777" w:rsidR="00891AC8" w:rsidRDefault="00891AC8" w:rsidP="005C7087">
      <w:pPr>
        <w:pStyle w:val="NoSpacing"/>
        <w:spacing w:line="360" w:lineRule="auto"/>
      </w:pPr>
    </w:p>
    <w:p w14:paraId="597EC0D5" w14:textId="57FEF97B" w:rsidR="00301AF2" w:rsidRPr="00051CDE" w:rsidRDefault="005C7087" w:rsidP="00887411">
      <w:pPr>
        <w:pStyle w:val="NoSpacing"/>
        <w:spacing w:line="360" w:lineRule="auto"/>
      </w:pPr>
      <w:r w:rsidRPr="00051CDE">
        <w:t xml:space="preserve">However, </w:t>
      </w:r>
      <w:r w:rsidR="004A3286">
        <w:t xml:space="preserve">there is no </w:t>
      </w:r>
      <w:r w:rsidRPr="00051CDE">
        <w:t>requirement on the offeror to ensure that employees and their representatives have actually had a chance to make known their views, or to evaluate or comment on the opinion.</w:t>
      </w:r>
      <w:r w:rsidR="00EA5763">
        <w:t xml:space="preserve"> </w:t>
      </w:r>
      <w:r w:rsidR="00301AF2" w:rsidRPr="00051CDE">
        <w:rPr>
          <w:color w:val="000000"/>
        </w:rPr>
        <w:t xml:space="preserve">The Panel’s sanctions are limited to censure of one form or another, and </w:t>
      </w:r>
      <w:r w:rsidR="00CF48AA" w:rsidRPr="00051CDE">
        <w:rPr>
          <w:color w:val="000000"/>
        </w:rPr>
        <w:t xml:space="preserve">do not include </w:t>
      </w:r>
      <w:r w:rsidR="00301AF2" w:rsidRPr="00051CDE">
        <w:rPr>
          <w:color w:val="000000"/>
        </w:rPr>
        <w:t>the power to fine, so – for the UK to comply with the Directive’s requirement for sanctions (Article 17) – criminal breach, which covers misleading information provided recklessly or intentionally, was inserted into section 953 of the 2006 Companies Act</w:t>
      </w:r>
      <w:r w:rsidR="00CF48AA" w:rsidRPr="00051CDE">
        <w:rPr>
          <w:color w:val="000000"/>
        </w:rPr>
        <w:t xml:space="preserve">. </w:t>
      </w:r>
      <w:r w:rsidR="00301AF2" w:rsidRPr="00051CDE">
        <w:rPr>
          <w:color w:val="000000"/>
        </w:rPr>
        <w:t>No prosecutions have taken place to date.</w:t>
      </w:r>
      <w:r w:rsidR="00301AF2" w:rsidRPr="00051CDE" w:rsidDel="00301AF2">
        <w:rPr>
          <w:color w:val="000000"/>
        </w:rPr>
        <w:t xml:space="preserve"> </w:t>
      </w:r>
    </w:p>
    <w:p w14:paraId="2A5CCBE8" w14:textId="77777777" w:rsidR="001E6F76" w:rsidRPr="00051CDE" w:rsidRDefault="001E6F76" w:rsidP="00887411">
      <w:pPr>
        <w:pStyle w:val="NoSpacing"/>
        <w:spacing w:line="360" w:lineRule="auto"/>
      </w:pPr>
    </w:p>
    <w:p w14:paraId="450742E5" w14:textId="1A90CFA0" w:rsidR="001E6F76" w:rsidRPr="00051CDE" w:rsidRDefault="001E6F76" w:rsidP="00887411">
      <w:pPr>
        <w:pStyle w:val="NoSpacing"/>
        <w:spacing w:line="360" w:lineRule="auto"/>
        <w:rPr>
          <w:i/>
          <w:color w:val="000000"/>
        </w:rPr>
      </w:pPr>
      <w:r w:rsidRPr="00051CDE">
        <w:rPr>
          <w:i/>
          <w:color w:val="000000"/>
        </w:rPr>
        <w:t>Amendments</w:t>
      </w:r>
      <w:r w:rsidR="00AA4381" w:rsidRPr="00051CDE">
        <w:rPr>
          <w:i/>
          <w:color w:val="000000"/>
        </w:rPr>
        <w:t xml:space="preserve"> to the Code</w:t>
      </w:r>
      <w:r w:rsidRPr="00051CDE">
        <w:rPr>
          <w:i/>
          <w:color w:val="000000"/>
        </w:rPr>
        <w:t xml:space="preserve"> </w:t>
      </w:r>
      <w:r w:rsidR="00404087" w:rsidRPr="00051CDE">
        <w:rPr>
          <w:i/>
          <w:color w:val="000000"/>
        </w:rPr>
        <w:t xml:space="preserve">following </w:t>
      </w:r>
      <w:r w:rsidRPr="00051CDE">
        <w:rPr>
          <w:i/>
          <w:color w:val="000000"/>
        </w:rPr>
        <w:t>the Kraft</w:t>
      </w:r>
      <w:r w:rsidR="0001103D" w:rsidRPr="00051CDE">
        <w:rPr>
          <w:i/>
          <w:color w:val="000000"/>
        </w:rPr>
        <w:t>/</w:t>
      </w:r>
      <w:r w:rsidRPr="00051CDE">
        <w:rPr>
          <w:i/>
          <w:color w:val="000000"/>
        </w:rPr>
        <w:t>Cadbury</w:t>
      </w:r>
      <w:r w:rsidR="0001103D" w:rsidRPr="00051CDE">
        <w:rPr>
          <w:i/>
          <w:color w:val="000000"/>
        </w:rPr>
        <w:t xml:space="preserve"> </w:t>
      </w:r>
      <w:r w:rsidR="003A2057" w:rsidRPr="00051CDE">
        <w:rPr>
          <w:i/>
          <w:color w:val="000000"/>
        </w:rPr>
        <w:t xml:space="preserve">case </w:t>
      </w:r>
      <w:r w:rsidR="0001103D" w:rsidRPr="00051CDE">
        <w:rPr>
          <w:i/>
          <w:color w:val="000000"/>
        </w:rPr>
        <w:t>and Panel review</w:t>
      </w:r>
    </w:p>
    <w:p w14:paraId="429E2D33" w14:textId="77777777" w:rsidR="001E6F76" w:rsidRPr="00051CDE" w:rsidRDefault="001E6F76" w:rsidP="00887411">
      <w:pPr>
        <w:pStyle w:val="NoSpacing"/>
        <w:spacing w:line="360" w:lineRule="auto"/>
        <w:rPr>
          <w:color w:val="000000"/>
        </w:rPr>
      </w:pPr>
    </w:p>
    <w:p w14:paraId="4938C77B" w14:textId="619D02A6" w:rsidR="001E6F76" w:rsidRPr="00051CDE" w:rsidRDefault="001E6F76" w:rsidP="00887411">
      <w:pPr>
        <w:pStyle w:val="NoSpacing"/>
        <w:spacing w:line="360" w:lineRule="auto"/>
        <w:rPr>
          <w:color w:val="000000"/>
        </w:rPr>
      </w:pPr>
      <w:r w:rsidRPr="00051CDE">
        <w:rPr>
          <w:color w:val="000000"/>
        </w:rPr>
        <w:t>Despite the role of the Directive, it is generally agreed that it was the takeover of Cadbury by Kraft in 2010 that ‘prompted a reform of the UK takeover rules, arguably towards a more detailed, target company and stakeholder friendly model’ (</w:t>
      </w:r>
      <w:proofErr w:type="spellStart"/>
      <w:r w:rsidRPr="00051CDE">
        <w:rPr>
          <w:color w:val="000000"/>
        </w:rPr>
        <w:t>Tsagas</w:t>
      </w:r>
      <w:proofErr w:type="spellEnd"/>
      <w:r w:rsidRPr="00051CDE">
        <w:rPr>
          <w:color w:val="000000"/>
        </w:rPr>
        <w:t xml:space="preserve">, 2016: 225). This represented something of a deviation from the shareholder value approach </w:t>
      </w:r>
      <w:r w:rsidR="0001103D" w:rsidRPr="00051CDE">
        <w:rPr>
          <w:color w:val="000000"/>
        </w:rPr>
        <w:t xml:space="preserve">previously </w:t>
      </w:r>
      <w:r w:rsidRPr="00051CDE">
        <w:rPr>
          <w:color w:val="000000"/>
        </w:rPr>
        <w:t>endorsed by the Code. The aim was to improve the offer process</w:t>
      </w:r>
      <w:r w:rsidR="008B1A87" w:rsidRPr="00051CDE">
        <w:rPr>
          <w:color w:val="000000"/>
        </w:rPr>
        <w:t xml:space="preserve">, including </w:t>
      </w:r>
      <w:r w:rsidR="00502C12" w:rsidRPr="00051CDE">
        <w:rPr>
          <w:color w:val="000000"/>
        </w:rPr>
        <w:t xml:space="preserve">the provision of </w:t>
      </w:r>
      <w:r w:rsidR="008B1A87" w:rsidRPr="00051CDE">
        <w:rPr>
          <w:color w:val="000000"/>
        </w:rPr>
        <w:t xml:space="preserve">greater recognition of the interests </w:t>
      </w:r>
      <w:r w:rsidRPr="00051CDE">
        <w:rPr>
          <w:color w:val="000000"/>
        </w:rPr>
        <w:t>of employees of the offeree company</w:t>
      </w:r>
      <w:r w:rsidR="008B1A87" w:rsidRPr="00051CDE">
        <w:rPr>
          <w:color w:val="000000"/>
        </w:rPr>
        <w:t>.</w:t>
      </w:r>
      <w:r w:rsidRPr="00051CDE">
        <w:rPr>
          <w:color w:val="000000"/>
        </w:rPr>
        <w:t xml:space="preserve"> </w:t>
      </w:r>
    </w:p>
    <w:p w14:paraId="22499E3D" w14:textId="77777777" w:rsidR="001E6F76" w:rsidRPr="00051CDE" w:rsidRDefault="001E6F76" w:rsidP="00887411">
      <w:pPr>
        <w:pStyle w:val="NoSpacing"/>
        <w:spacing w:line="360" w:lineRule="auto"/>
        <w:rPr>
          <w:color w:val="000000"/>
        </w:rPr>
      </w:pPr>
    </w:p>
    <w:p w14:paraId="33F09A37" w14:textId="6BB5CB75" w:rsidR="001E6F76" w:rsidRPr="00051CDE" w:rsidRDefault="001E6F76" w:rsidP="00887411">
      <w:pPr>
        <w:pStyle w:val="NoSpacing"/>
        <w:spacing w:line="360" w:lineRule="auto"/>
      </w:pPr>
      <w:r w:rsidRPr="00051CDE">
        <w:rPr>
          <w:color w:val="000000"/>
        </w:rPr>
        <w:lastRenderedPageBreak/>
        <w:t xml:space="preserve">The Kraft/Cadbury case questioned the UK’s ‘open market for corporate control’ on a variety of aspects concerning the duties of the parties involved in </w:t>
      </w:r>
      <w:r w:rsidR="00DE5E5A" w:rsidRPr="00051CDE">
        <w:rPr>
          <w:color w:val="000000"/>
        </w:rPr>
        <w:t>a</w:t>
      </w:r>
      <w:r w:rsidRPr="00051CDE">
        <w:rPr>
          <w:color w:val="000000"/>
        </w:rPr>
        <w:t xml:space="preserve"> takeover bid, as well as on issues of disclosure and stakeholder protection relating to the takeover process itself. The controversy surrounding the takeover </w:t>
      </w:r>
      <w:r w:rsidR="009A2D99" w:rsidRPr="00051CDE">
        <w:rPr>
          <w:color w:val="000000"/>
        </w:rPr>
        <w:t xml:space="preserve">began </w:t>
      </w:r>
      <w:r w:rsidRPr="00051CDE">
        <w:rPr>
          <w:color w:val="000000"/>
        </w:rPr>
        <w:t xml:space="preserve">at the very start of the offer period when Kraft announced that – because of economies of scale – it </w:t>
      </w:r>
      <w:r w:rsidR="008B1A87" w:rsidRPr="00051CDE">
        <w:rPr>
          <w:color w:val="000000"/>
        </w:rPr>
        <w:t xml:space="preserve">believed it </w:t>
      </w:r>
      <w:r w:rsidRPr="00051CDE">
        <w:rPr>
          <w:color w:val="000000"/>
        </w:rPr>
        <w:t xml:space="preserve">would </w:t>
      </w:r>
      <w:r w:rsidR="008B1A87" w:rsidRPr="00051CDE">
        <w:rPr>
          <w:color w:val="000000"/>
        </w:rPr>
        <w:t xml:space="preserve">be in a position to </w:t>
      </w:r>
      <w:r w:rsidRPr="00051CDE">
        <w:rPr>
          <w:color w:val="000000"/>
        </w:rPr>
        <w:t xml:space="preserve">keep open Cadbury’s factory at Somerdale, which Cadbury had already declared would </w:t>
      </w:r>
      <w:r w:rsidR="008B1A87" w:rsidRPr="00051CDE">
        <w:rPr>
          <w:color w:val="000000"/>
        </w:rPr>
        <w:t>shut</w:t>
      </w:r>
      <w:r w:rsidRPr="00051CDE">
        <w:rPr>
          <w:color w:val="000000"/>
        </w:rPr>
        <w:t xml:space="preserve">. Although the factory was already being </w:t>
      </w:r>
      <w:r w:rsidR="008B1A87" w:rsidRPr="00051CDE">
        <w:rPr>
          <w:color w:val="000000"/>
        </w:rPr>
        <w:t xml:space="preserve">shut </w:t>
      </w:r>
      <w:r w:rsidRPr="00051CDE">
        <w:rPr>
          <w:color w:val="000000"/>
        </w:rPr>
        <w:t xml:space="preserve">down, Cadbury was unable to comment meaningfully on Kraft’s statements as it did not have access to </w:t>
      </w:r>
      <w:r w:rsidR="008B1A87" w:rsidRPr="00051CDE">
        <w:rPr>
          <w:color w:val="000000"/>
        </w:rPr>
        <w:t xml:space="preserve">Kraft’s </w:t>
      </w:r>
      <w:r w:rsidRPr="00051CDE">
        <w:rPr>
          <w:color w:val="000000"/>
        </w:rPr>
        <w:t xml:space="preserve">strategy. Shortly after the offer </w:t>
      </w:r>
      <w:r w:rsidR="008B1A87" w:rsidRPr="00051CDE">
        <w:rPr>
          <w:color w:val="000000"/>
        </w:rPr>
        <w:t xml:space="preserve">closed, </w:t>
      </w:r>
      <w:r w:rsidRPr="00051CDE">
        <w:rPr>
          <w:color w:val="000000"/>
        </w:rPr>
        <w:t xml:space="preserve">Kraft followed up with an announcement that the factory would </w:t>
      </w:r>
      <w:r w:rsidR="008B1A87" w:rsidRPr="00051CDE">
        <w:rPr>
          <w:color w:val="000000"/>
        </w:rPr>
        <w:t xml:space="preserve">shut </w:t>
      </w:r>
      <w:r w:rsidRPr="00051CDE">
        <w:rPr>
          <w:color w:val="000000"/>
        </w:rPr>
        <w:t>after all, even though it had held out in its offer the prospect that it would keep it open. The Takeover Panel investigated the case, and concluded that it was not sufficient for Kraft to hold a subjective belief about the future of the factory</w:t>
      </w:r>
      <w:r w:rsidR="00DE5E5A" w:rsidRPr="00051CDE">
        <w:rPr>
          <w:color w:val="000000"/>
        </w:rPr>
        <w:t>,</w:t>
      </w:r>
      <w:r w:rsidRPr="00051CDE">
        <w:rPr>
          <w:color w:val="000000"/>
        </w:rPr>
        <w:t xml:space="preserve"> </w:t>
      </w:r>
      <w:r w:rsidR="0001103D" w:rsidRPr="00051CDE">
        <w:rPr>
          <w:color w:val="000000"/>
        </w:rPr>
        <w:t xml:space="preserve">rather it </w:t>
      </w:r>
      <w:r w:rsidRPr="00051CDE">
        <w:rPr>
          <w:color w:val="000000"/>
        </w:rPr>
        <w:t xml:space="preserve">needed a reasonable basis for holding that belief. The Panel censured Kraft publicly for making its statement because it lacked </w:t>
      </w:r>
      <w:r w:rsidR="00D02AF1">
        <w:rPr>
          <w:color w:val="000000"/>
        </w:rPr>
        <w:t xml:space="preserve">such </w:t>
      </w:r>
      <w:r w:rsidRPr="00051CDE">
        <w:rPr>
          <w:color w:val="000000"/>
        </w:rPr>
        <w:t>a reasonable basis (Takeover Panel, 2010</w:t>
      </w:r>
      <w:r w:rsidRPr="00051CDE">
        <w:t xml:space="preserve">). </w:t>
      </w:r>
    </w:p>
    <w:p w14:paraId="3058F6DD" w14:textId="77777777" w:rsidR="001E6F76" w:rsidRPr="00051CDE" w:rsidRDefault="001E6F76" w:rsidP="00887411">
      <w:pPr>
        <w:pStyle w:val="NoSpacing"/>
        <w:spacing w:line="360" w:lineRule="auto"/>
        <w:rPr>
          <w:color w:val="000000"/>
        </w:rPr>
      </w:pPr>
    </w:p>
    <w:p w14:paraId="05413968" w14:textId="77777777" w:rsidR="001E6F76" w:rsidRPr="00051CDE" w:rsidRDefault="001E6F76" w:rsidP="00887411">
      <w:pPr>
        <w:pStyle w:val="NoSpacing"/>
        <w:spacing w:line="360" w:lineRule="auto"/>
        <w:rPr>
          <w:color w:val="000000"/>
        </w:rPr>
      </w:pPr>
      <w:r w:rsidRPr="00051CDE">
        <w:rPr>
          <w:color w:val="000000"/>
        </w:rPr>
        <w:t>In 2010, in response to the outcry following Kraft’s takeover of Cadbury, the Panel reviewed</w:t>
      </w:r>
    </w:p>
    <w:p w14:paraId="3243F8DD" w14:textId="389538C0" w:rsidR="001E6F76" w:rsidRPr="00051CDE" w:rsidRDefault="001E6F76" w:rsidP="00887411">
      <w:pPr>
        <w:pStyle w:val="NoSpacing"/>
        <w:spacing w:line="360" w:lineRule="auto"/>
      </w:pPr>
      <w:r w:rsidRPr="00051CDE">
        <w:rPr>
          <w:color w:val="000000"/>
        </w:rPr>
        <w:t xml:space="preserve">the Code and began an open consultation, the broadest it had ever undertaken. </w:t>
      </w:r>
      <w:r w:rsidR="00302CBF" w:rsidRPr="00051CDE">
        <w:rPr>
          <w:color w:val="000000"/>
        </w:rPr>
        <w:t>A</w:t>
      </w:r>
      <w:r w:rsidRPr="00051CDE">
        <w:rPr>
          <w:color w:val="000000"/>
        </w:rPr>
        <w:t xml:space="preserve">mendments </w:t>
      </w:r>
      <w:r w:rsidR="00DE5E5A" w:rsidRPr="00051CDE">
        <w:rPr>
          <w:color w:val="000000"/>
        </w:rPr>
        <w:t xml:space="preserve">to the Code </w:t>
      </w:r>
      <w:r w:rsidRPr="00051CDE">
        <w:rPr>
          <w:color w:val="000000"/>
        </w:rPr>
        <w:t>were published in July 2011</w:t>
      </w:r>
      <w:r w:rsidR="00302CBF" w:rsidRPr="00051CDE">
        <w:rPr>
          <w:color w:val="000000"/>
        </w:rPr>
        <w:t xml:space="preserve"> (Takeover Panel, 2011)</w:t>
      </w:r>
      <w:r w:rsidRPr="00051CDE">
        <w:rPr>
          <w:color w:val="000000"/>
        </w:rPr>
        <w:t xml:space="preserve">. They offered offeree companies greater protection against extended ‘virtual bid’ periods, prohibited deal protection measures and inducement fees, </w:t>
      </w:r>
      <w:r w:rsidR="007D0C4C" w:rsidRPr="00051CDE">
        <w:rPr>
          <w:color w:val="000000"/>
        </w:rPr>
        <w:t xml:space="preserve">clarified </w:t>
      </w:r>
      <w:r w:rsidRPr="00051CDE">
        <w:rPr>
          <w:color w:val="000000"/>
        </w:rPr>
        <w:t>the basis on which company boards could make recommendations on offers, increased transparency around offer-related fees and bid financing, and required greater ‘recognition of the interests of offeree company employees’ (</w:t>
      </w:r>
      <w:r w:rsidR="00DE5E5A" w:rsidRPr="00051CDE">
        <w:rPr>
          <w:color w:val="000000"/>
        </w:rPr>
        <w:t xml:space="preserve">Takeover </w:t>
      </w:r>
      <w:r w:rsidR="00302CBF" w:rsidRPr="00051CDE">
        <w:rPr>
          <w:color w:val="000000"/>
        </w:rPr>
        <w:t>P</w:t>
      </w:r>
      <w:r w:rsidR="00DE5E5A" w:rsidRPr="00051CDE">
        <w:rPr>
          <w:color w:val="000000"/>
        </w:rPr>
        <w:t xml:space="preserve">anel, 2011: </w:t>
      </w:r>
      <w:r w:rsidRPr="00051CDE">
        <w:rPr>
          <w:color w:val="000000"/>
        </w:rPr>
        <w:t>para. 1.3d</w:t>
      </w:r>
      <w:r w:rsidRPr="00051CDE">
        <w:t>)</w:t>
      </w:r>
      <w:r w:rsidRPr="00051CDE">
        <w:rPr>
          <w:color w:val="000000"/>
        </w:rPr>
        <w:t>. As the Panel made clear: ‘The Code is designed principally to ensure that shareholders in an offeree company are treated fairly... [It] also provides an orderly framework within which takeover bids may be conducted’ (Takeover Panel, 2011: para. 1.6</w:t>
      </w:r>
      <w:r w:rsidRPr="00051CDE">
        <w:t>).</w:t>
      </w:r>
    </w:p>
    <w:p w14:paraId="74AF04F5" w14:textId="77777777" w:rsidR="001E6F76" w:rsidRPr="00051CDE" w:rsidRDefault="001E6F76" w:rsidP="00887411">
      <w:pPr>
        <w:pStyle w:val="Default"/>
        <w:spacing w:line="360" w:lineRule="auto"/>
      </w:pPr>
    </w:p>
    <w:p w14:paraId="174ADC46" w14:textId="1EAD3B2F" w:rsidR="001245EE" w:rsidRDefault="00DF6348" w:rsidP="001245EE">
      <w:pPr>
        <w:pStyle w:val="NoSpacing"/>
        <w:spacing w:line="360" w:lineRule="auto"/>
      </w:pPr>
      <w:r w:rsidRPr="00051CDE">
        <w:rPr>
          <w:color w:val="000000"/>
        </w:rPr>
        <w:t xml:space="preserve">In the Panel’s view, one problem was that </w:t>
      </w:r>
      <w:r w:rsidR="00D02AF1">
        <w:rPr>
          <w:color w:val="000000"/>
        </w:rPr>
        <w:t xml:space="preserve">the affected parties </w:t>
      </w:r>
      <w:r w:rsidRPr="00051CDE">
        <w:rPr>
          <w:color w:val="000000"/>
        </w:rPr>
        <w:t>were not hearing about a proposed takeover early enough</w:t>
      </w:r>
      <w:r w:rsidR="00D02AF1">
        <w:rPr>
          <w:color w:val="000000"/>
        </w:rPr>
        <w:t xml:space="preserve">. </w:t>
      </w:r>
      <w:r w:rsidR="007D0C4C" w:rsidRPr="00051CDE">
        <w:rPr>
          <w:color w:val="000000"/>
        </w:rPr>
        <w:t xml:space="preserve">When </w:t>
      </w:r>
      <w:r>
        <w:rPr>
          <w:color w:val="000000"/>
        </w:rPr>
        <w:t xml:space="preserve">it </w:t>
      </w:r>
      <w:r w:rsidR="002C476F" w:rsidRPr="00051CDE">
        <w:rPr>
          <w:color w:val="000000"/>
        </w:rPr>
        <w:t xml:space="preserve">initially </w:t>
      </w:r>
      <w:r w:rsidR="001E6F76" w:rsidRPr="00051CDE">
        <w:rPr>
          <w:color w:val="000000"/>
        </w:rPr>
        <w:t xml:space="preserve">implemented the employee information provisions outlined in the </w:t>
      </w:r>
      <w:r w:rsidR="00DE5E5A" w:rsidRPr="00051CDE">
        <w:rPr>
          <w:color w:val="000000"/>
        </w:rPr>
        <w:t xml:space="preserve">Takeover Bids </w:t>
      </w:r>
      <w:r w:rsidR="001E6F76" w:rsidRPr="00051CDE">
        <w:rPr>
          <w:color w:val="000000"/>
        </w:rPr>
        <w:t xml:space="preserve">Directive, it </w:t>
      </w:r>
      <w:r w:rsidR="002435ED">
        <w:rPr>
          <w:color w:val="000000"/>
        </w:rPr>
        <w:t xml:space="preserve">had done </w:t>
      </w:r>
      <w:r w:rsidR="001E6F76" w:rsidRPr="00051CDE">
        <w:rPr>
          <w:color w:val="000000"/>
        </w:rPr>
        <w:t xml:space="preserve">no more than the </w:t>
      </w:r>
      <w:r w:rsidR="009A2D99" w:rsidRPr="00051CDE">
        <w:rPr>
          <w:color w:val="000000"/>
        </w:rPr>
        <w:t xml:space="preserve">minimum </w:t>
      </w:r>
      <w:r w:rsidR="001E6F76" w:rsidRPr="00051CDE">
        <w:rPr>
          <w:color w:val="000000"/>
        </w:rPr>
        <w:t>required</w:t>
      </w:r>
      <w:r w:rsidR="000D4D18">
        <w:rPr>
          <w:color w:val="000000"/>
        </w:rPr>
        <w:t>, as noted above</w:t>
      </w:r>
      <w:r w:rsidR="001E6F76" w:rsidRPr="00051CDE">
        <w:rPr>
          <w:color w:val="000000"/>
        </w:rPr>
        <w:t xml:space="preserve">. </w:t>
      </w:r>
      <w:r>
        <w:rPr>
          <w:color w:val="000000"/>
        </w:rPr>
        <w:t>However, t</w:t>
      </w:r>
      <w:r w:rsidR="001E6F76" w:rsidRPr="00051CDE">
        <w:rPr>
          <w:color w:val="000000"/>
        </w:rPr>
        <w:t xml:space="preserve">he </w:t>
      </w:r>
      <w:r w:rsidR="00DE5E5A" w:rsidRPr="00051CDE">
        <w:rPr>
          <w:color w:val="000000"/>
        </w:rPr>
        <w:t xml:space="preserve">2010 </w:t>
      </w:r>
      <w:r w:rsidR="001E6F76" w:rsidRPr="00051CDE">
        <w:rPr>
          <w:color w:val="000000"/>
        </w:rPr>
        <w:t>consultation</w:t>
      </w:r>
      <w:r w:rsidR="00DE5E5A" w:rsidRPr="00051CDE">
        <w:rPr>
          <w:color w:val="000000"/>
        </w:rPr>
        <w:t xml:space="preserve"> exercise</w:t>
      </w:r>
      <w:r w:rsidR="001E6F76" w:rsidRPr="00051CDE">
        <w:rPr>
          <w:color w:val="000000"/>
        </w:rPr>
        <w:t xml:space="preserve"> revealed </w:t>
      </w:r>
      <w:r w:rsidR="001245EE">
        <w:rPr>
          <w:color w:val="000000"/>
        </w:rPr>
        <w:t xml:space="preserve">that </w:t>
      </w:r>
      <w:r w:rsidR="001E6F76" w:rsidRPr="00051CDE">
        <w:rPr>
          <w:color w:val="000000"/>
        </w:rPr>
        <w:t>employee representatives were failing to append opinions</w:t>
      </w:r>
      <w:r w:rsidR="001245EE">
        <w:rPr>
          <w:color w:val="000000"/>
        </w:rPr>
        <w:t xml:space="preserve"> because of </w:t>
      </w:r>
      <w:r w:rsidR="001E6F76" w:rsidRPr="00051CDE">
        <w:rPr>
          <w:color w:val="000000"/>
        </w:rPr>
        <w:t xml:space="preserve">lack of knowledge, lack of time and lack of expertise. </w:t>
      </w:r>
      <w:r>
        <w:rPr>
          <w:color w:val="000000"/>
        </w:rPr>
        <w:t xml:space="preserve">As a result, the Panel introduced </w:t>
      </w:r>
      <w:r w:rsidR="000D4D18">
        <w:rPr>
          <w:color w:val="000000"/>
        </w:rPr>
        <w:t xml:space="preserve">three provisions, </w:t>
      </w:r>
      <w:r>
        <w:rPr>
          <w:color w:val="000000"/>
        </w:rPr>
        <w:t xml:space="preserve">which took effect from 19 September 2011 </w:t>
      </w:r>
      <w:r w:rsidR="000D4D18">
        <w:rPr>
          <w:color w:val="000000"/>
        </w:rPr>
        <w:t xml:space="preserve">and </w:t>
      </w:r>
      <w:r w:rsidR="001245EE">
        <w:t>went beyond the Directive</w:t>
      </w:r>
      <w:r w:rsidR="000D4D18">
        <w:t xml:space="preserve">. First, </w:t>
      </w:r>
      <w:r w:rsidR="001245EE">
        <w:t xml:space="preserve">it required the </w:t>
      </w:r>
      <w:r w:rsidR="001245EE">
        <w:rPr>
          <w:sz w:val="23"/>
          <w:szCs w:val="23"/>
        </w:rPr>
        <w:t xml:space="preserve">offeree </w:t>
      </w:r>
      <w:r w:rsidR="001245EE">
        <w:rPr>
          <w:sz w:val="23"/>
          <w:szCs w:val="23"/>
        </w:rPr>
        <w:lastRenderedPageBreak/>
        <w:t xml:space="preserve">company to </w:t>
      </w:r>
      <w:r w:rsidR="001245EE" w:rsidRPr="004424F5">
        <w:rPr>
          <w:i/>
          <w:sz w:val="23"/>
          <w:szCs w:val="23"/>
        </w:rPr>
        <w:t>inform</w:t>
      </w:r>
      <w:r w:rsidR="001245EE">
        <w:rPr>
          <w:sz w:val="23"/>
          <w:szCs w:val="23"/>
        </w:rPr>
        <w:t xml:space="preserve"> the employee representatives of their </w:t>
      </w:r>
      <w:r w:rsidR="001245EE" w:rsidRPr="004424F5">
        <w:rPr>
          <w:sz w:val="23"/>
          <w:szCs w:val="23"/>
        </w:rPr>
        <w:t>right</w:t>
      </w:r>
      <w:r w:rsidR="001245EE" w:rsidRPr="002022F9">
        <w:rPr>
          <w:sz w:val="23"/>
          <w:szCs w:val="23"/>
        </w:rPr>
        <w:t xml:space="preserve"> </w:t>
      </w:r>
      <w:r w:rsidR="001245EE">
        <w:rPr>
          <w:sz w:val="23"/>
          <w:szCs w:val="23"/>
        </w:rPr>
        <w:t xml:space="preserve">to append an opinion (Takeover Panel, 2011: para. 8.9; implemented by Rule 32.1b). </w:t>
      </w:r>
      <w:r w:rsidR="000D4D18">
        <w:rPr>
          <w:sz w:val="23"/>
          <w:szCs w:val="23"/>
        </w:rPr>
        <w:t xml:space="preserve">Second, </w:t>
      </w:r>
      <w:r w:rsidR="001245EE">
        <w:rPr>
          <w:sz w:val="23"/>
          <w:szCs w:val="23"/>
        </w:rPr>
        <w:t xml:space="preserve">it </w:t>
      </w:r>
      <w:r w:rsidR="001245EE">
        <w:t xml:space="preserve">stipulated that, </w:t>
      </w:r>
      <w:r w:rsidR="001245EE" w:rsidRPr="00051CDE">
        <w:t xml:space="preserve">where any opinion is not received ‘in good time’ before publication of the offeree board’s circular, </w:t>
      </w:r>
      <w:r w:rsidR="001245EE" w:rsidRPr="00051CDE">
        <w:rPr>
          <w:i/>
        </w:rPr>
        <w:t>it must be promptly published ‘on a website’</w:t>
      </w:r>
      <w:r w:rsidR="001245EE" w:rsidRPr="00051CDE">
        <w:t xml:space="preserve"> which must itself be announced ‘via a RIS [Regulatory Information Service] that it has been so published’</w:t>
      </w:r>
      <w:r w:rsidR="001245EE">
        <w:t xml:space="preserve"> (Takeover Panel, 2011: 8.12; implemented by Rule 25.9). And </w:t>
      </w:r>
      <w:r w:rsidR="000D4D18">
        <w:t xml:space="preserve">third, </w:t>
      </w:r>
      <w:r w:rsidR="001245EE" w:rsidRPr="00051CDE">
        <w:t>the Panel</w:t>
      </w:r>
      <w:r w:rsidR="001245EE">
        <w:t xml:space="preserve"> required </w:t>
      </w:r>
      <w:r w:rsidR="001245EE" w:rsidRPr="00051CDE">
        <w:t xml:space="preserve">the offeree company to </w:t>
      </w:r>
      <w:r w:rsidR="001245EE" w:rsidRPr="00051CDE">
        <w:rPr>
          <w:i/>
        </w:rPr>
        <w:t xml:space="preserve">reimburse the reasonable costs </w:t>
      </w:r>
      <w:r w:rsidR="001245EE" w:rsidRPr="00446EE4">
        <w:t>of the employee representatives</w:t>
      </w:r>
      <w:r w:rsidR="001245EE" w:rsidRPr="00051CDE">
        <w:rPr>
          <w:i/>
        </w:rPr>
        <w:t xml:space="preserve"> </w:t>
      </w:r>
      <w:r w:rsidR="001245EE" w:rsidRPr="00051CDE">
        <w:t xml:space="preserve">in preparing an opinion </w:t>
      </w:r>
      <w:r w:rsidR="001245EE">
        <w:t>(Takeover Panel, 2011: 8.12; implemented by Rule 25.9, Note 1)</w:t>
      </w:r>
      <w:r w:rsidR="002435ED">
        <w:t>.</w:t>
      </w:r>
      <w:r w:rsidR="001245EE">
        <w:t xml:space="preserve"> </w:t>
      </w:r>
    </w:p>
    <w:p w14:paraId="3B178C34" w14:textId="77777777" w:rsidR="001245EE" w:rsidRDefault="001245EE" w:rsidP="00887411">
      <w:pPr>
        <w:pStyle w:val="NoSpacing"/>
        <w:spacing w:line="360" w:lineRule="auto"/>
        <w:rPr>
          <w:color w:val="000000"/>
        </w:rPr>
      </w:pPr>
    </w:p>
    <w:p w14:paraId="57132BAA" w14:textId="0F558151" w:rsidR="001E6F76" w:rsidRPr="00051CDE" w:rsidRDefault="002022F9" w:rsidP="00887411">
      <w:pPr>
        <w:pStyle w:val="NoSpacing"/>
        <w:spacing w:line="360" w:lineRule="auto"/>
        <w:rPr>
          <w:color w:val="000000"/>
        </w:rPr>
      </w:pPr>
      <w:r>
        <w:rPr>
          <w:color w:val="000000"/>
        </w:rPr>
        <w:t xml:space="preserve">Introduction of an earlier </w:t>
      </w:r>
      <w:r w:rsidR="001E6F76" w:rsidRPr="00051CDE">
        <w:rPr>
          <w:color w:val="000000"/>
        </w:rPr>
        <w:t xml:space="preserve">stage of notification has also helped to resolve an important issue. Many offers are ‘recommended offers’, where the </w:t>
      </w:r>
      <w:r w:rsidR="00A82479" w:rsidRPr="00051CDE">
        <w:rPr>
          <w:color w:val="000000"/>
        </w:rPr>
        <w:t>offeror and the offeree company have agreed the takeover. I</w:t>
      </w:r>
      <w:r w:rsidR="001E6F76" w:rsidRPr="00051CDE">
        <w:rPr>
          <w:color w:val="000000"/>
        </w:rPr>
        <w:t>n such cases there is no separate offer document to which the offeree company can respond</w:t>
      </w:r>
      <w:r w:rsidR="00A82479" w:rsidRPr="00051CDE">
        <w:rPr>
          <w:color w:val="000000"/>
        </w:rPr>
        <w:t xml:space="preserve"> as the offer document and the offeree board circular are </w:t>
      </w:r>
      <w:r w:rsidR="001E6F76" w:rsidRPr="00051CDE">
        <w:rPr>
          <w:color w:val="000000"/>
        </w:rPr>
        <w:t xml:space="preserve">contained in </w:t>
      </w:r>
      <w:r w:rsidR="009A2D99" w:rsidRPr="00051CDE">
        <w:rPr>
          <w:color w:val="000000"/>
        </w:rPr>
        <w:t xml:space="preserve">the </w:t>
      </w:r>
      <w:r w:rsidR="001E6F76" w:rsidRPr="00051CDE">
        <w:rPr>
          <w:color w:val="000000"/>
        </w:rPr>
        <w:t>one document. In th</w:t>
      </w:r>
      <w:r w:rsidR="00DE5E5A" w:rsidRPr="00051CDE">
        <w:rPr>
          <w:color w:val="000000"/>
        </w:rPr>
        <w:t>e</w:t>
      </w:r>
      <w:r w:rsidR="001E6F76" w:rsidRPr="00051CDE">
        <w:rPr>
          <w:color w:val="000000"/>
        </w:rPr>
        <w:t xml:space="preserve">se circumstances, employee representatives do not receive the </w:t>
      </w:r>
      <w:r w:rsidR="00A82479" w:rsidRPr="00051CDE">
        <w:rPr>
          <w:color w:val="000000"/>
        </w:rPr>
        <w:t xml:space="preserve">combined </w:t>
      </w:r>
      <w:r w:rsidR="001E6F76" w:rsidRPr="00051CDE">
        <w:rPr>
          <w:color w:val="000000"/>
        </w:rPr>
        <w:t>document until its publication, and so are unable to append an opinion in advance. To deal with this situation, the Code gives representatives more time because they receive the information about the possible offer at the very first announcement stage</w:t>
      </w:r>
      <w:r w:rsidR="00A82479" w:rsidRPr="00051CDE">
        <w:rPr>
          <w:color w:val="000000"/>
        </w:rPr>
        <w:t>, and not only at the firm offer announcement stage</w:t>
      </w:r>
      <w:r w:rsidR="001E6F76" w:rsidRPr="00051CDE">
        <w:rPr>
          <w:color w:val="000000"/>
        </w:rPr>
        <w:t xml:space="preserve">. Furthermore, if they do not manage to submit their opinion to the offeree board ‘in good time’, meaning in time for it to be included with the </w:t>
      </w:r>
      <w:r w:rsidR="00A82479" w:rsidRPr="00051CDE">
        <w:rPr>
          <w:color w:val="000000"/>
        </w:rPr>
        <w:t xml:space="preserve">combined </w:t>
      </w:r>
      <w:r w:rsidR="001E6F76" w:rsidRPr="00051CDE">
        <w:rPr>
          <w:color w:val="000000"/>
        </w:rPr>
        <w:t xml:space="preserve">document, the offeree board must publish it on a website and make an announcement on </w:t>
      </w:r>
      <w:r w:rsidR="007D0C4C" w:rsidRPr="00051CDE">
        <w:rPr>
          <w:color w:val="000000"/>
        </w:rPr>
        <w:t xml:space="preserve">a </w:t>
      </w:r>
      <w:r w:rsidR="001E6F76" w:rsidRPr="00051CDE">
        <w:rPr>
          <w:color w:val="000000"/>
        </w:rPr>
        <w:t xml:space="preserve">Regulatory </w:t>
      </w:r>
      <w:r w:rsidR="007D0C4C" w:rsidRPr="00051CDE">
        <w:rPr>
          <w:color w:val="000000"/>
        </w:rPr>
        <w:t xml:space="preserve">Information </w:t>
      </w:r>
      <w:r w:rsidR="001E6F76" w:rsidRPr="00051CDE">
        <w:rPr>
          <w:color w:val="000000"/>
        </w:rPr>
        <w:t xml:space="preserve">Service that it has done so. </w:t>
      </w:r>
    </w:p>
    <w:p w14:paraId="157EEC02" w14:textId="77777777" w:rsidR="001E6F76" w:rsidRPr="00051CDE" w:rsidRDefault="001E6F76" w:rsidP="00887411">
      <w:pPr>
        <w:pStyle w:val="NoSpacing"/>
        <w:spacing w:line="360" w:lineRule="auto"/>
        <w:rPr>
          <w:color w:val="000000"/>
        </w:rPr>
      </w:pPr>
    </w:p>
    <w:p w14:paraId="4130B4A3" w14:textId="0C8F21E4" w:rsidR="001E6F76" w:rsidRPr="00051CDE" w:rsidRDefault="001E6F76" w:rsidP="00887411">
      <w:pPr>
        <w:pStyle w:val="NoSpacing"/>
        <w:spacing w:line="360" w:lineRule="auto"/>
        <w:rPr>
          <w:color w:val="000000"/>
        </w:rPr>
      </w:pPr>
      <w:r w:rsidRPr="00051CDE">
        <w:rPr>
          <w:color w:val="000000"/>
        </w:rPr>
        <w:t>Hence Rule 2.1</w:t>
      </w:r>
      <w:r w:rsidR="007D0C4C" w:rsidRPr="00051CDE">
        <w:rPr>
          <w:color w:val="000000"/>
        </w:rPr>
        <w:t>1</w:t>
      </w:r>
      <w:r w:rsidR="00A82479" w:rsidRPr="00051CDE">
        <w:rPr>
          <w:color w:val="000000"/>
        </w:rPr>
        <w:t>(</w:t>
      </w:r>
      <w:r w:rsidRPr="00051CDE">
        <w:rPr>
          <w:color w:val="000000"/>
        </w:rPr>
        <w:t>a</w:t>
      </w:r>
      <w:r w:rsidR="00A82479" w:rsidRPr="00051CDE">
        <w:rPr>
          <w:color w:val="000000"/>
        </w:rPr>
        <w:t>)</w:t>
      </w:r>
      <w:r w:rsidRPr="00051CDE">
        <w:rPr>
          <w:color w:val="000000"/>
        </w:rPr>
        <w:t xml:space="preserve"> of the amended Code requires the distribution of the announcement that commences the offer period not only to shareholders but also to employees. Rule 2.1</w:t>
      </w:r>
      <w:r w:rsidR="004D6033" w:rsidRPr="00051CDE">
        <w:rPr>
          <w:color w:val="000000"/>
        </w:rPr>
        <w:t>1</w:t>
      </w:r>
      <w:r w:rsidR="00BB7AE9" w:rsidRPr="00051CDE">
        <w:rPr>
          <w:color w:val="000000"/>
        </w:rPr>
        <w:t>(</w:t>
      </w:r>
      <w:r w:rsidRPr="00051CDE">
        <w:rPr>
          <w:color w:val="000000"/>
        </w:rPr>
        <w:t>b</w:t>
      </w:r>
      <w:r w:rsidR="00BB7AE9" w:rsidRPr="00051CDE">
        <w:rPr>
          <w:color w:val="000000"/>
        </w:rPr>
        <w:t xml:space="preserve">) </w:t>
      </w:r>
      <w:r w:rsidRPr="00051CDE">
        <w:rPr>
          <w:color w:val="000000"/>
        </w:rPr>
        <w:t xml:space="preserve">requires the offeror and offeree company to circulate the terms and conditions of the offer to shareholders and employee representatives, which constitutes a firm offer announcement (by contrast, Pfizer never made a firm offer announcement for Astra-Zeneca in June/July 2014, as it merely released </w:t>
      </w:r>
      <w:r w:rsidR="00DE5E5A" w:rsidRPr="00051CDE">
        <w:rPr>
          <w:color w:val="000000"/>
        </w:rPr>
        <w:t xml:space="preserve">a </w:t>
      </w:r>
      <w:r w:rsidRPr="00051CDE">
        <w:rPr>
          <w:color w:val="000000"/>
        </w:rPr>
        <w:t xml:space="preserve">series of possible offer announcements). A firm offer announcement occurs when the parties are committed to proceed, in which case it must be made readily and </w:t>
      </w:r>
      <w:r w:rsidR="007D0C4C" w:rsidRPr="00051CDE">
        <w:rPr>
          <w:color w:val="000000"/>
        </w:rPr>
        <w:t xml:space="preserve">promptly </w:t>
      </w:r>
      <w:r w:rsidRPr="00051CDE">
        <w:rPr>
          <w:color w:val="000000"/>
        </w:rPr>
        <w:t>available to employees. Rule 2.1</w:t>
      </w:r>
      <w:r w:rsidR="007D0C4C" w:rsidRPr="00051CDE">
        <w:rPr>
          <w:color w:val="000000"/>
        </w:rPr>
        <w:t>1</w:t>
      </w:r>
      <w:r w:rsidR="00BB7AE9" w:rsidRPr="00051CDE">
        <w:rPr>
          <w:color w:val="000000"/>
        </w:rPr>
        <w:t>(</w:t>
      </w:r>
      <w:r w:rsidRPr="00051CDE">
        <w:rPr>
          <w:color w:val="000000"/>
        </w:rPr>
        <w:t>d</w:t>
      </w:r>
      <w:r w:rsidR="00BB7AE9" w:rsidRPr="00051CDE">
        <w:rPr>
          <w:color w:val="000000"/>
        </w:rPr>
        <w:t>)</w:t>
      </w:r>
      <w:r w:rsidRPr="00051CDE">
        <w:rPr>
          <w:color w:val="000000"/>
        </w:rPr>
        <w:t xml:space="preserve"> states that when the offeree company circulates the terms and conditions to its employee representatives about the possible </w:t>
      </w:r>
      <w:r w:rsidR="007D0C4C" w:rsidRPr="00051CDE">
        <w:rPr>
          <w:color w:val="000000"/>
        </w:rPr>
        <w:t xml:space="preserve">or firm </w:t>
      </w:r>
      <w:r w:rsidRPr="00051CDE">
        <w:rPr>
          <w:color w:val="000000"/>
        </w:rPr>
        <w:t xml:space="preserve">offer, it must draw their attention to Rule 25.9, which specifies their right to append an opinion. </w:t>
      </w:r>
    </w:p>
    <w:p w14:paraId="048E95A1" w14:textId="77777777" w:rsidR="007D0C4C" w:rsidRPr="00051CDE" w:rsidRDefault="007D0C4C" w:rsidP="00887411">
      <w:pPr>
        <w:pStyle w:val="NoSpacing"/>
        <w:spacing w:line="360" w:lineRule="auto"/>
        <w:rPr>
          <w:color w:val="000000"/>
        </w:rPr>
      </w:pPr>
    </w:p>
    <w:p w14:paraId="6D0EEEBE" w14:textId="681F95B5" w:rsidR="001E6F76" w:rsidRPr="00051CDE" w:rsidRDefault="001E6F76" w:rsidP="00887411">
      <w:pPr>
        <w:pStyle w:val="NoSpacing"/>
        <w:spacing w:line="360" w:lineRule="auto"/>
        <w:rPr>
          <w:color w:val="000000"/>
        </w:rPr>
      </w:pPr>
      <w:r w:rsidRPr="00051CDE">
        <w:rPr>
          <w:color w:val="000000"/>
        </w:rPr>
        <w:lastRenderedPageBreak/>
        <w:t>In 2012 the Code Committee undertook a review of the operation of the</w:t>
      </w:r>
      <w:r w:rsidR="00BB7AE9" w:rsidRPr="00051CDE">
        <w:rPr>
          <w:color w:val="000000"/>
        </w:rPr>
        <w:t xml:space="preserve"> 2011</w:t>
      </w:r>
      <w:r w:rsidRPr="00051CDE">
        <w:rPr>
          <w:color w:val="000000"/>
        </w:rPr>
        <w:t xml:space="preserve"> amendments. It concluded that trends in the submission of employee opinions </w:t>
      </w:r>
      <w:r w:rsidR="004B14C0" w:rsidRPr="00051CDE">
        <w:rPr>
          <w:color w:val="000000"/>
        </w:rPr>
        <w:t xml:space="preserve">appeared to </w:t>
      </w:r>
      <w:r w:rsidR="009A2D99" w:rsidRPr="00051CDE">
        <w:rPr>
          <w:color w:val="000000"/>
        </w:rPr>
        <w:t xml:space="preserve">indicate </w:t>
      </w:r>
      <w:r w:rsidRPr="00051CDE">
        <w:rPr>
          <w:color w:val="000000"/>
        </w:rPr>
        <w:t xml:space="preserve">that the 2011 reforms had gone a considerable way towards achieving their objectives to improve communications between offeree companies and their employee representatives and to enable employee representatives to be more effective in providing their opinion on the effects of an offer on employment (Takeover Panel Code Committee, 2012; see also </w:t>
      </w:r>
      <w:proofErr w:type="spellStart"/>
      <w:r w:rsidRPr="00051CDE">
        <w:rPr>
          <w:color w:val="000000"/>
        </w:rPr>
        <w:t>Tsagas</w:t>
      </w:r>
      <w:proofErr w:type="spellEnd"/>
      <w:r w:rsidRPr="00051CDE">
        <w:rPr>
          <w:color w:val="000000"/>
        </w:rPr>
        <w:t>, 2016).</w:t>
      </w:r>
    </w:p>
    <w:p w14:paraId="70E9E422" w14:textId="77777777" w:rsidR="001E6F76" w:rsidRPr="00051CDE" w:rsidRDefault="001E6F76" w:rsidP="00887411">
      <w:pPr>
        <w:pStyle w:val="NoSpacing"/>
        <w:spacing w:line="360" w:lineRule="auto"/>
        <w:rPr>
          <w:color w:val="000000"/>
        </w:rPr>
      </w:pPr>
    </w:p>
    <w:p w14:paraId="57E1E8F5" w14:textId="1EBF26F5" w:rsidR="001E6F76" w:rsidRPr="00051CDE" w:rsidRDefault="001E6F76" w:rsidP="00887411">
      <w:pPr>
        <w:pStyle w:val="NoSpacing"/>
        <w:spacing w:line="360" w:lineRule="auto"/>
        <w:rPr>
          <w:color w:val="000000"/>
        </w:rPr>
      </w:pPr>
      <w:r w:rsidRPr="00051CDE">
        <w:t>An external study of the Takeover Bids Directive</w:t>
      </w:r>
      <w:r w:rsidR="009A2D99" w:rsidRPr="00051CDE">
        <w:t>,</w:t>
      </w:r>
      <w:r w:rsidRPr="00051CDE">
        <w:t xml:space="preserve"> also in 2012</w:t>
      </w:r>
      <w:r w:rsidR="009A2D99" w:rsidRPr="00051CDE">
        <w:t>,</w:t>
      </w:r>
      <w:r w:rsidRPr="00051CDE">
        <w:t xml:space="preserve"> </w:t>
      </w:r>
      <w:r w:rsidRPr="00051CDE">
        <w:rPr>
          <w:color w:val="000000"/>
        </w:rPr>
        <w:t>concluded that it had not led to any major changes in member states’ legal frameworks, as similar rules were either already in place or being introduced (</w:t>
      </w:r>
      <w:proofErr w:type="spellStart"/>
      <w:r w:rsidRPr="00051CDE">
        <w:rPr>
          <w:color w:val="000000"/>
        </w:rPr>
        <w:t>Marccus</w:t>
      </w:r>
      <w:proofErr w:type="spellEnd"/>
      <w:r w:rsidRPr="00051CDE">
        <w:rPr>
          <w:color w:val="000000"/>
        </w:rPr>
        <w:t xml:space="preserve"> Partners, 2012). The EU Commission’s own external study subsequently summarized concerns over the operation of the provisions o</w:t>
      </w:r>
      <w:r w:rsidR="009A2D99" w:rsidRPr="00051CDE">
        <w:rPr>
          <w:color w:val="000000"/>
        </w:rPr>
        <w:t>n</w:t>
      </w:r>
      <w:r w:rsidRPr="00051CDE">
        <w:rPr>
          <w:color w:val="000000"/>
        </w:rPr>
        <w:t xml:space="preserve"> information disclosure to employees contained in the Directive. It states:</w:t>
      </w:r>
    </w:p>
    <w:p w14:paraId="10B2DB8B" w14:textId="77777777" w:rsidR="001E6F76" w:rsidRPr="00051CDE" w:rsidRDefault="001E6F76" w:rsidP="00887411">
      <w:pPr>
        <w:pStyle w:val="NoSpacing"/>
        <w:spacing w:line="360" w:lineRule="auto"/>
        <w:rPr>
          <w:color w:val="000000"/>
        </w:rPr>
      </w:pPr>
    </w:p>
    <w:p w14:paraId="389D237C" w14:textId="35A99A35" w:rsidR="001E6F76" w:rsidRPr="00051CDE" w:rsidRDefault="001E6F76" w:rsidP="00887411">
      <w:pPr>
        <w:pStyle w:val="NoSpacing"/>
        <w:spacing w:line="360" w:lineRule="auto"/>
        <w:ind w:left="720"/>
        <w:rPr>
          <w:color w:val="000000"/>
        </w:rPr>
      </w:pPr>
      <w:r w:rsidRPr="00051CDE">
        <w:rPr>
          <w:color w:val="000000"/>
        </w:rPr>
        <w:t xml:space="preserve">The External Study shows that representatives of employees are not satisfied with how the Directive safeguards the interests of employees. They mention that the required information is not always given in time, or is inadequate, and that takeover offers have a significant impact on working conditions and redundancies. Moreover, after the bid, there is no control over whether the offeror will do as he </w:t>
      </w:r>
      <w:r w:rsidR="00502C12" w:rsidRPr="00051CDE">
        <w:rPr>
          <w:color w:val="000000"/>
        </w:rPr>
        <w:t xml:space="preserve">[sic] </w:t>
      </w:r>
      <w:r w:rsidRPr="00051CDE">
        <w:rPr>
          <w:color w:val="000000"/>
        </w:rPr>
        <w:t>stated in the information disclosed in the offer procedure. This is however not regulated by the Directive (European Commission, 2012: para. 20).</w:t>
      </w:r>
    </w:p>
    <w:p w14:paraId="7F672A87" w14:textId="77777777" w:rsidR="001E6F76" w:rsidRPr="00051CDE" w:rsidRDefault="001E6F76" w:rsidP="00887411">
      <w:pPr>
        <w:pStyle w:val="NoSpacing"/>
        <w:spacing w:line="360" w:lineRule="auto"/>
        <w:rPr>
          <w:color w:val="000000"/>
        </w:rPr>
      </w:pPr>
    </w:p>
    <w:p w14:paraId="33D77F1F" w14:textId="58596D8C" w:rsidR="001E6F76" w:rsidRPr="00051CDE" w:rsidRDefault="001E6F76" w:rsidP="00887411">
      <w:pPr>
        <w:pStyle w:val="NoSpacing"/>
        <w:spacing w:line="360" w:lineRule="auto"/>
        <w:rPr>
          <w:color w:val="000000"/>
        </w:rPr>
      </w:pPr>
      <w:r w:rsidRPr="00051CDE">
        <w:rPr>
          <w:color w:val="000000"/>
        </w:rPr>
        <w:t xml:space="preserve">It added that it would ‘pursue dialogue with employee representatives with a view to exploring possible future improvements’, particularly over ‘disclosure of the offeror’s intentions as regards the future business of the company and its employment conditions and the view of the offeree company’s board on this’ (European Commission, 2012: para. 27). </w:t>
      </w:r>
      <w:r w:rsidR="004A3286">
        <w:rPr>
          <w:color w:val="000000"/>
        </w:rPr>
        <w:t>W</w:t>
      </w:r>
      <w:r w:rsidRPr="00051CDE">
        <w:rPr>
          <w:color w:val="000000"/>
        </w:rPr>
        <w:t>e return to these points below in the discussion</w:t>
      </w:r>
      <w:r w:rsidR="004A3286">
        <w:rPr>
          <w:color w:val="000000"/>
        </w:rPr>
        <w:t xml:space="preserve"> in the light of significant amendments made to the Code in December 2017 (</w:t>
      </w:r>
      <w:r w:rsidR="001E4AE4">
        <w:rPr>
          <w:color w:val="000000"/>
        </w:rPr>
        <w:t xml:space="preserve">subsequent to </w:t>
      </w:r>
      <w:r w:rsidR="004A3286">
        <w:rPr>
          <w:color w:val="000000"/>
        </w:rPr>
        <w:t xml:space="preserve">the period of analysis covered in this article). </w:t>
      </w:r>
    </w:p>
    <w:p w14:paraId="6D348853" w14:textId="77777777" w:rsidR="001E6F76" w:rsidRPr="00051CDE" w:rsidRDefault="001E6F76" w:rsidP="00887411">
      <w:pPr>
        <w:pStyle w:val="NoSpacing"/>
        <w:spacing w:line="360" w:lineRule="auto"/>
      </w:pPr>
    </w:p>
    <w:p w14:paraId="135EBD9C" w14:textId="20F994D2" w:rsidR="001E6F76" w:rsidRPr="00051CDE" w:rsidRDefault="001E6F76" w:rsidP="00887411">
      <w:pPr>
        <w:pStyle w:val="NoSpacing"/>
        <w:spacing w:line="360" w:lineRule="auto"/>
        <w:rPr>
          <w:b/>
        </w:rPr>
      </w:pPr>
      <w:r w:rsidRPr="00051CDE">
        <w:rPr>
          <w:b/>
        </w:rPr>
        <w:t>Evaluating the impact of revisions to the Code</w:t>
      </w:r>
      <w:r w:rsidR="00CA51D1" w:rsidRPr="00051CDE">
        <w:rPr>
          <w:b/>
        </w:rPr>
        <w:t xml:space="preserve"> on </w:t>
      </w:r>
      <w:r w:rsidR="00301AF2" w:rsidRPr="00051CDE">
        <w:rPr>
          <w:b/>
        </w:rPr>
        <w:t>information disclosure</w:t>
      </w:r>
    </w:p>
    <w:p w14:paraId="349CBB0D" w14:textId="77777777" w:rsidR="001E6F76" w:rsidRPr="00051CDE" w:rsidRDefault="001E6F76" w:rsidP="00887411">
      <w:pPr>
        <w:pStyle w:val="NoSpacing"/>
        <w:spacing w:line="360" w:lineRule="auto"/>
      </w:pPr>
    </w:p>
    <w:p w14:paraId="7BC0B018" w14:textId="337F335B" w:rsidR="001E6F76" w:rsidRPr="00051CDE" w:rsidRDefault="001E6F76" w:rsidP="00887411">
      <w:pPr>
        <w:pStyle w:val="NoSpacing"/>
        <w:spacing w:line="360" w:lineRule="auto"/>
      </w:pPr>
      <w:r w:rsidRPr="00051CDE">
        <w:t xml:space="preserve">The Takeover Panel, then, has made various </w:t>
      </w:r>
      <w:r w:rsidR="00905DC3" w:rsidRPr="00051CDE">
        <w:t>amendments</w:t>
      </w:r>
      <w:r w:rsidRPr="00051CDE">
        <w:t xml:space="preserve"> to the Code</w:t>
      </w:r>
      <w:r w:rsidR="004A3286">
        <w:t xml:space="preserve"> over the years </w:t>
      </w:r>
      <w:r w:rsidR="00DE5E5A" w:rsidRPr="00051CDE">
        <w:t>as a result of both the Takeover Bids Directive and its own consultation exercise</w:t>
      </w:r>
      <w:r w:rsidR="004A3286">
        <w:t>s</w:t>
      </w:r>
      <w:r w:rsidR="00DE5E5A" w:rsidRPr="00051CDE">
        <w:t xml:space="preserve">, </w:t>
      </w:r>
      <w:r w:rsidR="00905DC3" w:rsidRPr="00051CDE">
        <w:t>with a view</w:t>
      </w:r>
      <w:r w:rsidRPr="00051CDE">
        <w:t xml:space="preserve"> to protect</w:t>
      </w:r>
      <w:r w:rsidR="00905DC3" w:rsidRPr="00051CDE">
        <w:t>ing</w:t>
      </w:r>
      <w:r w:rsidRPr="00051CDE">
        <w:t xml:space="preserve"> offeree companies as well as facilitat</w:t>
      </w:r>
      <w:r w:rsidR="00905DC3" w:rsidRPr="00051CDE">
        <w:t>ing</w:t>
      </w:r>
      <w:r w:rsidRPr="00051CDE">
        <w:t xml:space="preserve"> employee representative input into the takeover process. </w:t>
      </w:r>
      <w:r w:rsidR="00CA51D1" w:rsidRPr="00051CDE">
        <w:t>In terms of the latter, t</w:t>
      </w:r>
      <w:r w:rsidRPr="00051CDE">
        <w:t xml:space="preserve">his section evaluates the number and content of </w:t>
      </w:r>
      <w:r w:rsidRPr="00051CDE">
        <w:lastRenderedPageBreak/>
        <w:t xml:space="preserve">employee opinions </w:t>
      </w:r>
      <w:r w:rsidR="00B67632" w:rsidRPr="00051CDE">
        <w:t xml:space="preserve">appended to </w:t>
      </w:r>
      <w:r w:rsidRPr="00051CDE">
        <w:t>offer documents</w:t>
      </w:r>
      <w:r w:rsidR="00B67632" w:rsidRPr="00051CDE">
        <w:t xml:space="preserve"> or offeree board circulars or published on a website</w:t>
      </w:r>
      <w:r w:rsidRPr="00051CDE">
        <w:t>, contrasting two key periods: from implementation of the Directive to the revision of the Code (2006-2011) and post-revision (2011-</w:t>
      </w:r>
      <w:r w:rsidR="00DE6309" w:rsidRPr="00051CDE">
        <w:t>2017</w:t>
      </w:r>
      <w:r w:rsidRPr="00051CDE">
        <w:t xml:space="preserve">). This allows us to examine the effect of the 2011 changes on the volume of opinions </w:t>
      </w:r>
      <w:r w:rsidR="00B67632" w:rsidRPr="00051CDE">
        <w:t>given.</w:t>
      </w:r>
    </w:p>
    <w:p w14:paraId="2A3088C6" w14:textId="77777777" w:rsidR="001E6F76" w:rsidRPr="00051CDE" w:rsidRDefault="001E6F76" w:rsidP="00887411">
      <w:pPr>
        <w:pStyle w:val="NoSpacing"/>
        <w:spacing w:line="360" w:lineRule="auto"/>
      </w:pPr>
    </w:p>
    <w:p w14:paraId="22FBD7BE" w14:textId="1CFACF4B" w:rsidR="001E6F76" w:rsidRPr="00051CDE" w:rsidRDefault="001E6F76" w:rsidP="00887411">
      <w:pPr>
        <w:pStyle w:val="NoSpacing"/>
        <w:spacing w:line="360" w:lineRule="auto"/>
        <w:rPr>
          <w:i/>
        </w:rPr>
      </w:pPr>
      <w:r w:rsidRPr="00051CDE">
        <w:rPr>
          <w:i/>
        </w:rPr>
        <w:t xml:space="preserve">Trends in </w:t>
      </w:r>
      <w:r w:rsidR="00CA51D1" w:rsidRPr="00051CDE">
        <w:rPr>
          <w:i/>
        </w:rPr>
        <w:t xml:space="preserve">the </w:t>
      </w:r>
      <w:r w:rsidRPr="00051CDE">
        <w:rPr>
          <w:i/>
        </w:rPr>
        <w:t>submission of opinions</w:t>
      </w:r>
    </w:p>
    <w:p w14:paraId="32905643" w14:textId="77777777" w:rsidR="001E6F76" w:rsidRPr="00051CDE" w:rsidRDefault="001E6F76" w:rsidP="00887411">
      <w:pPr>
        <w:pStyle w:val="NoSpacing"/>
        <w:spacing w:line="360" w:lineRule="auto"/>
      </w:pPr>
    </w:p>
    <w:p w14:paraId="664A11B1" w14:textId="61390864" w:rsidR="001E6F76" w:rsidRPr="00051CDE" w:rsidRDefault="001E6F76" w:rsidP="00887411">
      <w:pPr>
        <w:pStyle w:val="NoSpacing"/>
        <w:spacing w:line="360" w:lineRule="auto"/>
      </w:pPr>
      <w:r w:rsidRPr="00051CDE">
        <w:t xml:space="preserve">Table 1 reveals that </w:t>
      </w:r>
      <w:r w:rsidR="00FB3F6A" w:rsidRPr="00051CDE">
        <w:t xml:space="preserve">overall </w:t>
      </w:r>
      <w:r w:rsidRPr="00051CDE">
        <w:t xml:space="preserve">very few opinions have been </w:t>
      </w:r>
      <w:r w:rsidR="00B67632" w:rsidRPr="00051CDE">
        <w:t xml:space="preserve">given. </w:t>
      </w:r>
      <w:r w:rsidRPr="00051CDE">
        <w:t xml:space="preserve">In the </w:t>
      </w:r>
      <w:r w:rsidR="00C36EAC" w:rsidRPr="00051CDE">
        <w:t xml:space="preserve">12 </w:t>
      </w:r>
      <w:r w:rsidRPr="00051CDE">
        <w:t xml:space="preserve">years </w:t>
      </w:r>
      <w:r w:rsidR="00502C12" w:rsidRPr="00051CDE">
        <w:t xml:space="preserve">(2006-2017), </w:t>
      </w:r>
      <w:r w:rsidRPr="00051CDE">
        <w:t xml:space="preserve">there were 1,077 firm offer proposals registered by the Takeover Panel, of which </w:t>
      </w:r>
      <w:r w:rsidR="00FB3F6A" w:rsidRPr="00051CDE">
        <w:t xml:space="preserve">only </w:t>
      </w:r>
      <w:r w:rsidRPr="00051CDE">
        <w:t xml:space="preserve">28 (2.6%) were accompanied by at least one employee opinion. </w:t>
      </w:r>
    </w:p>
    <w:p w14:paraId="4295ACD6" w14:textId="77777777" w:rsidR="001E6F76" w:rsidRPr="00051CDE" w:rsidRDefault="001E6F76" w:rsidP="00887411">
      <w:pPr>
        <w:pStyle w:val="NoSpacing"/>
        <w:spacing w:line="360" w:lineRule="auto"/>
      </w:pPr>
    </w:p>
    <w:p w14:paraId="0314590D" w14:textId="40310208" w:rsidR="001E6F76" w:rsidRPr="00051CDE" w:rsidRDefault="001E6F76" w:rsidP="003069A7">
      <w:pPr>
        <w:spacing w:line="360" w:lineRule="auto"/>
        <w:rPr>
          <w:rFonts w:ascii="Times New Roman" w:hAnsi="Times New Roman" w:cs="Times New Roman"/>
          <w:sz w:val="24"/>
          <w:szCs w:val="24"/>
          <w:u w:val="single"/>
        </w:rPr>
      </w:pPr>
      <w:r w:rsidRPr="00051CDE">
        <w:rPr>
          <w:rFonts w:ascii="Times New Roman" w:hAnsi="Times New Roman" w:cs="Times New Roman"/>
          <w:sz w:val="24"/>
          <w:szCs w:val="24"/>
          <w:u w:val="single"/>
        </w:rPr>
        <w:t>Table 1: Trends in takeovers</w:t>
      </w:r>
      <w:r w:rsidR="00CA51D1" w:rsidRPr="00051CDE">
        <w:rPr>
          <w:rFonts w:ascii="Times New Roman" w:hAnsi="Times New Roman" w:cs="Times New Roman"/>
          <w:sz w:val="24"/>
          <w:szCs w:val="24"/>
          <w:u w:val="single"/>
        </w:rPr>
        <w:t xml:space="preserve"> </w:t>
      </w:r>
      <w:r w:rsidRPr="00051CDE">
        <w:rPr>
          <w:rFonts w:ascii="Times New Roman" w:hAnsi="Times New Roman" w:cs="Times New Roman"/>
          <w:sz w:val="24"/>
          <w:szCs w:val="24"/>
          <w:u w:val="single"/>
        </w:rPr>
        <w:t>/ submission of employee representatives’ opinions</w:t>
      </w:r>
    </w:p>
    <w:tbl>
      <w:tblPr>
        <w:tblStyle w:val="TableGrid"/>
        <w:tblW w:w="0" w:type="auto"/>
        <w:tblLayout w:type="fixed"/>
        <w:tblLook w:val="04A0" w:firstRow="1" w:lastRow="0" w:firstColumn="1" w:lastColumn="0" w:noHBand="0" w:noVBand="1"/>
      </w:tblPr>
      <w:tblGrid>
        <w:gridCol w:w="1101"/>
        <w:gridCol w:w="1417"/>
        <w:gridCol w:w="1958"/>
        <w:gridCol w:w="1417"/>
        <w:gridCol w:w="1276"/>
      </w:tblGrid>
      <w:tr w:rsidR="001E6F76" w:rsidRPr="00051CDE" w14:paraId="36742FF9" w14:textId="77777777" w:rsidTr="002E7273">
        <w:tc>
          <w:tcPr>
            <w:tcW w:w="1101" w:type="dxa"/>
          </w:tcPr>
          <w:p w14:paraId="3EA8E9E4" w14:textId="77777777" w:rsidR="001E6F76" w:rsidRPr="00051CDE" w:rsidRDefault="001E6F76" w:rsidP="003069A7">
            <w:pPr>
              <w:spacing w:line="360" w:lineRule="auto"/>
              <w:rPr>
                <w:rFonts w:ascii="Times New Roman" w:hAnsi="Times New Roman" w:cs="Times New Roman"/>
                <w:b/>
                <w:sz w:val="24"/>
                <w:szCs w:val="24"/>
              </w:rPr>
            </w:pPr>
            <w:r w:rsidRPr="00051CDE">
              <w:rPr>
                <w:rFonts w:ascii="Times New Roman" w:hAnsi="Times New Roman" w:cs="Times New Roman"/>
                <w:b/>
                <w:sz w:val="24"/>
                <w:szCs w:val="24"/>
              </w:rPr>
              <w:t>Year</w:t>
            </w:r>
          </w:p>
        </w:tc>
        <w:tc>
          <w:tcPr>
            <w:tcW w:w="1417" w:type="dxa"/>
          </w:tcPr>
          <w:p w14:paraId="7121A313"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b/>
                <w:sz w:val="24"/>
                <w:szCs w:val="24"/>
              </w:rPr>
              <w:t>Number of firm offer proposals (Takeover Panel)</w:t>
            </w:r>
            <w:r w:rsidR="00EE6FAE" w:rsidRPr="00051CDE">
              <w:rPr>
                <w:rFonts w:ascii="Times New Roman" w:hAnsi="Times New Roman" w:cs="Times New Roman"/>
                <w:b/>
                <w:sz w:val="24"/>
                <w:szCs w:val="24"/>
              </w:rPr>
              <w:t xml:space="preserve"> </w:t>
            </w:r>
            <w:r w:rsidR="00EE6FAE" w:rsidRPr="00051CDE">
              <w:rPr>
                <w:rFonts w:ascii="Times New Roman" w:hAnsi="Times New Roman" w:cs="Times New Roman"/>
                <w:sz w:val="24"/>
                <w:szCs w:val="24"/>
              </w:rPr>
              <w:t>(a)</w:t>
            </w:r>
          </w:p>
        </w:tc>
        <w:tc>
          <w:tcPr>
            <w:tcW w:w="1958" w:type="dxa"/>
          </w:tcPr>
          <w:p w14:paraId="3279F92E" w14:textId="4FB279D7" w:rsidR="001E6F76" w:rsidRPr="00051CDE" w:rsidRDefault="001E6F76" w:rsidP="00B67632">
            <w:pPr>
              <w:spacing w:line="360" w:lineRule="auto"/>
              <w:rPr>
                <w:rFonts w:ascii="Times New Roman" w:hAnsi="Times New Roman" w:cs="Times New Roman"/>
                <w:b/>
                <w:sz w:val="24"/>
                <w:szCs w:val="24"/>
              </w:rPr>
            </w:pPr>
            <w:r w:rsidRPr="00051CDE">
              <w:rPr>
                <w:rFonts w:ascii="Times New Roman" w:hAnsi="Times New Roman" w:cs="Times New Roman"/>
                <w:b/>
                <w:sz w:val="24"/>
                <w:szCs w:val="24"/>
              </w:rPr>
              <w:t xml:space="preserve">Number of takeovers for which one or more employee opinions was </w:t>
            </w:r>
            <w:r w:rsidR="00B67632" w:rsidRPr="00051CDE">
              <w:rPr>
                <w:rFonts w:ascii="Times New Roman" w:hAnsi="Times New Roman" w:cs="Times New Roman"/>
                <w:b/>
                <w:sz w:val="24"/>
                <w:szCs w:val="24"/>
              </w:rPr>
              <w:t>given</w:t>
            </w:r>
          </w:p>
        </w:tc>
        <w:tc>
          <w:tcPr>
            <w:tcW w:w="1417" w:type="dxa"/>
          </w:tcPr>
          <w:p w14:paraId="0C591522" w14:textId="089C88B6" w:rsidR="001E6F76" w:rsidRPr="00051CDE" w:rsidRDefault="001E6F76" w:rsidP="00B67632">
            <w:pPr>
              <w:spacing w:line="360" w:lineRule="auto"/>
              <w:rPr>
                <w:rFonts w:ascii="Times New Roman" w:hAnsi="Times New Roman" w:cs="Times New Roman"/>
                <w:b/>
                <w:sz w:val="24"/>
                <w:szCs w:val="24"/>
              </w:rPr>
            </w:pPr>
            <w:r w:rsidRPr="00051CDE">
              <w:rPr>
                <w:rFonts w:ascii="Times New Roman" w:hAnsi="Times New Roman" w:cs="Times New Roman"/>
                <w:b/>
                <w:sz w:val="24"/>
                <w:szCs w:val="24"/>
              </w:rPr>
              <w:t xml:space="preserve">Total number of separate employee opinions </w:t>
            </w:r>
            <w:r w:rsidR="00B67632" w:rsidRPr="00051CDE">
              <w:rPr>
                <w:rFonts w:ascii="Times New Roman" w:hAnsi="Times New Roman" w:cs="Times New Roman"/>
                <w:b/>
                <w:sz w:val="24"/>
                <w:szCs w:val="24"/>
              </w:rPr>
              <w:t>given</w:t>
            </w:r>
          </w:p>
        </w:tc>
        <w:tc>
          <w:tcPr>
            <w:tcW w:w="1276" w:type="dxa"/>
          </w:tcPr>
          <w:p w14:paraId="508C6E66"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b/>
                <w:sz w:val="24"/>
                <w:szCs w:val="24"/>
              </w:rPr>
              <w:t>Number of pension fund trustee opinions</w:t>
            </w:r>
            <w:r w:rsidR="00EE6FAE" w:rsidRPr="00051CDE">
              <w:rPr>
                <w:rFonts w:ascii="Times New Roman" w:hAnsi="Times New Roman" w:cs="Times New Roman"/>
                <w:b/>
                <w:sz w:val="24"/>
                <w:szCs w:val="24"/>
              </w:rPr>
              <w:t xml:space="preserve"> </w:t>
            </w:r>
            <w:r w:rsidR="00EE6FAE" w:rsidRPr="00051CDE">
              <w:rPr>
                <w:rFonts w:ascii="Times New Roman" w:hAnsi="Times New Roman" w:cs="Times New Roman"/>
                <w:sz w:val="24"/>
                <w:szCs w:val="24"/>
              </w:rPr>
              <w:t>(b)</w:t>
            </w:r>
          </w:p>
        </w:tc>
      </w:tr>
      <w:tr w:rsidR="001E6F76" w:rsidRPr="00051CDE" w14:paraId="5153B62E" w14:textId="77777777" w:rsidTr="002E7273">
        <w:tc>
          <w:tcPr>
            <w:tcW w:w="1101" w:type="dxa"/>
          </w:tcPr>
          <w:p w14:paraId="22613308"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2006</w:t>
            </w:r>
            <w:r w:rsidR="00EE6FAE" w:rsidRPr="00051CDE">
              <w:rPr>
                <w:rFonts w:ascii="Times New Roman" w:hAnsi="Times New Roman" w:cs="Times New Roman"/>
                <w:sz w:val="24"/>
                <w:szCs w:val="24"/>
              </w:rPr>
              <w:t xml:space="preserve"> (c)</w:t>
            </w:r>
          </w:p>
        </w:tc>
        <w:tc>
          <w:tcPr>
            <w:tcW w:w="1417" w:type="dxa"/>
          </w:tcPr>
          <w:p w14:paraId="05EF9001"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151</w:t>
            </w:r>
          </w:p>
        </w:tc>
        <w:tc>
          <w:tcPr>
            <w:tcW w:w="1958" w:type="dxa"/>
          </w:tcPr>
          <w:p w14:paraId="52741E86"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1 (0.7%)</w:t>
            </w:r>
          </w:p>
        </w:tc>
        <w:tc>
          <w:tcPr>
            <w:tcW w:w="1417" w:type="dxa"/>
          </w:tcPr>
          <w:p w14:paraId="4BC3E24E"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3 (2.0%)</w:t>
            </w:r>
          </w:p>
        </w:tc>
        <w:tc>
          <w:tcPr>
            <w:tcW w:w="1276" w:type="dxa"/>
          </w:tcPr>
          <w:p w14:paraId="34CDAC31" w14:textId="77777777" w:rsidR="001E6F76" w:rsidRPr="00051CDE" w:rsidRDefault="00253AF7"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N/A</w:t>
            </w:r>
          </w:p>
        </w:tc>
      </w:tr>
      <w:tr w:rsidR="001E6F76" w:rsidRPr="00051CDE" w14:paraId="4F85CEDE" w14:textId="77777777" w:rsidTr="002E7273">
        <w:tc>
          <w:tcPr>
            <w:tcW w:w="1101" w:type="dxa"/>
          </w:tcPr>
          <w:p w14:paraId="1380EF83"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2007</w:t>
            </w:r>
          </w:p>
        </w:tc>
        <w:tc>
          <w:tcPr>
            <w:tcW w:w="1417" w:type="dxa"/>
          </w:tcPr>
          <w:p w14:paraId="54711E2D"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144</w:t>
            </w:r>
          </w:p>
        </w:tc>
        <w:tc>
          <w:tcPr>
            <w:tcW w:w="1958" w:type="dxa"/>
          </w:tcPr>
          <w:p w14:paraId="129F76EC"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0</w:t>
            </w:r>
          </w:p>
        </w:tc>
        <w:tc>
          <w:tcPr>
            <w:tcW w:w="1417" w:type="dxa"/>
          </w:tcPr>
          <w:p w14:paraId="0AA1F5A8"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0</w:t>
            </w:r>
          </w:p>
        </w:tc>
        <w:tc>
          <w:tcPr>
            <w:tcW w:w="1276" w:type="dxa"/>
          </w:tcPr>
          <w:p w14:paraId="0259F12C" w14:textId="77777777" w:rsidR="001E6F76" w:rsidRPr="00051CDE" w:rsidRDefault="00253AF7"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N/A</w:t>
            </w:r>
            <w:r w:rsidRPr="00051CDE" w:rsidDel="00253AF7">
              <w:rPr>
                <w:rFonts w:ascii="Times New Roman" w:hAnsi="Times New Roman" w:cs="Times New Roman"/>
                <w:sz w:val="24"/>
                <w:szCs w:val="24"/>
              </w:rPr>
              <w:t xml:space="preserve"> </w:t>
            </w:r>
          </w:p>
        </w:tc>
      </w:tr>
      <w:tr w:rsidR="001E6F76" w:rsidRPr="00051CDE" w14:paraId="15953E48" w14:textId="77777777" w:rsidTr="002E7273">
        <w:tc>
          <w:tcPr>
            <w:tcW w:w="1101" w:type="dxa"/>
          </w:tcPr>
          <w:p w14:paraId="5B5E0918"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2008</w:t>
            </w:r>
          </w:p>
        </w:tc>
        <w:tc>
          <w:tcPr>
            <w:tcW w:w="1417" w:type="dxa"/>
          </w:tcPr>
          <w:p w14:paraId="418FC485"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134</w:t>
            </w:r>
          </w:p>
        </w:tc>
        <w:tc>
          <w:tcPr>
            <w:tcW w:w="1958" w:type="dxa"/>
          </w:tcPr>
          <w:p w14:paraId="4373043F"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0</w:t>
            </w:r>
          </w:p>
        </w:tc>
        <w:tc>
          <w:tcPr>
            <w:tcW w:w="1417" w:type="dxa"/>
          </w:tcPr>
          <w:p w14:paraId="2E76CE3D"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0</w:t>
            </w:r>
          </w:p>
        </w:tc>
        <w:tc>
          <w:tcPr>
            <w:tcW w:w="1276" w:type="dxa"/>
          </w:tcPr>
          <w:p w14:paraId="1ED2BC79" w14:textId="77777777" w:rsidR="001E6F76" w:rsidRPr="00051CDE" w:rsidRDefault="00253AF7"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N/A</w:t>
            </w:r>
            <w:r w:rsidRPr="00051CDE" w:rsidDel="00253AF7">
              <w:rPr>
                <w:rFonts w:ascii="Times New Roman" w:hAnsi="Times New Roman" w:cs="Times New Roman"/>
                <w:sz w:val="24"/>
                <w:szCs w:val="24"/>
              </w:rPr>
              <w:t xml:space="preserve"> </w:t>
            </w:r>
          </w:p>
        </w:tc>
      </w:tr>
      <w:tr w:rsidR="001E6F76" w:rsidRPr="00051CDE" w14:paraId="5F6D778D" w14:textId="77777777" w:rsidTr="002E7273">
        <w:tc>
          <w:tcPr>
            <w:tcW w:w="1101" w:type="dxa"/>
          </w:tcPr>
          <w:p w14:paraId="19831F35"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2009</w:t>
            </w:r>
          </w:p>
        </w:tc>
        <w:tc>
          <w:tcPr>
            <w:tcW w:w="1417" w:type="dxa"/>
          </w:tcPr>
          <w:p w14:paraId="5650FFEE"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104</w:t>
            </w:r>
          </w:p>
        </w:tc>
        <w:tc>
          <w:tcPr>
            <w:tcW w:w="1958" w:type="dxa"/>
          </w:tcPr>
          <w:p w14:paraId="7C7738D4"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0</w:t>
            </w:r>
          </w:p>
        </w:tc>
        <w:tc>
          <w:tcPr>
            <w:tcW w:w="1417" w:type="dxa"/>
          </w:tcPr>
          <w:p w14:paraId="04CC2863"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0</w:t>
            </w:r>
          </w:p>
        </w:tc>
        <w:tc>
          <w:tcPr>
            <w:tcW w:w="1276" w:type="dxa"/>
          </w:tcPr>
          <w:p w14:paraId="27360BBF" w14:textId="77777777" w:rsidR="001E6F76" w:rsidRPr="00051CDE" w:rsidRDefault="00253AF7"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N/A</w:t>
            </w:r>
            <w:r w:rsidRPr="00051CDE" w:rsidDel="00253AF7">
              <w:rPr>
                <w:rFonts w:ascii="Times New Roman" w:hAnsi="Times New Roman" w:cs="Times New Roman"/>
                <w:sz w:val="24"/>
                <w:szCs w:val="24"/>
              </w:rPr>
              <w:t xml:space="preserve"> </w:t>
            </w:r>
          </w:p>
        </w:tc>
      </w:tr>
      <w:tr w:rsidR="001E6F76" w:rsidRPr="00051CDE" w14:paraId="499FE456" w14:textId="77777777" w:rsidTr="002E7273">
        <w:tc>
          <w:tcPr>
            <w:tcW w:w="1101" w:type="dxa"/>
          </w:tcPr>
          <w:p w14:paraId="05903BE9"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2010</w:t>
            </w:r>
          </w:p>
        </w:tc>
        <w:tc>
          <w:tcPr>
            <w:tcW w:w="1417" w:type="dxa"/>
          </w:tcPr>
          <w:p w14:paraId="09570B67"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90</w:t>
            </w:r>
          </w:p>
        </w:tc>
        <w:tc>
          <w:tcPr>
            <w:tcW w:w="1958" w:type="dxa"/>
          </w:tcPr>
          <w:p w14:paraId="6B5D12E8"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1 (1.1%)</w:t>
            </w:r>
          </w:p>
        </w:tc>
        <w:tc>
          <w:tcPr>
            <w:tcW w:w="1417" w:type="dxa"/>
          </w:tcPr>
          <w:p w14:paraId="6CAB39BA"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1 (1.1%)</w:t>
            </w:r>
          </w:p>
        </w:tc>
        <w:tc>
          <w:tcPr>
            <w:tcW w:w="1276" w:type="dxa"/>
          </w:tcPr>
          <w:p w14:paraId="7FD280B0" w14:textId="77777777" w:rsidR="001E6F76" w:rsidRPr="00051CDE" w:rsidRDefault="00253AF7"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N/A</w:t>
            </w:r>
            <w:r w:rsidRPr="00051CDE" w:rsidDel="00253AF7">
              <w:rPr>
                <w:rFonts w:ascii="Times New Roman" w:hAnsi="Times New Roman" w:cs="Times New Roman"/>
                <w:sz w:val="24"/>
                <w:szCs w:val="24"/>
              </w:rPr>
              <w:t xml:space="preserve"> </w:t>
            </w:r>
          </w:p>
        </w:tc>
      </w:tr>
      <w:tr w:rsidR="001E6F76" w:rsidRPr="00051CDE" w14:paraId="76BE2013" w14:textId="77777777" w:rsidTr="002E7273">
        <w:tc>
          <w:tcPr>
            <w:tcW w:w="1101" w:type="dxa"/>
          </w:tcPr>
          <w:p w14:paraId="16078F96"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2011</w:t>
            </w:r>
            <w:r w:rsidR="00EE6FAE" w:rsidRPr="00051CDE">
              <w:rPr>
                <w:rFonts w:ascii="Times New Roman" w:hAnsi="Times New Roman" w:cs="Times New Roman"/>
                <w:sz w:val="24"/>
                <w:szCs w:val="24"/>
              </w:rPr>
              <w:t>(d)</w:t>
            </w:r>
          </w:p>
        </w:tc>
        <w:tc>
          <w:tcPr>
            <w:tcW w:w="1417" w:type="dxa"/>
          </w:tcPr>
          <w:p w14:paraId="3B1C26E3"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94</w:t>
            </w:r>
          </w:p>
        </w:tc>
        <w:tc>
          <w:tcPr>
            <w:tcW w:w="1958" w:type="dxa"/>
          </w:tcPr>
          <w:p w14:paraId="420CB18D"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5 (5.3%)</w:t>
            </w:r>
          </w:p>
          <w:p w14:paraId="7C0434F4"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(all Sept-Dec.)</w:t>
            </w:r>
          </w:p>
        </w:tc>
        <w:tc>
          <w:tcPr>
            <w:tcW w:w="1417" w:type="dxa"/>
          </w:tcPr>
          <w:p w14:paraId="48706076"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5 (5.3%)</w:t>
            </w:r>
          </w:p>
        </w:tc>
        <w:tc>
          <w:tcPr>
            <w:tcW w:w="1276" w:type="dxa"/>
          </w:tcPr>
          <w:p w14:paraId="1A317765" w14:textId="77777777" w:rsidR="001E6F76" w:rsidRPr="00051CDE" w:rsidRDefault="00253AF7"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N/A</w:t>
            </w:r>
            <w:r w:rsidRPr="00051CDE" w:rsidDel="00253AF7">
              <w:rPr>
                <w:rFonts w:ascii="Times New Roman" w:hAnsi="Times New Roman" w:cs="Times New Roman"/>
                <w:sz w:val="24"/>
                <w:szCs w:val="24"/>
              </w:rPr>
              <w:t xml:space="preserve"> </w:t>
            </w:r>
          </w:p>
        </w:tc>
      </w:tr>
      <w:tr w:rsidR="001E6F76" w:rsidRPr="00051CDE" w14:paraId="18BB2BC2" w14:textId="77777777" w:rsidTr="002E7273">
        <w:tc>
          <w:tcPr>
            <w:tcW w:w="1101" w:type="dxa"/>
          </w:tcPr>
          <w:p w14:paraId="76E1768E"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2012</w:t>
            </w:r>
          </w:p>
        </w:tc>
        <w:tc>
          <w:tcPr>
            <w:tcW w:w="1417" w:type="dxa"/>
          </w:tcPr>
          <w:p w14:paraId="428E16F4"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80</w:t>
            </w:r>
          </w:p>
        </w:tc>
        <w:tc>
          <w:tcPr>
            <w:tcW w:w="1958" w:type="dxa"/>
          </w:tcPr>
          <w:p w14:paraId="601361BC"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10 (12.5%)</w:t>
            </w:r>
          </w:p>
        </w:tc>
        <w:tc>
          <w:tcPr>
            <w:tcW w:w="1417" w:type="dxa"/>
          </w:tcPr>
          <w:p w14:paraId="629953FE"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21 (26.3%)</w:t>
            </w:r>
          </w:p>
        </w:tc>
        <w:tc>
          <w:tcPr>
            <w:tcW w:w="1276" w:type="dxa"/>
          </w:tcPr>
          <w:p w14:paraId="2F382A4A" w14:textId="77777777" w:rsidR="001E6F76" w:rsidRPr="00051CDE" w:rsidRDefault="00253AF7"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N/A</w:t>
            </w:r>
            <w:r w:rsidRPr="00051CDE" w:rsidDel="00253AF7">
              <w:rPr>
                <w:rFonts w:ascii="Times New Roman" w:hAnsi="Times New Roman" w:cs="Times New Roman"/>
                <w:sz w:val="24"/>
                <w:szCs w:val="24"/>
              </w:rPr>
              <w:t xml:space="preserve"> </w:t>
            </w:r>
          </w:p>
        </w:tc>
      </w:tr>
      <w:tr w:rsidR="001E6F76" w:rsidRPr="00051CDE" w14:paraId="3EE47DF3" w14:textId="77777777" w:rsidTr="002E7273">
        <w:tc>
          <w:tcPr>
            <w:tcW w:w="1101" w:type="dxa"/>
          </w:tcPr>
          <w:p w14:paraId="5F8A60E8"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2013</w:t>
            </w:r>
          </w:p>
        </w:tc>
        <w:tc>
          <w:tcPr>
            <w:tcW w:w="1417" w:type="dxa"/>
          </w:tcPr>
          <w:p w14:paraId="5AB47D4B"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60</w:t>
            </w:r>
          </w:p>
        </w:tc>
        <w:tc>
          <w:tcPr>
            <w:tcW w:w="1958" w:type="dxa"/>
          </w:tcPr>
          <w:p w14:paraId="59379E5B"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2 (3.3%)</w:t>
            </w:r>
          </w:p>
        </w:tc>
        <w:tc>
          <w:tcPr>
            <w:tcW w:w="1417" w:type="dxa"/>
          </w:tcPr>
          <w:p w14:paraId="45C2E96B"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2 (3.3%)</w:t>
            </w:r>
          </w:p>
        </w:tc>
        <w:tc>
          <w:tcPr>
            <w:tcW w:w="1276" w:type="dxa"/>
          </w:tcPr>
          <w:p w14:paraId="618177F9"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2 (3.3%)</w:t>
            </w:r>
          </w:p>
        </w:tc>
      </w:tr>
      <w:tr w:rsidR="001E6F76" w:rsidRPr="00051CDE" w14:paraId="40959F7C" w14:textId="77777777" w:rsidTr="002E7273">
        <w:tc>
          <w:tcPr>
            <w:tcW w:w="1101" w:type="dxa"/>
          </w:tcPr>
          <w:p w14:paraId="5EC09BBB"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2014</w:t>
            </w:r>
          </w:p>
        </w:tc>
        <w:tc>
          <w:tcPr>
            <w:tcW w:w="1417" w:type="dxa"/>
          </w:tcPr>
          <w:p w14:paraId="1E234794"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43</w:t>
            </w:r>
          </w:p>
        </w:tc>
        <w:tc>
          <w:tcPr>
            <w:tcW w:w="1958" w:type="dxa"/>
          </w:tcPr>
          <w:p w14:paraId="4A7DA8CB"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3 (7.0%)</w:t>
            </w:r>
          </w:p>
        </w:tc>
        <w:tc>
          <w:tcPr>
            <w:tcW w:w="1417" w:type="dxa"/>
          </w:tcPr>
          <w:p w14:paraId="51C15E25"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3 (7.0%)</w:t>
            </w:r>
          </w:p>
        </w:tc>
        <w:tc>
          <w:tcPr>
            <w:tcW w:w="1276" w:type="dxa"/>
          </w:tcPr>
          <w:p w14:paraId="02458896"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2 (4.7%)</w:t>
            </w:r>
          </w:p>
        </w:tc>
      </w:tr>
      <w:tr w:rsidR="001E6F76" w:rsidRPr="00051CDE" w14:paraId="6CDA9B24" w14:textId="77777777" w:rsidTr="002E7273">
        <w:tc>
          <w:tcPr>
            <w:tcW w:w="1101" w:type="dxa"/>
          </w:tcPr>
          <w:p w14:paraId="47142C58"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2015</w:t>
            </w:r>
          </w:p>
        </w:tc>
        <w:tc>
          <w:tcPr>
            <w:tcW w:w="1417" w:type="dxa"/>
          </w:tcPr>
          <w:p w14:paraId="6BF603B5"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64</w:t>
            </w:r>
          </w:p>
        </w:tc>
        <w:tc>
          <w:tcPr>
            <w:tcW w:w="1958" w:type="dxa"/>
          </w:tcPr>
          <w:p w14:paraId="57F92B7E"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1 (1.6%)</w:t>
            </w:r>
          </w:p>
        </w:tc>
        <w:tc>
          <w:tcPr>
            <w:tcW w:w="1417" w:type="dxa"/>
          </w:tcPr>
          <w:p w14:paraId="0D065A9E"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1 (1.6%)</w:t>
            </w:r>
          </w:p>
        </w:tc>
        <w:tc>
          <w:tcPr>
            <w:tcW w:w="1276" w:type="dxa"/>
          </w:tcPr>
          <w:p w14:paraId="47CF0AB5"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6 (9.4%)</w:t>
            </w:r>
          </w:p>
        </w:tc>
      </w:tr>
      <w:tr w:rsidR="001E6F76" w:rsidRPr="00051CDE" w14:paraId="7F133929" w14:textId="77777777" w:rsidTr="002E7273">
        <w:tc>
          <w:tcPr>
            <w:tcW w:w="1101" w:type="dxa"/>
          </w:tcPr>
          <w:p w14:paraId="197EA8AB"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2016</w:t>
            </w:r>
          </w:p>
        </w:tc>
        <w:tc>
          <w:tcPr>
            <w:tcW w:w="1417" w:type="dxa"/>
          </w:tcPr>
          <w:p w14:paraId="2B1973E0"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61</w:t>
            </w:r>
          </w:p>
        </w:tc>
        <w:tc>
          <w:tcPr>
            <w:tcW w:w="1958" w:type="dxa"/>
          </w:tcPr>
          <w:p w14:paraId="0A7F245B"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3 (4.9%)</w:t>
            </w:r>
          </w:p>
        </w:tc>
        <w:tc>
          <w:tcPr>
            <w:tcW w:w="1417" w:type="dxa"/>
          </w:tcPr>
          <w:p w14:paraId="4AA27194"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4 (6.6%)</w:t>
            </w:r>
          </w:p>
        </w:tc>
        <w:tc>
          <w:tcPr>
            <w:tcW w:w="1276" w:type="dxa"/>
          </w:tcPr>
          <w:p w14:paraId="54EC0F49"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1 (1.6%)</w:t>
            </w:r>
          </w:p>
        </w:tc>
      </w:tr>
      <w:tr w:rsidR="001E6F76" w:rsidRPr="00051CDE" w14:paraId="08126C52" w14:textId="77777777" w:rsidTr="002E7273">
        <w:tc>
          <w:tcPr>
            <w:tcW w:w="1101" w:type="dxa"/>
          </w:tcPr>
          <w:p w14:paraId="1F84CB57"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2017</w:t>
            </w:r>
          </w:p>
        </w:tc>
        <w:tc>
          <w:tcPr>
            <w:tcW w:w="1417" w:type="dxa"/>
          </w:tcPr>
          <w:p w14:paraId="44797C62"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52</w:t>
            </w:r>
          </w:p>
        </w:tc>
        <w:tc>
          <w:tcPr>
            <w:tcW w:w="1958" w:type="dxa"/>
          </w:tcPr>
          <w:p w14:paraId="03A582CA"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2 (3.8%)</w:t>
            </w:r>
          </w:p>
        </w:tc>
        <w:tc>
          <w:tcPr>
            <w:tcW w:w="1417" w:type="dxa"/>
          </w:tcPr>
          <w:p w14:paraId="7F9721EC"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2 (3.8%)</w:t>
            </w:r>
          </w:p>
        </w:tc>
        <w:tc>
          <w:tcPr>
            <w:tcW w:w="1276" w:type="dxa"/>
          </w:tcPr>
          <w:p w14:paraId="63FD50D2"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1 (1.9%)</w:t>
            </w:r>
          </w:p>
        </w:tc>
      </w:tr>
      <w:tr w:rsidR="001E6F76" w:rsidRPr="00051CDE" w14:paraId="0F84827A" w14:textId="77777777" w:rsidTr="002E7273">
        <w:tc>
          <w:tcPr>
            <w:tcW w:w="1101" w:type="dxa"/>
          </w:tcPr>
          <w:p w14:paraId="45D24C12" w14:textId="77777777" w:rsidR="001E6F76" w:rsidRPr="00051CDE" w:rsidRDefault="001E6F76" w:rsidP="003069A7">
            <w:pPr>
              <w:spacing w:line="360" w:lineRule="auto"/>
              <w:rPr>
                <w:rFonts w:ascii="Times New Roman" w:hAnsi="Times New Roman" w:cs="Times New Roman"/>
                <w:b/>
                <w:sz w:val="24"/>
                <w:szCs w:val="24"/>
              </w:rPr>
            </w:pPr>
            <w:r w:rsidRPr="00051CDE">
              <w:rPr>
                <w:rFonts w:ascii="Times New Roman" w:hAnsi="Times New Roman" w:cs="Times New Roman"/>
                <w:b/>
                <w:sz w:val="24"/>
                <w:szCs w:val="24"/>
              </w:rPr>
              <w:t>Total</w:t>
            </w:r>
          </w:p>
        </w:tc>
        <w:tc>
          <w:tcPr>
            <w:tcW w:w="1417" w:type="dxa"/>
          </w:tcPr>
          <w:p w14:paraId="2FBD36EA"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1,077</w:t>
            </w:r>
          </w:p>
        </w:tc>
        <w:tc>
          <w:tcPr>
            <w:tcW w:w="1958" w:type="dxa"/>
          </w:tcPr>
          <w:p w14:paraId="08F089D3"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28 (2.6%)</w:t>
            </w:r>
          </w:p>
        </w:tc>
        <w:tc>
          <w:tcPr>
            <w:tcW w:w="1417" w:type="dxa"/>
          </w:tcPr>
          <w:p w14:paraId="0EE41CD3"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42 (3.9%)</w:t>
            </w:r>
          </w:p>
        </w:tc>
        <w:tc>
          <w:tcPr>
            <w:tcW w:w="1276" w:type="dxa"/>
          </w:tcPr>
          <w:p w14:paraId="603294D4" w14:textId="77777777" w:rsidR="001E6F76" w:rsidRPr="00051CDE" w:rsidRDefault="001E6F76" w:rsidP="003069A7">
            <w:pPr>
              <w:spacing w:line="360" w:lineRule="auto"/>
              <w:rPr>
                <w:rFonts w:ascii="Times New Roman" w:hAnsi="Times New Roman" w:cs="Times New Roman"/>
                <w:sz w:val="24"/>
                <w:szCs w:val="24"/>
              </w:rPr>
            </w:pPr>
            <w:r w:rsidRPr="00051CDE">
              <w:rPr>
                <w:rFonts w:ascii="Times New Roman" w:hAnsi="Times New Roman" w:cs="Times New Roman"/>
                <w:sz w:val="24"/>
                <w:szCs w:val="24"/>
              </w:rPr>
              <w:t>12 (1.1%)</w:t>
            </w:r>
          </w:p>
        </w:tc>
      </w:tr>
    </w:tbl>
    <w:p w14:paraId="698E46A7" w14:textId="77777777" w:rsidR="001E6F76" w:rsidRPr="00051CDE" w:rsidRDefault="001E6F76" w:rsidP="003069A7">
      <w:pPr>
        <w:spacing w:line="360" w:lineRule="auto"/>
        <w:rPr>
          <w:rFonts w:ascii="Times New Roman" w:hAnsi="Times New Roman" w:cs="Times New Roman"/>
          <w:sz w:val="24"/>
          <w:szCs w:val="24"/>
        </w:rPr>
      </w:pPr>
    </w:p>
    <w:p w14:paraId="123967B0" w14:textId="31E1ECAC" w:rsidR="001E6F76" w:rsidRPr="00051CDE" w:rsidRDefault="00EE6FAE" w:rsidP="00887411">
      <w:pPr>
        <w:spacing w:line="360" w:lineRule="auto"/>
        <w:ind w:left="720"/>
        <w:rPr>
          <w:rFonts w:ascii="Times New Roman" w:hAnsi="Times New Roman" w:cs="Times New Roman"/>
          <w:sz w:val="24"/>
          <w:szCs w:val="24"/>
        </w:rPr>
      </w:pPr>
      <w:r w:rsidRPr="00051CDE">
        <w:rPr>
          <w:rFonts w:ascii="Times New Roman" w:hAnsi="Times New Roman" w:cs="Times New Roman"/>
          <w:sz w:val="24"/>
          <w:szCs w:val="24"/>
        </w:rPr>
        <w:lastRenderedPageBreak/>
        <w:t>Notes to Table 1: (a) source</w:t>
      </w:r>
      <w:r w:rsidR="00990127" w:rsidRPr="00051CDE">
        <w:rPr>
          <w:rFonts w:ascii="Times New Roman" w:hAnsi="Times New Roman" w:cs="Times New Roman"/>
          <w:sz w:val="24"/>
          <w:szCs w:val="24"/>
        </w:rPr>
        <w:t>s</w:t>
      </w:r>
      <w:r w:rsidRPr="00051CDE">
        <w:rPr>
          <w:rFonts w:ascii="Times New Roman" w:hAnsi="Times New Roman" w:cs="Times New Roman"/>
          <w:sz w:val="24"/>
          <w:szCs w:val="24"/>
        </w:rPr>
        <w:t xml:space="preserve"> for the numbers in this column are the Annual Reports of the Takeover Panel</w:t>
      </w:r>
      <w:r w:rsidR="00271119" w:rsidRPr="00051CDE">
        <w:rPr>
          <w:rFonts w:ascii="Times New Roman" w:hAnsi="Times New Roman" w:cs="Times New Roman"/>
          <w:sz w:val="24"/>
          <w:szCs w:val="24"/>
        </w:rPr>
        <w:t xml:space="preserve">. The reader should </w:t>
      </w:r>
      <w:r w:rsidR="00E80240" w:rsidRPr="00051CDE">
        <w:rPr>
          <w:rFonts w:ascii="Times New Roman" w:hAnsi="Times New Roman" w:cs="Times New Roman"/>
          <w:sz w:val="24"/>
          <w:szCs w:val="24"/>
        </w:rPr>
        <w:t>note that the statistics in the Annual Reports refer to years ending on 31 March</w:t>
      </w:r>
      <w:r w:rsidR="00271119" w:rsidRPr="00051CDE">
        <w:rPr>
          <w:rFonts w:ascii="Times New Roman" w:hAnsi="Times New Roman" w:cs="Times New Roman"/>
          <w:sz w:val="24"/>
          <w:szCs w:val="24"/>
        </w:rPr>
        <w:t>; calendar years have been retained to facilitate presentation</w:t>
      </w:r>
      <w:r w:rsidRPr="00051CDE">
        <w:rPr>
          <w:rFonts w:ascii="Times New Roman" w:hAnsi="Times New Roman" w:cs="Times New Roman"/>
          <w:sz w:val="24"/>
          <w:szCs w:val="24"/>
        </w:rPr>
        <w:t xml:space="preserve">; (b) the right for pension scheme trustees to give an opinion on the effect of the offer on the pensions scheme(s) was introduced only in May 2013; (c) </w:t>
      </w:r>
      <w:r w:rsidR="001E6F76" w:rsidRPr="00051CDE">
        <w:rPr>
          <w:rFonts w:ascii="Times New Roman" w:hAnsi="Times New Roman" w:cs="Times New Roman"/>
          <w:sz w:val="24"/>
          <w:szCs w:val="24"/>
        </w:rPr>
        <w:t>EU Directive on Takeover Bids took effect in the UK on 20 May 2006 (endnote 1)</w:t>
      </w:r>
      <w:r w:rsidR="00253AF7" w:rsidRPr="00051CDE">
        <w:rPr>
          <w:rFonts w:ascii="Times New Roman" w:hAnsi="Times New Roman" w:cs="Times New Roman"/>
          <w:sz w:val="24"/>
          <w:szCs w:val="24"/>
        </w:rPr>
        <w:t xml:space="preserve">; (d) </w:t>
      </w:r>
      <w:r w:rsidR="002022F9">
        <w:rPr>
          <w:rFonts w:ascii="Times New Roman" w:hAnsi="Times New Roman" w:cs="Times New Roman"/>
          <w:sz w:val="24"/>
          <w:szCs w:val="24"/>
        </w:rPr>
        <w:t>the a</w:t>
      </w:r>
      <w:r w:rsidR="001E6F76" w:rsidRPr="00051CDE">
        <w:rPr>
          <w:rFonts w:ascii="Times New Roman" w:hAnsi="Times New Roman" w:cs="Times New Roman"/>
          <w:sz w:val="24"/>
          <w:szCs w:val="24"/>
        </w:rPr>
        <w:t>mended Code took effect in the UK on 19 September 2011</w:t>
      </w:r>
      <w:r w:rsidR="00CA51D1" w:rsidRPr="00051CDE">
        <w:rPr>
          <w:rFonts w:ascii="Times New Roman" w:hAnsi="Times New Roman" w:cs="Times New Roman"/>
          <w:sz w:val="24"/>
          <w:szCs w:val="24"/>
        </w:rPr>
        <w:t>.</w:t>
      </w:r>
    </w:p>
    <w:p w14:paraId="5F1C597E" w14:textId="2FEA8780" w:rsidR="00301AF2" w:rsidRPr="00051CDE" w:rsidRDefault="001E6F76" w:rsidP="00887411">
      <w:pPr>
        <w:pStyle w:val="NoSpacing"/>
        <w:spacing w:line="360" w:lineRule="auto"/>
      </w:pPr>
      <w:r w:rsidRPr="00051CDE">
        <w:t xml:space="preserve">The total number of opinions </w:t>
      </w:r>
      <w:r w:rsidR="00171DE6" w:rsidRPr="00051CDE">
        <w:t xml:space="preserve">given </w:t>
      </w:r>
      <w:r w:rsidRPr="00051CDE">
        <w:t>over th</w:t>
      </w:r>
      <w:r w:rsidR="00CA51D1" w:rsidRPr="00051CDE">
        <w:t xml:space="preserve">e </w:t>
      </w:r>
      <w:r w:rsidR="00C36EAC" w:rsidRPr="00051CDE">
        <w:t xml:space="preserve">12 </w:t>
      </w:r>
      <w:r w:rsidR="00CA51D1" w:rsidRPr="00051CDE">
        <w:t>years</w:t>
      </w:r>
      <w:r w:rsidRPr="00051CDE">
        <w:t xml:space="preserve"> was 42 since some proposals were accompanied by multiple opinions, but even this represents only 3.9% of the total number. However, it may be significant that 26 of these 42 opinions (62%) bunch in a period immediately following the implementation of the amended Code in September 2011 until the end of the following year, 2012 (i.e. a period of only 16 months). This implies that publicity surrounding the amended Code may have heightened awareness of the new provisions</w:t>
      </w:r>
      <w:r w:rsidR="009A2D99" w:rsidRPr="00051CDE">
        <w:t xml:space="preserve">, </w:t>
      </w:r>
      <w:r w:rsidRPr="00051CDE">
        <w:t xml:space="preserve">leading to </w:t>
      </w:r>
      <w:r w:rsidR="003E782A" w:rsidRPr="00051CDE">
        <w:t xml:space="preserve">the </w:t>
      </w:r>
      <w:r w:rsidRPr="00051CDE">
        <w:t>increased take up</w:t>
      </w:r>
      <w:r w:rsidR="003E782A" w:rsidRPr="00051CDE">
        <w:t xml:space="preserve"> that subsequently subsided.</w:t>
      </w:r>
      <w:r w:rsidR="003E782A" w:rsidRPr="00051CDE" w:rsidDel="003E782A">
        <w:t xml:space="preserve"> </w:t>
      </w:r>
    </w:p>
    <w:p w14:paraId="094E26F6" w14:textId="77777777" w:rsidR="003E782A" w:rsidRPr="00051CDE" w:rsidRDefault="003E782A" w:rsidP="00887411">
      <w:pPr>
        <w:pStyle w:val="NoSpacing"/>
        <w:spacing w:line="360" w:lineRule="auto"/>
        <w:rPr>
          <w:i/>
        </w:rPr>
      </w:pPr>
    </w:p>
    <w:p w14:paraId="17F09846" w14:textId="77777777" w:rsidR="001E6F76" w:rsidRPr="00051CDE" w:rsidRDefault="001E6F76" w:rsidP="00887411">
      <w:pPr>
        <w:pStyle w:val="NoSpacing"/>
        <w:spacing w:line="360" w:lineRule="auto"/>
        <w:rPr>
          <w:i/>
        </w:rPr>
      </w:pPr>
      <w:r w:rsidRPr="00051CDE">
        <w:rPr>
          <w:i/>
        </w:rPr>
        <w:t>Origin of the opinions</w:t>
      </w:r>
    </w:p>
    <w:p w14:paraId="040E60D1" w14:textId="77777777" w:rsidR="001E6F76" w:rsidRPr="00051CDE" w:rsidRDefault="001E6F76" w:rsidP="00887411">
      <w:pPr>
        <w:pStyle w:val="NoSpacing"/>
        <w:spacing w:line="360" w:lineRule="auto"/>
      </w:pPr>
    </w:p>
    <w:p w14:paraId="36A4EBEC" w14:textId="1C599ACA" w:rsidR="001E6F76" w:rsidRPr="00051CDE" w:rsidRDefault="001E6F76" w:rsidP="00887411">
      <w:pPr>
        <w:pStyle w:val="NoSpacing"/>
        <w:spacing w:line="360" w:lineRule="auto"/>
      </w:pPr>
      <w:r w:rsidRPr="00051CDE">
        <w:t>Twenty-five of the 42 employee opinions (60%) originate</w:t>
      </w:r>
      <w:r w:rsidR="009A2D99" w:rsidRPr="00051CDE">
        <w:t>d</w:t>
      </w:r>
      <w:r w:rsidRPr="00051CDE">
        <w:t xml:space="preserve"> from representative forms of employee participation (</w:t>
      </w:r>
      <w:r w:rsidR="00537990" w:rsidRPr="00051CDE">
        <w:t xml:space="preserve">trade </w:t>
      </w:r>
      <w:r w:rsidRPr="00051CDE">
        <w:t>unions, works councils or European works councils)</w:t>
      </w:r>
      <w:r w:rsidR="00537990" w:rsidRPr="00051CDE">
        <w:t>,</w:t>
      </w:r>
      <w:r w:rsidRPr="00051CDE">
        <w:t xml:space="preserve"> while the remaining 17 (40%) originate</w:t>
      </w:r>
      <w:r w:rsidR="009A2D99" w:rsidRPr="00051CDE">
        <w:t>d</w:t>
      </w:r>
      <w:r w:rsidRPr="00051CDE">
        <w:t xml:space="preserve"> from direct forms (employee representatives, employee councils</w:t>
      </w:r>
      <w:r w:rsidR="004F4102" w:rsidRPr="00051CDE">
        <w:t>/forums</w:t>
      </w:r>
      <w:r w:rsidRPr="00051CDE">
        <w:t xml:space="preserve"> and so on) (Table 2). </w:t>
      </w:r>
    </w:p>
    <w:p w14:paraId="2EC35254" w14:textId="77777777" w:rsidR="00537990" w:rsidRPr="00051CDE" w:rsidRDefault="00537990" w:rsidP="00887411">
      <w:pPr>
        <w:spacing w:line="360" w:lineRule="auto"/>
        <w:rPr>
          <w:rFonts w:ascii="Times New Roman" w:hAnsi="Times New Roman" w:cs="Times New Roman"/>
          <w:sz w:val="24"/>
          <w:szCs w:val="24"/>
          <w:u w:val="single"/>
        </w:rPr>
      </w:pPr>
    </w:p>
    <w:p w14:paraId="1F70B23C" w14:textId="6564856B" w:rsidR="001E6F76" w:rsidRPr="00051CDE" w:rsidRDefault="001E6F76" w:rsidP="00887411">
      <w:pPr>
        <w:spacing w:line="360" w:lineRule="auto"/>
        <w:rPr>
          <w:rFonts w:ascii="Times New Roman" w:hAnsi="Times New Roman" w:cs="Times New Roman"/>
          <w:sz w:val="24"/>
          <w:szCs w:val="24"/>
          <w:u w:val="single"/>
        </w:rPr>
      </w:pPr>
      <w:r w:rsidRPr="00051CDE">
        <w:rPr>
          <w:rFonts w:ascii="Times New Roman" w:hAnsi="Times New Roman" w:cs="Times New Roman"/>
          <w:sz w:val="24"/>
          <w:szCs w:val="24"/>
          <w:u w:val="single"/>
        </w:rPr>
        <w:t xml:space="preserve">Table 2: Body </w:t>
      </w:r>
      <w:r w:rsidR="00171DE6" w:rsidRPr="00051CDE">
        <w:rPr>
          <w:rFonts w:ascii="Times New Roman" w:hAnsi="Times New Roman" w:cs="Times New Roman"/>
          <w:sz w:val="24"/>
          <w:szCs w:val="24"/>
          <w:u w:val="single"/>
        </w:rPr>
        <w:t xml:space="preserve">giving </w:t>
      </w:r>
      <w:r w:rsidRPr="00051CDE">
        <w:rPr>
          <w:rFonts w:ascii="Times New Roman" w:hAnsi="Times New Roman" w:cs="Times New Roman"/>
          <w:sz w:val="24"/>
          <w:szCs w:val="24"/>
          <w:u w:val="single"/>
        </w:rPr>
        <w:t>opinion</w:t>
      </w:r>
    </w:p>
    <w:tbl>
      <w:tblPr>
        <w:tblStyle w:val="TableGrid"/>
        <w:tblW w:w="0" w:type="auto"/>
        <w:tblLook w:val="04A0" w:firstRow="1" w:lastRow="0" w:firstColumn="1" w:lastColumn="0" w:noHBand="0" w:noVBand="1"/>
      </w:tblPr>
      <w:tblGrid>
        <w:gridCol w:w="3080"/>
        <w:gridCol w:w="3081"/>
        <w:gridCol w:w="2169"/>
      </w:tblGrid>
      <w:tr w:rsidR="001E6F76" w:rsidRPr="00051CDE" w14:paraId="12E16CBF" w14:textId="77777777" w:rsidTr="007D0C4C">
        <w:tc>
          <w:tcPr>
            <w:tcW w:w="3080" w:type="dxa"/>
          </w:tcPr>
          <w:p w14:paraId="41727041" w14:textId="77777777" w:rsidR="001E6F76" w:rsidRPr="00051CDE" w:rsidRDefault="001E6F76" w:rsidP="00887411">
            <w:pPr>
              <w:spacing w:line="360" w:lineRule="auto"/>
              <w:rPr>
                <w:rFonts w:ascii="Times New Roman" w:hAnsi="Times New Roman" w:cs="Times New Roman"/>
                <w:b/>
                <w:sz w:val="24"/>
                <w:szCs w:val="24"/>
              </w:rPr>
            </w:pPr>
            <w:r w:rsidRPr="00051CDE">
              <w:rPr>
                <w:rFonts w:ascii="Times New Roman" w:hAnsi="Times New Roman" w:cs="Times New Roman"/>
                <w:b/>
                <w:sz w:val="24"/>
                <w:szCs w:val="24"/>
              </w:rPr>
              <w:t>Character of body</w:t>
            </w:r>
          </w:p>
        </w:tc>
        <w:tc>
          <w:tcPr>
            <w:tcW w:w="3081" w:type="dxa"/>
          </w:tcPr>
          <w:p w14:paraId="5E4939E4" w14:textId="77777777" w:rsidR="001E6F76" w:rsidRPr="00051CDE" w:rsidRDefault="001E6F76" w:rsidP="00887411">
            <w:pPr>
              <w:spacing w:line="360" w:lineRule="auto"/>
              <w:rPr>
                <w:rFonts w:ascii="Times New Roman" w:hAnsi="Times New Roman" w:cs="Times New Roman"/>
                <w:b/>
                <w:sz w:val="24"/>
                <w:szCs w:val="24"/>
              </w:rPr>
            </w:pPr>
            <w:r w:rsidRPr="00051CDE">
              <w:rPr>
                <w:rFonts w:ascii="Times New Roman" w:hAnsi="Times New Roman" w:cs="Times New Roman"/>
                <w:b/>
                <w:sz w:val="24"/>
                <w:szCs w:val="24"/>
              </w:rPr>
              <w:t>Name</w:t>
            </w:r>
          </w:p>
        </w:tc>
        <w:tc>
          <w:tcPr>
            <w:tcW w:w="2169" w:type="dxa"/>
          </w:tcPr>
          <w:p w14:paraId="3A3EB639" w14:textId="77777777" w:rsidR="001E6F76" w:rsidRPr="00051CDE" w:rsidRDefault="001E6F76" w:rsidP="00887411">
            <w:pPr>
              <w:spacing w:line="360" w:lineRule="auto"/>
              <w:rPr>
                <w:rFonts w:ascii="Times New Roman" w:hAnsi="Times New Roman" w:cs="Times New Roman"/>
                <w:b/>
                <w:sz w:val="24"/>
                <w:szCs w:val="24"/>
              </w:rPr>
            </w:pPr>
            <w:r w:rsidRPr="00051CDE">
              <w:rPr>
                <w:rFonts w:ascii="Times New Roman" w:hAnsi="Times New Roman" w:cs="Times New Roman"/>
                <w:b/>
                <w:sz w:val="24"/>
                <w:szCs w:val="24"/>
              </w:rPr>
              <w:t>Number</w:t>
            </w:r>
          </w:p>
        </w:tc>
      </w:tr>
      <w:tr w:rsidR="001E6F76" w:rsidRPr="00051CDE" w14:paraId="74A7266E" w14:textId="77777777" w:rsidTr="007D0C4C">
        <w:tc>
          <w:tcPr>
            <w:tcW w:w="3080" w:type="dxa"/>
          </w:tcPr>
          <w:p w14:paraId="6D158C2A"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Trade union</w:t>
            </w:r>
          </w:p>
        </w:tc>
        <w:tc>
          <w:tcPr>
            <w:tcW w:w="3081" w:type="dxa"/>
          </w:tcPr>
          <w:p w14:paraId="6EAF0A9C" w14:textId="729A45E3"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Unite (inc</w:t>
            </w:r>
            <w:r w:rsidR="0024258E" w:rsidRPr="00051CDE">
              <w:rPr>
                <w:rFonts w:ascii="Times New Roman" w:hAnsi="Times New Roman" w:cs="Times New Roman"/>
                <w:sz w:val="24"/>
                <w:szCs w:val="24"/>
              </w:rPr>
              <w:t>l</w:t>
            </w:r>
            <w:r w:rsidRPr="00051CDE">
              <w:rPr>
                <w:rFonts w:ascii="Times New Roman" w:hAnsi="Times New Roman" w:cs="Times New Roman"/>
                <w:sz w:val="24"/>
                <w:szCs w:val="24"/>
              </w:rPr>
              <w:t>. TGWU) (UK)</w:t>
            </w:r>
          </w:p>
        </w:tc>
        <w:tc>
          <w:tcPr>
            <w:tcW w:w="2169" w:type="dxa"/>
          </w:tcPr>
          <w:p w14:paraId="4C36FD7B"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5</w:t>
            </w:r>
          </w:p>
        </w:tc>
      </w:tr>
      <w:tr w:rsidR="001E6F76" w:rsidRPr="00051CDE" w14:paraId="2D10F845" w14:textId="77777777" w:rsidTr="007D0C4C">
        <w:tc>
          <w:tcPr>
            <w:tcW w:w="3080" w:type="dxa"/>
          </w:tcPr>
          <w:p w14:paraId="4B7A467E" w14:textId="77777777" w:rsidR="001E6F76" w:rsidRPr="00051CDE" w:rsidRDefault="001E6F76" w:rsidP="00887411">
            <w:pPr>
              <w:spacing w:line="360" w:lineRule="auto"/>
              <w:rPr>
                <w:rFonts w:ascii="Times New Roman" w:hAnsi="Times New Roman" w:cs="Times New Roman"/>
                <w:sz w:val="24"/>
                <w:szCs w:val="24"/>
              </w:rPr>
            </w:pPr>
          </w:p>
        </w:tc>
        <w:tc>
          <w:tcPr>
            <w:tcW w:w="3081" w:type="dxa"/>
          </w:tcPr>
          <w:p w14:paraId="2CEF256B"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Accord (UK)</w:t>
            </w:r>
          </w:p>
        </w:tc>
        <w:tc>
          <w:tcPr>
            <w:tcW w:w="2169" w:type="dxa"/>
          </w:tcPr>
          <w:p w14:paraId="6D7B44F2"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1</w:t>
            </w:r>
          </w:p>
        </w:tc>
      </w:tr>
      <w:tr w:rsidR="001E6F76" w:rsidRPr="00051CDE" w14:paraId="3250F022" w14:textId="77777777" w:rsidTr="007D0C4C">
        <w:tc>
          <w:tcPr>
            <w:tcW w:w="3080" w:type="dxa"/>
          </w:tcPr>
          <w:p w14:paraId="7F112862" w14:textId="77777777" w:rsidR="001E6F76" w:rsidRPr="00051CDE" w:rsidRDefault="001E6F76" w:rsidP="00887411">
            <w:pPr>
              <w:spacing w:line="360" w:lineRule="auto"/>
              <w:rPr>
                <w:rFonts w:ascii="Times New Roman" w:hAnsi="Times New Roman" w:cs="Times New Roman"/>
                <w:sz w:val="24"/>
                <w:szCs w:val="24"/>
              </w:rPr>
            </w:pPr>
          </w:p>
        </w:tc>
        <w:tc>
          <w:tcPr>
            <w:tcW w:w="3081" w:type="dxa"/>
          </w:tcPr>
          <w:p w14:paraId="50473614"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USDAW (UK)</w:t>
            </w:r>
          </w:p>
        </w:tc>
        <w:tc>
          <w:tcPr>
            <w:tcW w:w="2169" w:type="dxa"/>
          </w:tcPr>
          <w:p w14:paraId="56F28E7B"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1</w:t>
            </w:r>
          </w:p>
        </w:tc>
      </w:tr>
      <w:tr w:rsidR="001E6F76" w:rsidRPr="00051CDE" w14:paraId="774797CF" w14:textId="77777777" w:rsidTr="007D0C4C">
        <w:tc>
          <w:tcPr>
            <w:tcW w:w="3080" w:type="dxa"/>
          </w:tcPr>
          <w:p w14:paraId="66190DF5" w14:textId="77777777" w:rsidR="001E6F76" w:rsidRPr="00051CDE" w:rsidRDefault="001E6F76" w:rsidP="00887411">
            <w:pPr>
              <w:spacing w:line="360" w:lineRule="auto"/>
              <w:rPr>
                <w:rFonts w:ascii="Times New Roman" w:hAnsi="Times New Roman" w:cs="Times New Roman"/>
                <w:sz w:val="24"/>
                <w:szCs w:val="24"/>
              </w:rPr>
            </w:pPr>
          </w:p>
        </w:tc>
        <w:tc>
          <w:tcPr>
            <w:tcW w:w="3081" w:type="dxa"/>
          </w:tcPr>
          <w:p w14:paraId="6A396663" w14:textId="77777777" w:rsidR="001E6F76" w:rsidRPr="00051CDE" w:rsidRDefault="001E6F76" w:rsidP="00887411">
            <w:pPr>
              <w:spacing w:line="360" w:lineRule="auto"/>
              <w:rPr>
                <w:rFonts w:ascii="Times New Roman" w:hAnsi="Times New Roman" w:cs="Times New Roman"/>
                <w:sz w:val="24"/>
                <w:szCs w:val="24"/>
              </w:rPr>
            </w:pPr>
            <w:proofErr w:type="spellStart"/>
            <w:r w:rsidRPr="00051CDE">
              <w:rPr>
                <w:rFonts w:ascii="Times New Roman" w:hAnsi="Times New Roman" w:cs="Times New Roman"/>
                <w:sz w:val="24"/>
                <w:szCs w:val="24"/>
              </w:rPr>
              <w:t>Dreher</w:t>
            </w:r>
            <w:proofErr w:type="spellEnd"/>
            <w:r w:rsidRPr="00051CDE">
              <w:rPr>
                <w:rFonts w:ascii="Times New Roman" w:hAnsi="Times New Roman" w:cs="Times New Roman"/>
                <w:sz w:val="24"/>
                <w:szCs w:val="24"/>
              </w:rPr>
              <w:t xml:space="preserve"> Breweries Trade Union (Hungary)</w:t>
            </w:r>
          </w:p>
        </w:tc>
        <w:tc>
          <w:tcPr>
            <w:tcW w:w="2169" w:type="dxa"/>
          </w:tcPr>
          <w:p w14:paraId="3719E3DE"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1</w:t>
            </w:r>
          </w:p>
        </w:tc>
      </w:tr>
      <w:tr w:rsidR="001E6F76" w:rsidRPr="00051CDE" w14:paraId="30CB2314" w14:textId="77777777" w:rsidTr="007D0C4C">
        <w:tc>
          <w:tcPr>
            <w:tcW w:w="3080" w:type="dxa"/>
          </w:tcPr>
          <w:p w14:paraId="1097CA13" w14:textId="77777777" w:rsidR="001E6F76" w:rsidRPr="00051CDE" w:rsidRDefault="001E6F76" w:rsidP="00887411">
            <w:pPr>
              <w:spacing w:line="360" w:lineRule="auto"/>
              <w:rPr>
                <w:rFonts w:ascii="Times New Roman" w:hAnsi="Times New Roman" w:cs="Times New Roman"/>
                <w:sz w:val="24"/>
                <w:szCs w:val="24"/>
              </w:rPr>
            </w:pPr>
          </w:p>
        </w:tc>
        <w:tc>
          <w:tcPr>
            <w:tcW w:w="3081" w:type="dxa"/>
          </w:tcPr>
          <w:p w14:paraId="2A3007B5"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ICF (untraceable)</w:t>
            </w:r>
          </w:p>
        </w:tc>
        <w:tc>
          <w:tcPr>
            <w:tcW w:w="2169" w:type="dxa"/>
          </w:tcPr>
          <w:p w14:paraId="0FA46534"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1</w:t>
            </w:r>
          </w:p>
        </w:tc>
      </w:tr>
      <w:tr w:rsidR="001E6F76" w:rsidRPr="00051CDE" w14:paraId="61FDB3CB" w14:textId="77777777" w:rsidTr="007D0C4C">
        <w:tc>
          <w:tcPr>
            <w:tcW w:w="3080" w:type="dxa"/>
          </w:tcPr>
          <w:p w14:paraId="7C0D9007" w14:textId="77777777" w:rsidR="001E6F76" w:rsidRPr="00051CDE" w:rsidRDefault="001E6F76" w:rsidP="00887411">
            <w:pPr>
              <w:spacing w:line="360" w:lineRule="auto"/>
              <w:rPr>
                <w:rFonts w:ascii="Times New Roman" w:hAnsi="Times New Roman" w:cs="Times New Roman"/>
                <w:sz w:val="24"/>
                <w:szCs w:val="24"/>
              </w:rPr>
            </w:pPr>
          </w:p>
        </w:tc>
        <w:tc>
          <w:tcPr>
            <w:tcW w:w="3081" w:type="dxa"/>
          </w:tcPr>
          <w:p w14:paraId="2F5B4D9C"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NUM (South Africa)</w:t>
            </w:r>
          </w:p>
        </w:tc>
        <w:tc>
          <w:tcPr>
            <w:tcW w:w="2169" w:type="dxa"/>
          </w:tcPr>
          <w:p w14:paraId="5CBD3742"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1</w:t>
            </w:r>
          </w:p>
        </w:tc>
      </w:tr>
      <w:tr w:rsidR="001E6F76" w:rsidRPr="00051CDE" w14:paraId="145BEA9B" w14:textId="77777777" w:rsidTr="007D0C4C">
        <w:tc>
          <w:tcPr>
            <w:tcW w:w="3080" w:type="dxa"/>
          </w:tcPr>
          <w:p w14:paraId="5CE76443" w14:textId="77777777" w:rsidR="001E6F76" w:rsidRPr="00051CDE" w:rsidRDefault="001E6F76" w:rsidP="00887411">
            <w:pPr>
              <w:spacing w:line="360" w:lineRule="auto"/>
              <w:rPr>
                <w:rFonts w:ascii="Times New Roman" w:hAnsi="Times New Roman" w:cs="Times New Roman"/>
                <w:sz w:val="24"/>
                <w:szCs w:val="24"/>
              </w:rPr>
            </w:pPr>
          </w:p>
        </w:tc>
        <w:tc>
          <w:tcPr>
            <w:tcW w:w="3081" w:type="dxa"/>
          </w:tcPr>
          <w:p w14:paraId="33FE3F4C"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Sole Workers’ Union (Peru)</w:t>
            </w:r>
          </w:p>
        </w:tc>
        <w:tc>
          <w:tcPr>
            <w:tcW w:w="2169" w:type="dxa"/>
          </w:tcPr>
          <w:p w14:paraId="3BCF2219"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1</w:t>
            </w:r>
          </w:p>
        </w:tc>
      </w:tr>
      <w:tr w:rsidR="001E6F76" w:rsidRPr="00051CDE" w14:paraId="51E53369" w14:textId="77777777" w:rsidTr="007D0C4C">
        <w:tc>
          <w:tcPr>
            <w:tcW w:w="3080" w:type="dxa"/>
          </w:tcPr>
          <w:p w14:paraId="254407C3" w14:textId="77777777" w:rsidR="001E6F76" w:rsidRPr="00051CDE" w:rsidRDefault="001E6F76" w:rsidP="00887411">
            <w:pPr>
              <w:spacing w:line="360" w:lineRule="auto"/>
              <w:rPr>
                <w:rFonts w:ascii="Times New Roman" w:hAnsi="Times New Roman" w:cs="Times New Roman"/>
                <w:sz w:val="24"/>
                <w:szCs w:val="24"/>
              </w:rPr>
            </w:pPr>
          </w:p>
        </w:tc>
        <w:tc>
          <w:tcPr>
            <w:tcW w:w="3081" w:type="dxa"/>
          </w:tcPr>
          <w:p w14:paraId="3DEA9A4F"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Union of Professionals of Cade-</w:t>
            </w:r>
            <w:proofErr w:type="spellStart"/>
            <w:r w:rsidRPr="00051CDE">
              <w:rPr>
                <w:rFonts w:ascii="Times New Roman" w:hAnsi="Times New Roman" w:cs="Times New Roman"/>
                <w:sz w:val="24"/>
                <w:szCs w:val="24"/>
              </w:rPr>
              <w:t>Idepe</w:t>
            </w:r>
            <w:proofErr w:type="spellEnd"/>
            <w:r w:rsidRPr="00051CDE">
              <w:rPr>
                <w:rFonts w:ascii="Times New Roman" w:hAnsi="Times New Roman" w:cs="Times New Roman"/>
                <w:sz w:val="24"/>
                <w:szCs w:val="24"/>
              </w:rPr>
              <w:t>-Chile (Chile)</w:t>
            </w:r>
          </w:p>
        </w:tc>
        <w:tc>
          <w:tcPr>
            <w:tcW w:w="2169" w:type="dxa"/>
          </w:tcPr>
          <w:p w14:paraId="6C2E93B3"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1</w:t>
            </w:r>
          </w:p>
        </w:tc>
      </w:tr>
      <w:tr w:rsidR="001E6F76" w:rsidRPr="00051CDE" w14:paraId="489A0749" w14:textId="77777777" w:rsidTr="007D0C4C">
        <w:tc>
          <w:tcPr>
            <w:tcW w:w="3080" w:type="dxa"/>
          </w:tcPr>
          <w:p w14:paraId="60F226DF" w14:textId="77777777" w:rsidR="001E6F76" w:rsidRPr="00051CDE" w:rsidRDefault="001E6F76" w:rsidP="00887411">
            <w:pPr>
              <w:spacing w:line="360" w:lineRule="auto"/>
              <w:rPr>
                <w:rFonts w:ascii="Times New Roman" w:hAnsi="Times New Roman" w:cs="Times New Roman"/>
                <w:sz w:val="24"/>
                <w:szCs w:val="24"/>
              </w:rPr>
            </w:pPr>
          </w:p>
        </w:tc>
        <w:tc>
          <w:tcPr>
            <w:tcW w:w="3081" w:type="dxa"/>
          </w:tcPr>
          <w:p w14:paraId="44CA3026"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USW (Canada)</w:t>
            </w:r>
          </w:p>
        </w:tc>
        <w:tc>
          <w:tcPr>
            <w:tcW w:w="2169" w:type="dxa"/>
          </w:tcPr>
          <w:p w14:paraId="1BA5F44E"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1</w:t>
            </w:r>
          </w:p>
        </w:tc>
      </w:tr>
      <w:tr w:rsidR="001E6F76" w:rsidRPr="00051CDE" w14:paraId="12D37C01" w14:textId="77777777" w:rsidTr="007D0C4C">
        <w:tc>
          <w:tcPr>
            <w:tcW w:w="3080" w:type="dxa"/>
          </w:tcPr>
          <w:p w14:paraId="58166923" w14:textId="77777777" w:rsidR="001E6F76" w:rsidRPr="00051CDE" w:rsidRDefault="001E6F76" w:rsidP="00887411">
            <w:pPr>
              <w:spacing w:line="360" w:lineRule="auto"/>
              <w:rPr>
                <w:rFonts w:ascii="Times New Roman" w:hAnsi="Times New Roman" w:cs="Times New Roman"/>
                <w:sz w:val="24"/>
                <w:szCs w:val="24"/>
              </w:rPr>
            </w:pPr>
          </w:p>
        </w:tc>
        <w:tc>
          <w:tcPr>
            <w:tcW w:w="3081" w:type="dxa"/>
          </w:tcPr>
          <w:p w14:paraId="6ECC59F3"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 xml:space="preserve">‘Recognized unions’ </w:t>
            </w:r>
          </w:p>
        </w:tc>
        <w:tc>
          <w:tcPr>
            <w:tcW w:w="2169" w:type="dxa"/>
          </w:tcPr>
          <w:p w14:paraId="30A3B13F"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1</w:t>
            </w:r>
          </w:p>
        </w:tc>
      </w:tr>
      <w:tr w:rsidR="001E6F76" w:rsidRPr="00051CDE" w14:paraId="50E7BD05" w14:textId="77777777" w:rsidTr="007D0C4C">
        <w:tc>
          <w:tcPr>
            <w:tcW w:w="3080" w:type="dxa"/>
          </w:tcPr>
          <w:p w14:paraId="5648FC17"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Statutorily-based employee body</w:t>
            </w:r>
          </w:p>
        </w:tc>
        <w:tc>
          <w:tcPr>
            <w:tcW w:w="3081" w:type="dxa"/>
          </w:tcPr>
          <w:p w14:paraId="48FBF45E"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Works council</w:t>
            </w:r>
          </w:p>
        </w:tc>
        <w:tc>
          <w:tcPr>
            <w:tcW w:w="2169" w:type="dxa"/>
          </w:tcPr>
          <w:p w14:paraId="04DA9737"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5</w:t>
            </w:r>
          </w:p>
        </w:tc>
      </w:tr>
      <w:tr w:rsidR="001E6F76" w:rsidRPr="00051CDE" w14:paraId="5C87FF34" w14:textId="77777777" w:rsidTr="007D0C4C">
        <w:tc>
          <w:tcPr>
            <w:tcW w:w="3080" w:type="dxa"/>
          </w:tcPr>
          <w:p w14:paraId="654B50D1" w14:textId="77777777" w:rsidR="001E6F76" w:rsidRPr="00051CDE" w:rsidRDefault="001E6F76" w:rsidP="00887411">
            <w:pPr>
              <w:spacing w:line="360" w:lineRule="auto"/>
              <w:rPr>
                <w:rFonts w:ascii="Times New Roman" w:hAnsi="Times New Roman" w:cs="Times New Roman"/>
                <w:sz w:val="24"/>
                <w:szCs w:val="24"/>
              </w:rPr>
            </w:pPr>
          </w:p>
        </w:tc>
        <w:tc>
          <w:tcPr>
            <w:tcW w:w="3081" w:type="dxa"/>
          </w:tcPr>
          <w:p w14:paraId="15684043"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European works council</w:t>
            </w:r>
          </w:p>
        </w:tc>
        <w:tc>
          <w:tcPr>
            <w:tcW w:w="2169" w:type="dxa"/>
          </w:tcPr>
          <w:p w14:paraId="5B76181D"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5</w:t>
            </w:r>
          </w:p>
        </w:tc>
      </w:tr>
      <w:tr w:rsidR="001E6F76" w:rsidRPr="00051CDE" w14:paraId="094127A8" w14:textId="77777777" w:rsidTr="007D0C4C">
        <w:tc>
          <w:tcPr>
            <w:tcW w:w="3080" w:type="dxa"/>
          </w:tcPr>
          <w:p w14:paraId="68565298" w14:textId="77777777" w:rsidR="001E6F76" w:rsidRPr="00051CDE" w:rsidRDefault="001E6F76" w:rsidP="00887411">
            <w:pPr>
              <w:spacing w:line="360" w:lineRule="auto"/>
              <w:rPr>
                <w:rFonts w:ascii="Times New Roman" w:hAnsi="Times New Roman" w:cs="Times New Roman"/>
                <w:sz w:val="24"/>
                <w:szCs w:val="24"/>
              </w:rPr>
            </w:pPr>
          </w:p>
        </w:tc>
        <w:tc>
          <w:tcPr>
            <w:tcW w:w="3081" w:type="dxa"/>
          </w:tcPr>
          <w:p w14:paraId="52AB6FDA"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Swedish TU committee</w:t>
            </w:r>
          </w:p>
        </w:tc>
        <w:tc>
          <w:tcPr>
            <w:tcW w:w="2169" w:type="dxa"/>
          </w:tcPr>
          <w:p w14:paraId="15EEE7D9"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1</w:t>
            </w:r>
          </w:p>
        </w:tc>
      </w:tr>
      <w:tr w:rsidR="001E6F76" w:rsidRPr="00051CDE" w14:paraId="5D87B698" w14:textId="77777777" w:rsidTr="007D0C4C">
        <w:tc>
          <w:tcPr>
            <w:tcW w:w="3080" w:type="dxa"/>
          </w:tcPr>
          <w:p w14:paraId="239B17DF"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Company-based employee representatives or group</w:t>
            </w:r>
          </w:p>
        </w:tc>
        <w:tc>
          <w:tcPr>
            <w:tcW w:w="3081" w:type="dxa"/>
          </w:tcPr>
          <w:p w14:paraId="0FEF9690"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Employee representatives</w:t>
            </w:r>
          </w:p>
        </w:tc>
        <w:tc>
          <w:tcPr>
            <w:tcW w:w="2169" w:type="dxa"/>
          </w:tcPr>
          <w:p w14:paraId="756FCFE7"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6</w:t>
            </w:r>
          </w:p>
        </w:tc>
      </w:tr>
      <w:tr w:rsidR="001E6F76" w:rsidRPr="00051CDE" w14:paraId="159C0196" w14:textId="77777777" w:rsidTr="007D0C4C">
        <w:tc>
          <w:tcPr>
            <w:tcW w:w="3080" w:type="dxa"/>
          </w:tcPr>
          <w:p w14:paraId="3A74D1CA" w14:textId="77777777" w:rsidR="001E6F76" w:rsidRPr="00051CDE" w:rsidRDefault="001E6F76" w:rsidP="00887411">
            <w:pPr>
              <w:spacing w:line="360" w:lineRule="auto"/>
              <w:rPr>
                <w:rFonts w:ascii="Times New Roman" w:hAnsi="Times New Roman" w:cs="Times New Roman"/>
                <w:sz w:val="24"/>
                <w:szCs w:val="24"/>
              </w:rPr>
            </w:pPr>
          </w:p>
        </w:tc>
        <w:tc>
          <w:tcPr>
            <w:tcW w:w="3081" w:type="dxa"/>
          </w:tcPr>
          <w:p w14:paraId="2EA113CA"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Elected reps</w:t>
            </w:r>
          </w:p>
        </w:tc>
        <w:tc>
          <w:tcPr>
            <w:tcW w:w="2169" w:type="dxa"/>
          </w:tcPr>
          <w:p w14:paraId="74810B50"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2</w:t>
            </w:r>
          </w:p>
        </w:tc>
      </w:tr>
      <w:tr w:rsidR="001E6F76" w:rsidRPr="00051CDE" w14:paraId="6EE0F9D1" w14:textId="77777777" w:rsidTr="007D0C4C">
        <w:tc>
          <w:tcPr>
            <w:tcW w:w="3080" w:type="dxa"/>
          </w:tcPr>
          <w:p w14:paraId="1CF5A558" w14:textId="77777777" w:rsidR="001E6F76" w:rsidRPr="00051CDE" w:rsidRDefault="001E6F76" w:rsidP="00887411">
            <w:pPr>
              <w:spacing w:line="360" w:lineRule="auto"/>
              <w:rPr>
                <w:rFonts w:ascii="Times New Roman" w:hAnsi="Times New Roman" w:cs="Times New Roman"/>
                <w:sz w:val="24"/>
                <w:szCs w:val="24"/>
              </w:rPr>
            </w:pPr>
          </w:p>
        </w:tc>
        <w:tc>
          <w:tcPr>
            <w:tcW w:w="3081" w:type="dxa"/>
          </w:tcPr>
          <w:p w14:paraId="16D4F03F"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Staff reps</w:t>
            </w:r>
          </w:p>
        </w:tc>
        <w:tc>
          <w:tcPr>
            <w:tcW w:w="2169" w:type="dxa"/>
          </w:tcPr>
          <w:p w14:paraId="02115B1C"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1</w:t>
            </w:r>
          </w:p>
        </w:tc>
      </w:tr>
      <w:tr w:rsidR="001E6F76" w:rsidRPr="00051CDE" w14:paraId="27F5DD1E" w14:textId="77777777" w:rsidTr="007D0C4C">
        <w:tc>
          <w:tcPr>
            <w:tcW w:w="3080" w:type="dxa"/>
          </w:tcPr>
          <w:p w14:paraId="47DCAD0E" w14:textId="77777777" w:rsidR="001E6F76" w:rsidRPr="00051CDE" w:rsidRDefault="001E6F76" w:rsidP="00887411">
            <w:pPr>
              <w:spacing w:line="360" w:lineRule="auto"/>
              <w:rPr>
                <w:rFonts w:ascii="Times New Roman" w:hAnsi="Times New Roman" w:cs="Times New Roman"/>
                <w:sz w:val="24"/>
                <w:szCs w:val="24"/>
              </w:rPr>
            </w:pPr>
          </w:p>
        </w:tc>
        <w:tc>
          <w:tcPr>
            <w:tcW w:w="3081" w:type="dxa"/>
          </w:tcPr>
          <w:p w14:paraId="77E7D2AA"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Focus groups</w:t>
            </w:r>
          </w:p>
        </w:tc>
        <w:tc>
          <w:tcPr>
            <w:tcW w:w="2169" w:type="dxa"/>
          </w:tcPr>
          <w:p w14:paraId="1389C922"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1</w:t>
            </w:r>
          </w:p>
        </w:tc>
      </w:tr>
      <w:tr w:rsidR="001E6F76" w:rsidRPr="00051CDE" w14:paraId="4A93104A" w14:textId="77777777" w:rsidTr="007D0C4C">
        <w:tc>
          <w:tcPr>
            <w:tcW w:w="3080" w:type="dxa"/>
          </w:tcPr>
          <w:p w14:paraId="1E30917B" w14:textId="77777777" w:rsidR="001E6F76" w:rsidRPr="00051CDE" w:rsidRDefault="001E6F76" w:rsidP="00887411">
            <w:pPr>
              <w:spacing w:line="360" w:lineRule="auto"/>
              <w:rPr>
                <w:rFonts w:ascii="Times New Roman" w:hAnsi="Times New Roman" w:cs="Times New Roman"/>
                <w:sz w:val="24"/>
                <w:szCs w:val="24"/>
              </w:rPr>
            </w:pPr>
          </w:p>
        </w:tc>
        <w:tc>
          <w:tcPr>
            <w:tcW w:w="3081" w:type="dxa"/>
          </w:tcPr>
          <w:p w14:paraId="4849DD65" w14:textId="11EC0686"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Employee council</w:t>
            </w:r>
            <w:r w:rsidR="00537990" w:rsidRPr="00051CDE">
              <w:rPr>
                <w:rFonts w:ascii="Times New Roman" w:hAnsi="Times New Roman" w:cs="Times New Roman"/>
                <w:sz w:val="24"/>
                <w:szCs w:val="24"/>
              </w:rPr>
              <w:t xml:space="preserve"> </w:t>
            </w:r>
            <w:r w:rsidRPr="00051CDE">
              <w:rPr>
                <w:rFonts w:ascii="Times New Roman" w:hAnsi="Times New Roman" w:cs="Times New Roman"/>
                <w:sz w:val="24"/>
                <w:szCs w:val="24"/>
              </w:rPr>
              <w:t>/ committee</w:t>
            </w:r>
            <w:r w:rsidR="00537990" w:rsidRPr="00051CDE">
              <w:rPr>
                <w:rFonts w:ascii="Times New Roman" w:hAnsi="Times New Roman" w:cs="Times New Roman"/>
                <w:sz w:val="24"/>
                <w:szCs w:val="24"/>
              </w:rPr>
              <w:t xml:space="preserve"> </w:t>
            </w:r>
            <w:r w:rsidRPr="00051CDE">
              <w:rPr>
                <w:rFonts w:ascii="Times New Roman" w:hAnsi="Times New Roman" w:cs="Times New Roman"/>
                <w:sz w:val="24"/>
                <w:szCs w:val="24"/>
              </w:rPr>
              <w:t>/ group committee</w:t>
            </w:r>
          </w:p>
        </w:tc>
        <w:tc>
          <w:tcPr>
            <w:tcW w:w="2169" w:type="dxa"/>
          </w:tcPr>
          <w:p w14:paraId="54BF50FE"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6</w:t>
            </w:r>
          </w:p>
        </w:tc>
      </w:tr>
      <w:tr w:rsidR="001E6F76" w:rsidRPr="00051CDE" w14:paraId="590D3098" w14:textId="77777777" w:rsidTr="007D0C4C">
        <w:tc>
          <w:tcPr>
            <w:tcW w:w="3080" w:type="dxa"/>
          </w:tcPr>
          <w:p w14:paraId="06E4D5EE" w14:textId="77777777" w:rsidR="001E6F76" w:rsidRPr="00051CDE" w:rsidRDefault="001E6F76" w:rsidP="00887411">
            <w:pPr>
              <w:spacing w:line="360" w:lineRule="auto"/>
              <w:rPr>
                <w:rFonts w:ascii="Times New Roman" w:hAnsi="Times New Roman" w:cs="Times New Roman"/>
                <w:sz w:val="24"/>
                <w:szCs w:val="24"/>
              </w:rPr>
            </w:pPr>
          </w:p>
        </w:tc>
        <w:tc>
          <w:tcPr>
            <w:tcW w:w="3081" w:type="dxa"/>
          </w:tcPr>
          <w:p w14:paraId="13EFC648"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Managers’ forum</w:t>
            </w:r>
          </w:p>
        </w:tc>
        <w:tc>
          <w:tcPr>
            <w:tcW w:w="2169" w:type="dxa"/>
          </w:tcPr>
          <w:p w14:paraId="7096822F"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1</w:t>
            </w:r>
          </w:p>
        </w:tc>
      </w:tr>
      <w:tr w:rsidR="001E6F76" w:rsidRPr="00051CDE" w14:paraId="7D4D8D05" w14:textId="77777777" w:rsidTr="007D0C4C">
        <w:tc>
          <w:tcPr>
            <w:tcW w:w="3080" w:type="dxa"/>
          </w:tcPr>
          <w:p w14:paraId="6A0E2A3B" w14:textId="77777777" w:rsidR="001E6F76" w:rsidRPr="00051CDE" w:rsidRDefault="001E6F76" w:rsidP="00887411">
            <w:pPr>
              <w:spacing w:line="360" w:lineRule="auto"/>
              <w:rPr>
                <w:rFonts w:ascii="Times New Roman" w:hAnsi="Times New Roman" w:cs="Times New Roman"/>
                <w:b/>
                <w:sz w:val="24"/>
                <w:szCs w:val="24"/>
              </w:rPr>
            </w:pPr>
            <w:r w:rsidRPr="00051CDE">
              <w:rPr>
                <w:rFonts w:ascii="Times New Roman" w:hAnsi="Times New Roman" w:cs="Times New Roman"/>
                <w:b/>
                <w:sz w:val="24"/>
                <w:szCs w:val="24"/>
              </w:rPr>
              <w:t>Total</w:t>
            </w:r>
          </w:p>
        </w:tc>
        <w:tc>
          <w:tcPr>
            <w:tcW w:w="3081" w:type="dxa"/>
          </w:tcPr>
          <w:p w14:paraId="3C7712AB" w14:textId="77777777" w:rsidR="001E6F76" w:rsidRPr="00051CDE" w:rsidRDefault="001E6F76" w:rsidP="00887411">
            <w:pPr>
              <w:spacing w:line="360" w:lineRule="auto"/>
              <w:rPr>
                <w:rFonts w:ascii="Times New Roman" w:hAnsi="Times New Roman" w:cs="Times New Roman"/>
                <w:sz w:val="24"/>
                <w:szCs w:val="24"/>
              </w:rPr>
            </w:pPr>
          </w:p>
        </w:tc>
        <w:tc>
          <w:tcPr>
            <w:tcW w:w="2169" w:type="dxa"/>
          </w:tcPr>
          <w:p w14:paraId="3F13FFEA"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42</w:t>
            </w:r>
          </w:p>
        </w:tc>
      </w:tr>
    </w:tbl>
    <w:p w14:paraId="2327F0EE" w14:textId="77777777" w:rsidR="001E6F76" w:rsidRPr="00051CDE" w:rsidRDefault="001E6F76" w:rsidP="00887411">
      <w:pPr>
        <w:spacing w:line="360" w:lineRule="auto"/>
        <w:rPr>
          <w:rFonts w:ascii="Times New Roman" w:hAnsi="Times New Roman" w:cs="Times New Roman"/>
          <w:sz w:val="24"/>
          <w:szCs w:val="24"/>
        </w:rPr>
      </w:pPr>
    </w:p>
    <w:p w14:paraId="4E529488" w14:textId="3B1F4F34" w:rsidR="001E6F76" w:rsidRPr="00051CDE" w:rsidRDefault="001E6F76" w:rsidP="00887411">
      <w:pPr>
        <w:pStyle w:val="NoSpacing"/>
        <w:spacing w:line="360" w:lineRule="auto"/>
      </w:pPr>
      <w:r w:rsidRPr="00051CDE">
        <w:t>Unite, former</w:t>
      </w:r>
      <w:r w:rsidR="004F4102" w:rsidRPr="00051CDE">
        <w:t xml:space="preserve">ly the </w:t>
      </w:r>
      <w:r w:rsidRPr="00051CDE">
        <w:t xml:space="preserve">Transport and General Workers’ Union, </w:t>
      </w:r>
      <w:r w:rsidR="00B60BB6" w:rsidRPr="00051CDE">
        <w:t xml:space="preserve">gave </w:t>
      </w:r>
      <w:r w:rsidRPr="00051CDE">
        <w:t xml:space="preserve">five, and then Accord, USDAW, </w:t>
      </w:r>
      <w:proofErr w:type="spellStart"/>
      <w:r w:rsidRPr="00051CDE">
        <w:t>Dreher</w:t>
      </w:r>
      <w:proofErr w:type="spellEnd"/>
      <w:r w:rsidRPr="00051CDE">
        <w:t xml:space="preserve"> Breweries Trade Union (Hungary), ICF, NUM (South Africa), Sole Workers’ Union (Peru), Union of Professionals of Cade-</w:t>
      </w:r>
      <w:proofErr w:type="spellStart"/>
      <w:r w:rsidRPr="00051CDE">
        <w:t>Idepe</w:t>
      </w:r>
      <w:proofErr w:type="spellEnd"/>
      <w:r w:rsidRPr="00051CDE">
        <w:t xml:space="preserve">-Chile (Chile), United Steelworkers’ Union (Canada) and one non-specified ‘recognized union’ each </w:t>
      </w:r>
      <w:r w:rsidR="00B60BB6" w:rsidRPr="00051CDE">
        <w:t xml:space="preserve">gave </w:t>
      </w:r>
      <w:r w:rsidRPr="00051CDE">
        <w:t>one. Employee representatives were more likely to specify how they had attempted to involve workers in gathering their views, th</w:t>
      </w:r>
      <w:r w:rsidR="004A3286">
        <w:t>r</w:t>
      </w:r>
      <w:r w:rsidRPr="00051CDE">
        <w:t xml:space="preserve">ough staff briefings, surveys and focus groups. This is presumably because such representatives, by their very nature, do not form part of the organizational representative structures on which unions rely. </w:t>
      </w:r>
    </w:p>
    <w:p w14:paraId="5118F67A" w14:textId="77777777" w:rsidR="001E6F76" w:rsidRPr="00051CDE" w:rsidRDefault="001E6F76" w:rsidP="00887411">
      <w:pPr>
        <w:pStyle w:val="NoSpacing"/>
        <w:spacing w:line="360" w:lineRule="auto"/>
      </w:pPr>
    </w:p>
    <w:p w14:paraId="45B494B1" w14:textId="77777777" w:rsidR="001E6F76" w:rsidRPr="00051CDE" w:rsidRDefault="001E6F76" w:rsidP="00887411">
      <w:pPr>
        <w:pStyle w:val="NoSpacing"/>
        <w:spacing w:line="360" w:lineRule="auto"/>
        <w:rPr>
          <w:i/>
        </w:rPr>
      </w:pPr>
      <w:r w:rsidRPr="00051CDE">
        <w:rPr>
          <w:i/>
        </w:rPr>
        <w:t>Concerns expressed in opinions</w:t>
      </w:r>
    </w:p>
    <w:p w14:paraId="3BB91322" w14:textId="77777777" w:rsidR="001E6F76" w:rsidRPr="00051CDE" w:rsidRDefault="001E6F76" w:rsidP="00887411">
      <w:pPr>
        <w:pStyle w:val="NoSpacing"/>
        <w:spacing w:line="360" w:lineRule="auto"/>
      </w:pPr>
    </w:p>
    <w:p w14:paraId="461FC81B" w14:textId="77777777" w:rsidR="001E6F76" w:rsidRPr="00051CDE" w:rsidRDefault="001E6F76" w:rsidP="00887411">
      <w:pPr>
        <w:pStyle w:val="NoSpacing"/>
        <w:spacing w:line="360" w:lineRule="auto"/>
      </w:pPr>
      <w:r w:rsidRPr="00051CDE">
        <w:t>The concerns expressed in employee opinions focused principally on redundancies (16 cases) and pensions (10), though relocation, maintenance of the company’s brand image and preservation of terms and conditions also featured amongst other miscellaneous issues (Table 3).</w:t>
      </w:r>
    </w:p>
    <w:p w14:paraId="4C4C9BF5" w14:textId="77777777" w:rsidR="001E6F76" w:rsidRPr="00051CDE" w:rsidRDefault="001E6F76" w:rsidP="00887411">
      <w:pPr>
        <w:spacing w:line="360" w:lineRule="auto"/>
        <w:rPr>
          <w:rFonts w:ascii="Times New Roman" w:hAnsi="Times New Roman" w:cs="Times New Roman"/>
          <w:i/>
          <w:sz w:val="24"/>
          <w:szCs w:val="24"/>
        </w:rPr>
      </w:pPr>
    </w:p>
    <w:p w14:paraId="3207F247" w14:textId="77777777" w:rsidR="001E6F76" w:rsidRPr="00051CDE" w:rsidRDefault="001E6F76" w:rsidP="00887411">
      <w:pPr>
        <w:spacing w:line="360" w:lineRule="auto"/>
        <w:rPr>
          <w:rFonts w:ascii="Times New Roman" w:hAnsi="Times New Roman" w:cs="Times New Roman"/>
          <w:i/>
          <w:sz w:val="24"/>
          <w:szCs w:val="24"/>
        </w:rPr>
      </w:pPr>
      <w:r w:rsidRPr="00051CDE">
        <w:rPr>
          <w:rFonts w:ascii="Times New Roman" w:hAnsi="Times New Roman" w:cs="Times New Roman"/>
          <w:i/>
          <w:sz w:val="24"/>
          <w:szCs w:val="24"/>
        </w:rPr>
        <w:t>Table 3: Concerns expressed in employee opinions</w:t>
      </w:r>
    </w:p>
    <w:tbl>
      <w:tblPr>
        <w:tblStyle w:val="TableGrid"/>
        <w:tblW w:w="0" w:type="auto"/>
        <w:tblInd w:w="1526" w:type="dxa"/>
        <w:tblLook w:val="04A0" w:firstRow="1" w:lastRow="0" w:firstColumn="1" w:lastColumn="0" w:noHBand="0" w:noVBand="1"/>
      </w:tblPr>
      <w:tblGrid>
        <w:gridCol w:w="2693"/>
        <w:gridCol w:w="1134"/>
      </w:tblGrid>
      <w:tr w:rsidR="001E6F76" w:rsidRPr="00051CDE" w14:paraId="41926CC6" w14:textId="77777777" w:rsidTr="007D0C4C">
        <w:tc>
          <w:tcPr>
            <w:tcW w:w="2693" w:type="dxa"/>
          </w:tcPr>
          <w:p w14:paraId="75E65353" w14:textId="77777777" w:rsidR="001E6F76" w:rsidRPr="00051CDE" w:rsidRDefault="001E6F76" w:rsidP="00887411">
            <w:pPr>
              <w:spacing w:line="360" w:lineRule="auto"/>
              <w:rPr>
                <w:rFonts w:ascii="Times New Roman" w:hAnsi="Times New Roman" w:cs="Times New Roman"/>
                <w:b/>
                <w:sz w:val="24"/>
                <w:szCs w:val="24"/>
              </w:rPr>
            </w:pPr>
            <w:r w:rsidRPr="00051CDE">
              <w:rPr>
                <w:rFonts w:ascii="Times New Roman" w:hAnsi="Times New Roman" w:cs="Times New Roman"/>
                <w:b/>
                <w:sz w:val="24"/>
                <w:szCs w:val="24"/>
              </w:rPr>
              <w:t>Concern</w:t>
            </w:r>
          </w:p>
        </w:tc>
        <w:tc>
          <w:tcPr>
            <w:tcW w:w="1134" w:type="dxa"/>
          </w:tcPr>
          <w:p w14:paraId="20178693" w14:textId="77777777" w:rsidR="001E6F76" w:rsidRPr="00051CDE" w:rsidRDefault="001E6F76" w:rsidP="00887411">
            <w:pPr>
              <w:spacing w:line="360" w:lineRule="auto"/>
              <w:rPr>
                <w:rFonts w:ascii="Times New Roman" w:hAnsi="Times New Roman" w:cs="Times New Roman"/>
                <w:b/>
                <w:sz w:val="24"/>
                <w:szCs w:val="24"/>
              </w:rPr>
            </w:pPr>
            <w:r w:rsidRPr="00051CDE">
              <w:rPr>
                <w:rFonts w:ascii="Times New Roman" w:hAnsi="Times New Roman" w:cs="Times New Roman"/>
                <w:b/>
                <w:sz w:val="24"/>
                <w:szCs w:val="24"/>
              </w:rPr>
              <w:t>Number</w:t>
            </w:r>
          </w:p>
        </w:tc>
      </w:tr>
      <w:tr w:rsidR="001E6F76" w:rsidRPr="00051CDE" w14:paraId="28EC5A8A" w14:textId="77777777" w:rsidTr="007D0C4C">
        <w:tc>
          <w:tcPr>
            <w:tcW w:w="2693" w:type="dxa"/>
          </w:tcPr>
          <w:p w14:paraId="2963CAB0"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Redundancies</w:t>
            </w:r>
          </w:p>
        </w:tc>
        <w:tc>
          <w:tcPr>
            <w:tcW w:w="1134" w:type="dxa"/>
          </w:tcPr>
          <w:p w14:paraId="746384D8"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16</w:t>
            </w:r>
          </w:p>
        </w:tc>
      </w:tr>
      <w:tr w:rsidR="001E6F76" w:rsidRPr="00051CDE" w14:paraId="51721E40" w14:textId="77777777" w:rsidTr="007D0C4C">
        <w:tc>
          <w:tcPr>
            <w:tcW w:w="2693" w:type="dxa"/>
          </w:tcPr>
          <w:p w14:paraId="0E5A3495"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 xml:space="preserve">Lack of information </w:t>
            </w:r>
          </w:p>
        </w:tc>
        <w:tc>
          <w:tcPr>
            <w:tcW w:w="1134" w:type="dxa"/>
          </w:tcPr>
          <w:p w14:paraId="359FE071"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13</w:t>
            </w:r>
          </w:p>
        </w:tc>
      </w:tr>
      <w:tr w:rsidR="001E6F76" w:rsidRPr="00051CDE" w14:paraId="2CF1AB43" w14:textId="77777777" w:rsidTr="007D0C4C">
        <w:tc>
          <w:tcPr>
            <w:tcW w:w="2693" w:type="dxa"/>
          </w:tcPr>
          <w:p w14:paraId="21FF56DE"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Pensions</w:t>
            </w:r>
          </w:p>
        </w:tc>
        <w:tc>
          <w:tcPr>
            <w:tcW w:w="1134" w:type="dxa"/>
          </w:tcPr>
          <w:p w14:paraId="5BB43F6A"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10</w:t>
            </w:r>
          </w:p>
        </w:tc>
      </w:tr>
      <w:tr w:rsidR="001E6F76" w:rsidRPr="00051CDE" w14:paraId="0A23B095" w14:textId="77777777" w:rsidTr="007D0C4C">
        <w:tc>
          <w:tcPr>
            <w:tcW w:w="2693" w:type="dxa"/>
          </w:tcPr>
          <w:p w14:paraId="4E43F671"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 xml:space="preserve">Relocation </w:t>
            </w:r>
          </w:p>
        </w:tc>
        <w:tc>
          <w:tcPr>
            <w:tcW w:w="1134" w:type="dxa"/>
          </w:tcPr>
          <w:p w14:paraId="2052235F"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5</w:t>
            </w:r>
          </w:p>
        </w:tc>
      </w:tr>
      <w:tr w:rsidR="001E6F76" w:rsidRPr="00051CDE" w14:paraId="08044080" w14:textId="77777777" w:rsidTr="007D0C4C">
        <w:tc>
          <w:tcPr>
            <w:tcW w:w="2693" w:type="dxa"/>
          </w:tcPr>
          <w:p w14:paraId="1639F908"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Brand image</w:t>
            </w:r>
          </w:p>
        </w:tc>
        <w:tc>
          <w:tcPr>
            <w:tcW w:w="1134" w:type="dxa"/>
          </w:tcPr>
          <w:p w14:paraId="49136486"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3</w:t>
            </w:r>
          </w:p>
        </w:tc>
      </w:tr>
      <w:tr w:rsidR="001E6F76" w:rsidRPr="00051CDE" w14:paraId="08CCFABA" w14:textId="77777777" w:rsidTr="007D0C4C">
        <w:tc>
          <w:tcPr>
            <w:tcW w:w="2693" w:type="dxa"/>
          </w:tcPr>
          <w:p w14:paraId="262B1D7B"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Terms and conditions</w:t>
            </w:r>
          </w:p>
        </w:tc>
        <w:tc>
          <w:tcPr>
            <w:tcW w:w="1134" w:type="dxa"/>
          </w:tcPr>
          <w:p w14:paraId="5F16CD40"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3</w:t>
            </w:r>
          </w:p>
        </w:tc>
      </w:tr>
      <w:tr w:rsidR="001E6F76" w:rsidRPr="00051CDE" w14:paraId="7A32530F" w14:textId="77777777" w:rsidTr="007D0C4C">
        <w:tc>
          <w:tcPr>
            <w:tcW w:w="2693" w:type="dxa"/>
          </w:tcPr>
          <w:p w14:paraId="3ABB6951"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Organizational integration</w:t>
            </w:r>
          </w:p>
        </w:tc>
        <w:tc>
          <w:tcPr>
            <w:tcW w:w="1134" w:type="dxa"/>
          </w:tcPr>
          <w:p w14:paraId="42C427A9"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2</w:t>
            </w:r>
          </w:p>
        </w:tc>
      </w:tr>
      <w:tr w:rsidR="001E6F76" w:rsidRPr="00051CDE" w14:paraId="33FD16BA" w14:textId="77777777" w:rsidTr="007D0C4C">
        <w:tc>
          <w:tcPr>
            <w:tcW w:w="2693" w:type="dxa"/>
          </w:tcPr>
          <w:p w14:paraId="77A97064"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Excessive debt</w:t>
            </w:r>
          </w:p>
        </w:tc>
        <w:tc>
          <w:tcPr>
            <w:tcW w:w="1134" w:type="dxa"/>
          </w:tcPr>
          <w:p w14:paraId="3A49959A"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1</w:t>
            </w:r>
          </w:p>
        </w:tc>
      </w:tr>
      <w:tr w:rsidR="001E6F76" w:rsidRPr="00051CDE" w14:paraId="06EFC306" w14:textId="77777777" w:rsidTr="007D0C4C">
        <w:tc>
          <w:tcPr>
            <w:tcW w:w="2693" w:type="dxa"/>
          </w:tcPr>
          <w:p w14:paraId="0F5DB8FC"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‘The future’</w:t>
            </w:r>
          </w:p>
        </w:tc>
        <w:tc>
          <w:tcPr>
            <w:tcW w:w="1134" w:type="dxa"/>
          </w:tcPr>
          <w:p w14:paraId="198E661A"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1</w:t>
            </w:r>
          </w:p>
        </w:tc>
      </w:tr>
      <w:tr w:rsidR="001E6F76" w:rsidRPr="00051CDE" w14:paraId="2C915A40" w14:textId="77777777" w:rsidTr="007D0C4C">
        <w:tc>
          <w:tcPr>
            <w:tcW w:w="2693" w:type="dxa"/>
          </w:tcPr>
          <w:p w14:paraId="37196CE9"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Loss of control to outside UK</w:t>
            </w:r>
          </w:p>
        </w:tc>
        <w:tc>
          <w:tcPr>
            <w:tcW w:w="1134" w:type="dxa"/>
          </w:tcPr>
          <w:p w14:paraId="6573F52B"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1</w:t>
            </w:r>
          </w:p>
        </w:tc>
      </w:tr>
      <w:tr w:rsidR="001E6F76" w:rsidRPr="00051CDE" w14:paraId="24DB8F37" w14:textId="77777777" w:rsidTr="007D0C4C">
        <w:tc>
          <w:tcPr>
            <w:tcW w:w="2693" w:type="dxa"/>
          </w:tcPr>
          <w:p w14:paraId="5F4004BE"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Management style</w:t>
            </w:r>
          </w:p>
        </w:tc>
        <w:tc>
          <w:tcPr>
            <w:tcW w:w="1134" w:type="dxa"/>
          </w:tcPr>
          <w:p w14:paraId="3602CF68"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1</w:t>
            </w:r>
          </w:p>
        </w:tc>
      </w:tr>
      <w:tr w:rsidR="001E6F76" w:rsidRPr="00051CDE" w14:paraId="4C5B7C30" w14:textId="77777777" w:rsidTr="007D0C4C">
        <w:tc>
          <w:tcPr>
            <w:tcW w:w="2693" w:type="dxa"/>
          </w:tcPr>
          <w:p w14:paraId="161200EF"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Reduction of employment opportunities</w:t>
            </w:r>
          </w:p>
        </w:tc>
        <w:tc>
          <w:tcPr>
            <w:tcW w:w="1134" w:type="dxa"/>
          </w:tcPr>
          <w:p w14:paraId="4BBA7D08"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1</w:t>
            </w:r>
          </w:p>
        </w:tc>
      </w:tr>
      <w:tr w:rsidR="001E6F76" w:rsidRPr="00051CDE" w14:paraId="6403B1D7" w14:textId="77777777" w:rsidTr="007D0C4C">
        <w:tc>
          <w:tcPr>
            <w:tcW w:w="2693" w:type="dxa"/>
          </w:tcPr>
          <w:p w14:paraId="6CB826EF"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Broadly supportive (with reservations)</w:t>
            </w:r>
          </w:p>
        </w:tc>
        <w:tc>
          <w:tcPr>
            <w:tcW w:w="1134" w:type="dxa"/>
          </w:tcPr>
          <w:p w14:paraId="6FBA956F"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19</w:t>
            </w:r>
          </w:p>
        </w:tc>
      </w:tr>
      <w:tr w:rsidR="001E6F76" w:rsidRPr="00051CDE" w14:paraId="1B32FF6D" w14:textId="77777777" w:rsidTr="007D0C4C">
        <w:tc>
          <w:tcPr>
            <w:tcW w:w="2693" w:type="dxa"/>
          </w:tcPr>
          <w:p w14:paraId="7CCA824F"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Demands/ requests</w:t>
            </w:r>
          </w:p>
        </w:tc>
        <w:tc>
          <w:tcPr>
            <w:tcW w:w="1134" w:type="dxa"/>
          </w:tcPr>
          <w:p w14:paraId="7FF5FE8A"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1</w:t>
            </w:r>
            <w:r w:rsidR="00D10915" w:rsidRPr="00051CDE">
              <w:rPr>
                <w:rFonts w:ascii="Times New Roman" w:hAnsi="Times New Roman" w:cs="Times New Roman"/>
                <w:sz w:val="24"/>
                <w:szCs w:val="24"/>
              </w:rPr>
              <w:t>5</w:t>
            </w:r>
          </w:p>
        </w:tc>
      </w:tr>
    </w:tbl>
    <w:p w14:paraId="0E7DC5DA" w14:textId="77777777" w:rsidR="001E6F76" w:rsidRPr="00051CDE" w:rsidRDefault="001E6F76" w:rsidP="00887411">
      <w:pPr>
        <w:pStyle w:val="NoSpacing"/>
        <w:spacing w:line="360" w:lineRule="auto"/>
      </w:pPr>
    </w:p>
    <w:p w14:paraId="0A1BFA17" w14:textId="3CC946AA" w:rsidR="001E6F76" w:rsidRPr="00051CDE" w:rsidRDefault="001E6F76" w:rsidP="00887411">
      <w:pPr>
        <w:pStyle w:val="NoSpacing"/>
        <w:spacing w:line="360" w:lineRule="auto"/>
      </w:pPr>
      <w:r w:rsidRPr="00051CDE">
        <w:t xml:space="preserve">Nineteen opinions broadly supported the takeover, though often with reservations. These generally included requests for reassurances over the continued growth of the company, maintenance of workforce numbers, the creation of greater opportunities for employees and the retention of current management teams. In some cases reservations were expressed as a hope, for example that the offeror company would recognise union activity as an asset. </w:t>
      </w:r>
    </w:p>
    <w:p w14:paraId="6E55F92D" w14:textId="77777777" w:rsidR="001E6F76" w:rsidRPr="00051CDE" w:rsidRDefault="001E6F76" w:rsidP="00887411">
      <w:pPr>
        <w:pStyle w:val="NoSpacing"/>
        <w:spacing w:line="360" w:lineRule="auto"/>
      </w:pPr>
    </w:p>
    <w:p w14:paraId="734535B8" w14:textId="1851B95A" w:rsidR="001E6F76" w:rsidRPr="00051CDE" w:rsidRDefault="001E6F76" w:rsidP="00887411">
      <w:pPr>
        <w:pStyle w:val="NoSpacing"/>
        <w:spacing w:line="360" w:lineRule="auto"/>
      </w:pPr>
      <w:r w:rsidRPr="00051CDE">
        <w:t xml:space="preserve">Thirteen (just over 30% of the total) complained that employees did not have enough information on which to base a genuinely considered view. A typical comment was that of a union representative who, having spoken to the personnel department, stated that she simply </w:t>
      </w:r>
      <w:r w:rsidRPr="00051CDE">
        <w:lastRenderedPageBreak/>
        <w:t>did not know whether the proposed takeover (X</w:t>
      </w:r>
      <w:r w:rsidR="00B60BB6" w:rsidRPr="00051CDE">
        <w:t>s</w:t>
      </w:r>
      <w:r w:rsidRPr="00051CDE">
        <w:t>trata) would be good or bad for employees: ‘There is no factual evidence to base an opinion on’. In another opinion (</w:t>
      </w:r>
      <w:proofErr w:type="spellStart"/>
      <w:r w:rsidRPr="00051CDE">
        <w:t>Amec</w:t>
      </w:r>
      <w:proofErr w:type="spellEnd"/>
      <w:r w:rsidRPr="00051CDE">
        <w:t xml:space="preserve"> Foster Wheeler), the union listed 19 questions to which it required answers</w:t>
      </w:r>
      <w:r w:rsidR="00E80240" w:rsidRPr="00051CDE">
        <w:t xml:space="preserve"> covering issues like respect for current collective agreements, pension benefits, intentions with respect to future businesses</w:t>
      </w:r>
      <w:r w:rsidR="009A2D99" w:rsidRPr="00051CDE">
        <w:t>,</w:t>
      </w:r>
      <w:r w:rsidR="00E80240" w:rsidRPr="00051CDE">
        <w:t xml:space="preserve"> and </w:t>
      </w:r>
      <w:r w:rsidR="00994EFC" w:rsidRPr="00051CDE">
        <w:t xml:space="preserve">the effects of restructuring. </w:t>
      </w:r>
    </w:p>
    <w:p w14:paraId="412AD625" w14:textId="77777777" w:rsidR="001E6F76" w:rsidRPr="00051CDE" w:rsidRDefault="001E6F76" w:rsidP="00887411">
      <w:pPr>
        <w:pStyle w:val="NoSpacing"/>
        <w:spacing w:line="360" w:lineRule="auto"/>
      </w:pPr>
    </w:p>
    <w:p w14:paraId="23661E7D" w14:textId="77777777" w:rsidR="001E6F76" w:rsidRPr="00051CDE" w:rsidRDefault="001E6F76" w:rsidP="00887411">
      <w:pPr>
        <w:pStyle w:val="NoSpacing"/>
        <w:spacing w:line="360" w:lineRule="auto"/>
        <w:rPr>
          <w:i/>
        </w:rPr>
      </w:pPr>
      <w:r w:rsidRPr="00051CDE">
        <w:rPr>
          <w:i/>
        </w:rPr>
        <w:t>Demands/ requests</w:t>
      </w:r>
    </w:p>
    <w:p w14:paraId="1FAC5B1B" w14:textId="77777777" w:rsidR="001E6F76" w:rsidRPr="00051CDE" w:rsidRDefault="001E6F76" w:rsidP="00887411">
      <w:pPr>
        <w:pStyle w:val="NoSpacing"/>
        <w:spacing w:line="360" w:lineRule="auto"/>
      </w:pPr>
    </w:p>
    <w:p w14:paraId="322FEF67" w14:textId="77777777" w:rsidR="001E6F76" w:rsidRPr="00051CDE" w:rsidRDefault="001E6F76" w:rsidP="00887411">
      <w:pPr>
        <w:pStyle w:val="NoSpacing"/>
        <w:spacing w:line="360" w:lineRule="auto"/>
      </w:pPr>
      <w:r w:rsidRPr="00051CDE">
        <w:t>F</w:t>
      </w:r>
      <w:r w:rsidR="00D10915" w:rsidRPr="00051CDE">
        <w:t xml:space="preserve">ifteen </w:t>
      </w:r>
      <w:r w:rsidRPr="00051CDE">
        <w:t xml:space="preserve">opinions took the opportunity to make further demands or requests (Table 4). </w:t>
      </w:r>
    </w:p>
    <w:p w14:paraId="74001F07" w14:textId="77777777" w:rsidR="001E6F76" w:rsidRPr="00051CDE" w:rsidRDefault="001E6F76" w:rsidP="00887411">
      <w:pPr>
        <w:spacing w:line="360" w:lineRule="auto"/>
        <w:rPr>
          <w:rFonts w:ascii="Times New Roman" w:hAnsi="Times New Roman" w:cs="Times New Roman"/>
          <w:sz w:val="24"/>
          <w:szCs w:val="24"/>
        </w:rPr>
      </w:pPr>
    </w:p>
    <w:p w14:paraId="43B33CDD" w14:textId="48E43214" w:rsidR="001E6F76" w:rsidRPr="00051CDE" w:rsidRDefault="001E6F76" w:rsidP="00887411">
      <w:pPr>
        <w:spacing w:line="360" w:lineRule="auto"/>
        <w:rPr>
          <w:rFonts w:ascii="Times New Roman" w:hAnsi="Times New Roman" w:cs="Times New Roman"/>
          <w:i/>
          <w:sz w:val="24"/>
          <w:szCs w:val="24"/>
        </w:rPr>
      </w:pPr>
      <w:r w:rsidRPr="00051CDE">
        <w:rPr>
          <w:rFonts w:ascii="Times New Roman" w:hAnsi="Times New Roman" w:cs="Times New Roman"/>
          <w:i/>
          <w:sz w:val="24"/>
          <w:szCs w:val="24"/>
        </w:rPr>
        <w:t>Table 4: Demands</w:t>
      </w:r>
      <w:r w:rsidR="00537990" w:rsidRPr="00051CDE">
        <w:rPr>
          <w:rFonts w:ascii="Times New Roman" w:hAnsi="Times New Roman" w:cs="Times New Roman"/>
          <w:i/>
          <w:sz w:val="24"/>
          <w:szCs w:val="24"/>
        </w:rPr>
        <w:t xml:space="preserve"> </w:t>
      </w:r>
      <w:r w:rsidRPr="00051CDE">
        <w:rPr>
          <w:rFonts w:ascii="Times New Roman" w:hAnsi="Times New Roman" w:cs="Times New Roman"/>
          <w:i/>
          <w:sz w:val="24"/>
          <w:szCs w:val="24"/>
        </w:rPr>
        <w:t>/ requests</w:t>
      </w:r>
    </w:p>
    <w:tbl>
      <w:tblPr>
        <w:tblStyle w:val="TableGrid"/>
        <w:tblW w:w="0" w:type="auto"/>
        <w:tblLook w:val="04A0" w:firstRow="1" w:lastRow="0" w:firstColumn="1" w:lastColumn="0" w:noHBand="0" w:noVBand="1"/>
      </w:tblPr>
      <w:tblGrid>
        <w:gridCol w:w="2376"/>
        <w:gridCol w:w="6866"/>
      </w:tblGrid>
      <w:tr w:rsidR="001E6F76" w:rsidRPr="00051CDE" w14:paraId="1C8F7920" w14:textId="77777777" w:rsidTr="007D0C4C">
        <w:tc>
          <w:tcPr>
            <w:tcW w:w="2376" w:type="dxa"/>
          </w:tcPr>
          <w:p w14:paraId="4E32C4B9" w14:textId="77777777" w:rsidR="001E6F76" w:rsidRPr="00051CDE" w:rsidRDefault="001E6F76" w:rsidP="00887411">
            <w:pPr>
              <w:spacing w:line="360" w:lineRule="auto"/>
              <w:rPr>
                <w:rFonts w:ascii="Times New Roman" w:hAnsi="Times New Roman" w:cs="Times New Roman"/>
                <w:b/>
                <w:sz w:val="24"/>
                <w:szCs w:val="24"/>
              </w:rPr>
            </w:pPr>
            <w:r w:rsidRPr="00051CDE">
              <w:rPr>
                <w:rFonts w:ascii="Times New Roman" w:hAnsi="Times New Roman" w:cs="Times New Roman"/>
                <w:b/>
                <w:sz w:val="24"/>
                <w:szCs w:val="24"/>
              </w:rPr>
              <w:t>Offeree company</w:t>
            </w:r>
          </w:p>
        </w:tc>
        <w:tc>
          <w:tcPr>
            <w:tcW w:w="6866" w:type="dxa"/>
          </w:tcPr>
          <w:p w14:paraId="0CB1D044" w14:textId="1E9631CD" w:rsidR="001E6F76" w:rsidRPr="00051CDE" w:rsidRDefault="001E6F76" w:rsidP="00887411">
            <w:pPr>
              <w:spacing w:line="360" w:lineRule="auto"/>
              <w:rPr>
                <w:rFonts w:ascii="Times New Roman" w:hAnsi="Times New Roman" w:cs="Times New Roman"/>
                <w:b/>
                <w:sz w:val="24"/>
                <w:szCs w:val="24"/>
              </w:rPr>
            </w:pPr>
            <w:r w:rsidRPr="00051CDE">
              <w:rPr>
                <w:rFonts w:ascii="Times New Roman" w:hAnsi="Times New Roman" w:cs="Times New Roman"/>
                <w:b/>
                <w:sz w:val="24"/>
                <w:szCs w:val="24"/>
              </w:rPr>
              <w:t>Nature of demand</w:t>
            </w:r>
            <w:r w:rsidR="00537990" w:rsidRPr="00051CDE">
              <w:rPr>
                <w:rFonts w:ascii="Times New Roman" w:hAnsi="Times New Roman" w:cs="Times New Roman"/>
                <w:b/>
                <w:sz w:val="24"/>
                <w:szCs w:val="24"/>
              </w:rPr>
              <w:t xml:space="preserve"> </w:t>
            </w:r>
            <w:r w:rsidRPr="00051CDE">
              <w:rPr>
                <w:rFonts w:ascii="Times New Roman" w:hAnsi="Times New Roman" w:cs="Times New Roman"/>
                <w:b/>
                <w:sz w:val="24"/>
                <w:szCs w:val="24"/>
              </w:rPr>
              <w:t>/ request</w:t>
            </w:r>
          </w:p>
        </w:tc>
      </w:tr>
      <w:tr w:rsidR="001E6F76" w:rsidRPr="00051CDE" w14:paraId="3B551DE2" w14:textId="77777777" w:rsidTr="007D0C4C">
        <w:tc>
          <w:tcPr>
            <w:tcW w:w="2376" w:type="dxa"/>
          </w:tcPr>
          <w:p w14:paraId="472691D9"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Cadbury</w:t>
            </w:r>
          </w:p>
        </w:tc>
        <w:tc>
          <w:tcPr>
            <w:tcW w:w="6866" w:type="dxa"/>
          </w:tcPr>
          <w:p w14:paraId="2DB607C7"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Unite: Appeal to shareholders to reconsider takeover on grounds of changes to management style, excessive debt and control of the company when outside UK. Demands 5-year guarantees on no site closures, compulsory redundancies, terms and conditions and pensions</w:t>
            </w:r>
          </w:p>
        </w:tc>
      </w:tr>
      <w:tr w:rsidR="001E6F76" w:rsidRPr="00051CDE" w14:paraId="3A9ADE50" w14:textId="77777777" w:rsidTr="007D0C4C">
        <w:tc>
          <w:tcPr>
            <w:tcW w:w="2376" w:type="dxa"/>
          </w:tcPr>
          <w:p w14:paraId="4B68309B" w14:textId="75D2F70B"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X</w:t>
            </w:r>
            <w:r w:rsidR="00B60BB6" w:rsidRPr="00051CDE">
              <w:rPr>
                <w:rFonts w:ascii="Times New Roman" w:hAnsi="Times New Roman" w:cs="Times New Roman"/>
                <w:sz w:val="24"/>
                <w:szCs w:val="24"/>
              </w:rPr>
              <w:t>s</w:t>
            </w:r>
            <w:r w:rsidRPr="00051CDE">
              <w:rPr>
                <w:rFonts w:ascii="Times New Roman" w:hAnsi="Times New Roman" w:cs="Times New Roman"/>
                <w:sz w:val="24"/>
                <w:szCs w:val="24"/>
              </w:rPr>
              <w:t>trata</w:t>
            </w:r>
          </w:p>
          <w:p w14:paraId="771D8B6A"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(four sets of demands)</w:t>
            </w:r>
          </w:p>
        </w:tc>
        <w:tc>
          <w:tcPr>
            <w:tcW w:w="6866" w:type="dxa"/>
          </w:tcPr>
          <w:p w14:paraId="437A4AEF"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 xml:space="preserve">USW: protection of members’ rights and union’s bargaining rights; German works council: given no EWC, demands meetings with employee reps from other countries to discuss merger; </w:t>
            </w:r>
          </w:p>
          <w:p w14:paraId="45997C2E"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 xml:space="preserve">NUM (SA): assurances to protect jobs; </w:t>
            </w:r>
          </w:p>
          <w:p w14:paraId="2C3DC3E2"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 xml:space="preserve">ICF: maintenance of conditions, pay, pensions and bonuses; </w:t>
            </w:r>
          </w:p>
          <w:p w14:paraId="58908067"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 xml:space="preserve">Sole Workers’ Syndicate (Peru): in favour of merger </w:t>
            </w:r>
            <w:r w:rsidRPr="00051CDE">
              <w:rPr>
                <w:rFonts w:ascii="Times New Roman" w:hAnsi="Times New Roman" w:cs="Times New Roman"/>
                <w:i/>
                <w:sz w:val="24"/>
                <w:szCs w:val="24"/>
              </w:rPr>
              <w:t>(no demands)</w:t>
            </w:r>
          </w:p>
        </w:tc>
      </w:tr>
      <w:tr w:rsidR="001E6F76" w:rsidRPr="00051CDE" w14:paraId="0098C2DF" w14:textId="77777777" w:rsidTr="007D0C4C">
        <w:tc>
          <w:tcPr>
            <w:tcW w:w="2376" w:type="dxa"/>
          </w:tcPr>
          <w:p w14:paraId="624F764E" w14:textId="77777777" w:rsidR="001E6F76" w:rsidRPr="00051CDE" w:rsidRDefault="001E6F76" w:rsidP="00887411">
            <w:pPr>
              <w:spacing w:line="360" w:lineRule="auto"/>
              <w:rPr>
                <w:rFonts w:ascii="Times New Roman" w:hAnsi="Times New Roman" w:cs="Times New Roman"/>
                <w:sz w:val="24"/>
                <w:szCs w:val="24"/>
              </w:rPr>
            </w:pPr>
            <w:proofErr w:type="spellStart"/>
            <w:r w:rsidRPr="00051CDE">
              <w:rPr>
                <w:rFonts w:ascii="Times New Roman" w:hAnsi="Times New Roman" w:cs="Times New Roman"/>
                <w:sz w:val="24"/>
                <w:szCs w:val="24"/>
              </w:rPr>
              <w:t>Prologic</w:t>
            </w:r>
            <w:proofErr w:type="spellEnd"/>
          </w:p>
        </w:tc>
        <w:tc>
          <w:tcPr>
            <w:tcW w:w="6866" w:type="dxa"/>
          </w:tcPr>
          <w:p w14:paraId="1D7A86F9" w14:textId="77777777" w:rsidR="001E6F76" w:rsidRPr="00051CDE" w:rsidRDefault="001E6F76" w:rsidP="00887411">
            <w:pPr>
              <w:spacing w:line="360" w:lineRule="auto"/>
              <w:rPr>
                <w:rFonts w:ascii="Times New Roman" w:hAnsi="Times New Roman" w:cs="Times New Roman"/>
                <w:sz w:val="24"/>
                <w:szCs w:val="24"/>
              </w:rPr>
            </w:pPr>
            <w:proofErr w:type="spellStart"/>
            <w:r w:rsidRPr="00051CDE">
              <w:rPr>
                <w:rFonts w:ascii="Times New Roman" w:hAnsi="Times New Roman" w:cs="Times New Roman"/>
                <w:sz w:val="24"/>
                <w:szCs w:val="24"/>
              </w:rPr>
              <w:t>Prologic</w:t>
            </w:r>
            <w:proofErr w:type="spellEnd"/>
            <w:r w:rsidRPr="00051CDE">
              <w:rPr>
                <w:rFonts w:ascii="Times New Roman" w:hAnsi="Times New Roman" w:cs="Times New Roman"/>
                <w:sz w:val="24"/>
                <w:szCs w:val="24"/>
              </w:rPr>
              <w:t xml:space="preserve"> employees: Consultation over relocations, voluntary redundancies, help in finding alternative employment</w:t>
            </w:r>
          </w:p>
        </w:tc>
      </w:tr>
      <w:tr w:rsidR="001E6F76" w:rsidRPr="00051CDE" w14:paraId="698746B4" w14:textId="77777777" w:rsidTr="007D0C4C">
        <w:tc>
          <w:tcPr>
            <w:tcW w:w="2376" w:type="dxa"/>
          </w:tcPr>
          <w:p w14:paraId="7F789244" w14:textId="77777777" w:rsidR="001E6F76" w:rsidRPr="00051CDE" w:rsidRDefault="001E6F76" w:rsidP="00887411">
            <w:pPr>
              <w:spacing w:line="360" w:lineRule="auto"/>
              <w:rPr>
                <w:rFonts w:ascii="Times New Roman" w:hAnsi="Times New Roman" w:cs="Times New Roman"/>
                <w:sz w:val="24"/>
                <w:szCs w:val="24"/>
              </w:rPr>
            </w:pPr>
            <w:proofErr w:type="spellStart"/>
            <w:r w:rsidRPr="00051CDE">
              <w:rPr>
                <w:rFonts w:ascii="Times New Roman" w:hAnsi="Times New Roman" w:cs="Times New Roman"/>
                <w:sz w:val="24"/>
                <w:szCs w:val="24"/>
              </w:rPr>
              <w:t>Umeco</w:t>
            </w:r>
            <w:proofErr w:type="spellEnd"/>
          </w:p>
        </w:tc>
        <w:tc>
          <w:tcPr>
            <w:tcW w:w="6866" w:type="dxa"/>
          </w:tcPr>
          <w:p w14:paraId="4F902FD1"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Employee representatives: statement on jobs</w:t>
            </w:r>
          </w:p>
        </w:tc>
      </w:tr>
      <w:tr w:rsidR="001E6F76" w:rsidRPr="00051CDE" w14:paraId="57FFCAEC" w14:textId="77777777" w:rsidTr="007D0C4C">
        <w:tc>
          <w:tcPr>
            <w:tcW w:w="2376" w:type="dxa"/>
          </w:tcPr>
          <w:p w14:paraId="05B0692C"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Britvic</w:t>
            </w:r>
          </w:p>
        </w:tc>
        <w:tc>
          <w:tcPr>
            <w:tcW w:w="6866" w:type="dxa"/>
          </w:tcPr>
          <w:p w14:paraId="5BBF612C"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EWC: further information on ‘merits of transaction’, including possible redundancies</w:t>
            </w:r>
          </w:p>
        </w:tc>
      </w:tr>
      <w:tr w:rsidR="001E6F76" w:rsidRPr="00051CDE" w14:paraId="1F72F9C3" w14:textId="77777777" w:rsidTr="007D0C4C">
        <w:tc>
          <w:tcPr>
            <w:tcW w:w="2376" w:type="dxa"/>
          </w:tcPr>
          <w:p w14:paraId="0B1895D5" w14:textId="77777777" w:rsidR="001E6F76" w:rsidRPr="00051CDE" w:rsidRDefault="001E6F76" w:rsidP="00887411">
            <w:pPr>
              <w:spacing w:line="360" w:lineRule="auto"/>
              <w:rPr>
                <w:rFonts w:ascii="Times New Roman" w:hAnsi="Times New Roman" w:cs="Times New Roman"/>
                <w:sz w:val="24"/>
                <w:szCs w:val="24"/>
              </w:rPr>
            </w:pPr>
            <w:proofErr w:type="spellStart"/>
            <w:r w:rsidRPr="00051CDE">
              <w:rPr>
                <w:rFonts w:ascii="Times New Roman" w:hAnsi="Times New Roman" w:cs="Times New Roman"/>
                <w:sz w:val="24"/>
                <w:szCs w:val="24"/>
              </w:rPr>
              <w:t>Sportingbet</w:t>
            </w:r>
            <w:proofErr w:type="spellEnd"/>
          </w:p>
        </w:tc>
        <w:tc>
          <w:tcPr>
            <w:tcW w:w="6866" w:type="dxa"/>
          </w:tcPr>
          <w:p w14:paraId="4938B48A"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Employee representative: further information on future business plans, assessment of redundancies on service provision</w:t>
            </w:r>
          </w:p>
        </w:tc>
      </w:tr>
      <w:tr w:rsidR="001E6F76" w:rsidRPr="00051CDE" w14:paraId="44DB04C6" w14:textId="77777777" w:rsidTr="007D0C4C">
        <w:tc>
          <w:tcPr>
            <w:tcW w:w="2376" w:type="dxa"/>
          </w:tcPr>
          <w:p w14:paraId="18E46956"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CSR</w:t>
            </w:r>
          </w:p>
        </w:tc>
        <w:tc>
          <w:tcPr>
            <w:tcW w:w="6866" w:type="dxa"/>
          </w:tcPr>
          <w:p w14:paraId="0DA9C443"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Works council: information and early consultation</w:t>
            </w:r>
          </w:p>
        </w:tc>
      </w:tr>
      <w:tr w:rsidR="001E6F76" w:rsidRPr="00051CDE" w14:paraId="190D7FFC" w14:textId="77777777" w:rsidTr="007D0C4C">
        <w:tc>
          <w:tcPr>
            <w:tcW w:w="2376" w:type="dxa"/>
          </w:tcPr>
          <w:p w14:paraId="2152EFE1"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Friends Life</w:t>
            </w:r>
          </w:p>
        </w:tc>
        <w:tc>
          <w:tcPr>
            <w:tcW w:w="6866" w:type="dxa"/>
          </w:tcPr>
          <w:p w14:paraId="05C95D50"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Unite: consultation to be full/ meaningful</w:t>
            </w:r>
          </w:p>
        </w:tc>
      </w:tr>
      <w:tr w:rsidR="001E6F76" w:rsidRPr="00051CDE" w14:paraId="1AC55CBC" w14:textId="77777777" w:rsidTr="007D0C4C">
        <w:tc>
          <w:tcPr>
            <w:tcW w:w="2376" w:type="dxa"/>
          </w:tcPr>
          <w:p w14:paraId="35F3A9AF"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lastRenderedPageBreak/>
              <w:t>TSB</w:t>
            </w:r>
          </w:p>
        </w:tc>
        <w:tc>
          <w:tcPr>
            <w:tcW w:w="6866" w:type="dxa"/>
          </w:tcPr>
          <w:p w14:paraId="5FC16ED2"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Accord, Unite: joint discussion required on key issues, including union rights</w:t>
            </w:r>
          </w:p>
        </w:tc>
      </w:tr>
      <w:tr w:rsidR="001E6F76" w:rsidRPr="00051CDE" w14:paraId="3442B6B3" w14:textId="77777777" w:rsidTr="007D0C4C">
        <w:tc>
          <w:tcPr>
            <w:tcW w:w="2376" w:type="dxa"/>
          </w:tcPr>
          <w:p w14:paraId="20836819"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 xml:space="preserve">SABMiller </w:t>
            </w:r>
          </w:p>
          <w:p w14:paraId="6C3D4BB7"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(two sets of co-ordinated demands)</w:t>
            </w:r>
          </w:p>
        </w:tc>
        <w:tc>
          <w:tcPr>
            <w:tcW w:w="6866" w:type="dxa"/>
          </w:tcPr>
          <w:p w14:paraId="068E9402" w14:textId="77777777" w:rsidR="001E6F76" w:rsidRPr="00051CDE" w:rsidRDefault="001E6F76" w:rsidP="00887411">
            <w:pPr>
              <w:spacing w:line="360" w:lineRule="auto"/>
              <w:rPr>
                <w:rFonts w:ascii="Times New Roman" w:hAnsi="Times New Roman" w:cs="Times New Roman"/>
                <w:sz w:val="24"/>
                <w:szCs w:val="24"/>
              </w:rPr>
            </w:pPr>
            <w:proofErr w:type="spellStart"/>
            <w:r w:rsidRPr="00051CDE">
              <w:rPr>
                <w:rFonts w:ascii="Times New Roman" w:hAnsi="Times New Roman" w:cs="Times New Roman"/>
                <w:sz w:val="24"/>
                <w:szCs w:val="24"/>
              </w:rPr>
              <w:t>Dreher</w:t>
            </w:r>
            <w:proofErr w:type="spellEnd"/>
            <w:r w:rsidRPr="00051CDE">
              <w:rPr>
                <w:rFonts w:ascii="Times New Roman" w:hAnsi="Times New Roman" w:cs="Times New Roman"/>
                <w:sz w:val="24"/>
                <w:szCs w:val="24"/>
              </w:rPr>
              <w:t xml:space="preserve"> Breweries Trade Union: sell the central/ eastern European businesses to a ‘responsible buyer’ committed to employment existing agreements</w:t>
            </w:r>
          </w:p>
          <w:p w14:paraId="26D0D331"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EWC (assisted by EFFAT): broadly similar demands, but expanded</w:t>
            </w:r>
          </w:p>
        </w:tc>
      </w:tr>
      <w:tr w:rsidR="00D10915" w:rsidRPr="00051CDE" w14:paraId="7DDDAAF2" w14:textId="77777777" w:rsidTr="007D0C4C">
        <w:tc>
          <w:tcPr>
            <w:tcW w:w="2376" w:type="dxa"/>
          </w:tcPr>
          <w:p w14:paraId="7E67B7D5" w14:textId="77777777" w:rsidR="00D10915" w:rsidRPr="00051CDE" w:rsidRDefault="00D10915"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Dee Valley</w:t>
            </w:r>
          </w:p>
        </w:tc>
        <w:tc>
          <w:tcPr>
            <w:tcW w:w="6866" w:type="dxa"/>
          </w:tcPr>
          <w:p w14:paraId="6C04592B" w14:textId="77777777" w:rsidR="00D10915" w:rsidRPr="00051CDE" w:rsidRDefault="00D10915"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Employee Forum and Unite (joint): reference to the Competition and Markets Authority for review</w:t>
            </w:r>
          </w:p>
        </w:tc>
      </w:tr>
      <w:tr w:rsidR="001E6F76" w:rsidRPr="00051CDE" w14:paraId="7624B40D" w14:textId="77777777" w:rsidTr="007D0C4C">
        <w:tc>
          <w:tcPr>
            <w:tcW w:w="2376" w:type="dxa"/>
          </w:tcPr>
          <w:p w14:paraId="3BF40E82" w14:textId="77777777" w:rsidR="001E6F76" w:rsidRPr="00051CDE" w:rsidRDefault="001E6F76" w:rsidP="00887411">
            <w:pPr>
              <w:spacing w:line="360" w:lineRule="auto"/>
              <w:rPr>
                <w:rFonts w:ascii="Times New Roman" w:hAnsi="Times New Roman" w:cs="Times New Roman"/>
                <w:b/>
                <w:sz w:val="24"/>
                <w:szCs w:val="24"/>
              </w:rPr>
            </w:pPr>
            <w:r w:rsidRPr="00051CDE">
              <w:rPr>
                <w:rFonts w:ascii="Times New Roman" w:hAnsi="Times New Roman" w:cs="Times New Roman"/>
                <w:b/>
                <w:sz w:val="24"/>
                <w:szCs w:val="24"/>
              </w:rPr>
              <w:t>Total</w:t>
            </w:r>
          </w:p>
        </w:tc>
        <w:tc>
          <w:tcPr>
            <w:tcW w:w="6866" w:type="dxa"/>
          </w:tcPr>
          <w:p w14:paraId="1CDD702A"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1</w:t>
            </w:r>
            <w:r w:rsidR="00D10915" w:rsidRPr="00051CDE">
              <w:rPr>
                <w:rFonts w:ascii="Times New Roman" w:hAnsi="Times New Roman" w:cs="Times New Roman"/>
                <w:sz w:val="24"/>
                <w:szCs w:val="24"/>
              </w:rPr>
              <w:t>5</w:t>
            </w:r>
          </w:p>
        </w:tc>
      </w:tr>
    </w:tbl>
    <w:p w14:paraId="791C4AC9" w14:textId="77777777" w:rsidR="001E6F76" w:rsidRPr="00051CDE" w:rsidRDefault="001E6F76" w:rsidP="00887411">
      <w:pPr>
        <w:pStyle w:val="NoSpacing"/>
        <w:spacing w:line="360" w:lineRule="auto"/>
      </w:pPr>
    </w:p>
    <w:p w14:paraId="4D6DE8CB" w14:textId="6513AEDD" w:rsidR="001E6F76" w:rsidRPr="00051CDE" w:rsidRDefault="001E6F76" w:rsidP="00887411">
      <w:pPr>
        <w:pStyle w:val="NoSpacing"/>
        <w:spacing w:line="360" w:lineRule="auto"/>
      </w:pPr>
      <w:r w:rsidRPr="00051CDE">
        <w:t>Unite</w:t>
      </w:r>
      <w:r w:rsidR="00050352" w:rsidRPr="00051CDE">
        <w:t xml:space="preserve">, </w:t>
      </w:r>
      <w:r w:rsidRPr="00051CDE">
        <w:t>in the Kraft/Cadbury takeover, lodged an appeal to shareholders to reconsider the takeover on the grounds of change in management style, excessive debt and loss of control of the company outside the UK. In the X</w:t>
      </w:r>
      <w:r w:rsidR="00681424" w:rsidRPr="00051CDE">
        <w:t>s</w:t>
      </w:r>
      <w:r w:rsidRPr="00051CDE">
        <w:t xml:space="preserve">trata case, while the Peruvian union was in favour, the four other employee representative bodies demanded protection of their members’ rights and their own bargaining rights among other issues. At SABMiller, the Hungarian union and EWC </w:t>
      </w:r>
      <w:r w:rsidR="00966A6A" w:rsidRPr="00051CDE">
        <w:t xml:space="preserve">made </w:t>
      </w:r>
      <w:r w:rsidRPr="00051CDE">
        <w:t xml:space="preserve">broadly similar demands as separate opinions. In five other cases, unions or works councils requested further information, consultation or joint discussions on key issues like redundancies and union rights. </w:t>
      </w:r>
    </w:p>
    <w:p w14:paraId="0C88A39E" w14:textId="77777777" w:rsidR="00D10915" w:rsidRPr="00051CDE" w:rsidRDefault="00D10915" w:rsidP="00887411">
      <w:pPr>
        <w:pStyle w:val="NoSpacing"/>
        <w:spacing w:line="360" w:lineRule="auto"/>
      </w:pPr>
    </w:p>
    <w:p w14:paraId="70F99F24" w14:textId="10B10560" w:rsidR="00D10915" w:rsidRPr="00051CDE" w:rsidRDefault="00D10915" w:rsidP="00887411">
      <w:pPr>
        <w:pStyle w:val="NoSpacing"/>
        <w:spacing w:line="360" w:lineRule="auto"/>
      </w:pPr>
      <w:r w:rsidRPr="00051CDE">
        <w:t>Dee Valley</w:t>
      </w:r>
      <w:r w:rsidR="00604588" w:rsidRPr="00051CDE">
        <w:t xml:space="preserve"> was the only case where </w:t>
      </w:r>
      <w:r w:rsidRPr="00051CDE">
        <w:t xml:space="preserve">employee representatives </w:t>
      </w:r>
      <w:r w:rsidR="00604588" w:rsidRPr="00051CDE">
        <w:t xml:space="preserve">took </w:t>
      </w:r>
      <w:r w:rsidRPr="00051CDE">
        <w:t xml:space="preserve">the matter further. The Employee Forum and the Unite branch </w:t>
      </w:r>
      <w:r w:rsidR="00604588" w:rsidRPr="00051CDE">
        <w:t xml:space="preserve">jointly </w:t>
      </w:r>
      <w:r w:rsidR="00966A6A" w:rsidRPr="00051CDE">
        <w:t xml:space="preserve">raised objections to </w:t>
      </w:r>
      <w:r w:rsidRPr="00051CDE">
        <w:t xml:space="preserve">the takeover by Severn Trent Water </w:t>
      </w:r>
      <w:r w:rsidR="00966A6A" w:rsidRPr="00051CDE">
        <w:t xml:space="preserve">with </w:t>
      </w:r>
      <w:r w:rsidRPr="00051CDE">
        <w:t xml:space="preserve">the Competition and Markets Authority (CMA), the regulatory body responsible in the UK for assessing the competition impact of takeovers. </w:t>
      </w:r>
      <w:r w:rsidR="00604588" w:rsidRPr="00051CDE">
        <w:t>However, the CMA subsequently cleared the acquisition for implementation (CMA: 2016).</w:t>
      </w:r>
    </w:p>
    <w:p w14:paraId="335B1181" w14:textId="77777777" w:rsidR="001E6F76" w:rsidRPr="00051CDE" w:rsidRDefault="001E6F76" w:rsidP="00887411">
      <w:pPr>
        <w:pStyle w:val="NoSpacing"/>
        <w:spacing w:line="360" w:lineRule="auto"/>
      </w:pPr>
    </w:p>
    <w:p w14:paraId="47BB4B38" w14:textId="77777777" w:rsidR="001E6F76" w:rsidRPr="00051CDE" w:rsidRDefault="001E6F76" w:rsidP="00887411">
      <w:pPr>
        <w:pStyle w:val="NoSpacing"/>
        <w:spacing w:line="360" w:lineRule="auto"/>
        <w:rPr>
          <w:i/>
        </w:rPr>
      </w:pPr>
      <w:r w:rsidRPr="00051CDE">
        <w:rPr>
          <w:i/>
        </w:rPr>
        <w:t>Multiple opinions</w:t>
      </w:r>
    </w:p>
    <w:p w14:paraId="77417683" w14:textId="77777777" w:rsidR="001E6F76" w:rsidRPr="00051CDE" w:rsidRDefault="001E6F76" w:rsidP="00887411">
      <w:pPr>
        <w:pStyle w:val="NoSpacing"/>
        <w:spacing w:line="360" w:lineRule="auto"/>
      </w:pPr>
    </w:p>
    <w:p w14:paraId="256C7142" w14:textId="1852B3A1" w:rsidR="001E6F76" w:rsidRPr="00051CDE" w:rsidRDefault="001E6F76" w:rsidP="00887411">
      <w:pPr>
        <w:pStyle w:val="NoSpacing"/>
        <w:spacing w:line="360" w:lineRule="auto"/>
      </w:pPr>
      <w:r w:rsidRPr="00051CDE">
        <w:t>In 23 of the 28 takeovers</w:t>
      </w:r>
      <w:r w:rsidR="00424C8E" w:rsidRPr="00051CDE">
        <w:t xml:space="preserve"> where at least one opinion was </w:t>
      </w:r>
      <w:r w:rsidR="00966A6A" w:rsidRPr="00051CDE">
        <w:t xml:space="preserve">given, </w:t>
      </w:r>
      <w:r w:rsidRPr="00051CDE">
        <w:t xml:space="preserve">the union, works council or employee representatives </w:t>
      </w:r>
      <w:r w:rsidR="00966A6A" w:rsidRPr="00051CDE">
        <w:t xml:space="preserve">gave </w:t>
      </w:r>
      <w:r w:rsidRPr="00051CDE">
        <w:t xml:space="preserve">only one opinion to cover the general view. In the five remaining cases they </w:t>
      </w:r>
      <w:r w:rsidR="00966A6A" w:rsidRPr="00051CDE">
        <w:t xml:space="preserve">gave </w:t>
      </w:r>
      <w:r w:rsidRPr="00051CDE">
        <w:t xml:space="preserve">multiple opinions: two at SABMiller, three at </w:t>
      </w:r>
      <w:proofErr w:type="spellStart"/>
      <w:r w:rsidRPr="00051CDE">
        <w:t>Hardys</w:t>
      </w:r>
      <w:proofErr w:type="spellEnd"/>
      <w:r w:rsidRPr="00051CDE">
        <w:t xml:space="preserve"> &amp; Hanson, four at Britvic, and five each at X</w:t>
      </w:r>
      <w:r w:rsidR="00681424" w:rsidRPr="00051CDE">
        <w:t>s</w:t>
      </w:r>
      <w:r w:rsidRPr="00051CDE">
        <w:t xml:space="preserve">trata and </w:t>
      </w:r>
      <w:proofErr w:type="spellStart"/>
      <w:r w:rsidRPr="00051CDE">
        <w:t>Logica</w:t>
      </w:r>
      <w:proofErr w:type="spellEnd"/>
      <w:r w:rsidRPr="00051CDE">
        <w:t xml:space="preserve"> (Table 5).</w:t>
      </w:r>
    </w:p>
    <w:p w14:paraId="4C41B995" w14:textId="77777777" w:rsidR="001E6F76" w:rsidRPr="00051CDE" w:rsidRDefault="001E6F76" w:rsidP="00887411">
      <w:pPr>
        <w:pStyle w:val="NoSpacing"/>
        <w:spacing w:line="360" w:lineRule="auto"/>
      </w:pPr>
    </w:p>
    <w:p w14:paraId="10796359" w14:textId="77777777" w:rsidR="001E6F76" w:rsidRPr="00051CDE" w:rsidRDefault="001E6F76" w:rsidP="00887411">
      <w:pPr>
        <w:spacing w:line="360" w:lineRule="auto"/>
        <w:rPr>
          <w:rFonts w:ascii="Times New Roman" w:hAnsi="Times New Roman" w:cs="Times New Roman"/>
          <w:i/>
          <w:sz w:val="24"/>
          <w:szCs w:val="24"/>
        </w:rPr>
      </w:pPr>
      <w:r w:rsidRPr="00051CDE">
        <w:rPr>
          <w:rFonts w:ascii="Times New Roman" w:hAnsi="Times New Roman" w:cs="Times New Roman"/>
          <w:i/>
          <w:sz w:val="24"/>
          <w:szCs w:val="24"/>
        </w:rPr>
        <w:t>Table 5: Multiple opinions</w:t>
      </w:r>
    </w:p>
    <w:tbl>
      <w:tblPr>
        <w:tblStyle w:val="TableGrid"/>
        <w:tblW w:w="0" w:type="auto"/>
        <w:tblLook w:val="04A0" w:firstRow="1" w:lastRow="0" w:firstColumn="1" w:lastColumn="0" w:noHBand="0" w:noVBand="1"/>
      </w:tblPr>
      <w:tblGrid>
        <w:gridCol w:w="3080"/>
        <w:gridCol w:w="3081"/>
        <w:gridCol w:w="3081"/>
      </w:tblGrid>
      <w:tr w:rsidR="001E6F76" w:rsidRPr="00051CDE" w14:paraId="26641803" w14:textId="77777777" w:rsidTr="007D0C4C">
        <w:tc>
          <w:tcPr>
            <w:tcW w:w="3080" w:type="dxa"/>
          </w:tcPr>
          <w:p w14:paraId="1BE4F51F" w14:textId="77777777" w:rsidR="001E6F76" w:rsidRPr="00051CDE" w:rsidRDefault="001E6F76" w:rsidP="00887411">
            <w:pPr>
              <w:spacing w:line="360" w:lineRule="auto"/>
              <w:rPr>
                <w:rFonts w:ascii="Times New Roman" w:hAnsi="Times New Roman" w:cs="Times New Roman"/>
                <w:b/>
                <w:sz w:val="24"/>
                <w:szCs w:val="24"/>
              </w:rPr>
            </w:pPr>
            <w:r w:rsidRPr="00051CDE">
              <w:rPr>
                <w:rFonts w:ascii="Times New Roman" w:hAnsi="Times New Roman" w:cs="Times New Roman"/>
                <w:b/>
                <w:sz w:val="24"/>
                <w:szCs w:val="24"/>
              </w:rPr>
              <w:lastRenderedPageBreak/>
              <w:t>Offeree company</w:t>
            </w:r>
          </w:p>
        </w:tc>
        <w:tc>
          <w:tcPr>
            <w:tcW w:w="3081" w:type="dxa"/>
          </w:tcPr>
          <w:p w14:paraId="399C6B0C" w14:textId="77777777" w:rsidR="001E6F76" w:rsidRPr="00051CDE" w:rsidRDefault="001E6F76" w:rsidP="00887411">
            <w:pPr>
              <w:spacing w:line="360" w:lineRule="auto"/>
              <w:rPr>
                <w:rFonts w:ascii="Times New Roman" w:hAnsi="Times New Roman" w:cs="Times New Roman"/>
                <w:b/>
                <w:sz w:val="24"/>
                <w:szCs w:val="24"/>
              </w:rPr>
            </w:pPr>
            <w:r w:rsidRPr="00051CDE">
              <w:rPr>
                <w:rFonts w:ascii="Times New Roman" w:hAnsi="Times New Roman" w:cs="Times New Roman"/>
                <w:b/>
                <w:sz w:val="24"/>
                <w:szCs w:val="24"/>
              </w:rPr>
              <w:t>Number of opinions</w:t>
            </w:r>
          </w:p>
        </w:tc>
        <w:tc>
          <w:tcPr>
            <w:tcW w:w="3081" w:type="dxa"/>
          </w:tcPr>
          <w:p w14:paraId="40C37B75" w14:textId="77777777" w:rsidR="001E6F76" w:rsidRPr="00051CDE" w:rsidRDefault="001E6F76" w:rsidP="00887411">
            <w:pPr>
              <w:spacing w:line="360" w:lineRule="auto"/>
              <w:rPr>
                <w:rFonts w:ascii="Times New Roman" w:hAnsi="Times New Roman" w:cs="Times New Roman"/>
                <w:b/>
                <w:sz w:val="24"/>
                <w:szCs w:val="24"/>
              </w:rPr>
            </w:pPr>
            <w:r w:rsidRPr="00051CDE">
              <w:rPr>
                <w:rFonts w:ascii="Times New Roman" w:hAnsi="Times New Roman" w:cs="Times New Roman"/>
                <w:b/>
                <w:sz w:val="24"/>
                <w:szCs w:val="24"/>
              </w:rPr>
              <w:t>Bodies submitting opinions</w:t>
            </w:r>
          </w:p>
        </w:tc>
      </w:tr>
      <w:tr w:rsidR="001E6F76" w:rsidRPr="00051CDE" w14:paraId="1FEBBF62" w14:textId="77777777" w:rsidTr="007D0C4C">
        <w:tc>
          <w:tcPr>
            <w:tcW w:w="3080" w:type="dxa"/>
          </w:tcPr>
          <w:p w14:paraId="68FA0321"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23 companies</w:t>
            </w:r>
          </w:p>
        </w:tc>
        <w:tc>
          <w:tcPr>
            <w:tcW w:w="3081" w:type="dxa"/>
          </w:tcPr>
          <w:p w14:paraId="5A56F33C"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1 each (i.e. 23 in total)</w:t>
            </w:r>
          </w:p>
        </w:tc>
        <w:tc>
          <w:tcPr>
            <w:tcW w:w="3081" w:type="dxa"/>
          </w:tcPr>
          <w:p w14:paraId="54BE345D" w14:textId="77777777" w:rsidR="001E6F76" w:rsidRPr="00051CDE" w:rsidRDefault="001E6F76" w:rsidP="00887411">
            <w:pPr>
              <w:spacing w:line="360" w:lineRule="auto"/>
              <w:rPr>
                <w:rFonts w:ascii="Times New Roman" w:hAnsi="Times New Roman" w:cs="Times New Roman"/>
                <w:sz w:val="24"/>
                <w:szCs w:val="24"/>
              </w:rPr>
            </w:pPr>
          </w:p>
        </w:tc>
      </w:tr>
      <w:tr w:rsidR="001E6F76" w:rsidRPr="00051CDE" w14:paraId="297FD0C7" w14:textId="77777777" w:rsidTr="007D0C4C">
        <w:tc>
          <w:tcPr>
            <w:tcW w:w="3080" w:type="dxa"/>
          </w:tcPr>
          <w:p w14:paraId="3219E626" w14:textId="77777777" w:rsidR="001E6F76" w:rsidRPr="00051CDE" w:rsidRDefault="001E6F76" w:rsidP="00887411">
            <w:pPr>
              <w:spacing w:line="360" w:lineRule="auto"/>
              <w:rPr>
                <w:rFonts w:ascii="Times New Roman" w:hAnsi="Times New Roman" w:cs="Times New Roman"/>
                <w:sz w:val="24"/>
                <w:szCs w:val="24"/>
              </w:rPr>
            </w:pPr>
            <w:proofErr w:type="spellStart"/>
            <w:r w:rsidRPr="00051CDE">
              <w:rPr>
                <w:rFonts w:ascii="Times New Roman" w:hAnsi="Times New Roman" w:cs="Times New Roman"/>
                <w:sz w:val="24"/>
                <w:szCs w:val="24"/>
              </w:rPr>
              <w:t>Hardys</w:t>
            </w:r>
            <w:proofErr w:type="spellEnd"/>
            <w:r w:rsidRPr="00051CDE">
              <w:rPr>
                <w:rFonts w:ascii="Times New Roman" w:hAnsi="Times New Roman" w:cs="Times New Roman"/>
                <w:sz w:val="24"/>
                <w:szCs w:val="24"/>
              </w:rPr>
              <w:t xml:space="preserve"> &amp; Hanson (2006)</w:t>
            </w:r>
          </w:p>
        </w:tc>
        <w:tc>
          <w:tcPr>
            <w:tcW w:w="3081" w:type="dxa"/>
          </w:tcPr>
          <w:p w14:paraId="269F0796"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3</w:t>
            </w:r>
          </w:p>
        </w:tc>
        <w:tc>
          <w:tcPr>
            <w:tcW w:w="3081" w:type="dxa"/>
          </w:tcPr>
          <w:p w14:paraId="3DF2DFC8"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T&amp;GWU (representing two bargaining units); Managers’ Forum</w:t>
            </w:r>
          </w:p>
        </w:tc>
      </w:tr>
      <w:tr w:rsidR="001E6F76" w:rsidRPr="00051CDE" w14:paraId="2662B436" w14:textId="77777777" w:rsidTr="007D0C4C">
        <w:tc>
          <w:tcPr>
            <w:tcW w:w="3080" w:type="dxa"/>
          </w:tcPr>
          <w:p w14:paraId="277922F5" w14:textId="4F04AB7E" w:rsidR="001E6F76" w:rsidRPr="00051CDE" w:rsidRDefault="001E6F76" w:rsidP="00681424">
            <w:pPr>
              <w:spacing w:line="360" w:lineRule="auto"/>
              <w:rPr>
                <w:rFonts w:ascii="Times New Roman" w:hAnsi="Times New Roman" w:cs="Times New Roman"/>
                <w:sz w:val="24"/>
                <w:szCs w:val="24"/>
              </w:rPr>
            </w:pPr>
            <w:r w:rsidRPr="00051CDE">
              <w:rPr>
                <w:rFonts w:ascii="Times New Roman" w:hAnsi="Times New Roman" w:cs="Times New Roman"/>
                <w:sz w:val="24"/>
                <w:szCs w:val="24"/>
              </w:rPr>
              <w:t>X</w:t>
            </w:r>
            <w:r w:rsidR="00681424" w:rsidRPr="00051CDE">
              <w:rPr>
                <w:rFonts w:ascii="Times New Roman" w:hAnsi="Times New Roman" w:cs="Times New Roman"/>
                <w:sz w:val="24"/>
                <w:szCs w:val="24"/>
              </w:rPr>
              <w:t>s</w:t>
            </w:r>
            <w:r w:rsidRPr="00051CDE">
              <w:rPr>
                <w:rFonts w:ascii="Times New Roman" w:hAnsi="Times New Roman" w:cs="Times New Roman"/>
                <w:sz w:val="24"/>
                <w:szCs w:val="24"/>
              </w:rPr>
              <w:t>trata (2012)</w:t>
            </w:r>
          </w:p>
        </w:tc>
        <w:tc>
          <w:tcPr>
            <w:tcW w:w="3081" w:type="dxa"/>
          </w:tcPr>
          <w:p w14:paraId="6D3EE179"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5</w:t>
            </w:r>
          </w:p>
        </w:tc>
        <w:tc>
          <w:tcPr>
            <w:tcW w:w="3081" w:type="dxa"/>
          </w:tcPr>
          <w:p w14:paraId="205CE24F"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United Steelworkers (Canada); NUM (South Africa); works council (Germany); Sole Workers’ Syndicate (Peru); ICF (untraceable)</w:t>
            </w:r>
          </w:p>
        </w:tc>
      </w:tr>
      <w:tr w:rsidR="001E6F76" w:rsidRPr="00051CDE" w14:paraId="057E7B68" w14:textId="77777777" w:rsidTr="007D0C4C">
        <w:tc>
          <w:tcPr>
            <w:tcW w:w="3080" w:type="dxa"/>
          </w:tcPr>
          <w:p w14:paraId="33A84858" w14:textId="77777777" w:rsidR="001E6F76" w:rsidRPr="00051CDE" w:rsidRDefault="001E6F76" w:rsidP="00887411">
            <w:pPr>
              <w:spacing w:line="360" w:lineRule="auto"/>
              <w:rPr>
                <w:rFonts w:ascii="Times New Roman" w:hAnsi="Times New Roman" w:cs="Times New Roman"/>
                <w:sz w:val="24"/>
                <w:szCs w:val="24"/>
              </w:rPr>
            </w:pPr>
            <w:proofErr w:type="spellStart"/>
            <w:r w:rsidRPr="00051CDE">
              <w:rPr>
                <w:rFonts w:ascii="Times New Roman" w:hAnsi="Times New Roman" w:cs="Times New Roman"/>
                <w:sz w:val="24"/>
                <w:szCs w:val="24"/>
              </w:rPr>
              <w:t>Logica</w:t>
            </w:r>
            <w:proofErr w:type="spellEnd"/>
            <w:r w:rsidRPr="00051CDE">
              <w:rPr>
                <w:rFonts w:ascii="Times New Roman" w:hAnsi="Times New Roman" w:cs="Times New Roman"/>
                <w:sz w:val="24"/>
                <w:szCs w:val="24"/>
              </w:rPr>
              <w:t xml:space="preserve"> (2012)</w:t>
            </w:r>
          </w:p>
        </w:tc>
        <w:tc>
          <w:tcPr>
            <w:tcW w:w="3081" w:type="dxa"/>
          </w:tcPr>
          <w:p w14:paraId="59EC31CE"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5</w:t>
            </w:r>
          </w:p>
        </w:tc>
        <w:tc>
          <w:tcPr>
            <w:tcW w:w="3081" w:type="dxa"/>
          </w:tcPr>
          <w:p w14:paraId="553FA3DF"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EWC; French works council; UK employee council; Swedish TU works council; Danish works council</w:t>
            </w:r>
          </w:p>
        </w:tc>
      </w:tr>
      <w:tr w:rsidR="001E6F76" w:rsidRPr="00051CDE" w14:paraId="30E71576" w14:textId="77777777" w:rsidTr="007D0C4C">
        <w:tc>
          <w:tcPr>
            <w:tcW w:w="3080" w:type="dxa"/>
          </w:tcPr>
          <w:p w14:paraId="6050ECA4"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Britvic (2012)</w:t>
            </w:r>
          </w:p>
        </w:tc>
        <w:tc>
          <w:tcPr>
            <w:tcW w:w="3081" w:type="dxa"/>
          </w:tcPr>
          <w:p w14:paraId="1B9341B2"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4</w:t>
            </w:r>
          </w:p>
        </w:tc>
        <w:tc>
          <w:tcPr>
            <w:tcW w:w="3081" w:type="dxa"/>
          </w:tcPr>
          <w:p w14:paraId="7B4C15A3"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EWC; separately: UK, Irish and French opinions (also represented on EWC)</w:t>
            </w:r>
          </w:p>
        </w:tc>
      </w:tr>
      <w:tr w:rsidR="001E6F76" w:rsidRPr="00051CDE" w14:paraId="00FF85F2" w14:textId="77777777" w:rsidTr="007D0C4C">
        <w:tc>
          <w:tcPr>
            <w:tcW w:w="3080" w:type="dxa"/>
          </w:tcPr>
          <w:p w14:paraId="2C2F2476"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SABMiller (2015)</w:t>
            </w:r>
          </w:p>
        </w:tc>
        <w:tc>
          <w:tcPr>
            <w:tcW w:w="3081" w:type="dxa"/>
          </w:tcPr>
          <w:p w14:paraId="27969F7B"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2</w:t>
            </w:r>
          </w:p>
        </w:tc>
        <w:tc>
          <w:tcPr>
            <w:tcW w:w="3081" w:type="dxa"/>
          </w:tcPr>
          <w:p w14:paraId="5870F8A4"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 xml:space="preserve">EWC; </w:t>
            </w:r>
            <w:proofErr w:type="spellStart"/>
            <w:r w:rsidRPr="00051CDE">
              <w:rPr>
                <w:rFonts w:ascii="Times New Roman" w:hAnsi="Times New Roman" w:cs="Times New Roman"/>
                <w:sz w:val="24"/>
                <w:szCs w:val="24"/>
              </w:rPr>
              <w:t>Dreher</w:t>
            </w:r>
            <w:proofErr w:type="spellEnd"/>
            <w:r w:rsidRPr="00051CDE">
              <w:rPr>
                <w:rFonts w:ascii="Times New Roman" w:hAnsi="Times New Roman" w:cs="Times New Roman"/>
                <w:sz w:val="24"/>
                <w:szCs w:val="24"/>
              </w:rPr>
              <w:t xml:space="preserve"> Breweries Trade Union</w:t>
            </w:r>
          </w:p>
        </w:tc>
      </w:tr>
      <w:tr w:rsidR="001E6F76" w:rsidRPr="00051CDE" w14:paraId="5A9BF7D9" w14:textId="77777777" w:rsidTr="007D0C4C">
        <w:tc>
          <w:tcPr>
            <w:tcW w:w="3080" w:type="dxa"/>
          </w:tcPr>
          <w:p w14:paraId="65C24AA3"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b/>
                <w:sz w:val="24"/>
                <w:szCs w:val="24"/>
              </w:rPr>
              <w:t>Total</w:t>
            </w:r>
            <w:r w:rsidRPr="00051CDE">
              <w:rPr>
                <w:rFonts w:ascii="Times New Roman" w:hAnsi="Times New Roman" w:cs="Times New Roman"/>
                <w:sz w:val="24"/>
                <w:szCs w:val="24"/>
              </w:rPr>
              <w:t>: 28</w:t>
            </w:r>
          </w:p>
        </w:tc>
        <w:tc>
          <w:tcPr>
            <w:tcW w:w="3081" w:type="dxa"/>
          </w:tcPr>
          <w:p w14:paraId="69B6321E" w14:textId="77777777" w:rsidR="001E6F76" w:rsidRPr="00051CDE" w:rsidRDefault="001E6F76" w:rsidP="00887411">
            <w:pPr>
              <w:spacing w:line="360" w:lineRule="auto"/>
              <w:rPr>
                <w:rFonts w:ascii="Times New Roman" w:hAnsi="Times New Roman" w:cs="Times New Roman"/>
                <w:sz w:val="24"/>
                <w:szCs w:val="24"/>
              </w:rPr>
            </w:pPr>
            <w:r w:rsidRPr="00051CDE">
              <w:rPr>
                <w:rFonts w:ascii="Times New Roman" w:hAnsi="Times New Roman" w:cs="Times New Roman"/>
                <w:sz w:val="24"/>
                <w:szCs w:val="24"/>
              </w:rPr>
              <w:t>42</w:t>
            </w:r>
          </w:p>
        </w:tc>
        <w:tc>
          <w:tcPr>
            <w:tcW w:w="3081" w:type="dxa"/>
          </w:tcPr>
          <w:p w14:paraId="0DADAB94" w14:textId="77777777" w:rsidR="001E6F76" w:rsidRPr="00051CDE" w:rsidRDefault="001E6F76" w:rsidP="00887411">
            <w:pPr>
              <w:spacing w:line="360" w:lineRule="auto"/>
              <w:rPr>
                <w:rFonts w:ascii="Times New Roman" w:hAnsi="Times New Roman" w:cs="Times New Roman"/>
                <w:sz w:val="24"/>
                <w:szCs w:val="24"/>
              </w:rPr>
            </w:pPr>
          </w:p>
        </w:tc>
      </w:tr>
    </w:tbl>
    <w:p w14:paraId="2C802AAE" w14:textId="77777777" w:rsidR="001E6F76" w:rsidRPr="00051CDE" w:rsidRDefault="001E6F76" w:rsidP="00887411">
      <w:pPr>
        <w:pStyle w:val="NoSpacing"/>
        <w:spacing w:line="360" w:lineRule="auto"/>
      </w:pPr>
    </w:p>
    <w:p w14:paraId="4BF22FCD" w14:textId="2DA51D8E" w:rsidR="001E6F76" w:rsidRPr="00051CDE" w:rsidRDefault="001E6F76" w:rsidP="00887411">
      <w:pPr>
        <w:pStyle w:val="NoSpacing"/>
        <w:spacing w:line="360" w:lineRule="auto"/>
      </w:pPr>
      <w:r w:rsidRPr="00051CDE">
        <w:t xml:space="preserve">At Dee Valley, the employee forum </w:t>
      </w:r>
      <w:r w:rsidR="00966A6A" w:rsidRPr="00051CDE">
        <w:t xml:space="preserve">gave </w:t>
      </w:r>
      <w:r w:rsidRPr="00051CDE">
        <w:t xml:space="preserve">an opinion that integrated a statement from the company’s Unite branch endorsing the forum’s rejection of the bid on grounds of threats to employment, which therefore did not count as a multiple opinion. However, at </w:t>
      </w:r>
      <w:proofErr w:type="spellStart"/>
      <w:r w:rsidRPr="00051CDE">
        <w:t>Hardys</w:t>
      </w:r>
      <w:proofErr w:type="spellEnd"/>
      <w:r w:rsidRPr="00051CDE">
        <w:t xml:space="preserve"> &amp; Hanson, the (then) TGWU represented two separate bargaining units, while the Managers’ Forum </w:t>
      </w:r>
      <w:r w:rsidR="00966A6A" w:rsidRPr="00051CDE">
        <w:t xml:space="preserve">gave </w:t>
      </w:r>
      <w:r w:rsidRPr="00051CDE">
        <w:t>its own opinion. At X</w:t>
      </w:r>
      <w:r w:rsidR="00681424" w:rsidRPr="00051CDE">
        <w:t>s</w:t>
      </w:r>
      <w:r w:rsidRPr="00051CDE">
        <w:t xml:space="preserve">trata – one of only two takeovers involving unions on a global scale (the other being </w:t>
      </w:r>
      <w:proofErr w:type="spellStart"/>
      <w:r w:rsidRPr="00051CDE">
        <w:t>Amec</w:t>
      </w:r>
      <w:proofErr w:type="spellEnd"/>
      <w:r w:rsidRPr="00051CDE">
        <w:t xml:space="preserve"> Foster Wheeler) – there was clearly lack of agreement over prospects, with views varying from welcom</w:t>
      </w:r>
      <w:r w:rsidR="009A2D99" w:rsidRPr="00051CDE">
        <w:t>ing</w:t>
      </w:r>
      <w:r w:rsidRPr="00051CDE">
        <w:t xml:space="preserve"> to suspicio</w:t>
      </w:r>
      <w:r w:rsidR="009A2D99" w:rsidRPr="00051CDE">
        <w:t>us</w:t>
      </w:r>
      <w:r w:rsidRPr="00051CDE">
        <w:t xml:space="preserve">, from concern over lack of information to demands to maintain terms and conditions. At both Britvic and </w:t>
      </w:r>
      <w:proofErr w:type="spellStart"/>
      <w:r w:rsidRPr="00051CDE">
        <w:t>Logica</w:t>
      </w:r>
      <w:proofErr w:type="spellEnd"/>
      <w:r w:rsidRPr="00051CDE">
        <w:t xml:space="preserve">, the EWC </w:t>
      </w:r>
      <w:r w:rsidR="00966A6A" w:rsidRPr="00051CDE">
        <w:t xml:space="preserve">gave </w:t>
      </w:r>
      <w:r w:rsidRPr="00051CDE">
        <w:t xml:space="preserve">a general opinion which was supplemented by national representatives on the EWC (French, Irish and UK in the case of Britvic) or national level works or trade union councils (Danish, French, Swedish and UK in the case of </w:t>
      </w:r>
      <w:proofErr w:type="spellStart"/>
      <w:r w:rsidRPr="00051CDE">
        <w:t>Logica</w:t>
      </w:r>
      <w:proofErr w:type="spellEnd"/>
      <w:r w:rsidRPr="00051CDE">
        <w:t xml:space="preserve">). </w:t>
      </w:r>
    </w:p>
    <w:p w14:paraId="2520961A" w14:textId="77777777" w:rsidR="001E6F76" w:rsidRPr="00051CDE" w:rsidRDefault="001E6F76" w:rsidP="00887411">
      <w:pPr>
        <w:pStyle w:val="NoSpacing"/>
        <w:spacing w:line="360" w:lineRule="auto"/>
      </w:pPr>
    </w:p>
    <w:p w14:paraId="6E2B39FC" w14:textId="326BA0AF" w:rsidR="001E6F76" w:rsidRPr="00051CDE" w:rsidRDefault="001E6F76" w:rsidP="00887411">
      <w:pPr>
        <w:pStyle w:val="NoSpacing"/>
        <w:spacing w:line="360" w:lineRule="auto"/>
      </w:pPr>
      <w:r w:rsidRPr="00051CDE">
        <w:t xml:space="preserve">At </w:t>
      </w:r>
      <w:proofErr w:type="spellStart"/>
      <w:r w:rsidRPr="00051CDE">
        <w:t>Logica</w:t>
      </w:r>
      <w:proofErr w:type="spellEnd"/>
      <w:r w:rsidRPr="00051CDE">
        <w:t xml:space="preserve">, the EWC acknowledged the potential of the takeover but criticized lack of detail and possible damage to company morale. Danish representatives concurred with the EWC, while the French and Swedish representatives were positive. The UK employee council reported that some employees polled had criticized the lack of information, while others had been concerned at possible redundancies. At Britvic, </w:t>
      </w:r>
      <w:r w:rsidR="00143AAA" w:rsidRPr="00051CDE">
        <w:t xml:space="preserve">views were </w:t>
      </w:r>
      <w:r w:rsidRPr="00051CDE">
        <w:t>even more divided: the EWC was concerned at the proposed loss of jobs, the Irish welcomed the move, the UK expressed ‘cautious optimism’</w:t>
      </w:r>
      <w:r w:rsidR="009A2D99" w:rsidRPr="00051CDE">
        <w:t>,</w:t>
      </w:r>
      <w:r w:rsidRPr="00051CDE">
        <w:t xml:space="preserve"> while the French opposed the takeover on grounds of redundancies, internal restructuring and lack of information about future investment. These cases reveal that takeovers may have varying implications for different groups of employees across different countries, so worker opinion is likely to be fragmented. In all cases, multiple opinions were </w:t>
      </w:r>
      <w:r w:rsidR="00966A6A" w:rsidRPr="00051CDE">
        <w:t xml:space="preserve">given </w:t>
      </w:r>
      <w:r w:rsidRPr="00051CDE">
        <w:t>through representative forms of participation (such as unions and EWCs)</w:t>
      </w:r>
      <w:r w:rsidR="00424C8E" w:rsidRPr="00051CDE">
        <w:t>,</w:t>
      </w:r>
      <w:r w:rsidRPr="00051CDE">
        <w:t xml:space="preserve"> rather than direct forms. </w:t>
      </w:r>
    </w:p>
    <w:p w14:paraId="437A1AB3" w14:textId="77777777" w:rsidR="002B1C4F" w:rsidRPr="00051CDE" w:rsidRDefault="002B1C4F" w:rsidP="00887411">
      <w:pPr>
        <w:pStyle w:val="NoSpacing"/>
        <w:spacing w:line="360" w:lineRule="auto"/>
        <w:rPr>
          <w:b/>
        </w:rPr>
      </w:pPr>
    </w:p>
    <w:p w14:paraId="74635D26" w14:textId="66003A14" w:rsidR="001E6F76" w:rsidRPr="00051CDE" w:rsidRDefault="001E6F76" w:rsidP="003470FB">
      <w:pPr>
        <w:pStyle w:val="NoSpacing"/>
        <w:spacing w:line="360" w:lineRule="auto"/>
        <w:rPr>
          <w:b/>
        </w:rPr>
      </w:pPr>
      <w:r w:rsidRPr="00051CDE">
        <w:rPr>
          <w:b/>
        </w:rPr>
        <w:t>Discussion</w:t>
      </w:r>
      <w:r w:rsidR="007E2C72" w:rsidRPr="00051CDE">
        <w:rPr>
          <w:b/>
        </w:rPr>
        <w:t xml:space="preserve"> and </w:t>
      </w:r>
      <w:r w:rsidR="00301AF2" w:rsidRPr="00051CDE">
        <w:rPr>
          <w:b/>
        </w:rPr>
        <w:t>c</w:t>
      </w:r>
      <w:r w:rsidR="007E2C72" w:rsidRPr="00051CDE">
        <w:rPr>
          <w:b/>
        </w:rPr>
        <w:t>onclusions</w:t>
      </w:r>
    </w:p>
    <w:p w14:paraId="245E8DC8" w14:textId="7087B103" w:rsidR="00424C8E" w:rsidRPr="00051CDE" w:rsidRDefault="00424C8E">
      <w:pPr>
        <w:pStyle w:val="NoSpacing"/>
        <w:spacing w:line="360" w:lineRule="auto"/>
        <w:rPr>
          <w:color w:val="000000"/>
        </w:rPr>
      </w:pPr>
    </w:p>
    <w:p w14:paraId="39EAFF9E" w14:textId="0252861E" w:rsidR="004B364C" w:rsidRPr="00051CDE" w:rsidRDefault="001E6F76" w:rsidP="0033211A">
      <w:pPr>
        <w:spacing w:after="160" w:line="360" w:lineRule="auto"/>
        <w:rPr>
          <w:rFonts w:ascii="Times New Roman" w:hAnsi="Times New Roman" w:cs="Times New Roman"/>
          <w:color w:val="000000"/>
          <w:sz w:val="24"/>
          <w:szCs w:val="24"/>
        </w:rPr>
      </w:pPr>
      <w:r w:rsidRPr="00051CDE">
        <w:rPr>
          <w:rFonts w:ascii="Times New Roman" w:eastAsia="Times New Roman" w:hAnsi="Times New Roman" w:cs="Times New Roman"/>
          <w:color w:val="000000"/>
          <w:sz w:val="24"/>
          <w:szCs w:val="24"/>
          <w:lang w:eastAsia="en-GB"/>
        </w:rPr>
        <w:t>In broad terms, takeovers in the UK remain more common, more likely to be hostile and more likely to succeed than in any other EU member state (</w:t>
      </w:r>
      <w:proofErr w:type="spellStart"/>
      <w:r w:rsidRPr="00051CDE">
        <w:rPr>
          <w:rFonts w:ascii="Times New Roman" w:eastAsia="Times New Roman" w:hAnsi="Times New Roman" w:cs="Times New Roman"/>
          <w:color w:val="000000"/>
          <w:sz w:val="24"/>
          <w:szCs w:val="24"/>
          <w:lang w:eastAsia="en-GB"/>
        </w:rPr>
        <w:t>Cremers</w:t>
      </w:r>
      <w:proofErr w:type="spellEnd"/>
      <w:r w:rsidRPr="00051CDE">
        <w:rPr>
          <w:rFonts w:ascii="Times New Roman" w:eastAsia="Times New Roman" w:hAnsi="Times New Roman" w:cs="Times New Roman"/>
          <w:color w:val="000000"/>
          <w:sz w:val="24"/>
          <w:szCs w:val="24"/>
          <w:lang w:eastAsia="en-GB"/>
        </w:rPr>
        <w:t xml:space="preserve"> and Vitols, 2016</w:t>
      </w:r>
      <w:r w:rsidR="00271119" w:rsidRPr="00051CDE">
        <w:rPr>
          <w:rFonts w:ascii="Times New Roman" w:eastAsia="Times New Roman" w:hAnsi="Times New Roman" w:cs="Times New Roman"/>
          <w:color w:val="000000"/>
          <w:sz w:val="24"/>
          <w:szCs w:val="24"/>
          <w:lang w:eastAsia="en-GB"/>
        </w:rPr>
        <w:t>b</w:t>
      </w:r>
      <w:r w:rsidRPr="00051CDE">
        <w:rPr>
          <w:rFonts w:ascii="Times New Roman" w:eastAsia="Times New Roman" w:hAnsi="Times New Roman" w:cs="Times New Roman"/>
          <w:color w:val="000000"/>
          <w:sz w:val="24"/>
          <w:szCs w:val="24"/>
          <w:lang w:eastAsia="en-GB"/>
        </w:rPr>
        <w:t>). More significantly, there is considerable evidence that much takeover activity merely creates short-term gains for shareholders in the target company (Schenk, 2016). As both the Kay (2012) and Cox (2013) reviews conclude</w:t>
      </w:r>
      <w:r w:rsidR="007E2C72" w:rsidRPr="00051CDE">
        <w:rPr>
          <w:rFonts w:ascii="Times New Roman" w:eastAsia="Times New Roman" w:hAnsi="Times New Roman" w:cs="Times New Roman"/>
          <w:color w:val="000000"/>
          <w:sz w:val="24"/>
          <w:szCs w:val="24"/>
          <w:lang w:eastAsia="en-GB"/>
        </w:rPr>
        <w:t>d</w:t>
      </w:r>
      <w:r w:rsidRPr="00051CDE">
        <w:rPr>
          <w:rFonts w:ascii="Times New Roman" w:eastAsia="Times New Roman" w:hAnsi="Times New Roman" w:cs="Times New Roman"/>
          <w:color w:val="000000"/>
          <w:sz w:val="24"/>
          <w:szCs w:val="24"/>
          <w:lang w:eastAsia="en-GB"/>
        </w:rPr>
        <w:t>, financial activity</w:t>
      </w:r>
      <w:r w:rsidR="005D13EB" w:rsidRPr="00051CDE">
        <w:rPr>
          <w:rFonts w:ascii="Times New Roman" w:eastAsia="Times New Roman" w:hAnsi="Times New Roman" w:cs="Times New Roman"/>
          <w:color w:val="000000"/>
          <w:sz w:val="24"/>
          <w:szCs w:val="24"/>
          <w:lang w:eastAsia="en-GB"/>
        </w:rPr>
        <w:t xml:space="preserve"> in the UK</w:t>
      </w:r>
      <w:r w:rsidRPr="00051CDE">
        <w:rPr>
          <w:rFonts w:ascii="Times New Roman" w:eastAsia="Times New Roman" w:hAnsi="Times New Roman" w:cs="Times New Roman"/>
          <w:color w:val="000000"/>
          <w:sz w:val="24"/>
          <w:szCs w:val="24"/>
          <w:lang w:eastAsia="en-GB"/>
        </w:rPr>
        <w:t xml:space="preserve">, including takeover activity, has become increasingly short-term in nature, and misaligned takeovers can inhibit more responsible forms of capitalism from developing. </w:t>
      </w:r>
    </w:p>
    <w:p w14:paraId="13F3B86A" w14:textId="43589B9D" w:rsidR="001E6F76" w:rsidRPr="00051CDE" w:rsidRDefault="007E2C72" w:rsidP="0033211A">
      <w:pPr>
        <w:spacing w:after="160" w:line="360" w:lineRule="auto"/>
        <w:rPr>
          <w:rFonts w:ascii="Times New Roman" w:hAnsi="Times New Roman" w:cs="Times New Roman"/>
          <w:sz w:val="24"/>
          <w:szCs w:val="24"/>
        </w:rPr>
      </w:pPr>
      <w:r w:rsidRPr="00051CDE">
        <w:rPr>
          <w:rFonts w:ascii="Times New Roman" w:hAnsi="Times New Roman" w:cs="Times New Roman"/>
          <w:color w:val="000000"/>
          <w:sz w:val="24"/>
          <w:szCs w:val="24"/>
        </w:rPr>
        <w:t xml:space="preserve">We </w:t>
      </w:r>
      <w:r w:rsidR="007C1C16" w:rsidRPr="00051CDE">
        <w:rPr>
          <w:rFonts w:ascii="Times New Roman" w:hAnsi="Times New Roman" w:cs="Times New Roman"/>
          <w:color w:val="000000"/>
          <w:sz w:val="24"/>
          <w:szCs w:val="24"/>
        </w:rPr>
        <w:t xml:space="preserve">have </w:t>
      </w:r>
      <w:r w:rsidR="004B364C" w:rsidRPr="00051CDE">
        <w:rPr>
          <w:rFonts w:ascii="Times New Roman" w:hAnsi="Times New Roman" w:cs="Times New Roman"/>
          <w:color w:val="000000"/>
          <w:sz w:val="24"/>
          <w:szCs w:val="24"/>
        </w:rPr>
        <w:t>discussed</w:t>
      </w:r>
      <w:r w:rsidRPr="00051CDE">
        <w:rPr>
          <w:rFonts w:ascii="Times New Roman" w:hAnsi="Times New Roman" w:cs="Times New Roman"/>
          <w:color w:val="000000"/>
          <w:sz w:val="24"/>
          <w:szCs w:val="24"/>
        </w:rPr>
        <w:t xml:space="preserve"> the </w:t>
      </w:r>
      <w:r w:rsidR="00C40DD5" w:rsidRPr="00051CDE">
        <w:rPr>
          <w:rFonts w:ascii="Times New Roman" w:hAnsi="Times New Roman" w:cs="Times New Roman"/>
          <w:color w:val="000000"/>
          <w:sz w:val="24"/>
          <w:szCs w:val="24"/>
        </w:rPr>
        <w:t>‘</w:t>
      </w:r>
      <w:r w:rsidRPr="00051CDE">
        <w:rPr>
          <w:rFonts w:ascii="Times New Roman" w:hAnsi="Times New Roman" w:cs="Times New Roman"/>
          <w:color w:val="000000"/>
          <w:sz w:val="24"/>
          <w:szCs w:val="24"/>
        </w:rPr>
        <w:t>shareholder value</w:t>
      </w:r>
      <w:r w:rsidR="00C40DD5" w:rsidRPr="00051CDE">
        <w:rPr>
          <w:rFonts w:ascii="Times New Roman" w:hAnsi="Times New Roman" w:cs="Times New Roman"/>
          <w:color w:val="000000"/>
          <w:sz w:val="24"/>
          <w:szCs w:val="24"/>
        </w:rPr>
        <w:t>’</w:t>
      </w:r>
      <w:r w:rsidRPr="00051CDE">
        <w:rPr>
          <w:rFonts w:ascii="Times New Roman" w:hAnsi="Times New Roman" w:cs="Times New Roman"/>
          <w:color w:val="000000"/>
          <w:sz w:val="24"/>
          <w:szCs w:val="24"/>
        </w:rPr>
        <w:t xml:space="preserve"> perspective that characteri</w:t>
      </w:r>
      <w:r w:rsidR="00050352" w:rsidRPr="00051CDE">
        <w:rPr>
          <w:rFonts w:ascii="Times New Roman" w:hAnsi="Times New Roman" w:cs="Times New Roman"/>
          <w:color w:val="000000"/>
          <w:sz w:val="24"/>
          <w:szCs w:val="24"/>
        </w:rPr>
        <w:t>z</w:t>
      </w:r>
      <w:r w:rsidRPr="00051CDE">
        <w:rPr>
          <w:rFonts w:ascii="Times New Roman" w:hAnsi="Times New Roman" w:cs="Times New Roman"/>
          <w:color w:val="000000"/>
          <w:sz w:val="24"/>
          <w:szCs w:val="24"/>
        </w:rPr>
        <w:t xml:space="preserve">es the UK takeover regime. </w:t>
      </w:r>
      <w:r w:rsidR="001E6F76" w:rsidRPr="00051CDE">
        <w:rPr>
          <w:rFonts w:ascii="Times New Roman" w:hAnsi="Times New Roman" w:cs="Times New Roman"/>
          <w:color w:val="000000"/>
          <w:sz w:val="24"/>
          <w:szCs w:val="24"/>
        </w:rPr>
        <w:t>As Davis et al. (2013: 5) argue</w:t>
      </w:r>
      <w:r w:rsidR="001E7FEF" w:rsidRPr="00051CDE">
        <w:rPr>
          <w:rFonts w:ascii="Times New Roman" w:hAnsi="Times New Roman" w:cs="Times New Roman"/>
          <w:color w:val="000000"/>
          <w:sz w:val="24"/>
          <w:szCs w:val="24"/>
        </w:rPr>
        <w:t xml:space="preserve">, this </w:t>
      </w:r>
      <w:r w:rsidR="001E6F76" w:rsidRPr="00051CDE">
        <w:rPr>
          <w:rFonts w:ascii="Times New Roman" w:hAnsi="Times New Roman" w:cs="Times New Roman"/>
          <w:color w:val="000000"/>
          <w:sz w:val="24"/>
          <w:szCs w:val="24"/>
        </w:rPr>
        <w:t>‘exclusive focus on “shareholder value”, usually in the short-term, has been detrimental to the long-term interests of companies, employees, consumers and the wider economy’.</w:t>
      </w:r>
      <w:r w:rsidR="00DE5E5A" w:rsidRPr="00051CDE">
        <w:rPr>
          <w:rFonts w:ascii="Times New Roman" w:hAnsi="Times New Roman" w:cs="Times New Roman"/>
          <w:color w:val="000000"/>
          <w:sz w:val="24"/>
          <w:szCs w:val="24"/>
        </w:rPr>
        <w:t xml:space="preserve"> </w:t>
      </w:r>
      <w:r w:rsidR="001E6F76" w:rsidRPr="00051CDE">
        <w:rPr>
          <w:rFonts w:ascii="Times New Roman" w:hAnsi="Times New Roman" w:cs="Times New Roman"/>
          <w:sz w:val="24"/>
          <w:szCs w:val="24"/>
        </w:rPr>
        <w:t>The way in which the UK legal framework on takeover bids has evolved has</w:t>
      </w:r>
      <w:r w:rsidR="00AF370D" w:rsidRPr="00051CDE">
        <w:rPr>
          <w:rFonts w:ascii="Times New Roman" w:hAnsi="Times New Roman" w:cs="Times New Roman"/>
          <w:sz w:val="24"/>
          <w:szCs w:val="24"/>
        </w:rPr>
        <w:t>, arguably,</w:t>
      </w:r>
      <w:r w:rsidR="001E6F76" w:rsidRPr="00051CDE">
        <w:rPr>
          <w:rFonts w:ascii="Times New Roman" w:hAnsi="Times New Roman" w:cs="Times New Roman"/>
          <w:sz w:val="24"/>
          <w:szCs w:val="24"/>
        </w:rPr>
        <w:t xml:space="preserve"> prompted target directors to set the company’s independent future and long-term continuity aside and support bids which merely </w:t>
      </w:r>
      <w:r w:rsidR="009A2D99" w:rsidRPr="00051CDE">
        <w:rPr>
          <w:rFonts w:ascii="Times New Roman" w:hAnsi="Times New Roman" w:cs="Times New Roman"/>
          <w:sz w:val="24"/>
          <w:szCs w:val="24"/>
        </w:rPr>
        <w:t xml:space="preserve">reflect </w:t>
      </w:r>
      <w:r w:rsidR="001E6F76" w:rsidRPr="00051CDE">
        <w:rPr>
          <w:rFonts w:ascii="Times New Roman" w:hAnsi="Times New Roman" w:cs="Times New Roman"/>
          <w:sz w:val="24"/>
          <w:szCs w:val="24"/>
        </w:rPr>
        <w:t xml:space="preserve">short-term investor horizons. </w:t>
      </w:r>
      <w:r w:rsidR="00DA62D0" w:rsidRPr="00051CDE">
        <w:rPr>
          <w:rFonts w:ascii="Times New Roman" w:hAnsi="Times New Roman" w:cs="Times New Roman"/>
          <w:sz w:val="24"/>
          <w:szCs w:val="24"/>
        </w:rPr>
        <w:t xml:space="preserve">As such, </w:t>
      </w:r>
      <w:r w:rsidR="00C16B8F" w:rsidRPr="00051CDE">
        <w:rPr>
          <w:rFonts w:ascii="Times New Roman" w:hAnsi="Times New Roman" w:cs="Times New Roman"/>
          <w:sz w:val="24"/>
          <w:szCs w:val="24"/>
          <w:shd w:val="clear" w:color="auto" w:fill="FFFFFF"/>
        </w:rPr>
        <w:t>‘the prevailing view in common law jurisdictions that large corporations should be run in the interests of their shareholders, subordinating the claims of employees, reaches its apotheosis in takeover regulation’ (J</w:t>
      </w:r>
      <w:r w:rsidR="00DA62D0" w:rsidRPr="00051CDE">
        <w:rPr>
          <w:rFonts w:ascii="Times New Roman" w:hAnsi="Times New Roman" w:cs="Times New Roman"/>
          <w:sz w:val="24"/>
          <w:szCs w:val="24"/>
          <w:shd w:val="clear" w:color="auto" w:fill="FFFFFF"/>
        </w:rPr>
        <w:t xml:space="preserve">ohnston and Njoya, 2014: </w:t>
      </w:r>
      <w:r w:rsidR="00C16B8F" w:rsidRPr="00051CDE">
        <w:rPr>
          <w:rFonts w:ascii="Times New Roman" w:hAnsi="Times New Roman" w:cs="Times New Roman"/>
          <w:sz w:val="24"/>
          <w:szCs w:val="24"/>
          <w:shd w:val="clear" w:color="auto" w:fill="FFFFFF"/>
        </w:rPr>
        <w:t>400-</w:t>
      </w:r>
      <w:r w:rsidR="00C16B8F" w:rsidRPr="00051CDE">
        <w:rPr>
          <w:rFonts w:ascii="Times New Roman" w:hAnsi="Times New Roman" w:cs="Times New Roman"/>
          <w:sz w:val="24"/>
          <w:szCs w:val="24"/>
          <w:shd w:val="clear" w:color="auto" w:fill="FFFFFF"/>
        </w:rPr>
        <w:lastRenderedPageBreak/>
        <w:t xml:space="preserve">401). </w:t>
      </w:r>
      <w:r w:rsidR="00AE7373" w:rsidRPr="00051CDE">
        <w:rPr>
          <w:rFonts w:ascii="Times New Roman" w:hAnsi="Times New Roman" w:cs="Times New Roman"/>
          <w:sz w:val="24"/>
          <w:szCs w:val="24"/>
        </w:rPr>
        <w:t xml:space="preserve">It is therefore not surprising that the Directive and the Code restrict the rights of employees and their representatives to information disclosure and giving an opinion. </w:t>
      </w:r>
    </w:p>
    <w:p w14:paraId="217C3A0D" w14:textId="77777777" w:rsidR="001E7FEF" w:rsidRPr="00051CDE" w:rsidRDefault="001E7FEF">
      <w:pPr>
        <w:pStyle w:val="NoSpacing"/>
        <w:spacing w:line="360" w:lineRule="auto"/>
        <w:rPr>
          <w:color w:val="000000"/>
        </w:rPr>
      </w:pPr>
    </w:p>
    <w:p w14:paraId="5A7DA00F" w14:textId="64A194A2" w:rsidR="001E0308" w:rsidRPr="00051CDE" w:rsidRDefault="00AE7373" w:rsidP="0033211A">
      <w:pPr>
        <w:spacing w:line="360" w:lineRule="auto"/>
        <w:rPr>
          <w:rFonts w:ascii="Times New Roman" w:hAnsi="Times New Roman" w:cs="Times New Roman"/>
          <w:sz w:val="24"/>
          <w:szCs w:val="24"/>
        </w:rPr>
      </w:pPr>
      <w:r w:rsidRPr="00051CDE">
        <w:rPr>
          <w:rFonts w:ascii="Times New Roman" w:eastAsia="Times New Roman" w:hAnsi="Times New Roman" w:cs="Times New Roman"/>
          <w:sz w:val="24"/>
          <w:szCs w:val="24"/>
          <w:lang w:eastAsia="en-GB"/>
        </w:rPr>
        <w:t>Nevertheless, t</w:t>
      </w:r>
      <w:r w:rsidR="001E7FEF" w:rsidRPr="00051CDE">
        <w:rPr>
          <w:rFonts w:ascii="Times New Roman" w:eastAsia="Times New Roman" w:hAnsi="Times New Roman" w:cs="Times New Roman"/>
          <w:sz w:val="24"/>
          <w:szCs w:val="24"/>
          <w:lang w:eastAsia="en-GB"/>
        </w:rPr>
        <w:t xml:space="preserve">he implementation of the Takeover Bids Directive and </w:t>
      </w:r>
      <w:r w:rsidR="00C40DD5" w:rsidRPr="00051CDE">
        <w:rPr>
          <w:rFonts w:ascii="Times New Roman" w:eastAsia="Times New Roman" w:hAnsi="Times New Roman" w:cs="Times New Roman"/>
          <w:sz w:val="24"/>
          <w:szCs w:val="24"/>
          <w:lang w:eastAsia="en-GB"/>
        </w:rPr>
        <w:t xml:space="preserve">further </w:t>
      </w:r>
      <w:r w:rsidR="001E7FEF" w:rsidRPr="00051CDE">
        <w:rPr>
          <w:rFonts w:ascii="Times New Roman" w:eastAsia="Times New Roman" w:hAnsi="Times New Roman" w:cs="Times New Roman"/>
          <w:sz w:val="24"/>
          <w:szCs w:val="24"/>
          <w:lang w:eastAsia="en-GB"/>
        </w:rPr>
        <w:t xml:space="preserve">changes following reviews of the Kraft/Cadbury case have certainly led to important improvements in </w:t>
      </w:r>
      <w:r w:rsidR="00C40DD5" w:rsidRPr="00051CDE">
        <w:rPr>
          <w:rFonts w:ascii="Times New Roman" w:eastAsia="Times New Roman" w:hAnsi="Times New Roman" w:cs="Times New Roman"/>
          <w:sz w:val="24"/>
          <w:szCs w:val="24"/>
          <w:lang w:eastAsia="en-GB"/>
        </w:rPr>
        <w:t xml:space="preserve">the </w:t>
      </w:r>
      <w:r w:rsidR="001E7FEF" w:rsidRPr="00051CDE">
        <w:rPr>
          <w:rFonts w:ascii="Times New Roman" w:eastAsia="Times New Roman" w:hAnsi="Times New Roman" w:cs="Times New Roman"/>
          <w:sz w:val="24"/>
          <w:szCs w:val="24"/>
          <w:lang w:eastAsia="en-GB"/>
        </w:rPr>
        <w:t xml:space="preserve">provision of information to employees involved in a takeover. </w:t>
      </w:r>
      <w:r w:rsidR="00606EAE">
        <w:rPr>
          <w:rFonts w:ascii="Times New Roman" w:eastAsia="Times New Roman" w:hAnsi="Times New Roman" w:cs="Times New Roman"/>
          <w:sz w:val="24"/>
          <w:szCs w:val="24"/>
          <w:lang w:eastAsia="en-GB"/>
        </w:rPr>
        <w:t>Over and above the requirements of the Directive, t</w:t>
      </w:r>
      <w:r w:rsidR="001E7FEF" w:rsidRPr="00051CDE">
        <w:rPr>
          <w:rFonts w:ascii="Times New Roman" w:eastAsia="Times New Roman" w:hAnsi="Times New Roman" w:cs="Times New Roman"/>
          <w:sz w:val="24"/>
          <w:szCs w:val="24"/>
          <w:lang w:eastAsia="en-GB"/>
        </w:rPr>
        <w:t xml:space="preserve">he Takeover Code </w:t>
      </w:r>
      <w:r w:rsidR="00B224DE" w:rsidRPr="00051CDE">
        <w:rPr>
          <w:rFonts w:ascii="Times New Roman" w:eastAsia="Times New Roman" w:hAnsi="Times New Roman" w:cs="Times New Roman"/>
          <w:sz w:val="24"/>
          <w:szCs w:val="24"/>
          <w:lang w:eastAsia="en-GB"/>
        </w:rPr>
        <w:t xml:space="preserve">now </w:t>
      </w:r>
      <w:r w:rsidR="001E7FEF" w:rsidRPr="00051CDE">
        <w:rPr>
          <w:rFonts w:ascii="Times New Roman" w:eastAsia="Times New Roman" w:hAnsi="Times New Roman" w:cs="Times New Roman"/>
          <w:sz w:val="24"/>
          <w:szCs w:val="24"/>
          <w:lang w:eastAsia="en-GB"/>
        </w:rPr>
        <w:t xml:space="preserve">ensures: (i) that employees must be </w:t>
      </w:r>
      <w:r w:rsidR="00606EAE">
        <w:rPr>
          <w:rFonts w:ascii="Times New Roman" w:eastAsia="Times New Roman" w:hAnsi="Times New Roman" w:cs="Times New Roman"/>
          <w:sz w:val="24"/>
          <w:szCs w:val="24"/>
          <w:lang w:eastAsia="en-GB"/>
        </w:rPr>
        <w:t xml:space="preserve">informed of their right to append an opinion to the offeree board circular; </w:t>
      </w:r>
      <w:r w:rsidR="001E7FEF" w:rsidRPr="00051CDE">
        <w:rPr>
          <w:rFonts w:ascii="Times New Roman" w:eastAsia="Times New Roman" w:hAnsi="Times New Roman" w:cs="Times New Roman"/>
          <w:sz w:val="24"/>
          <w:szCs w:val="24"/>
          <w:lang w:eastAsia="en-GB"/>
        </w:rPr>
        <w:t xml:space="preserve">(ii) that the offeree must promptly publish the opinion ‘on a website’ if it </w:t>
      </w:r>
      <w:r w:rsidR="008F09A7" w:rsidRPr="00051CDE">
        <w:rPr>
          <w:rFonts w:ascii="Times New Roman" w:eastAsia="Times New Roman" w:hAnsi="Times New Roman" w:cs="Times New Roman"/>
          <w:sz w:val="24"/>
          <w:szCs w:val="24"/>
          <w:lang w:eastAsia="en-GB"/>
        </w:rPr>
        <w:t>has not been received ‘in good time’ before publication of the offeree board’s circular</w:t>
      </w:r>
      <w:r w:rsidR="001E7FEF" w:rsidRPr="00051CDE">
        <w:rPr>
          <w:rFonts w:ascii="Times New Roman" w:eastAsia="Times New Roman" w:hAnsi="Times New Roman" w:cs="Times New Roman"/>
          <w:sz w:val="24"/>
          <w:szCs w:val="24"/>
          <w:lang w:eastAsia="en-GB"/>
        </w:rPr>
        <w:t>; and (i</w:t>
      </w:r>
      <w:r w:rsidR="00271119" w:rsidRPr="00051CDE">
        <w:rPr>
          <w:rFonts w:ascii="Times New Roman" w:eastAsia="Times New Roman" w:hAnsi="Times New Roman" w:cs="Times New Roman"/>
          <w:sz w:val="24"/>
          <w:szCs w:val="24"/>
          <w:lang w:eastAsia="en-GB"/>
        </w:rPr>
        <w:t>ii</w:t>
      </w:r>
      <w:r w:rsidR="001E7FEF" w:rsidRPr="00051CDE">
        <w:rPr>
          <w:rFonts w:ascii="Times New Roman" w:eastAsia="Times New Roman" w:hAnsi="Times New Roman" w:cs="Times New Roman"/>
          <w:sz w:val="24"/>
          <w:szCs w:val="24"/>
          <w:lang w:eastAsia="en-GB"/>
        </w:rPr>
        <w:t xml:space="preserve">) that the offeree company is responsible for costs incurred by representatives in verifying and publishing their opinion. </w:t>
      </w:r>
      <w:r w:rsidR="001E7FEF" w:rsidRPr="00051CDE">
        <w:rPr>
          <w:rFonts w:ascii="Times New Roman" w:eastAsia="Times New Roman" w:hAnsi="Times New Roman" w:cs="Times New Roman"/>
          <w:color w:val="000000"/>
          <w:sz w:val="24"/>
          <w:szCs w:val="24"/>
          <w:lang w:eastAsia="en-GB"/>
        </w:rPr>
        <w:t xml:space="preserve">However, </w:t>
      </w:r>
      <w:r w:rsidR="00C40DD5" w:rsidRPr="00051CDE">
        <w:rPr>
          <w:rFonts w:ascii="Times New Roman" w:eastAsia="Times New Roman" w:hAnsi="Times New Roman" w:cs="Times New Roman"/>
          <w:color w:val="000000"/>
          <w:sz w:val="24"/>
          <w:szCs w:val="24"/>
          <w:lang w:eastAsia="en-GB"/>
        </w:rPr>
        <w:t>our analysis suggests that</w:t>
      </w:r>
      <w:r w:rsidR="003C78C0" w:rsidRPr="00051CDE">
        <w:rPr>
          <w:rFonts w:ascii="Times New Roman" w:eastAsia="Times New Roman" w:hAnsi="Times New Roman" w:cs="Times New Roman"/>
          <w:color w:val="000000"/>
          <w:sz w:val="24"/>
          <w:szCs w:val="24"/>
          <w:lang w:eastAsia="en-GB"/>
        </w:rPr>
        <w:t>,</w:t>
      </w:r>
      <w:r w:rsidR="00C40DD5" w:rsidRPr="00051CDE">
        <w:rPr>
          <w:rFonts w:ascii="Times New Roman" w:eastAsia="Times New Roman" w:hAnsi="Times New Roman" w:cs="Times New Roman"/>
          <w:color w:val="000000"/>
          <w:sz w:val="24"/>
          <w:szCs w:val="24"/>
          <w:lang w:eastAsia="en-GB"/>
        </w:rPr>
        <w:t xml:space="preserve"> des</w:t>
      </w:r>
      <w:r w:rsidR="007E2C72" w:rsidRPr="00051CDE">
        <w:rPr>
          <w:rFonts w:ascii="Times New Roman" w:eastAsia="Times New Roman" w:hAnsi="Times New Roman" w:cs="Times New Roman"/>
          <w:color w:val="000000"/>
          <w:sz w:val="24"/>
          <w:szCs w:val="24"/>
          <w:lang w:eastAsia="en-GB"/>
        </w:rPr>
        <w:t xml:space="preserve">pite the various revisions to the </w:t>
      </w:r>
      <w:r w:rsidR="00C40DD5" w:rsidRPr="00051CDE">
        <w:rPr>
          <w:rFonts w:ascii="Times New Roman" w:eastAsia="Times New Roman" w:hAnsi="Times New Roman" w:cs="Times New Roman"/>
          <w:color w:val="000000"/>
          <w:sz w:val="24"/>
          <w:szCs w:val="24"/>
          <w:lang w:eastAsia="en-GB"/>
        </w:rPr>
        <w:t>Code</w:t>
      </w:r>
      <w:r w:rsidR="007E2C72" w:rsidRPr="00051CDE">
        <w:rPr>
          <w:rFonts w:ascii="Times New Roman" w:eastAsia="Times New Roman" w:hAnsi="Times New Roman" w:cs="Times New Roman"/>
          <w:color w:val="000000"/>
          <w:sz w:val="24"/>
          <w:szCs w:val="24"/>
          <w:lang w:eastAsia="en-GB"/>
        </w:rPr>
        <w:t xml:space="preserve">, there remain areas of concern in </w:t>
      </w:r>
      <w:r w:rsidR="00DE6309" w:rsidRPr="00051CDE">
        <w:rPr>
          <w:rFonts w:ascii="Times New Roman" w:eastAsia="Times New Roman" w:hAnsi="Times New Roman" w:cs="Times New Roman"/>
          <w:color w:val="000000"/>
          <w:sz w:val="24"/>
          <w:szCs w:val="24"/>
          <w:lang w:eastAsia="en-GB"/>
        </w:rPr>
        <w:t xml:space="preserve">relation to </w:t>
      </w:r>
      <w:r w:rsidR="009A2D99" w:rsidRPr="00051CDE">
        <w:rPr>
          <w:rFonts w:ascii="Times New Roman" w:eastAsia="Times New Roman" w:hAnsi="Times New Roman" w:cs="Times New Roman"/>
          <w:color w:val="000000"/>
          <w:sz w:val="24"/>
          <w:szCs w:val="24"/>
          <w:lang w:eastAsia="en-GB"/>
        </w:rPr>
        <w:t xml:space="preserve">the lack of effective employee rights to </w:t>
      </w:r>
      <w:r w:rsidR="009A2D99" w:rsidRPr="00051CDE">
        <w:rPr>
          <w:rFonts w:ascii="Times New Roman" w:eastAsia="Times New Roman" w:hAnsi="Times New Roman" w:cs="Times New Roman"/>
          <w:i/>
          <w:color w:val="000000"/>
          <w:sz w:val="24"/>
          <w:szCs w:val="24"/>
          <w:lang w:eastAsia="en-GB"/>
        </w:rPr>
        <w:t>consultation</w:t>
      </w:r>
      <w:r w:rsidR="009A2D99" w:rsidRPr="00051CDE">
        <w:rPr>
          <w:rFonts w:ascii="Times New Roman" w:eastAsia="Times New Roman" w:hAnsi="Times New Roman" w:cs="Times New Roman"/>
          <w:color w:val="000000"/>
          <w:sz w:val="24"/>
          <w:szCs w:val="24"/>
          <w:lang w:eastAsia="en-GB"/>
        </w:rPr>
        <w:t xml:space="preserve">. </w:t>
      </w:r>
    </w:p>
    <w:p w14:paraId="20724E32" w14:textId="77777777" w:rsidR="001E0308" w:rsidRPr="00051CDE" w:rsidRDefault="001E0308" w:rsidP="0033211A">
      <w:pPr>
        <w:spacing w:line="360" w:lineRule="auto"/>
        <w:rPr>
          <w:rFonts w:ascii="Times New Roman" w:hAnsi="Times New Roman" w:cs="Times New Roman"/>
          <w:sz w:val="24"/>
          <w:szCs w:val="24"/>
        </w:rPr>
      </w:pPr>
    </w:p>
    <w:p w14:paraId="26FED1C5" w14:textId="4799A19E" w:rsidR="00256156" w:rsidRPr="00051CDE" w:rsidRDefault="000C7B1F" w:rsidP="0033211A">
      <w:pPr>
        <w:spacing w:line="360" w:lineRule="auto"/>
        <w:rPr>
          <w:rFonts w:ascii="Times New Roman" w:hAnsi="Times New Roman" w:cs="Times New Roman"/>
          <w:sz w:val="24"/>
          <w:szCs w:val="24"/>
        </w:rPr>
      </w:pPr>
      <w:r w:rsidRPr="00051CDE">
        <w:rPr>
          <w:rFonts w:ascii="Times New Roman" w:hAnsi="Times New Roman" w:cs="Times New Roman"/>
          <w:sz w:val="24"/>
          <w:szCs w:val="24"/>
        </w:rPr>
        <w:t>W</w:t>
      </w:r>
      <w:r w:rsidR="007E2C72" w:rsidRPr="00051CDE">
        <w:rPr>
          <w:rFonts w:ascii="Times New Roman" w:hAnsi="Times New Roman" w:cs="Times New Roman"/>
          <w:sz w:val="24"/>
          <w:szCs w:val="24"/>
        </w:rPr>
        <w:t xml:space="preserve">e have shown that the Code, in line with the Directive, merely allows </w:t>
      </w:r>
      <w:r w:rsidR="004B364C" w:rsidRPr="00051CDE">
        <w:rPr>
          <w:rFonts w:ascii="Times New Roman" w:hAnsi="Times New Roman" w:cs="Times New Roman"/>
          <w:sz w:val="24"/>
          <w:szCs w:val="24"/>
        </w:rPr>
        <w:t>employees or their representatives</w:t>
      </w:r>
      <w:r w:rsidR="007E2C72" w:rsidRPr="00051CDE">
        <w:rPr>
          <w:rFonts w:ascii="Times New Roman" w:hAnsi="Times New Roman" w:cs="Times New Roman"/>
          <w:sz w:val="24"/>
          <w:szCs w:val="24"/>
        </w:rPr>
        <w:t xml:space="preserve"> the opportunity to express an opinion, which may be taken into account</w:t>
      </w:r>
      <w:r w:rsidR="004B364C" w:rsidRPr="00051CDE">
        <w:rPr>
          <w:rFonts w:ascii="Times New Roman" w:hAnsi="Times New Roman" w:cs="Times New Roman"/>
          <w:sz w:val="24"/>
          <w:szCs w:val="24"/>
        </w:rPr>
        <w:t>,</w:t>
      </w:r>
      <w:r w:rsidR="007E2C72" w:rsidRPr="00051CDE">
        <w:rPr>
          <w:rFonts w:ascii="Times New Roman" w:hAnsi="Times New Roman" w:cs="Times New Roman"/>
          <w:sz w:val="24"/>
          <w:szCs w:val="24"/>
        </w:rPr>
        <w:t xml:space="preserve"> but not necessarily, as there is no formal obligation on </w:t>
      </w:r>
      <w:r w:rsidR="00674FE9" w:rsidRPr="00051CDE">
        <w:rPr>
          <w:rFonts w:ascii="Times New Roman" w:hAnsi="Times New Roman" w:cs="Times New Roman"/>
          <w:sz w:val="24"/>
          <w:szCs w:val="24"/>
        </w:rPr>
        <w:t xml:space="preserve">shareholders </w:t>
      </w:r>
      <w:r w:rsidR="007E2C72" w:rsidRPr="00051CDE">
        <w:rPr>
          <w:rFonts w:ascii="Times New Roman" w:hAnsi="Times New Roman" w:cs="Times New Roman"/>
          <w:sz w:val="24"/>
          <w:szCs w:val="24"/>
        </w:rPr>
        <w:t>to do so.</w:t>
      </w:r>
      <w:r w:rsidR="004B364C" w:rsidRPr="00051CDE">
        <w:rPr>
          <w:rFonts w:ascii="Times New Roman" w:hAnsi="Times New Roman" w:cs="Times New Roman"/>
          <w:sz w:val="24"/>
          <w:szCs w:val="24"/>
        </w:rPr>
        <w:t xml:space="preserve"> </w:t>
      </w:r>
      <w:r w:rsidR="00DE6309" w:rsidRPr="00051CDE">
        <w:rPr>
          <w:rFonts w:ascii="Times New Roman" w:hAnsi="Times New Roman" w:cs="Times New Roman"/>
          <w:sz w:val="24"/>
          <w:szCs w:val="24"/>
        </w:rPr>
        <w:t xml:space="preserve">Shareholders </w:t>
      </w:r>
      <w:r w:rsidR="00674FE9" w:rsidRPr="00051CDE">
        <w:rPr>
          <w:rFonts w:ascii="Times New Roman" w:hAnsi="Times New Roman" w:cs="Times New Roman"/>
          <w:sz w:val="24"/>
          <w:szCs w:val="24"/>
        </w:rPr>
        <w:t xml:space="preserve">would have to weigh up the offeror company’s plans for </w:t>
      </w:r>
      <w:r w:rsidR="0003697D" w:rsidRPr="00051CDE">
        <w:rPr>
          <w:rFonts w:ascii="Times New Roman" w:hAnsi="Times New Roman" w:cs="Times New Roman"/>
          <w:sz w:val="24"/>
          <w:szCs w:val="24"/>
        </w:rPr>
        <w:t xml:space="preserve">employees against </w:t>
      </w:r>
      <w:r w:rsidR="00674FE9" w:rsidRPr="00051CDE">
        <w:rPr>
          <w:rFonts w:ascii="Times New Roman" w:hAnsi="Times New Roman" w:cs="Times New Roman"/>
          <w:sz w:val="24"/>
          <w:szCs w:val="24"/>
        </w:rPr>
        <w:t xml:space="preserve">receiving a premium over the current market price. </w:t>
      </w:r>
      <w:r w:rsidR="000E26DB" w:rsidRPr="00051CDE">
        <w:rPr>
          <w:rFonts w:ascii="Times New Roman" w:hAnsi="Times New Roman" w:cs="Times New Roman"/>
          <w:sz w:val="24"/>
          <w:szCs w:val="24"/>
        </w:rPr>
        <w:t xml:space="preserve">Hence the </w:t>
      </w:r>
      <w:r w:rsidR="00050352" w:rsidRPr="00051CDE">
        <w:rPr>
          <w:rFonts w:ascii="Times New Roman" w:hAnsi="Times New Roman" w:cs="Times New Roman"/>
          <w:sz w:val="24"/>
          <w:szCs w:val="24"/>
        </w:rPr>
        <w:t xml:space="preserve">information disclosure </w:t>
      </w:r>
      <w:r w:rsidR="000E26DB" w:rsidRPr="00051CDE">
        <w:rPr>
          <w:rFonts w:ascii="Times New Roman" w:hAnsi="Times New Roman" w:cs="Times New Roman"/>
          <w:sz w:val="24"/>
          <w:szCs w:val="24"/>
        </w:rPr>
        <w:t xml:space="preserve">provisions in the Takeover Bids Directive remain </w:t>
      </w:r>
      <w:r w:rsidR="00050352" w:rsidRPr="00051CDE">
        <w:rPr>
          <w:rFonts w:ascii="Times New Roman" w:hAnsi="Times New Roman" w:cs="Times New Roman"/>
          <w:sz w:val="24"/>
          <w:szCs w:val="24"/>
        </w:rPr>
        <w:t xml:space="preserve">significantly </w:t>
      </w:r>
      <w:r w:rsidR="000E26DB" w:rsidRPr="00051CDE">
        <w:rPr>
          <w:rFonts w:ascii="Times New Roman" w:hAnsi="Times New Roman" w:cs="Times New Roman"/>
          <w:sz w:val="24"/>
          <w:szCs w:val="24"/>
        </w:rPr>
        <w:t xml:space="preserve">less robust than those in other Directives which encourage stronger forms of consultation ‘with a view to reaching an agreement’. </w:t>
      </w:r>
      <w:r w:rsidR="009B3A6A" w:rsidRPr="00051CDE">
        <w:rPr>
          <w:rFonts w:ascii="Times New Roman" w:hAnsi="Times New Roman" w:cs="Times New Roman"/>
          <w:sz w:val="24"/>
          <w:szCs w:val="24"/>
        </w:rPr>
        <w:t>Furthermore, o</w:t>
      </w:r>
      <w:r w:rsidR="004B364C" w:rsidRPr="00051CDE">
        <w:rPr>
          <w:rFonts w:ascii="Times New Roman" w:hAnsi="Times New Roman" w:cs="Times New Roman"/>
          <w:sz w:val="24"/>
          <w:szCs w:val="24"/>
        </w:rPr>
        <w:t xml:space="preserve">ur </w:t>
      </w:r>
      <w:r w:rsidR="00B224DE" w:rsidRPr="00051CDE">
        <w:rPr>
          <w:rFonts w:ascii="Times New Roman" w:hAnsi="Times New Roman" w:cs="Times New Roman"/>
          <w:sz w:val="24"/>
          <w:szCs w:val="24"/>
        </w:rPr>
        <w:t xml:space="preserve">detailed empirical </w:t>
      </w:r>
      <w:r w:rsidR="004B364C" w:rsidRPr="00051CDE">
        <w:rPr>
          <w:rFonts w:ascii="Times New Roman" w:hAnsi="Times New Roman" w:cs="Times New Roman"/>
          <w:sz w:val="24"/>
          <w:szCs w:val="24"/>
        </w:rPr>
        <w:t>review</w:t>
      </w:r>
      <w:r w:rsidR="00B224DE" w:rsidRPr="00051CDE">
        <w:rPr>
          <w:rFonts w:ascii="Times New Roman" w:hAnsi="Times New Roman" w:cs="Times New Roman"/>
          <w:sz w:val="24"/>
          <w:szCs w:val="24"/>
        </w:rPr>
        <w:t xml:space="preserve"> of </w:t>
      </w:r>
      <w:r w:rsidR="004B364C" w:rsidRPr="00051CDE">
        <w:rPr>
          <w:rFonts w:ascii="Times New Roman" w:hAnsi="Times New Roman" w:cs="Times New Roman"/>
          <w:sz w:val="24"/>
          <w:szCs w:val="24"/>
        </w:rPr>
        <w:t xml:space="preserve">all the </w:t>
      </w:r>
      <w:r w:rsidR="00B224DE" w:rsidRPr="00051CDE">
        <w:rPr>
          <w:rFonts w:ascii="Times New Roman" w:hAnsi="Times New Roman" w:cs="Times New Roman"/>
          <w:sz w:val="24"/>
          <w:szCs w:val="24"/>
        </w:rPr>
        <w:t xml:space="preserve">opinions </w:t>
      </w:r>
      <w:r w:rsidR="00A843D7" w:rsidRPr="00051CDE">
        <w:rPr>
          <w:rFonts w:ascii="Times New Roman" w:hAnsi="Times New Roman" w:cs="Times New Roman"/>
          <w:sz w:val="24"/>
          <w:szCs w:val="24"/>
        </w:rPr>
        <w:t xml:space="preserve">given </w:t>
      </w:r>
      <w:r w:rsidR="004B364C" w:rsidRPr="00051CDE">
        <w:rPr>
          <w:rFonts w:ascii="Times New Roman" w:hAnsi="Times New Roman" w:cs="Times New Roman"/>
          <w:sz w:val="24"/>
          <w:szCs w:val="24"/>
        </w:rPr>
        <w:t xml:space="preserve">over the </w:t>
      </w:r>
      <w:r w:rsidR="00050352" w:rsidRPr="00051CDE">
        <w:rPr>
          <w:rFonts w:ascii="Times New Roman" w:hAnsi="Times New Roman" w:cs="Times New Roman"/>
          <w:sz w:val="24"/>
          <w:szCs w:val="24"/>
        </w:rPr>
        <w:t>12</w:t>
      </w:r>
      <w:r w:rsidR="003C78C0" w:rsidRPr="00051CDE">
        <w:rPr>
          <w:rFonts w:ascii="Times New Roman" w:hAnsi="Times New Roman" w:cs="Times New Roman"/>
          <w:sz w:val="24"/>
          <w:szCs w:val="24"/>
        </w:rPr>
        <w:t>-</w:t>
      </w:r>
      <w:r w:rsidR="001E7FEF" w:rsidRPr="00051CDE">
        <w:rPr>
          <w:rFonts w:ascii="Times New Roman" w:hAnsi="Times New Roman" w:cs="Times New Roman"/>
          <w:sz w:val="24"/>
          <w:szCs w:val="24"/>
        </w:rPr>
        <w:t>year</w:t>
      </w:r>
      <w:r w:rsidR="004B364C" w:rsidRPr="00051CDE">
        <w:rPr>
          <w:rFonts w:ascii="Times New Roman" w:hAnsi="Times New Roman" w:cs="Times New Roman"/>
          <w:sz w:val="24"/>
          <w:szCs w:val="24"/>
        </w:rPr>
        <w:t xml:space="preserve"> period </w:t>
      </w:r>
      <w:r w:rsidR="001E7FEF" w:rsidRPr="00051CDE">
        <w:rPr>
          <w:rFonts w:ascii="Times New Roman" w:hAnsi="Times New Roman" w:cs="Times New Roman"/>
          <w:sz w:val="24"/>
          <w:szCs w:val="24"/>
        </w:rPr>
        <w:t>2006-2017</w:t>
      </w:r>
      <w:r w:rsidR="003A48E9" w:rsidRPr="00051CDE">
        <w:rPr>
          <w:rFonts w:ascii="Times New Roman" w:hAnsi="Times New Roman" w:cs="Times New Roman"/>
          <w:sz w:val="24"/>
          <w:szCs w:val="24"/>
        </w:rPr>
        <w:t xml:space="preserve"> confirms that the Code remains a weak instrument </w:t>
      </w:r>
      <w:r w:rsidR="00AE7373" w:rsidRPr="00051CDE">
        <w:rPr>
          <w:rFonts w:ascii="Times New Roman" w:hAnsi="Times New Roman" w:cs="Times New Roman"/>
          <w:sz w:val="24"/>
          <w:szCs w:val="24"/>
        </w:rPr>
        <w:t xml:space="preserve">even </w:t>
      </w:r>
      <w:r w:rsidR="003A48E9" w:rsidRPr="00051CDE">
        <w:rPr>
          <w:rFonts w:ascii="Times New Roman" w:hAnsi="Times New Roman" w:cs="Times New Roman"/>
          <w:sz w:val="24"/>
          <w:szCs w:val="24"/>
        </w:rPr>
        <w:t>in terms of affording employees meaningful rights to information. O</w:t>
      </w:r>
      <w:r w:rsidR="001E7FEF" w:rsidRPr="00051CDE">
        <w:rPr>
          <w:rFonts w:ascii="Times New Roman" w:hAnsi="Times New Roman" w:cs="Times New Roman"/>
          <w:sz w:val="24"/>
          <w:szCs w:val="24"/>
        </w:rPr>
        <w:t xml:space="preserve">pinions were </w:t>
      </w:r>
      <w:r w:rsidR="00966A6A" w:rsidRPr="00051CDE">
        <w:rPr>
          <w:rFonts w:ascii="Times New Roman" w:hAnsi="Times New Roman" w:cs="Times New Roman"/>
          <w:sz w:val="24"/>
          <w:szCs w:val="24"/>
        </w:rPr>
        <w:t>given</w:t>
      </w:r>
      <w:r w:rsidR="001E7FEF" w:rsidRPr="00051CDE">
        <w:rPr>
          <w:rFonts w:ascii="Times New Roman" w:hAnsi="Times New Roman" w:cs="Times New Roman"/>
          <w:sz w:val="24"/>
          <w:szCs w:val="24"/>
        </w:rPr>
        <w:t xml:space="preserve"> in only 28 of the 1,077 firm offer proposals registered by the Takeover Panel (2.6%), involving a total of 42 separate opinions</w:t>
      </w:r>
      <w:r w:rsidR="003A48E9" w:rsidRPr="00051CDE">
        <w:rPr>
          <w:rFonts w:ascii="Times New Roman" w:hAnsi="Times New Roman" w:cs="Times New Roman"/>
          <w:sz w:val="24"/>
          <w:szCs w:val="24"/>
        </w:rPr>
        <w:t xml:space="preserve"> </w:t>
      </w:r>
      <w:r w:rsidR="00050352" w:rsidRPr="00051CDE">
        <w:rPr>
          <w:rFonts w:ascii="Times New Roman" w:hAnsi="Times New Roman" w:cs="Times New Roman"/>
          <w:sz w:val="24"/>
          <w:szCs w:val="24"/>
        </w:rPr>
        <w:t>(3.9%)</w:t>
      </w:r>
      <w:r w:rsidR="002A7364" w:rsidRPr="00051CDE">
        <w:rPr>
          <w:rFonts w:ascii="Times New Roman" w:hAnsi="Times New Roman" w:cs="Times New Roman"/>
          <w:sz w:val="24"/>
          <w:szCs w:val="24"/>
        </w:rPr>
        <w:t>,</w:t>
      </w:r>
      <w:r w:rsidR="00050352" w:rsidRPr="00051CDE">
        <w:rPr>
          <w:rFonts w:ascii="Times New Roman" w:hAnsi="Times New Roman" w:cs="Times New Roman"/>
          <w:sz w:val="24"/>
          <w:szCs w:val="24"/>
        </w:rPr>
        <w:t xml:space="preserve"> </w:t>
      </w:r>
      <w:r w:rsidR="001E7FEF" w:rsidRPr="00051CDE">
        <w:rPr>
          <w:rFonts w:ascii="Times New Roman" w:hAnsi="Times New Roman" w:cs="Times New Roman"/>
          <w:sz w:val="24"/>
          <w:szCs w:val="24"/>
        </w:rPr>
        <w:t xml:space="preserve">given multiple opinions in some cases. </w:t>
      </w:r>
      <w:r w:rsidR="00E90D90" w:rsidRPr="00051CDE">
        <w:rPr>
          <w:rFonts w:ascii="Times New Roman" w:hAnsi="Times New Roman" w:cs="Times New Roman"/>
          <w:sz w:val="24"/>
          <w:szCs w:val="24"/>
        </w:rPr>
        <w:t xml:space="preserve">Our analysis also distinguished between the pre- and post-review periods (2006-11 and 2011-17 respectively). The two specific changes following the Panel review – namely (i) the requirement for employees to be made aware of their right to append an opinion at an early stage, and (ii) the stipulation that offeree employees should be reimbursed for any reasonable costs incurred in doing so – appear to </w:t>
      </w:r>
      <w:r w:rsidR="00367191" w:rsidRPr="00051CDE">
        <w:rPr>
          <w:rFonts w:ascii="Times New Roman" w:hAnsi="Times New Roman" w:cs="Times New Roman"/>
          <w:sz w:val="24"/>
          <w:szCs w:val="24"/>
        </w:rPr>
        <w:t xml:space="preserve">be associated with </w:t>
      </w:r>
      <w:r w:rsidR="00E90D90" w:rsidRPr="00051CDE">
        <w:rPr>
          <w:rFonts w:ascii="Times New Roman" w:hAnsi="Times New Roman" w:cs="Times New Roman"/>
          <w:sz w:val="24"/>
          <w:szCs w:val="24"/>
        </w:rPr>
        <w:t xml:space="preserve">a spike in </w:t>
      </w:r>
      <w:r w:rsidR="00367191" w:rsidRPr="00051CDE">
        <w:rPr>
          <w:rFonts w:ascii="Times New Roman" w:hAnsi="Times New Roman" w:cs="Times New Roman"/>
          <w:sz w:val="24"/>
          <w:szCs w:val="24"/>
        </w:rPr>
        <w:t>the submission of opinions immediately following implementation of the amended Code</w:t>
      </w:r>
      <w:r w:rsidR="003C78C0" w:rsidRPr="00051CDE">
        <w:rPr>
          <w:rFonts w:ascii="Times New Roman" w:hAnsi="Times New Roman" w:cs="Times New Roman"/>
          <w:sz w:val="24"/>
          <w:szCs w:val="24"/>
        </w:rPr>
        <w:t xml:space="preserve">. However, </w:t>
      </w:r>
      <w:r w:rsidR="00367191" w:rsidRPr="00051CDE">
        <w:rPr>
          <w:rFonts w:ascii="Times New Roman" w:hAnsi="Times New Roman" w:cs="Times New Roman"/>
          <w:sz w:val="24"/>
          <w:szCs w:val="24"/>
        </w:rPr>
        <w:t xml:space="preserve">a causal link is not established and the </w:t>
      </w:r>
      <w:r w:rsidR="00367191" w:rsidRPr="00051CDE">
        <w:rPr>
          <w:rFonts w:ascii="Times New Roman" w:hAnsi="Times New Roman" w:cs="Times New Roman"/>
          <w:sz w:val="24"/>
          <w:szCs w:val="24"/>
        </w:rPr>
        <w:lastRenderedPageBreak/>
        <w:t>publicity surrounding the amended Code may in itself have raised awareness of the right to submit an opinion and thus encouraged an increased take up.</w:t>
      </w:r>
    </w:p>
    <w:p w14:paraId="71180B31" w14:textId="77777777" w:rsidR="00256156" w:rsidRPr="00051CDE" w:rsidRDefault="00256156">
      <w:pPr>
        <w:pStyle w:val="NoSpacing"/>
        <w:spacing w:line="360" w:lineRule="auto"/>
      </w:pPr>
    </w:p>
    <w:p w14:paraId="77CFA526" w14:textId="26D89EB6" w:rsidR="000E26DB" w:rsidRPr="00051CDE" w:rsidRDefault="00367191">
      <w:pPr>
        <w:pStyle w:val="NoSpacing"/>
        <w:spacing w:line="360" w:lineRule="auto"/>
      </w:pPr>
      <w:r w:rsidRPr="00051CDE">
        <w:t>I</w:t>
      </w:r>
      <w:r w:rsidR="001E7FEF" w:rsidRPr="00051CDE">
        <w:t xml:space="preserve">t is </w:t>
      </w:r>
      <w:r w:rsidRPr="00051CDE">
        <w:t xml:space="preserve">also </w:t>
      </w:r>
      <w:r w:rsidR="001E7FEF" w:rsidRPr="00051CDE">
        <w:t xml:space="preserve">impossible to know whether </w:t>
      </w:r>
      <w:r w:rsidR="003A48E9" w:rsidRPr="00051CDE">
        <w:t>th</w:t>
      </w:r>
      <w:r w:rsidR="00E90D90" w:rsidRPr="00051CDE">
        <w:t xml:space="preserve">e </w:t>
      </w:r>
      <w:r w:rsidR="003A48E9" w:rsidRPr="00051CDE">
        <w:t>tiny number of opinions</w:t>
      </w:r>
      <w:r w:rsidR="001E7FEF" w:rsidRPr="00051CDE">
        <w:t xml:space="preserve"> </w:t>
      </w:r>
      <w:r w:rsidR="00A843D7" w:rsidRPr="00051CDE">
        <w:t xml:space="preserve">given </w:t>
      </w:r>
      <w:r w:rsidR="00E90D90" w:rsidRPr="00051CDE">
        <w:t xml:space="preserve">over the </w:t>
      </w:r>
      <w:r w:rsidR="00301AF2" w:rsidRPr="00051CDE">
        <w:t xml:space="preserve">12 </w:t>
      </w:r>
      <w:r w:rsidR="00E90D90" w:rsidRPr="00051CDE">
        <w:t xml:space="preserve">years </w:t>
      </w:r>
      <w:r w:rsidR="001E7FEF" w:rsidRPr="00051CDE">
        <w:t>reflect</w:t>
      </w:r>
      <w:r w:rsidR="003A48E9" w:rsidRPr="00051CDE">
        <w:t>s</w:t>
      </w:r>
      <w:r w:rsidR="001E7FEF" w:rsidRPr="00051CDE">
        <w:t xml:space="preserve"> a </w:t>
      </w:r>
      <w:r w:rsidRPr="00051CDE">
        <w:t>basic</w:t>
      </w:r>
      <w:r w:rsidR="001E7FEF" w:rsidRPr="00051CDE">
        <w:t xml:space="preserve"> lack of awareness of the right to append an opinion, approval of the </w:t>
      </w:r>
      <w:r w:rsidRPr="00051CDE">
        <w:t xml:space="preserve">takeover </w:t>
      </w:r>
      <w:r w:rsidR="001E7FEF" w:rsidRPr="00051CDE">
        <w:t>proposal</w:t>
      </w:r>
      <w:r w:rsidR="003A48E9" w:rsidRPr="00051CDE">
        <w:t>,</w:t>
      </w:r>
      <w:r w:rsidR="001E7FEF" w:rsidRPr="00051CDE">
        <w:t xml:space="preserve"> or resignation that little or no notice would be taken of the opinion in any case.</w:t>
      </w:r>
      <w:r w:rsidR="003A48E9" w:rsidRPr="00051CDE">
        <w:t xml:space="preserve"> </w:t>
      </w:r>
      <w:r w:rsidR="00301AF2" w:rsidRPr="00051CDE">
        <w:t xml:space="preserve">It is true too that the number of firm offer proposals itself </w:t>
      </w:r>
      <w:r w:rsidR="003C78C0" w:rsidRPr="00051CDE">
        <w:t xml:space="preserve">fell </w:t>
      </w:r>
      <w:r w:rsidR="00301AF2" w:rsidRPr="00051CDE">
        <w:t xml:space="preserve">markedly over this period which naturally reduces the number of opportunities to </w:t>
      </w:r>
      <w:r w:rsidR="00966A6A" w:rsidRPr="00051CDE">
        <w:t xml:space="preserve">give an opinion. </w:t>
      </w:r>
      <w:r w:rsidR="003A48E9" w:rsidRPr="00051CDE">
        <w:t xml:space="preserve">Further </w:t>
      </w:r>
      <w:r w:rsidR="000E26DB" w:rsidRPr="00051CDE">
        <w:t xml:space="preserve">research </w:t>
      </w:r>
      <w:r w:rsidR="003A48E9" w:rsidRPr="00051CDE">
        <w:t xml:space="preserve">following up specific cases would be needed </w:t>
      </w:r>
      <w:r w:rsidR="00301AF2" w:rsidRPr="00051CDE">
        <w:t xml:space="preserve">to answer these questions. </w:t>
      </w:r>
      <w:r w:rsidR="003C78C0" w:rsidRPr="00051CDE">
        <w:t>W</w:t>
      </w:r>
      <w:r w:rsidR="003A48E9" w:rsidRPr="00051CDE">
        <w:t>hat our data do</w:t>
      </w:r>
      <w:r w:rsidR="003C78C0" w:rsidRPr="00051CDE">
        <w:t xml:space="preserve"> </w:t>
      </w:r>
      <w:r w:rsidR="003A48E9" w:rsidRPr="00051CDE">
        <w:t>confirm is that</w:t>
      </w:r>
      <w:r w:rsidR="003C78C0" w:rsidRPr="00051CDE">
        <w:t>,</w:t>
      </w:r>
      <w:r w:rsidR="001E7FEF" w:rsidRPr="00051CDE">
        <w:t xml:space="preserve"> although 19 opinions (just under half) broadly supported the takeover with reservations, a further 13 (just under a third) complained about lack of information on which to base a view. </w:t>
      </w:r>
      <w:r w:rsidR="005210C1" w:rsidRPr="00051CDE">
        <w:t>Other significant concerns and requests raised related to the threat of redundancies, the implications of the takeover for pensions</w:t>
      </w:r>
      <w:r w:rsidR="003C78C0" w:rsidRPr="00051CDE">
        <w:t xml:space="preserve"> and </w:t>
      </w:r>
      <w:r w:rsidR="005210C1" w:rsidRPr="00051CDE">
        <w:t>the possibility of relocation</w:t>
      </w:r>
      <w:r w:rsidR="00AF370D" w:rsidRPr="00051CDE">
        <w:t>, as well as trade union rights.</w:t>
      </w:r>
    </w:p>
    <w:p w14:paraId="2C5090C0" w14:textId="77777777" w:rsidR="000E26DB" w:rsidRPr="00051CDE" w:rsidRDefault="000E26DB">
      <w:pPr>
        <w:pStyle w:val="NoSpacing"/>
        <w:spacing w:line="360" w:lineRule="auto"/>
      </w:pPr>
    </w:p>
    <w:p w14:paraId="49EB9770" w14:textId="00388F7D" w:rsidR="00674489" w:rsidRPr="00051CDE" w:rsidRDefault="00AF076A" w:rsidP="00674489">
      <w:pPr>
        <w:spacing w:line="360" w:lineRule="auto"/>
        <w:rPr>
          <w:rFonts w:ascii="Times New Roman" w:hAnsi="Times New Roman" w:cs="Times New Roman"/>
          <w:sz w:val="24"/>
          <w:szCs w:val="24"/>
        </w:rPr>
      </w:pPr>
      <w:r w:rsidRPr="00051CDE">
        <w:rPr>
          <w:rFonts w:ascii="Times New Roman" w:hAnsi="Times New Roman" w:cs="Times New Roman"/>
          <w:color w:val="000000"/>
          <w:sz w:val="24"/>
          <w:szCs w:val="24"/>
        </w:rPr>
        <w:t xml:space="preserve">We therefore suggest that certain aspects of the operation of the </w:t>
      </w:r>
      <w:r w:rsidR="002A7364" w:rsidRPr="00051CDE">
        <w:rPr>
          <w:rFonts w:ascii="Times New Roman" w:hAnsi="Times New Roman" w:cs="Times New Roman"/>
          <w:color w:val="000000"/>
          <w:sz w:val="24"/>
          <w:szCs w:val="24"/>
        </w:rPr>
        <w:t xml:space="preserve">Code </w:t>
      </w:r>
      <w:r w:rsidRPr="00051CDE">
        <w:rPr>
          <w:rFonts w:ascii="Times New Roman" w:hAnsi="Times New Roman" w:cs="Times New Roman"/>
          <w:color w:val="000000"/>
          <w:sz w:val="24"/>
          <w:szCs w:val="24"/>
        </w:rPr>
        <w:t>require further scrutiny</w:t>
      </w:r>
      <w:r w:rsidR="009B3A6A" w:rsidRPr="00051CDE">
        <w:rPr>
          <w:rFonts w:ascii="Times New Roman" w:hAnsi="Times New Roman" w:cs="Times New Roman"/>
          <w:color w:val="000000"/>
          <w:sz w:val="24"/>
          <w:szCs w:val="24"/>
        </w:rPr>
        <w:t>, despite the challenges they present</w:t>
      </w:r>
      <w:r w:rsidRPr="00051CDE">
        <w:rPr>
          <w:rFonts w:ascii="Times New Roman" w:hAnsi="Times New Roman" w:cs="Times New Roman"/>
          <w:color w:val="000000"/>
          <w:sz w:val="24"/>
          <w:szCs w:val="24"/>
        </w:rPr>
        <w:t xml:space="preserve">. </w:t>
      </w:r>
      <w:r w:rsidR="00674489" w:rsidRPr="00051CDE">
        <w:rPr>
          <w:rFonts w:ascii="Times New Roman" w:hAnsi="Times New Roman" w:cs="Times New Roman"/>
          <w:color w:val="000000"/>
          <w:sz w:val="24"/>
          <w:szCs w:val="24"/>
        </w:rPr>
        <w:t xml:space="preserve">First, there is a solid case for employees in the offeree firm to have stronger rights to information and consultation concerning the intentions of the offeror firm, especially at the early pre-takeover stage, as well as with the new management team in the immediate post-deal period. </w:t>
      </w:r>
      <w:r w:rsidR="00674489" w:rsidRPr="00051CDE">
        <w:rPr>
          <w:rFonts w:ascii="Times New Roman" w:hAnsi="Times New Roman" w:cs="Times New Roman"/>
          <w:sz w:val="24"/>
          <w:szCs w:val="24"/>
        </w:rPr>
        <w:t>The TUC argues that a ‘duty to consult’ when takeovers occur would significantly change their nature because there would have to be preliminary consultation with the workforce and their representatives:</w:t>
      </w:r>
    </w:p>
    <w:p w14:paraId="6E1D8325" w14:textId="77777777" w:rsidR="00674489" w:rsidRPr="00051CDE" w:rsidRDefault="00674489" w:rsidP="00674489">
      <w:pPr>
        <w:pStyle w:val="NoSpacing"/>
        <w:spacing w:line="360" w:lineRule="auto"/>
        <w:ind w:left="720"/>
      </w:pPr>
      <w:r w:rsidRPr="00051CDE">
        <w:t>We need a new settlement on information and consultation in Europe … Core to any definition of consultation has to be consultation with a view to reaching agreement, in all forms of EU directive, because it should be akin to negotiation. (TUC interview)</w:t>
      </w:r>
    </w:p>
    <w:p w14:paraId="3407BEA1" w14:textId="77777777" w:rsidR="00674489" w:rsidRPr="00051CDE" w:rsidRDefault="00674489" w:rsidP="00785765">
      <w:pPr>
        <w:pStyle w:val="NoSpacing"/>
        <w:spacing w:line="360" w:lineRule="auto"/>
        <w:rPr>
          <w:color w:val="000000"/>
        </w:rPr>
      </w:pPr>
    </w:p>
    <w:p w14:paraId="70B7DE02" w14:textId="25D00523" w:rsidR="00674489" w:rsidRPr="00051CDE" w:rsidRDefault="00081316" w:rsidP="00785765">
      <w:pPr>
        <w:pStyle w:val="NoSpacing"/>
        <w:spacing w:line="360" w:lineRule="auto"/>
        <w:rPr>
          <w:shd w:val="clear" w:color="auto" w:fill="FFFFFF"/>
        </w:rPr>
      </w:pPr>
      <w:r w:rsidRPr="00051CDE">
        <w:rPr>
          <w:shd w:val="clear" w:color="auto" w:fill="FFFFFF"/>
        </w:rPr>
        <w:t xml:space="preserve">In the event of a transfer of undertaking, employees have </w:t>
      </w:r>
      <w:r w:rsidR="00E34A07" w:rsidRPr="00051CDE">
        <w:rPr>
          <w:shd w:val="clear" w:color="auto" w:fill="FFFFFF"/>
        </w:rPr>
        <w:t xml:space="preserve">– as noted above – rights </w:t>
      </w:r>
      <w:r w:rsidR="0003697D" w:rsidRPr="00051CDE">
        <w:rPr>
          <w:shd w:val="clear" w:color="auto" w:fill="FFFFFF"/>
        </w:rPr>
        <w:t xml:space="preserve">under Article 7(2) of Directive </w:t>
      </w:r>
      <w:r w:rsidR="00AB5A24" w:rsidRPr="00051CDE">
        <w:rPr>
          <w:shd w:val="clear" w:color="auto" w:fill="FFFFFF"/>
        </w:rPr>
        <w:t xml:space="preserve">2001/23/EC </w:t>
      </w:r>
      <w:r w:rsidRPr="00051CDE">
        <w:rPr>
          <w:shd w:val="clear" w:color="auto" w:fill="FFFFFF"/>
        </w:rPr>
        <w:t xml:space="preserve">to information about the implications of the transfer, and must be consulted ‘with a view to seeking agreement’ in the event that the new employer ‘envisages …measures in relation to the employees’. </w:t>
      </w:r>
      <w:r w:rsidR="00674489" w:rsidRPr="00051CDE">
        <w:rPr>
          <w:shd w:val="clear" w:color="auto" w:fill="FFFFFF"/>
        </w:rPr>
        <w:t xml:space="preserve">However, </w:t>
      </w:r>
      <w:r w:rsidRPr="00051CDE">
        <w:rPr>
          <w:shd w:val="clear" w:color="auto" w:fill="FFFFFF"/>
        </w:rPr>
        <w:t xml:space="preserve">as </w:t>
      </w:r>
      <w:r w:rsidR="0033211A" w:rsidRPr="00051CDE">
        <w:rPr>
          <w:shd w:val="clear" w:color="auto" w:fill="FFFFFF"/>
        </w:rPr>
        <w:t xml:space="preserve">Johnston and Njoya </w:t>
      </w:r>
      <w:r w:rsidRPr="00051CDE">
        <w:rPr>
          <w:shd w:val="clear" w:color="auto" w:fill="FFFFFF"/>
        </w:rPr>
        <w:t xml:space="preserve">(2014) note, a transfer of control by means of a </w:t>
      </w:r>
      <w:r w:rsidRPr="00051CDE">
        <w:rPr>
          <w:i/>
          <w:shd w:val="clear" w:color="auto" w:fill="FFFFFF"/>
        </w:rPr>
        <w:t>share purchase</w:t>
      </w:r>
      <w:r w:rsidRPr="00051CDE">
        <w:rPr>
          <w:shd w:val="clear" w:color="auto" w:fill="FFFFFF"/>
        </w:rPr>
        <w:t xml:space="preserve"> or </w:t>
      </w:r>
      <w:r w:rsidRPr="00051CDE">
        <w:rPr>
          <w:i/>
          <w:shd w:val="clear" w:color="auto" w:fill="FFFFFF"/>
        </w:rPr>
        <w:t>takeover</w:t>
      </w:r>
      <w:r w:rsidRPr="00051CDE">
        <w:rPr>
          <w:shd w:val="clear" w:color="auto" w:fill="FFFFFF"/>
        </w:rPr>
        <w:t xml:space="preserve"> was excluded from the ambit of these I&amp;C rights at the behest of the UK (with concerns </w:t>
      </w:r>
      <w:r w:rsidR="00AB5A24" w:rsidRPr="00051CDE">
        <w:rPr>
          <w:shd w:val="clear" w:color="auto" w:fill="FFFFFF"/>
        </w:rPr>
        <w:t xml:space="preserve">that </w:t>
      </w:r>
      <w:r w:rsidRPr="00051CDE">
        <w:rPr>
          <w:shd w:val="clear" w:color="auto" w:fill="FFFFFF"/>
        </w:rPr>
        <w:t>it would interfere with share pricing on stock markets and discourage mergers), and a</w:t>
      </w:r>
      <w:r w:rsidR="00065EE8" w:rsidRPr="00051CDE">
        <w:rPr>
          <w:shd w:val="clear" w:color="auto" w:fill="FFFFFF"/>
        </w:rPr>
        <w:t>l</w:t>
      </w:r>
      <w:r w:rsidRPr="00051CDE">
        <w:rPr>
          <w:shd w:val="clear" w:color="auto" w:fill="FFFFFF"/>
        </w:rPr>
        <w:t xml:space="preserve">though the right of employees </w:t>
      </w:r>
      <w:r w:rsidRPr="00051CDE">
        <w:rPr>
          <w:shd w:val="clear" w:color="auto" w:fill="FFFFFF"/>
        </w:rPr>
        <w:lastRenderedPageBreak/>
        <w:t>to express their opinion on a takeover bid was strengthened in 201</w:t>
      </w:r>
      <w:r w:rsidR="001E0032">
        <w:rPr>
          <w:shd w:val="clear" w:color="auto" w:fill="FFFFFF"/>
        </w:rPr>
        <w:t>1</w:t>
      </w:r>
      <w:r w:rsidRPr="00051CDE">
        <w:rPr>
          <w:shd w:val="clear" w:color="auto" w:fill="FFFFFF"/>
        </w:rPr>
        <w:t xml:space="preserve">, the value of this right depends on shareholders taking account of employee interests: ‘This might be conceivable if a large proportion of the company’s shares were held by long-term, UK based institutional investors, but as the share registers of UK companies become increasingly globalised, this becomes less likely as investors with global reach and limited jurisdictional commitments concentrate on benefits that accrue in direct, financial terms. Accordingly, employees have few, if any, meaningful rights to voice in the event of a takeover’ (Johnston and Njoya, 2014: 406). </w:t>
      </w:r>
      <w:r w:rsidR="00674489" w:rsidRPr="00051CDE">
        <w:rPr>
          <w:shd w:val="clear" w:color="auto" w:fill="FFFFFF"/>
        </w:rPr>
        <w:t>Significant challenges therefore confront the TUC proposal</w:t>
      </w:r>
      <w:r w:rsidR="00F44F8B" w:rsidRPr="00051CDE">
        <w:rPr>
          <w:shd w:val="clear" w:color="auto" w:fill="FFFFFF"/>
        </w:rPr>
        <w:t xml:space="preserve">, though a step forward might involve the right for employee representatives to select their own experts when dealing with takeovers, with the </w:t>
      </w:r>
      <w:r w:rsidR="000C7B1F" w:rsidRPr="00051CDE">
        <w:rPr>
          <w:shd w:val="clear" w:color="auto" w:fill="FFFFFF"/>
        </w:rPr>
        <w:t>costs borne by management (ETUC, 2012).</w:t>
      </w:r>
    </w:p>
    <w:p w14:paraId="482ED60A" w14:textId="77777777" w:rsidR="00674489" w:rsidRPr="00051CDE" w:rsidRDefault="00674489" w:rsidP="00785765">
      <w:pPr>
        <w:pStyle w:val="NoSpacing"/>
        <w:spacing w:line="360" w:lineRule="auto"/>
        <w:rPr>
          <w:shd w:val="clear" w:color="auto" w:fill="FFFFFF"/>
        </w:rPr>
      </w:pPr>
    </w:p>
    <w:p w14:paraId="11997F4C" w14:textId="3861D3FA" w:rsidR="001E6F76" w:rsidRPr="00051CDE" w:rsidRDefault="00F44F8B" w:rsidP="0033211A">
      <w:pPr>
        <w:pStyle w:val="NoSpacing"/>
        <w:spacing w:line="360" w:lineRule="auto"/>
      </w:pPr>
      <w:r w:rsidRPr="00051CDE">
        <w:rPr>
          <w:shd w:val="clear" w:color="auto" w:fill="FFFFFF"/>
        </w:rPr>
        <w:t xml:space="preserve">A second </w:t>
      </w:r>
      <w:r w:rsidR="001E0032">
        <w:rPr>
          <w:shd w:val="clear" w:color="auto" w:fill="FFFFFF"/>
        </w:rPr>
        <w:t xml:space="preserve">area </w:t>
      </w:r>
      <w:r w:rsidRPr="00051CDE">
        <w:rPr>
          <w:shd w:val="clear" w:color="auto" w:fill="FFFFFF"/>
        </w:rPr>
        <w:t xml:space="preserve">for scrutiny centres on the provision of </w:t>
      </w:r>
      <w:r w:rsidRPr="00051CDE">
        <w:t xml:space="preserve">more effective sanctions on employers who infringe the Takeover Bids Directive. </w:t>
      </w:r>
      <w:r w:rsidR="001E6F76" w:rsidRPr="00051CDE">
        <w:t xml:space="preserve">Although offerors are required by the Directive to provide information on their ‘intentions with regard to the future business of the offeree company’, including </w:t>
      </w:r>
      <w:r w:rsidR="006B0F95" w:rsidRPr="00051CDE">
        <w:t xml:space="preserve">information on safeguarding jobs and changes in </w:t>
      </w:r>
      <w:r w:rsidR="001E6F76" w:rsidRPr="00051CDE">
        <w:t>conditions</w:t>
      </w:r>
      <w:r w:rsidR="00C4771F" w:rsidRPr="00051CDE">
        <w:t xml:space="preserve"> of employment</w:t>
      </w:r>
      <w:r w:rsidR="001E6F76" w:rsidRPr="00051CDE">
        <w:t>, these stated intentions are frequently not fulfilled in practice, and there are no effective sanctions for this non-fulfilment:</w:t>
      </w:r>
    </w:p>
    <w:p w14:paraId="48B530CB" w14:textId="77777777" w:rsidR="001E6F76" w:rsidRPr="00051CDE" w:rsidRDefault="001E6F76">
      <w:pPr>
        <w:pStyle w:val="NoSpacing"/>
        <w:spacing w:line="360" w:lineRule="auto"/>
        <w:ind w:left="720"/>
      </w:pPr>
    </w:p>
    <w:p w14:paraId="6A1DBFB3" w14:textId="13E612BE" w:rsidR="001E6F76" w:rsidRPr="00051CDE" w:rsidRDefault="007E2C72">
      <w:pPr>
        <w:pStyle w:val="NoSpacing"/>
        <w:spacing w:line="360" w:lineRule="auto"/>
        <w:ind w:left="720"/>
      </w:pPr>
      <w:r w:rsidRPr="00051CDE">
        <w:t>T</w:t>
      </w:r>
      <w:r w:rsidR="001E6F76" w:rsidRPr="00051CDE">
        <w:t>he only way to guarantee the respect of the obligations contained in the Directive is to provide that the legal effects of the takeover should be suspended until all the obligations have been adequately fulfilled. This should be the case in particular in instances of serious violations of employees’ right to information and consultation. (ETUC, 2012: 204)</w:t>
      </w:r>
    </w:p>
    <w:p w14:paraId="12501BB5" w14:textId="77777777" w:rsidR="001E6F76" w:rsidRPr="00051CDE" w:rsidRDefault="001E6F76">
      <w:pPr>
        <w:pStyle w:val="NoSpacing"/>
        <w:spacing w:line="360" w:lineRule="auto"/>
      </w:pPr>
    </w:p>
    <w:p w14:paraId="7A276D6A" w14:textId="60BD80FA" w:rsidR="002D7B85" w:rsidRDefault="00F44F8B">
      <w:pPr>
        <w:pStyle w:val="NoSpacing"/>
        <w:spacing w:line="360" w:lineRule="auto"/>
      </w:pPr>
      <w:r w:rsidRPr="00051CDE">
        <w:t>T</w:t>
      </w:r>
      <w:r w:rsidR="00E34A07" w:rsidRPr="00051CDE">
        <w:t xml:space="preserve">he challenge </w:t>
      </w:r>
      <w:r w:rsidRPr="00051CDE">
        <w:t xml:space="preserve">here </w:t>
      </w:r>
      <w:r w:rsidR="00E34A07" w:rsidRPr="00051CDE">
        <w:t>is that t</w:t>
      </w:r>
      <w:r w:rsidR="00CB02E6" w:rsidRPr="00051CDE">
        <w:t>he offeror company may genuinely not know how its plans will evolve over the short- and medium-term, which will clearly constrain the value of the information that can be disclosed to employees</w:t>
      </w:r>
      <w:r w:rsidR="002A7364" w:rsidRPr="00051CDE">
        <w:t xml:space="preserve"> and their representatives</w:t>
      </w:r>
      <w:r w:rsidR="001E0032">
        <w:t xml:space="preserve">. It is therefore </w:t>
      </w:r>
      <w:r w:rsidR="00CB02E6" w:rsidRPr="00051CDE">
        <w:rPr>
          <w:color w:val="000000"/>
        </w:rPr>
        <w:t>important to establish ways to clarify ‘good faith’ by ascertaining as far as possible the offeror’s intentions with respect to the target company. The Code Committee has specified that ‘</w:t>
      </w:r>
      <w:r w:rsidR="00CB02E6" w:rsidRPr="00051CDE">
        <w:t xml:space="preserve">any statement of intention by an offeror should be as detailed as is possible’, in particular disclosing the ‘fundamental business rationale for seeking to acquire the offeree company’ (Takeover Panel, 2011: para. 7.8). However, in its review, while acknowledging certain improvements, the Committee commented that it was ‘disappointed that, in many cases, disclosures have been general, and not specific, and that, for example, a number of </w:t>
      </w:r>
      <w:r w:rsidR="00CB02E6" w:rsidRPr="00051CDE">
        <w:lastRenderedPageBreak/>
        <w:t xml:space="preserve">offerors … have sought to satisfy the requirements of Rule 24.2 by stating that their intention is to undertake a review of the offeree company’s business following completion of the takeover’ (Takeover Panel Code Committee, 2012: para. 7.2). </w:t>
      </w:r>
    </w:p>
    <w:p w14:paraId="11FC70C5" w14:textId="77777777" w:rsidR="002D7B85" w:rsidRDefault="002D7B85">
      <w:pPr>
        <w:pStyle w:val="NoSpacing"/>
        <w:spacing w:line="360" w:lineRule="auto"/>
      </w:pPr>
    </w:p>
    <w:p w14:paraId="1BDECC9B" w14:textId="62DD9078" w:rsidR="002B3E06" w:rsidRPr="00051CDE" w:rsidRDefault="005C0C63" w:rsidP="002B3E06">
      <w:pPr>
        <w:pStyle w:val="NoSpacing"/>
        <w:spacing w:line="360" w:lineRule="auto"/>
        <w:rPr>
          <w:color w:val="000000"/>
        </w:rPr>
      </w:pPr>
      <w:r>
        <w:t xml:space="preserve">Subsequent to the period of analysis covered in this article, </w:t>
      </w:r>
      <w:r w:rsidR="002D7B85">
        <w:t>the Takeover Panel</w:t>
      </w:r>
      <w:r w:rsidR="009F7CA3">
        <w:t>,</w:t>
      </w:r>
      <w:r w:rsidR="002D7B85">
        <w:t xml:space="preserve"> </w:t>
      </w:r>
      <w:r w:rsidR="009F7CA3">
        <w:t xml:space="preserve">following public consultation, </w:t>
      </w:r>
      <w:r>
        <w:t xml:space="preserve">announced changes to the </w:t>
      </w:r>
      <w:r w:rsidR="002D7B85">
        <w:t xml:space="preserve">Code </w:t>
      </w:r>
      <w:r>
        <w:t>with effect from 8 January 2018</w:t>
      </w:r>
      <w:r w:rsidR="009F7CA3">
        <w:t xml:space="preserve"> to strengthen statements of intention</w:t>
      </w:r>
      <w:r w:rsidR="00D37C83" w:rsidRPr="00D37C83">
        <w:t xml:space="preserve"> </w:t>
      </w:r>
      <w:r w:rsidR="00D37C83">
        <w:t>(</w:t>
      </w:r>
      <w:r w:rsidR="00D37C83" w:rsidRPr="00051CDE">
        <w:t>Takeover Panel Code Committee</w:t>
      </w:r>
      <w:r w:rsidR="00D37C83">
        <w:t xml:space="preserve">, </w:t>
      </w:r>
      <w:r w:rsidR="00D37C83" w:rsidRPr="00051CDE">
        <w:t>2017)</w:t>
      </w:r>
      <w:r w:rsidR="001B7C2F">
        <w:t xml:space="preserve">. </w:t>
      </w:r>
      <w:r w:rsidR="009F7CA3">
        <w:t xml:space="preserve">The changes </w:t>
      </w:r>
      <w:r w:rsidR="001C6FE5">
        <w:t xml:space="preserve">now </w:t>
      </w:r>
      <w:r w:rsidR="009F7CA3">
        <w:t>require the offeror</w:t>
      </w:r>
      <w:r w:rsidR="00417B1C">
        <w:t xml:space="preserve">, </w:t>
      </w:r>
      <w:r w:rsidR="00BF7E49" w:rsidRPr="00051CDE">
        <w:rPr>
          <w:color w:val="000000"/>
        </w:rPr>
        <w:t>when announcing a f</w:t>
      </w:r>
      <w:r w:rsidR="00BF7E49" w:rsidRPr="00051CDE">
        <w:rPr>
          <w:bCs/>
        </w:rPr>
        <w:t>irm intention to make an offer</w:t>
      </w:r>
      <w:r w:rsidR="00247002">
        <w:rPr>
          <w:bCs/>
        </w:rPr>
        <w:t xml:space="preserve">, </w:t>
      </w:r>
      <w:r w:rsidR="00BF7E49">
        <w:t xml:space="preserve">to </w:t>
      </w:r>
      <w:r w:rsidR="00955039" w:rsidRPr="00051CDE">
        <w:rPr>
          <w:bCs/>
        </w:rPr>
        <w:t xml:space="preserve">include its intentions towards the offeree on a variety of </w:t>
      </w:r>
      <w:r w:rsidR="00955039" w:rsidRPr="004424F5">
        <w:rPr>
          <w:bCs/>
          <w:i/>
        </w:rPr>
        <w:t>specific</w:t>
      </w:r>
      <w:r w:rsidR="00955039" w:rsidRPr="00051CDE">
        <w:rPr>
          <w:bCs/>
        </w:rPr>
        <w:t xml:space="preserve"> issues</w:t>
      </w:r>
      <w:r w:rsidR="00456173">
        <w:rPr>
          <w:bCs/>
        </w:rPr>
        <w:t>,</w:t>
      </w:r>
      <w:r w:rsidR="00955039" w:rsidRPr="00051CDE">
        <w:rPr>
          <w:bCs/>
        </w:rPr>
        <w:t xml:space="preserve"> such as the continued employment of employees and any material changes</w:t>
      </w:r>
      <w:r w:rsidR="006F6F57">
        <w:rPr>
          <w:bCs/>
        </w:rPr>
        <w:t xml:space="preserve"> in conditions of employment or the balance of skills and functions of the workforce</w:t>
      </w:r>
      <w:r w:rsidR="00955039" w:rsidRPr="00051CDE">
        <w:rPr>
          <w:bCs/>
        </w:rPr>
        <w:t>, pension schemes and strategic plans, among others</w:t>
      </w:r>
      <w:r w:rsidR="00955039">
        <w:rPr>
          <w:bCs/>
        </w:rPr>
        <w:t xml:space="preserve">. </w:t>
      </w:r>
      <w:r w:rsidR="00D6596F">
        <w:rPr>
          <w:bCs/>
        </w:rPr>
        <w:t>These r</w:t>
      </w:r>
      <w:r w:rsidR="00955039">
        <w:rPr>
          <w:bCs/>
        </w:rPr>
        <w:t>equirement</w:t>
      </w:r>
      <w:r w:rsidR="00D6596F">
        <w:rPr>
          <w:bCs/>
        </w:rPr>
        <w:t xml:space="preserve">s, </w:t>
      </w:r>
      <w:r w:rsidR="00955039">
        <w:rPr>
          <w:bCs/>
        </w:rPr>
        <w:t xml:space="preserve">at </w:t>
      </w:r>
      <w:r w:rsidR="00417B1C">
        <w:rPr>
          <w:bCs/>
        </w:rPr>
        <w:t xml:space="preserve">this </w:t>
      </w:r>
      <w:r w:rsidR="00955039">
        <w:rPr>
          <w:bCs/>
        </w:rPr>
        <w:t xml:space="preserve">earlier stage in the </w:t>
      </w:r>
      <w:r w:rsidR="00417B1C">
        <w:rPr>
          <w:bCs/>
        </w:rPr>
        <w:t xml:space="preserve">takeover </w:t>
      </w:r>
      <w:r w:rsidR="00955039">
        <w:rPr>
          <w:bCs/>
        </w:rPr>
        <w:t>process</w:t>
      </w:r>
      <w:r w:rsidR="00D6596F">
        <w:rPr>
          <w:bCs/>
        </w:rPr>
        <w:t>,</w:t>
      </w:r>
      <w:r w:rsidR="00C44FE3">
        <w:rPr>
          <w:rStyle w:val="EndnoteReference"/>
          <w:bCs/>
        </w:rPr>
        <w:endnoteReference w:id="4"/>
      </w:r>
      <w:r w:rsidR="00D6596F">
        <w:rPr>
          <w:bCs/>
        </w:rPr>
        <w:t xml:space="preserve"> are designed to </w:t>
      </w:r>
      <w:r w:rsidR="00955039">
        <w:rPr>
          <w:bCs/>
        </w:rPr>
        <w:t>give employee representatives a greater chance of submitting an opinion in time</w:t>
      </w:r>
      <w:r w:rsidR="002C03C7">
        <w:rPr>
          <w:bCs/>
        </w:rPr>
        <w:t>,</w:t>
      </w:r>
      <w:r w:rsidR="00955039">
        <w:rPr>
          <w:bCs/>
        </w:rPr>
        <w:t xml:space="preserve"> and hence giving the target board more time to take it into account when forming their own opinion </w:t>
      </w:r>
      <w:r w:rsidR="00955039" w:rsidRPr="00051CDE">
        <w:rPr>
          <w:bCs/>
        </w:rPr>
        <w:t>(Takeover Panel</w:t>
      </w:r>
      <w:r w:rsidR="00B1246B">
        <w:rPr>
          <w:bCs/>
        </w:rPr>
        <w:t xml:space="preserve">, </w:t>
      </w:r>
      <w:r w:rsidR="00955039" w:rsidRPr="00051CDE">
        <w:rPr>
          <w:bCs/>
        </w:rPr>
        <w:t>2017</w:t>
      </w:r>
      <w:r w:rsidR="00DF5716">
        <w:rPr>
          <w:bCs/>
        </w:rPr>
        <w:t>(a)</w:t>
      </w:r>
      <w:r w:rsidR="00B1246B">
        <w:rPr>
          <w:bCs/>
        </w:rPr>
        <w:t>, para. 2.24</w:t>
      </w:r>
      <w:r w:rsidR="003B50D1">
        <w:rPr>
          <w:bCs/>
        </w:rPr>
        <w:t xml:space="preserve">; implemented </w:t>
      </w:r>
      <w:r w:rsidR="00D9239D">
        <w:rPr>
          <w:bCs/>
        </w:rPr>
        <w:t xml:space="preserve">by </w:t>
      </w:r>
      <w:r w:rsidR="003B50D1">
        <w:rPr>
          <w:bCs/>
        </w:rPr>
        <w:t>Rule 2.7</w:t>
      </w:r>
      <w:r w:rsidR="00955039" w:rsidRPr="00051CDE">
        <w:rPr>
          <w:bCs/>
        </w:rPr>
        <w:t>).</w:t>
      </w:r>
      <w:r w:rsidR="00955039">
        <w:rPr>
          <w:bCs/>
        </w:rPr>
        <w:t xml:space="preserve"> </w:t>
      </w:r>
      <w:r w:rsidR="00EA6070">
        <w:rPr>
          <w:bCs/>
        </w:rPr>
        <w:t xml:space="preserve">Two </w:t>
      </w:r>
      <w:r w:rsidR="003B50D1">
        <w:rPr>
          <w:bCs/>
        </w:rPr>
        <w:t xml:space="preserve">further </w:t>
      </w:r>
      <w:r w:rsidR="00EA6070">
        <w:rPr>
          <w:bCs/>
        </w:rPr>
        <w:t>rule</w:t>
      </w:r>
      <w:r w:rsidR="00C9146C">
        <w:rPr>
          <w:bCs/>
        </w:rPr>
        <w:t xml:space="preserve">s </w:t>
      </w:r>
      <w:r w:rsidR="00EA6070">
        <w:rPr>
          <w:bCs/>
        </w:rPr>
        <w:t xml:space="preserve">are </w:t>
      </w:r>
      <w:r w:rsidR="003B50D1">
        <w:rPr>
          <w:bCs/>
        </w:rPr>
        <w:t xml:space="preserve">also </w:t>
      </w:r>
      <w:r w:rsidR="00EA6070">
        <w:rPr>
          <w:bCs/>
        </w:rPr>
        <w:t>worth highlighting as they focus on failures to fulfil statements of intention</w:t>
      </w:r>
      <w:r w:rsidR="002C03C7">
        <w:rPr>
          <w:bCs/>
        </w:rPr>
        <w:t>:</w:t>
      </w:r>
      <w:r w:rsidR="00EA6070">
        <w:rPr>
          <w:bCs/>
        </w:rPr>
        <w:t xml:space="preserve"> </w:t>
      </w:r>
      <w:r w:rsidR="00C9146C">
        <w:rPr>
          <w:bCs/>
        </w:rPr>
        <w:t xml:space="preserve">existing </w:t>
      </w:r>
      <w:r w:rsidR="00EA6070">
        <w:rPr>
          <w:bCs/>
        </w:rPr>
        <w:t xml:space="preserve">Rule 19.6(b) of the Code requires an announcement if a party deviates from its stated intentions, while </w:t>
      </w:r>
      <w:r w:rsidR="00C9146C">
        <w:rPr>
          <w:bCs/>
        </w:rPr>
        <w:t xml:space="preserve">new </w:t>
      </w:r>
      <w:r w:rsidR="00EA6070">
        <w:rPr>
          <w:bCs/>
        </w:rPr>
        <w:t xml:space="preserve">Rule 19.6(c) </w:t>
      </w:r>
      <w:r w:rsidR="002B3E06">
        <w:rPr>
          <w:bCs/>
        </w:rPr>
        <w:t xml:space="preserve">requires a confirmation as to whether a party has or has not taken the actions it stated. </w:t>
      </w:r>
      <w:r w:rsidR="002B3E06" w:rsidRPr="00051CDE">
        <w:rPr>
          <w:bCs/>
        </w:rPr>
        <w:t xml:space="preserve">Though no unions </w:t>
      </w:r>
      <w:r w:rsidR="002B3E06">
        <w:rPr>
          <w:bCs/>
        </w:rPr>
        <w:t xml:space="preserve">responded to the consultation, </w:t>
      </w:r>
      <w:r w:rsidR="002B3E06" w:rsidRPr="00051CDE">
        <w:rPr>
          <w:bCs/>
        </w:rPr>
        <w:t>these moves will clearly be welcome to emplo</w:t>
      </w:r>
      <w:r w:rsidR="002B3E06">
        <w:rPr>
          <w:bCs/>
        </w:rPr>
        <w:t>yees and their representatives</w:t>
      </w:r>
      <w:r w:rsidR="00A91FA2">
        <w:rPr>
          <w:bCs/>
        </w:rPr>
        <w:t>,</w:t>
      </w:r>
      <w:r w:rsidR="002B3E06">
        <w:rPr>
          <w:bCs/>
        </w:rPr>
        <w:t xml:space="preserve"> though their practical effects on employee involvement in the process remain to be seen. </w:t>
      </w:r>
    </w:p>
    <w:p w14:paraId="29827360" w14:textId="77777777" w:rsidR="001E7FEF" w:rsidRPr="00051CDE" w:rsidRDefault="001E7FEF">
      <w:pPr>
        <w:pStyle w:val="NoSpacing"/>
        <w:spacing w:line="360" w:lineRule="auto"/>
        <w:rPr>
          <w:color w:val="000000"/>
        </w:rPr>
      </w:pPr>
    </w:p>
    <w:p w14:paraId="3156C624" w14:textId="618E6165" w:rsidR="001E6F76" w:rsidRPr="00051CDE" w:rsidRDefault="00DD183C">
      <w:pPr>
        <w:pStyle w:val="NoSpacing"/>
        <w:spacing w:line="360" w:lineRule="auto"/>
      </w:pPr>
      <w:r w:rsidRPr="00051CDE">
        <w:rPr>
          <w:color w:val="000000"/>
        </w:rPr>
        <w:t>Overall, o</w:t>
      </w:r>
      <w:r w:rsidR="00FA6DDA" w:rsidRPr="00051CDE">
        <w:rPr>
          <w:color w:val="000000"/>
        </w:rPr>
        <w:t xml:space="preserve">ur analysis confirms that </w:t>
      </w:r>
      <w:r w:rsidR="001E6F76" w:rsidRPr="00051CDE">
        <w:rPr>
          <w:color w:val="000000"/>
        </w:rPr>
        <w:t xml:space="preserve">the </w:t>
      </w:r>
      <w:r w:rsidR="00FA6DDA" w:rsidRPr="00051CDE">
        <w:rPr>
          <w:color w:val="000000"/>
        </w:rPr>
        <w:t xml:space="preserve">UK </w:t>
      </w:r>
      <w:r w:rsidR="004F4102" w:rsidRPr="00051CDE">
        <w:rPr>
          <w:color w:val="000000"/>
        </w:rPr>
        <w:t xml:space="preserve">Takeover </w:t>
      </w:r>
      <w:r w:rsidR="001E6F76" w:rsidRPr="00051CDE">
        <w:rPr>
          <w:color w:val="000000"/>
        </w:rPr>
        <w:t xml:space="preserve">Code remains a </w:t>
      </w:r>
      <w:r w:rsidR="002B3E06">
        <w:rPr>
          <w:color w:val="000000"/>
        </w:rPr>
        <w:t xml:space="preserve">relatively </w:t>
      </w:r>
      <w:r w:rsidR="001E6F76" w:rsidRPr="00051CDE">
        <w:rPr>
          <w:color w:val="000000"/>
        </w:rPr>
        <w:t>weak instrument in terms of affording employees meaningful rights</w:t>
      </w:r>
      <w:r w:rsidR="005B6A3C" w:rsidRPr="00051CDE">
        <w:rPr>
          <w:color w:val="000000"/>
        </w:rPr>
        <w:t xml:space="preserve"> to information disclosure</w:t>
      </w:r>
      <w:r w:rsidR="00FA6DDA" w:rsidRPr="00051CDE">
        <w:rPr>
          <w:color w:val="000000"/>
        </w:rPr>
        <w:t>,</w:t>
      </w:r>
      <w:r w:rsidR="001E6F76" w:rsidRPr="00051CDE">
        <w:rPr>
          <w:color w:val="000000"/>
        </w:rPr>
        <w:t xml:space="preserve"> since the </w:t>
      </w:r>
      <w:r w:rsidR="00FA6DDA" w:rsidRPr="00051CDE">
        <w:rPr>
          <w:color w:val="000000"/>
        </w:rPr>
        <w:t>‘</w:t>
      </w:r>
      <w:r w:rsidR="001E6F76" w:rsidRPr="00051CDE">
        <w:rPr>
          <w:color w:val="000000"/>
        </w:rPr>
        <w:t xml:space="preserve">shareholder </w:t>
      </w:r>
      <w:r w:rsidR="00FA6DDA" w:rsidRPr="00051CDE">
        <w:rPr>
          <w:color w:val="000000"/>
        </w:rPr>
        <w:t xml:space="preserve">value’ </w:t>
      </w:r>
      <w:r w:rsidR="001E6F76" w:rsidRPr="00051CDE">
        <w:rPr>
          <w:color w:val="000000"/>
        </w:rPr>
        <w:t xml:space="preserve">approach embodied in </w:t>
      </w:r>
      <w:r w:rsidR="00FA6DDA" w:rsidRPr="00051CDE">
        <w:rPr>
          <w:color w:val="000000"/>
        </w:rPr>
        <w:t xml:space="preserve">both </w:t>
      </w:r>
      <w:r w:rsidR="001E6F76" w:rsidRPr="00051CDE">
        <w:rPr>
          <w:color w:val="000000"/>
        </w:rPr>
        <w:t>the Directive and the Code does not consider the economic utility of takeovers from a social angle</w:t>
      </w:r>
      <w:r w:rsidR="004F4102" w:rsidRPr="00051CDE">
        <w:rPr>
          <w:color w:val="000000"/>
        </w:rPr>
        <w:t>,</w:t>
      </w:r>
      <w:r w:rsidR="001E6F76" w:rsidRPr="00051CDE">
        <w:rPr>
          <w:color w:val="000000"/>
        </w:rPr>
        <w:t xml:space="preserve"> nor does it allow an evaluation of the employment merits of individual takeovers. The </w:t>
      </w:r>
      <w:r w:rsidR="00FA6DDA" w:rsidRPr="00051CDE">
        <w:rPr>
          <w:color w:val="000000"/>
        </w:rPr>
        <w:t>Takeover Panel</w:t>
      </w:r>
      <w:r w:rsidR="001E6F76" w:rsidRPr="00051CDE">
        <w:rPr>
          <w:color w:val="000000"/>
        </w:rPr>
        <w:t xml:space="preserve"> has</w:t>
      </w:r>
      <w:r w:rsidR="004D7D70" w:rsidRPr="00051CDE">
        <w:rPr>
          <w:color w:val="000000"/>
        </w:rPr>
        <w:t xml:space="preserve"> </w:t>
      </w:r>
      <w:r w:rsidR="001E6F76" w:rsidRPr="00051CDE">
        <w:rPr>
          <w:color w:val="000000"/>
        </w:rPr>
        <w:t xml:space="preserve">gone </w:t>
      </w:r>
      <w:r w:rsidR="00FA6DDA" w:rsidRPr="00051CDE">
        <w:rPr>
          <w:color w:val="000000"/>
        </w:rPr>
        <w:t>some way</w:t>
      </w:r>
      <w:r w:rsidR="001E6F76" w:rsidRPr="00051CDE">
        <w:rPr>
          <w:color w:val="000000"/>
        </w:rPr>
        <w:t xml:space="preserve"> to attempt to protect employee rights by integrating provisions on information disclosure </w:t>
      </w:r>
      <w:r w:rsidR="00FA6DDA" w:rsidRPr="00051CDE">
        <w:rPr>
          <w:color w:val="000000"/>
        </w:rPr>
        <w:t>from the Directive into the Code and subsequently adding further refinements following its own review process</w:t>
      </w:r>
      <w:r w:rsidR="001E6F76" w:rsidRPr="00051CDE">
        <w:rPr>
          <w:color w:val="000000"/>
        </w:rPr>
        <w:t xml:space="preserve">. Although these are now ripe for further scrutiny, a shift in the balance of power towards workers’ interests </w:t>
      </w:r>
      <w:r w:rsidR="00D03BDD" w:rsidRPr="00051CDE">
        <w:rPr>
          <w:color w:val="000000"/>
        </w:rPr>
        <w:t xml:space="preserve">in the UK </w:t>
      </w:r>
      <w:r w:rsidR="001E6F76" w:rsidRPr="00051CDE">
        <w:rPr>
          <w:color w:val="000000"/>
        </w:rPr>
        <w:t xml:space="preserve">through a </w:t>
      </w:r>
      <w:r w:rsidR="00FA6DDA" w:rsidRPr="00051CDE">
        <w:rPr>
          <w:color w:val="000000"/>
        </w:rPr>
        <w:t>‘</w:t>
      </w:r>
      <w:r w:rsidR="001E6F76" w:rsidRPr="00051CDE">
        <w:rPr>
          <w:color w:val="000000"/>
        </w:rPr>
        <w:t>stakeholder</w:t>
      </w:r>
      <w:r w:rsidR="00FA6DDA" w:rsidRPr="00051CDE">
        <w:rPr>
          <w:color w:val="000000"/>
        </w:rPr>
        <w:t>’</w:t>
      </w:r>
      <w:r w:rsidR="001E6F76" w:rsidRPr="00051CDE">
        <w:rPr>
          <w:color w:val="000000"/>
        </w:rPr>
        <w:t xml:space="preserve"> approach would require far more sweeping reforms of company law and industrial relations</w:t>
      </w:r>
      <w:r w:rsidR="004460C4" w:rsidRPr="00051CDE">
        <w:rPr>
          <w:color w:val="000000"/>
        </w:rPr>
        <w:t xml:space="preserve">, though it is worth underlining the important point that: ‘Society has political choices that it can make about the underlying dynamics of a market economy. How companies are governed is one of those </w:t>
      </w:r>
      <w:r w:rsidR="004460C4" w:rsidRPr="00051CDE">
        <w:rPr>
          <w:color w:val="000000"/>
        </w:rPr>
        <w:lastRenderedPageBreak/>
        <w:t xml:space="preserve">choices’ (Talbot, 2013: xviii). </w:t>
      </w:r>
      <w:r w:rsidR="001E6F76" w:rsidRPr="00051CDE">
        <w:rPr>
          <w:color w:val="000000"/>
        </w:rPr>
        <w:t xml:space="preserve">Such </w:t>
      </w:r>
      <w:r w:rsidR="00D03BDD" w:rsidRPr="00051CDE">
        <w:rPr>
          <w:color w:val="000000"/>
        </w:rPr>
        <w:t>reforms</w:t>
      </w:r>
      <w:r w:rsidR="001E0032">
        <w:rPr>
          <w:color w:val="000000"/>
        </w:rPr>
        <w:t xml:space="preserve">, if chosen, </w:t>
      </w:r>
      <w:r w:rsidR="00FA6DDA" w:rsidRPr="00051CDE">
        <w:rPr>
          <w:color w:val="000000"/>
        </w:rPr>
        <w:t xml:space="preserve">would dovetail with </w:t>
      </w:r>
      <w:r w:rsidR="001E6F76" w:rsidRPr="00051CDE">
        <w:rPr>
          <w:color w:val="000000"/>
        </w:rPr>
        <w:t xml:space="preserve">the larger thrust of policy developing – within major institutional </w:t>
      </w:r>
      <w:r w:rsidRPr="00051CDE">
        <w:rPr>
          <w:color w:val="000000"/>
        </w:rPr>
        <w:t xml:space="preserve">and legal </w:t>
      </w:r>
      <w:r w:rsidR="001E6F76" w:rsidRPr="00051CDE">
        <w:rPr>
          <w:color w:val="000000"/>
        </w:rPr>
        <w:t>constraints – around the notions of ‘responsible capitalism’ (Davis et al., 2013), the ‘sustainable company’ (Vitols and Kluge, 2011) and the reform of corporate governance under consideration by the current UK government (BEIS, 201</w:t>
      </w:r>
      <w:r w:rsidR="00154D68">
        <w:rPr>
          <w:color w:val="000000"/>
        </w:rPr>
        <w:t>7</w:t>
      </w:r>
      <w:r w:rsidR="001E6F76" w:rsidRPr="00051CDE">
        <w:rPr>
          <w:color w:val="000000"/>
        </w:rPr>
        <w:t>). However, they stretch well beyond the remit of any reform that could be undertaken by the Takeover Panel alone.</w:t>
      </w:r>
      <w:r w:rsidR="001E6F76" w:rsidRPr="00051CDE">
        <w:t xml:space="preserve"> </w:t>
      </w:r>
    </w:p>
    <w:p w14:paraId="268A0A8E" w14:textId="77777777" w:rsidR="009314C8" w:rsidRPr="00051CDE" w:rsidRDefault="009314C8">
      <w:pPr>
        <w:pStyle w:val="NoSpacing"/>
        <w:spacing w:line="360" w:lineRule="auto"/>
      </w:pPr>
    </w:p>
    <w:p w14:paraId="2B5CFBAD" w14:textId="77777777" w:rsidR="001E6F76" w:rsidRPr="00051CDE" w:rsidRDefault="001E6F76" w:rsidP="00887411">
      <w:pPr>
        <w:spacing w:line="360" w:lineRule="auto"/>
        <w:jc w:val="both"/>
        <w:rPr>
          <w:rFonts w:ascii="Times New Roman" w:hAnsi="Times New Roman" w:cs="Times New Roman"/>
          <w:b/>
          <w:sz w:val="24"/>
          <w:szCs w:val="24"/>
        </w:rPr>
      </w:pPr>
      <w:r w:rsidRPr="00051CDE">
        <w:rPr>
          <w:rFonts w:ascii="Times New Roman" w:hAnsi="Times New Roman" w:cs="Times New Roman"/>
          <w:b/>
          <w:sz w:val="24"/>
          <w:szCs w:val="24"/>
        </w:rPr>
        <w:t>Acknowledgements</w:t>
      </w:r>
    </w:p>
    <w:p w14:paraId="292FED85" w14:textId="77777777" w:rsidR="001E6F76" w:rsidRPr="00051CDE" w:rsidRDefault="001E6F76" w:rsidP="00887411">
      <w:pPr>
        <w:spacing w:line="360" w:lineRule="auto"/>
        <w:jc w:val="both"/>
        <w:rPr>
          <w:rFonts w:ascii="Times New Roman" w:hAnsi="Times New Roman" w:cs="Times New Roman"/>
          <w:sz w:val="24"/>
          <w:szCs w:val="24"/>
        </w:rPr>
      </w:pPr>
      <w:r w:rsidRPr="00051CDE">
        <w:rPr>
          <w:rFonts w:ascii="Times New Roman" w:hAnsi="Times New Roman" w:cs="Times New Roman"/>
          <w:sz w:val="24"/>
          <w:szCs w:val="24"/>
        </w:rPr>
        <w:t>To be added</w:t>
      </w:r>
    </w:p>
    <w:p w14:paraId="2EB7E0B5" w14:textId="77777777" w:rsidR="001E6F76" w:rsidRPr="00051CDE" w:rsidRDefault="001E6F76" w:rsidP="00887411">
      <w:pPr>
        <w:spacing w:line="360" w:lineRule="auto"/>
        <w:jc w:val="both"/>
        <w:rPr>
          <w:rFonts w:ascii="Times New Roman" w:hAnsi="Times New Roman" w:cs="Times New Roman"/>
          <w:b/>
          <w:sz w:val="24"/>
          <w:szCs w:val="24"/>
        </w:rPr>
      </w:pPr>
      <w:r w:rsidRPr="00051CDE">
        <w:rPr>
          <w:rFonts w:ascii="Times New Roman" w:hAnsi="Times New Roman" w:cs="Times New Roman"/>
          <w:b/>
          <w:sz w:val="24"/>
          <w:szCs w:val="24"/>
        </w:rPr>
        <w:t>Funding</w:t>
      </w:r>
    </w:p>
    <w:p w14:paraId="5F344DFA" w14:textId="77777777" w:rsidR="001E6F76" w:rsidRPr="00051CDE" w:rsidRDefault="001E6F76" w:rsidP="00887411">
      <w:pPr>
        <w:spacing w:line="360" w:lineRule="auto"/>
        <w:jc w:val="both"/>
        <w:rPr>
          <w:rFonts w:ascii="Times New Roman" w:hAnsi="Times New Roman" w:cs="Times New Roman"/>
          <w:sz w:val="24"/>
          <w:szCs w:val="24"/>
        </w:rPr>
      </w:pPr>
      <w:r w:rsidRPr="00051CDE">
        <w:rPr>
          <w:rFonts w:ascii="Times New Roman" w:hAnsi="Times New Roman" w:cs="Times New Roman"/>
          <w:sz w:val="24"/>
          <w:szCs w:val="24"/>
        </w:rPr>
        <w:t>To be added</w:t>
      </w:r>
    </w:p>
    <w:p w14:paraId="74A061EF" w14:textId="77777777" w:rsidR="001E6F76" w:rsidRPr="00051CDE" w:rsidRDefault="001E6F76" w:rsidP="00887411">
      <w:pPr>
        <w:pStyle w:val="NoSpacing"/>
        <w:spacing w:line="360" w:lineRule="auto"/>
        <w:rPr>
          <w:b/>
        </w:rPr>
      </w:pPr>
      <w:r w:rsidRPr="00051CDE">
        <w:rPr>
          <w:b/>
        </w:rPr>
        <w:t>References</w:t>
      </w:r>
    </w:p>
    <w:p w14:paraId="2687AB7A" w14:textId="77777777" w:rsidR="00341C37" w:rsidRPr="00051CDE" w:rsidRDefault="00341C37" w:rsidP="00341C37">
      <w:pPr>
        <w:pStyle w:val="NoSpacing"/>
        <w:spacing w:line="360" w:lineRule="auto"/>
      </w:pPr>
    </w:p>
    <w:p w14:paraId="67AB2C3C" w14:textId="10E5E9E9" w:rsidR="00154D68" w:rsidRDefault="00154D68" w:rsidP="00341C37">
      <w:pPr>
        <w:pStyle w:val="NoSpacing"/>
        <w:spacing w:line="360" w:lineRule="auto"/>
      </w:pPr>
      <w:r w:rsidRPr="00154D68">
        <w:t xml:space="preserve">BEIS (2017) </w:t>
      </w:r>
      <w:r w:rsidRPr="00154D68">
        <w:rPr>
          <w:i/>
          <w:iCs/>
        </w:rPr>
        <w:t xml:space="preserve">Corporate Governance Reform. The Government Response to the Green Paper Consultation. </w:t>
      </w:r>
      <w:r w:rsidRPr="00154D68">
        <w:t>August. London</w:t>
      </w:r>
      <w:r>
        <w:t xml:space="preserve">: </w:t>
      </w:r>
      <w:r w:rsidRPr="00154D68">
        <w:t xml:space="preserve">Department for Business, Energy and Industrial Strategy. Available at: </w:t>
      </w:r>
      <w:hyperlink r:id="rId9" w:history="1">
        <w:r w:rsidRPr="00154D68">
          <w:rPr>
            <w:rStyle w:val="Hyperlink"/>
          </w:rPr>
          <w:t>https://</w:t>
        </w:r>
      </w:hyperlink>
      <w:hyperlink r:id="rId10" w:history="1">
        <w:r w:rsidRPr="00154D68">
          <w:rPr>
            <w:rStyle w:val="Hyperlink"/>
          </w:rPr>
          <w:t>assets.publishing.service.gov.uk/government/uploads/system/uploads/attachment_data/file/640631/corporate-governance-reform-government-response.pdf</w:t>
        </w:r>
      </w:hyperlink>
      <w:r>
        <w:t xml:space="preserve"> (Accessed 20 April 2018)</w:t>
      </w:r>
    </w:p>
    <w:p w14:paraId="2CCCDBE1" w14:textId="77777777" w:rsidR="00154D68" w:rsidRDefault="00154D68" w:rsidP="00341C37">
      <w:pPr>
        <w:pStyle w:val="NoSpacing"/>
        <w:spacing w:line="360" w:lineRule="auto"/>
      </w:pPr>
    </w:p>
    <w:p w14:paraId="11452C4B" w14:textId="77777777" w:rsidR="001E6F76" w:rsidRPr="00051CDE" w:rsidRDefault="001E6F76" w:rsidP="00887411">
      <w:pPr>
        <w:pStyle w:val="NoSpacing"/>
        <w:spacing w:line="360" w:lineRule="auto"/>
      </w:pPr>
      <w:proofErr w:type="spellStart"/>
      <w:r w:rsidRPr="00051CDE">
        <w:t>Blanpain</w:t>
      </w:r>
      <w:proofErr w:type="spellEnd"/>
      <w:r w:rsidRPr="00051CDE">
        <w:t xml:space="preserve"> R (2014) </w:t>
      </w:r>
      <w:r w:rsidRPr="00051CDE">
        <w:rPr>
          <w:i/>
        </w:rPr>
        <w:t>European Labour Law</w:t>
      </w:r>
      <w:r w:rsidRPr="00051CDE">
        <w:t xml:space="preserve">. Alphen </w:t>
      </w:r>
      <w:proofErr w:type="spellStart"/>
      <w:r w:rsidRPr="00051CDE">
        <w:t>aan</w:t>
      </w:r>
      <w:proofErr w:type="spellEnd"/>
      <w:r w:rsidRPr="00051CDE">
        <w:t xml:space="preserve"> den Rijn, NL: Wolters Kluwer Law and Business (14</w:t>
      </w:r>
      <w:r w:rsidRPr="00051CDE">
        <w:rPr>
          <w:vertAlign w:val="superscript"/>
        </w:rPr>
        <w:t>th</w:t>
      </w:r>
      <w:r w:rsidRPr="00051CDE">
        <w:t xml:space="preserve"> ed.).</w:t>
      </w:r>
    </w:p>
    <w:p w14:paraId="3AC7E8C6" w14:textId="77777777" w:rsidR="003554FA" w:rsidRPr="00051CDE" w:rsidRDefault="003554FA" w:rsidP="00887411">
      <w:pPr>
        <w:pStyle w:val="NoSpacing"/>
        <w:spacing w:line="360" w:lineRule="auto"/>
      </w:pPr>
    </w:p>
    <w:p w14:paraId="2239D6FD" w14:textId="34331535" w:rsidR="003554FA" w:rsidRPr="00051CDE" w:rsidRDefault="003554FA" w:rsidP="00887411">
      <w:pPr>
        <w:pStyle w:val="NoSpacing"/>
        <w:spacing w:line="360" w:lineRule="auto"/>
      </w:pPr>
      <w:proofErr w:type="spellStart"/>
      <w:r w:rsidRPr="00051CDE">
        <w:t>Campa</w:t>
      </w:r>
      <w:proofErr w:type="spellEnd"/>
      <w:r w:rsidRPr="00051CDE">
        <w:t xml:space="preserve"> J and </w:t>
      </w:r>
      <w:proofErr w:type="spellStart"/>
      <w:r w:rsidRPr="00051CDE">
        <w:t>Moschieri</w:t>
      </w:r>
      <w:proofErr w:type="spellEnd"/>
      <w:r w:rsidRPr="00051CDE">
        <w:t xml:space="preserve"> C (2008) </w:t>
      </w:r>
      <w:r w:rsidRPr="00051CDE">
        <w:rPr>
          <w:i/>
        </w:rPr>
        <w:t xml:space="preserve">The European M&amp;A Industry: Trends, Patterns and Shortcomings. </w:t>
      </w:r>
      <w:r w:rsidRPr="00051CDE">
        <w:t>Working Paper WP-762. September.</w:t>
      </w:r>
      <w:r w:rsidRPr="00051CDE">
        <w:rPr>
          <w:i/>
        </w:rPr>
        <w:t xml:space="preserve"> </w:t>
      </w:r>
      <w:r w:rsidRPr="00051CDE">
        <w:t xml:space="preserve">International </w:t>
      </w:r>
      <w:proofErr w:type="spellStart"/>
      <w:r w:rsidRPr="00051CDE">
        <w:t>Center</w:t>
      </w:r>
      <w:proofErr w:type="spellEnd"/>
      <w:r w:rsidRPr="00051CDE">
        <w:t xml:space="preserve"> for Financial Research (CIIF), IESE Business School – University of Navarra (Spain). Available at: </w:t>
      </w:r>
    </w:p>
    <w:p w14:paraId="2AD3CA25" w14:textId="7AE5A7AA" w:rsidR="003554FA" w:rsidRPr="00051CDE" w:rsidRDefault="00ED0BC8" w:rsidP="00887411">
      <w:pPr>
        <w:pStyle w:val="NoSpacing"/>
        <w:spacing w:line="360" w:lineRule="auto"/>
      </w:pPr>
      <w:hyperlink r:id="rId11" w:history="1">
        <w:r w:rsidR="003554FA" w:rsidRPr="00051CDE">
          <w:rPr>
            <w:rStyle w:val="Hyperlink"/>
          </w:rPr>
          <w:t>http://www.iese.edu/es/files/Campa%20investigacion_tcm5-24752.pdf</w:t>
        </w:r>
      </w:hyperlink>
      <w:r w:rsidR="003554FA" w:rsidRPr="00051CDE">
        <w:t xml:space="preserve"> (Accessed </w:t>
      </w:r>
      <w:r w:rsidR="000D3ECB" w:rsidRPr="00051CDE">
        <w:t>23 March 2018</w:t>
      </w:r>
      <w:r w:rsidR="003554FA" w:rsidRPr="00051CDE">
        <w:t>).</w:t>
      </w:r>
    </w:p>
    <w:p w14:paraId="25C0F557" w14:textId="77777777" w:rsidR="001E6F76" w:rsidRPr="00051CDE" w:rsidRDefault="001E6F76" w:rsidP="00887411">
      <w:pPr>
        <w:pStyle w:val="NoSpacing"/>
        <w:spacing w:line="360" w:lineRule="auto"/>
      </w:pPr>
    </w:p>
    <w:p w14:paraId="7690D801" w14:textId="77777777" w:rsidR="001E6F76" w:rsidRPr="00051CDE" w:rsidRDefault="001E6F76" w:rsidP="00887411">
      <w:pPr>
        <w:autoSpaceDE w:val="0"/>
        <w:autoSpaceDN w:val="0"/>
        <w:adjustRightInd w:val="0"/>
        <w:spacing w:after="0" w:line="360" w:lineRule="auto"/>
        <w:rPr>
          <w:rFonts w:ascii="Times New Roman" w:hAnsi="Times New Roman" w:cs="Times New Roman"/>
          <w:bCs/>
          <w:sz w:val="24"/>
          <w:szCs w:val="24"/>
        </w:rPr>
      </w:pPr>
      <w:r w:rsidRPr="00051CDE">
        <w:rPr>
          <w:rFonts w:ascii="Times New Roman" w:hAnsi="Times New Roman" w:cs="Times New Roman"/>
          <w:bCs/>
          <w:sz w:val="24"/>
          <w:szCs w:val="24"/>
        </w:rPr>
        <w:t xml:space="preserve">Clarke B (2016) The role of employees in the Takeover Bids Directive. In: </w:t>
      </w:r>
      <w:proofErr w:type="spellStart"/>
      <w:r w:rsidRPr="00051CDE">
        <w:rPr>
          <w:rFonts w:ascii="Times New Roman" w:hAnsi="Times New Roman" w:cs="Times New Roman"/>
          <w:bCs/>
          <w:sz w:val="24"/>
          <w:szCs w:val="24"/>
        </w:rPr>
        <w:t>Cremers</w:t>
      </w:r>
      <w:proofErr w:type="spellEnd"/>
      <w:r w:rsidRPr="00051CDE">
        <w:rPr>
          <w:rFonts w:ascii="Times New Roman" w:hAnsi="Times New Roman" w:cs="Times New Roman"/>
          <w:bCs/>
          <w:sz w:val="24"/>
          <w:szCs w:val="24"/>
        </w:rPr>
        <w:t xml:space="preserve"> J and Vitols S (</w:t>
      </w:r>
      <w:proofErr w:type="spellStart"/>
      <w:r w:rsidRPr="00051CDE">
        <w:rPr>
          <w:rFonts w:ascii="Times New Roman" w:hAnsi="Times New Roman" w:cs="Times New Roman"/>
          <w:bCs/>
          <w:sz w:val="24"/>
          <w:szCs w:val="24"/>
        </w:rPr>
        <w:t>eds</w:t>
      </w:r>
      <w:proofErr w:type="spellEnd"/>
      <w:r w:rsidRPr="00051CDE">
        <w:rPr>
          <w:rFonts w:ascii="Times New Roman" w:hAnsi="Times New Roman" w:cs="Times New Roman"/>
          <w:bCs/>
          <w:sz w:val="24"/>
          <w:szCs w:val="24"/>
        </w:rPr>
        <w:t xml:space="preserve">) </w:t>
      </w:r>
      <w:r w:rsidRPr="00051CDE">
        <w:rPr>
          <w:rFonts w:ascii="Times New Roman" w:hAnsi="Times New Roman" w:cs="Times New Roman"/>
          <w:bCs/>
          <w:i/>
          <w:sz w:val="24"/>
          <w:szCs w:val="24"/>
        </w:rPr>
        <w:t>Takeovers with or without Worker Voice: Workers’ Rights under the EU Takeover Bids Directive</w:t>
      </w:r>
      <w:r w:rsidRPr="00051CDE">
        <w:rPr>
          <w:rFonts w:ascii="Times New Roman" w:hAnsi="Times New Roman" w:cs="Times New Roman"/>
          <w:bCs/>
          <w:sz w:val="24"/>
          <w:szCs w:val="24"/>
        </w:rPr>
        <w:t>. Brussels: European Trade Union Institute, pp. 33-49.</w:t>
      </w:r>
    </w:p>
    <w:p w14:paraId="2DBB908E" w14:textId="77777777" w:rsidR="00604588" w:rsidRPr="00051CDE" w:rsidRDefault="00604588" w:rsidP="00887411">
      <w:pPr>
        <w:autoSpaceDE w:val="0"/>
        <w:autoSpaceDN w:val="0"/>
        <w:adjustRightInd w:val="0"/>
        <w:spacing w:after="0" w:line="360" w:lineRule="auto"/>
        <w:rPr>
          <w:rFonts w:ascii="Times New Roman" w:hAnsi="Times New Roman" w:cs="Times New Roman"/>
          <w:bCs/>
          <w:sz w:val="24"/>
          <w:szCs w:val="24"/>
        </w:rPr>
      </w:pPr>
    </w:p>
    <w:p w14:paraId="0FA56A89" w14:textId="575E1C1E" w:rsidR="00604588" w:rsidRPr="00051CDE" w:rsidRDefault="00604588" w:rsidP="00887411">
      <w:pPr>
        <w:autoSpaceDE w:val="0"/>
        <w:autoSpaceDN w:val="0"/>
        <w:adjustRightInd w:val="0"/>
        <w:spacing w:after="0" w:line="360" w:lineRule="auto"/>
        <w:rPr>
          <w:rFonts w:ascii="Times New Roman" w:hAnsi="Times New Roman" w:cs="Times New Roman"/>
          <w:sz w:val="24"/>
          <w:szCs w:val="24"/>
        </w:rPr>
      </w:pPr>
      <w:r w:rsidRPr="00051CDE">
        <w:rPr>
          <w:rFonts w:ascii="Times New Roman" w:hAnsi="Times New Roman" w:cs="Times New Roman"/>
          <w:bCs/>
          <w:sz w:val="24"/>
          <w:szCs w:val="24"/>
        </w:rPr>
        <w:t xml:space="preserve">CMA (2016) </w:t>
      </w:r>
      <w:r w:rsidRPr="00051CDE">
        <w:rPr>
          <w:rFonts w:ascii="Times New Roman" w:hAnsi="Times New Roman" w:cs="Times New Roman"/>
          <w:bCs/>
          <w:i/>
          <w:sz w:val="24"/>
          <w:szCs w:val="24"/>
        </w:rPr>
        <w:t>Anticipated acquisition by Severn Trent Plc of Dee Valley Group Plc. Decision on duty to refer</w:t>
      </w:r>
      <w:r w:rsidRPr="00051CDE">
        <w:rPr>
          <w:rFonts w:ascii="Times New Roman" w:hAnsi="Times New Roman" w:cs="Times New Roman"/>
          <w:bCs/>
          <w:sz w:val="24"/>
          <w:szCs w:val="24"/>
        </w:rPr>
        <w:t xml:space="preserve">. ME/6629/16. 22 December. London: Competition and Markets Authority. Available at: </w:t>
      </w:r>
      <w:hyperlink r:id="rId12" w:history="1">
        <w:r w:rsidRPr="00051CDE">
          <w:rPr>
            <w:rStyle w:val="Hyperlink"/>
            <w:rFonts w:ascii="Times New Roman" w:hAnsi="Times New Roman" w:cs="Times New Roman"/>
            <w:bCs/>
            <w:sz w:val="24"/>
            <w:szCs w:val="24"/>
          </w:rPr>
          <w:t>https://assets.publishing.service.gov.uk/media/585bc8fde5274a13030000fe/severn-trent-dee-valley-ftd.pdf</w:t>
        </w:r>
      </w:hyperlink>
      <w:r w:rsidRPr="00051CDE">
        <w:rPr>
          <w:rFonts w:ascii="Times New Roman" w:hAnsi="Times New Roman" w:cs="Times New Roman"/>
          <w:bCs/>
          <w:sz w:val="24"/>
          <w:szCs w:val="24"/>
        </w:rPr>
        <w:t xml:space="preserve"> (Accessed </w:t>
      </w:r>
      <w:r w:rsidR="002569CA" w:rsidRPr="00051CDE">
        <w:rPr>
          <w:rFonts w:ascii="Times New Roman" w:hAnsi="Times New Roman" w:cs="Times New Roman"/>
          <w:bCs/>
          <w:sz w:val="24"/>
          <w:szCs w:val="24"/>
        </w:rPr>
        <w:t>23 March 2018</w:t>
      </w:r>
      <w:r w:rsidRPr="00051CDE">
        <w:rPr>
          <w:rFonts w:ascii="Times New Roman" w:hAnsi="Times New Roman" w:cs="Times New Roman"/>
          <w:bCs/>
          <w:sz w:val="24"/>
          <w:szCs w:val="24"/>
        </w:rPr>
        <w:t>).</w:t>
      </w:r>
    </w:p>
    <w:p w14:paraId="57F4C02B" w14:textId="77777777" w:rsidR="001E6F76" w:rsidRPr="00051CDE" w:rsidRDefault="001E6F76" w:rsidP="00887411">
      <w:pPr>
        <w:pStyle w:val="NoSpacing"/>
        <w:spacing w:line="360" w:lineRule="auto"/>
      </w:pPr>
    </w:p>
    <w:p w14:paraId="637D0683" w14:textId="77777777" w:rsidR="001E6F76" w:rsidRPr="00051CDE" w:rsidRDefault="001E6F76" w:rsidP="00887411">
      <w:pPr>
        <w:pStyle w:val="NoSpacing"/>
        <w:spacing w:line="360" w:lineRule="auto"/>
      </w:pPr>
      <w:r w:rsidRPr="00051CDE">
        <w:t xml:space="preserve">Cox G (2013) </w:t>
      </w:r>
      <w:r w:rsidRPr="00051CDE">
        <w:rPr>
          <w:i/>
        </w:rPr>
        <w:t>Cox Review: Overcoming Short-Termism within British Business: The Key to Sustained Economic Growth</w:t>
      </w:r>
      <w:r w:rsidRPr="00051CDE">
        <w:t>. London: Labour Party.</w:t>
      </w:r>
    </w:p>
    <w:p w14:paraId="4E6FC813" w14:textId="77777777" w:rsidR="001E6F76" w:rsidRPr="00051CDE" w:rsidRDefault="001E6F76" w:rsidP="00887411">
      <w:pPr>
        <w:pStyle w:val="NoSpacing"/>
        <w:spacing w:line="360" w:lineRule="auto"/>
      </w:pPr>
    </w:p>
    <w:p w14:paraId="315B5DBD" w14:textId="77777777" w:rsidR="001E6F76" w:rsidRPr="00051CDE" w:rsidRDefault="001E6F76" w:rsidP="00887411">
      <w:pPr>
        <w:pStyle w:val="NoSpacing"/>
        <w:spacing w:line="360" w:lineRule="auto"/>
      </w:pPr>
      <w:proofErr w:type="spellStart"/>
      <w:r w:rsidRPr="00051CDE">
        <w:t>Cremers</w:t>
      </w:r>
      <w:proofErr w:type="spellEnd"/>
      <w:r w:rsidRPr="00051CDE">
        <w:t xml:space="preserve"> J, </w:t>
      </w:r>
      <w:proofErr w:type="spellStart"/>
      <w:r w:rsidRPr="00051CDE">
        <w:t>Stollt</w:t>
      </w:r>
      <w:proofErr w:type="spellEnd"/>
      <w:r w:rsidRPr="00051CDE">
        <w:t xml:space="preserve"> M and Vitols S (2013) </w:t>
      </w:r>
      <w:r w:rsidRPr="00051CDE">
        <w:rPr>
          <w:i/>
        </w:rPr>
        <w:t>A Decade of Experience with the European Company</w:t>
      </w:r>
      <w:r w:rsidRPr="00051CDE">
        <w:t>. Brussels: European Trade Union Institute.</w:t>
      </w:r>
    </w:p>
    <w:p w14:paraId="1927F786" w14:textId="77777777" w:rsidR="001E6F76" w:rsidRPr="00051CDE" w:rsidRDefault="001E6F76" w:rsidP="00887411">
      <w:pPr>
        <w:pStyle w:val="NoSpacing"/>
        <w:spacing w:line="360" w:lineRule="auto"/>
      </w:pPr>
    </w:p>
    <w:p w14:paraId="1CFC8F52" w14:textId="73A1764E" w:rsidR="004D2595" w:rsidRPr="00051CDE" w:rsidRDefault="004D2595" w:rsidP="004D2595">
      <w:pPr>
        <w:pStyle w:val="NoSpacing"/>
        <w:spacing w:line="360" w:lineRule="auto"/>
        <w:rPr>
          <w:bCs/>
        </w:rPr>
      </w:pPr>
      <w:proofErr w:type="spellStart"/>
      <w:r w:rsidRPr="00051CDE">
        <w:t>Cremers</w:t>
      </w:r>
      <w:proofErr w:type="spellEnd"/>
      <w:r w:rsidRPr="00051CDE">
        <w:t xml:space="preserve"> J and Vitols S (2016a) Conclusion. An analysis of workers’ rights under the EU directive on takeover bids. </w:t>
      </w:r>
      <w:r w:rsidRPr="00051CDE">
        <w:rPr>
          <w:bCs/>
        </w:rPr>
        <w:t xml:space="preserve">In: </w:t>
      </w:r>
      <w:proofErr w:type="spellStart"/>
      <w:r w:rsidRPr="00051CDE">
        <w:rPr>
          <w:bCs/>
        </w:rPr>
        <w:t>Cremers</w:t>
      </w:r>
      <w:proofErr w:type="spellEnd"/>
      <w:r w:rsidRPr="00051CDE">
        <w:rPr>
          <w:bCs/>
        </w:rPr>
        <w:t xml:space="preserve"> J and Vitols S (</w:t>
      </w:r>
      <w:proofErr w:type="spellStart"/>
      <w:r w:rsidRPr="00051CDE">
        <w:rPr>
          <w:bCs/>
        </w:rPr>
        <w:t>eds</w:t>
      </w:r>
      <w:proofErr w:type="spellEnd"/>
      <w:r w:rsidRPr="00051CDE">
        <w:rPr>
          <w:bCs/>
        </w:rPr>
        <w:t xml:space="preserve">) </w:t>
      </w:r>
      <w:r w:rsidRPr="00051CDE">
        <w:rPr>
          <w:bCs/>
          <w:i/>
        </w:rPr>
        <w:t>Takeovers with or without Worker Voice: Workers’ Rights under the EU Takeover Bids Directive</w:t>
      </w:r>
      <w:r w:rsidRPr="00051CDE">
        <w:rPr>
          <w:bCs/>
        </w:rPr>
        <w:t>. Brussels: European Trade Union Institute, pp. 243-248.</w:t>
      </w:r>
    </w:p>
    <w:p w14:paraId="45B976A7" w14:textId="77777777" w:rsidR="004D2595" w:rsidRPr="00051CDE" w:rsidRDefault="004D2595" w:rsidP="00887411">
      <w:pPr>
        <w:pStyle w:val="NoSpacing"/>
        <w:spacing w:line="360" w:lineRule="auto"/>
      </w:pPr>
    </w:p>
    <w:p w14:paraId="2D4F9DAE" w14:textId="7D2140CB" w:rsidR="001E6F76" w:rsidRPr="00051CDE" w:rsidRDefault="001E6F76" w:rsidP="00887411">
      <w:pPr>
        <w:pStyle w:val="NoSpacing"/>
        <w:spacing w:line="360" w:lineRule="auto"/>
        <w:rPr>
          <w:bCs/>
        </w:rPr>
      </w:pPr>
      <w:proofErr w:type="spellStart"/>
      <w:r w:rsidRPr="00051CDE">
        <w:rPr>
          <w:bCs/>
        </w:rPr>
        <w:t>Cremers</w:t>
      </w:r>
      <w:proofErr w:type="spellEnd"/>
      <w:r w:rsidRPr="00051CDE">
        <w:rPr>
          <w:bCs/>
        </w:rPr>
        <w:t xml:space="preserve"> J and Vitols S (2016</w:t>
      </w:r>
      <w:r w:rsidR="00AB5A24" w:rsidRPr="00051CDE">
        <w:rPr>
          <w:bCs/>
        </w:rPr>
        <w:t>b</w:t>
      </w:r>
      <w:r w:rsidRPr="00051CDE">
        <w:rPr>
          <w:bCs/>
        </w:rPr>
        <w:t xml:space="preserve">) Introduction. In: </w:t>
      </w:r>
      <w:proofErr w:type="spellStart"/>
      <w:r w:rsidRPr="00051CDE">
        <w:rPr>
          <w:bCs/>
        </w:rPr>
        <w:t>Cremers</w:t>
      </w:r>
      <w:proofErr w:type="spellEnd"/>
      <w:r w:rsidRPr="00051CDE">
        <w:rPr>
          <w:bCs/>
        </w:rPr>
        <w:t xml:space="preserve"> J and Vitols S (</w:t>
      </w:r>
      <w:proofErr w:type="spellStart"/>
      <w:r w:rsidRPr="00051CDE">
        <w:rPr>
          <w:bCs/>
        </w:rPr>
        <w:t>eds</w:t>
      </w:r>
      <w:proofErr w:type="spellEnd"/>
      <w:r w:rsidRPr="00051CDE">
        <w:rPr>
          <w:bCs/>
        </w:rPr>
        <w:t xml:space="preserve">) </w:t>
      </w:r>
      <w:r w:rsidRPr="00051CDE">
        <w:rPr>
          <w:bCs/>
          <w:i/>
        </w:rPr>
        <w:t>Takeovers with or without Worker Voice: Workers’ Rights under the EU Takeover Bids Directive</w:t>
      </w:r>
      <w:r w:rsidRPr="00051CDE">
        <w:rPr>
          <w:bCs/>
        </w:rPr>
        <w:t>. Brussels: European Trade Union Institute, pp. 11-29.</w:t>
      </w:r>
    </w:p>
    <w:p w14:paraId="6260F96C" w14:textId="77777777" w:rsidR="001E6F76" w:rsidRPr="00051CDE" w:rsidRDefault="001E6F76" w:rsidP="00887411">
      <w:pPr>
        <w:pStyle w:val="NoSpacing"/>
        <w:spacing w:line="360" w:lineRule="auto"/>
      </w:pPr>
    </w:p>
    <w:p w14:paraId="3D4D7C93" w14:textId="7FBF965E" w:rsidR="001E6F76" w:rsidRPr="00051CDE" w:rsidRDefault="001E6F76" w:rsidP="00887411">
      <w:pPr>
        <w:pStyle w:val="NoSpacing"/>
        <w:spacing w:line="360" w:lineRule="auto"/>
        <w:rPr>
          <w:bCs/>
        </w:rPr>
      </w:pPr>
      <w:proofErr w:type="spellStart"/>
      <w:r w:rsidRPr="00051CDE">
        <w:rPr>
          <w:bCs/>
        </w:rPr>
        <w:t>Cremers</w:t>
      </w:r>
      <w:proofErr w:type="spellEnd"/>
      <w:r w:rsidRPr="00051CDE">
        <w:rPr>
          <w:bCs/>
        </w:rPr>
        <w:t xml:space="preserve"> J and Vitols S (</w:t>
      </w:r>
      <w:proofErr w:type="spellStart"/>
      <w:r w:rsidRPr="00051CDE">
        <w:rPr>
          <w:bCs/>
        </w:rPr>
        <w:t>eds</w:t>
      </w:r>
      <w:proofErr w:type="spellEnd"/>
      <w:r w:rsidRPr="00051CDE">
        <w:rPr>
          <w:bCs/>
        </w:rPr>
        <w:t>) (2016</w:t>
      </w:r>
      <w:r w:rsidR="00AB5A24" w:rsidRPr="00051CDE">
        <w:rPr>
          <w:bCs/>
        </w:rPr>
        <w:t>c</w:t>
      </w:r>
      <w:r w:rsidRPr="00051CDE">
        <w:rPr>
          <w:bCs/>
        </w:rPr>
        <w:t xml:space="preserve">) </w:t>
      </w:r>
      <w:r w:rsidRPr="00051CDE">
        <w:rPr>
          <w:bCs/>
          <w:i/>
        </w:rPr>
        <w:t>Takeovers with or without Worker Voice: Workers’ Rights under the EU Takeover Bids Directive</w:t>
      </w:r>
      <w:r w:rsidRPr="00051CDE">
        <w:rPr>
          <w:bCs/>
        </w:rPr>
        <w:t>. Brussels: European Trade Union Institute.</w:t>
      </w:r>
    </w:p>
    <w:p w14:paraId="60B0F329" w14:textId="77777777" w:rsidR="001E6F76" w:rsidRPr="00051CDE" w:rsidRDefault="001E6F76" w:rsidP="00887411">
      <w:pPr>
        <w:pStyle w:val="NoSpacing"/>
        <w:spacing w:line="360" w:lineRule="auto"/>
        <w:rPr>
          <w:bCs/>
        </w:rPr>
      </w:pPr>
    </w:p>
    <w:p w14:paraId="7F6D4AFA" w14:textId="77777777" w:rsidR="001E6F76" w:rsidRPr="00051CDE" w:rsidRDefault="001E6F76" w:rsidP="00887411">
      <w:pPr>
        <w:pStyle w:val="NoSpacing"/>
        <w:spacing w:line="360" w:lineRule="auto"/>
        <w:rPr>
          <w:bCs/>
        </w:rPr>
      </w:pPr>
      <w:r w:rsidRPr="00051CDE">
        <w:rPr>
          <w:bCs/>
        </w:rPr>
        <w:t xml:space="preserve">Davies ACL (2012) </w:t>
      </w:r>
      <w:r w:rsidRPr="00051CDE">
        <w:rPr>
          <w:bCs/>
          <w:i/>
        </w:rPr>
        <w:t>EU Employment Law</w:t>
      </w:r>
      <w:r w:rsidRPr="00051CDE">
        <w:rPr>
          <w:bCs/>
        </w:rPr>
        <w:t>. Cheltenham: Edward Elgar.</w:t>
      </w:r>
    </w:p>
    <w:p w14:paraId="1A996855" w14:textId="77777777" w:rsidR="00022A16" w:rsidRPr="00051CDE" w:rsidRDefault="00022A16" w:rsidP="00887411">
      <w:pPr>
        <w:pStyle w:val="NoSpacing"/>
        <w:spacing w:line="360" w:lineRule="auto"/>
        <w:rPr>
          <w:bCs/>
        </w:rPr>
      </w:pPr>
    </w:p>
    <w:p w14:paraId="0A443E94" w14:textId="25AA6250" w:rsidR="00022A16" w:rsidRPr="00051CDE" w:rsidRDefault="00022A16" w:rsidP="00887411">
      <w:pPr>
        <w:pStyle w:val="NoSpacing"/>
        <w:spacing w:line="360" w:lineRule="auto"/>
        <w:rPr>
          <w:bCs/>
        </w:rPr>
      </w:pPr>
      <w:r w:rsidRPr="00051CDE">
        <w:rPr>
          <w:bCs/>
        </w:rPr>
        <w:t xml:space="preserve">Davies, P (2015) Efficiency arguments for the collective representation of workers: a sketch. In: Bogg A, Costello C, Davies ACL and </w:t>
      </w:r>
      <w:proofErr w:type="spellStart"/>
      <w:r w:rsidRPr="00051CDE">
        <w:rPr>
          <w:bCs/>
        </w:rPr>
        <w:t>Prassl</w:t>
      </w:r>
      <w:proofErr w:type="spellEnd"/>
      <w:r w:rsidRPr="00051CDE">
        <w:rPr>
          <w:bCs/>
        </w:rPr>
        <w:t xml:space="preserve"> J</w:t>
      </w:r>
      <w:r w:rsidR="00306C72" w:rsidRPr="00051CDE">
        <w:rPr>
          <w:bCs/>
        </w:rPr>
        <w:t xml:space="preserve"> (</w:t>
      </w:r>
      <w:proofErr w:type="spellStart"/>
      <w:r w:rsidR="00306C72" w:rsidRPr="00051CDE">
        <w:rPr>
          <w:bCs/>
        </w:rPr>
        <w:t>eds</w:t>
      </w:r>
      <w:proofErr w:type="spellEnd"/>
      <w:r w:rsidR="00306C72" w:rsidRPr="00051CDE">
        <w:rPr>
          <w:bCs/>
        </w:rPr>
        <w:t>)</w:t>
      </w:r>
      <w:r w:rsidRPr="00051CDE">
        <w:rPr>
          <w:bCs/>
        </w:rPr>
        <w:t xml:space="preserve"> </w:t>
      </w:r>
      <w:r w:rsidR="00306C72" w:rsidRPr="00051CDE">
        <w:rPr>
          <w:bCs/>
          <w:i/>
        </w:rPr>
        <w:t>The Autonomy of Labour Law</w:t>
      </w:r>
      <w:r w:rsidR="00306C72" w:rsidRPr="00051CDE">
        <w:rPr>
          <w:bCs/>
        </w:rPr>
        <w:t>. London: Hart Publishing, pp. 367-395.</w:t>
      </w:r>
    </w:p>
    <w:p w14:paraId="1EE245EB" w14:textId="77777777" w:rsidR="001E6F76" w:rsidRPr="00051CDE" w:rsidRDefault="001E6F76" w:rsidP="00887411">
      <w:pPr>
        <w:pStyle w:val="NoSpacing"/>
        <w:spacing w:line="360" w:lineRule="auto"/>
      </w:pPr>
    </w:p>
    <w:p w14:paraId="69A10DD4" w14:textId="68F97EC9" w:rsidR="001E6F76" w:rsidRPr="00051CDE" w:rsidRDefault="001E6F76" w:rsidP="00887411">
      <w:pPr>
        <w:pStyle w:val="NoSpacing"/>
        <w:spacing w:line="360" w:lineRule="auto"/>
      </w:pPr>
      <w:r w:rsidRPr="00051CDE">
        <w:t xml:space="preserve">Davis A, Offenbach D, Stevens R and Grant N (2013) </w:t>
      </w:r>
      <w:r w:rsidRPr="00051CDE">
        <w:rPr>
          <w:i/>
        </w:rPr>
        <w:t>Takeovers and the Public Interest: Responsible Capitalism in Practice</w:t>
      </w:r>
      <w:r w:rsidRPr="00051CDE">
        <w:t xml:space="preserve">. Policy Network Paper, July. London: Policy Network. </w:t>
      </w:r>
      <w:r w:rsidRPr="00051CDE">
        <w:lastRenderedPageBreak/>
        <w:t xml:space="preserve">Available at: </w:t>
      </w:r>
      <w:hyperlink r:id="rId13" w:history="1">
        <w:r w:rsidRPr="00051CDE">
          <w:rPr>
            <w:rStyle w:val="Hyperlink"/>
          </w:rPr>
          <w:t>http://www.policy-network.net/publications_detail.aspx?ID=4435</w:t>
        </w:r>
      </w:hyperlink>
      <w:r w:rsidRPr="00051CDE">
        <w:t xml:space="preserve"> (Accessed </w:t>
      </w:r>
      <w:r w:rsidR="002569CA" w:rsidRPr="00051CDE">
        <w:t>23 March 2018</w:t>
      </w:r>
      <w:r w:rsidRPr="00051CDE">
        <w:t>).</w:t>
      </w:r>
    </w:p>
    <w:p w14:paraId="51B2E423" w14:textId="77777777" w:rsidR="002B28BF" w:rsidRPr="00051CDE" w:rsidRDefault="002B28BF" w:rsidP="00887411">
      <w:pPr>
        <w:pStyle w:val="NoSpacing"/>
        <w:spacing w:line="360" w:lineRule="auto"/>
      </w:pPr>
    </w:p>
    <w:p w14:paraId="56E6F64B" w14:textId="7B66E560" w:rsidR="002B28BF" w:rsidRPr="00051CDE" w:rsidRDefault="002B28BF" w:rsidP="00887411">
      <w:pPr>
        <w:pStyle w:val="NoSpacing"/>
        <w:spacing w:line="360" w:lineRule="auto"/>
      </w:pPr>
      <w:r w:rsidRPr="00051CDE">
        <w:t xml:space="preserve">Directive 2004/25/EC of the European Parliament and of the Council of 21 April 2004 on Takeover Bids, </w:t>
      </w:r>
      <w:r w:rsidRPr="00051CDE">
        <w:rPr>
          <w:i/>
        </w:rPr>
        <w:t>Official Journal</w:t>
      </w:r>
      <w:r w:rsidRPr="00051CDE">
        <w:t xml:space="preserve"> L142, 30 April</w:t>
      </w:r>
      <w:r w:rsidR="008E0242" w:rsidRPr="00051CDE">
        <w:t xml:space="preserve">. Luxembourg: Publications Office of the European Union. Available at: </w:t>
      </w:r>
      <w:hyperlink r:id="rId14" w:history="1">
        <w:r w:rsidR="008E0242" w:rsidRPr="00051CDE">
          <w:rPr>
            <w:rStyle w:val="Hyperlink"/>
          </w:rPr>
          <w:t>http://eur-lex.europa.eu/legal-content/EN/TXT/?uri=celex%3A32004L0025</w:t>
        </w:r>
      </w:hyperlink>
      <w:r w:rsidR="008E0242" w:rsidRPr="00051CDE">
        <w:t xml:space="preserve"> (Accessed </w:t>
      </w:r>
      <w:r w:rsidR="00522D64" w:rsidRPr="00051CDE">
        <w:t>23 March 2018</w:t>
      </w:r>
      <w:r w:rsidR="008E0242" w:rsidRPr="00051CDE">
        <w:t>).</w:t>
      </w:r>
    </w:p>
    <w:p w14:paraId="629C6677" w14:textId="77777777" w:rsidR="001E6F76" w:rsidRPr="00051CDE" w:rsidRDefault="001E6F76" w:rsidP="00887411">
      <w:pPr>
        <w:pStyle w:val="NoSpacing"/>
        <w:spacing w:line="360" w:lineRule="auto"/>
      </w:pPr>
    </w:p>
    <w:p w14:paraId="1880226B" w14:textId="77777777" w:rsidR="001E6F76" w:rsidRPr="00051CDE" w:rsidRDefault="001E6F76" w:rsidP="00887411">
      <w:pPr>
        <w:pStyle w:val="NoSpacing"/>
        <w:spacing w:line="360" w:lineRule="auto"/>
      </w:pPr>
      <w:r w:rsidRPr="00051CDE">
        <w:t xml:space="preserve">Edwards V (2007) The directive on takeover bids – not worth the paper it’s written on? </w:t>
      </w:r>
      <w:r w:rsidRPr="00051CDE">
        <w:rPr>
          <w:i/>
        </w:rPr>
        <w:t>European Company and Financial Law Review</w:t>
      </w:r>
      <w:r w:rsidRPr="00051CDE">
        <w:t xml:space="preserve"> 1(4): 416-439.</w:t>
      </w:r>
    </w:p>
    <w:p w14:paraId="06B53273" w14:textId="77777777" w:rsidR="001E6F76" w:rsidRPr="00051CDE" w:rsidRDefault="001E6F76" w:rsidP="00887411">
      <w:pPr>
        <w:pStyle w:val="NoSpacing"/>
        <w:spacing w:line="360" w:lineRule="auto"/>
      </w:pPr>
    </w:p>
    <w:p w14:paraId="705D2C82" w14:textId="58B9DC49" w:rsidR="001E6F76" w:rsidRPr="00051CDE" w:rsidRDefault="001E6F76" w:rsidP="00887411">
      <w:pPr>
        <w:pStyle w:val="NoSpacing"/>
        <w:spacing w:line="360" w:lineRule="auto"/>
      </w:pPr>
      <w:r w:rsidRPr="00051CDE">
        <w:t xml:space="preserve">ETUC (2012) Position on Directive 2004/25/EC on Takeover Bids (Adopted at the Executive Committee on 5-6 December 2012). In: </w:t>
      </w:r>
      <w:r w:rsidRPr="00051CDE">
        <w:rPr>
          <w:i/>
        </w:rPr>
        <w:t>ETUC Resolutions 2012</w:t>
      </w:r>
      <w:r w:rsidR="000908D7" w:rsidRPr="00051CDE">
        <w:t xml:space="preserve">, pp. 199-204. </w:t>
      </w:r>
      <w:r w:rsidRPr="00051CDE">
        <w:t xml:space="preserve">Brussels: European Trade Union Confederation. Available at: </w:t>
      </w:r>
      <w:hyperlink r:id="rId15" w:history="1">
        <w:r w:rsidRPr="00051CDE">
          <w:rPr>
            <w:rStyle w:val="Hyperlink"/>
          </w:rPr>
          <w:t>https://www.etuc.org/IMG/pdf/resolution_2012_EN-4.pdf</w:t>
        </w:r>
      </w:hyperlink>
      <w:r w:rsidRPr="00051CDE">
        <w:t xml:space="preserve"> (Accessed </w:t>
      </w:r>
      <w:r w:rsidR="000908D7" w:rsidRPr="00051CDE">
        <w:t>23 March 2018</w:t>
      </w:r>
      <w:r w:rsidRPr="00051CDE">
        <w:t>).</w:t>
      </w:r>
    </w:p>
    <w:p w14:paraId="4181630C" w14:textId="77777777" w:rsidR="001E6F76" w:rsidRPr="00051CDE" w:rsidRDefault="001E6F76" w:rsidP="00887411">
      <w:pPr>
        <w:pStyle w:val="NoSpacing"/>
        <w:spacing w:line="360" w:lineRule="auto"/>
      </w:pPr>
    </w:p>
    <w:p w14:paraId="1BC1ABE3" w14:textId="77777777" w:rsidR="001E6F76" w:rsidRPr="00051CDE" w:rsidRDefault="001E6F76" w:rsidP="00887411">
      <w:pPr>
        <w:pStyle w:val="NoSpacing"/>
        <w:spacing w:line="360" w:lineRule="auto"/>
      </w:pPr>
      <w:r w:rsidRPr="00051CDE">
        <w:t xml:space="preserve">European Commission (2012) </w:t>
      </w:r>
      <w:r w:rsidRPr="00051CDE">
        <w:rPr>
          <w:i/>
        </w:rPr>
        <w:t>Application of Directive 2004/25/EC on Takeover Bids.</w:t>
      </w:r>
      <w:r w:rsidRPr="00051CDE">
        <w:t xml:space="preserve"> </w:t>
      </w:r>
      <w:r w:rsidRPr="00051CDE">
        <w:rPr>
          <w:i/>
        </w:rPr>
        <w:t>Report from the Commission to the European Parliament, the Council, the European Economic and Social Committee and the Committee of the Regions</w:t>
      </w:r>
      <w:r w:rsidRPr="00051CDE">
        <w:t>, 28 June, COM(2012) 347 final. Brussels: European Commission.</w:t>
      </w:r>
    </w:p>
    <w:p w14:paraId="71341E6E" w14:textId="77777777" w:rsidR="008B54F8" w:rsidRPr="00051CDE" w:rsidRDefault="008B54F8" w:rsidP="00887411">
      <w:pPr>
        <w:pStyle w:val="NoSpacing"/>
        <w:spacing w:line="360" w:lineRule="auto"/>
      </w:pPr>
    </w:p>
    <w:p w14:paraId="77805366" w14:textId="7C95FA3C" w:rsidR="008B54F8" w:rsidRPr="00051CDE" w:rsidRDefault="008B54F8" w:rsidP="00887411">
      <w:pPr>
        <w:pStyle w:val="NoSpacing"/>
        <w:spacing w:line="360" w:lineRule="auto"/>
      </w:pPr>
      <w:r w:rsidRPr="00051CDE">
        <w:t xml:space="preserve">European Commission (2017) </w:t>
      </w:r>
      <w:r w:rsidRPr="00051CDE">
        <w:rPr>
          <w:i/>
        </w:rPr>
        <w:t xml:space="preserve">European Pillar of Social Rights. </w:t>
      </w:r>
      <w:r w:rsidR="00775CE5" w:rsidRPr="00051CDE">
        <w:t xml:space="preserve">16 November. </w:t>
      </w:r>
      <w:r w:rsidRPr="00051CDE">
        <w:t xml:space="preserve">Brussels. Available at: </w:t>
      </w:r>
    </w:p>
    <w:p w14:paraId="322A5102" w14:textId="4C071D3F" w:rsidR="008B54F8" w:rsidRPr="00051CDE" w:rsidRDefault="00ED0BC8" w:rsidP="00887411">
      <w:pPr>
        <w:pStyle w:val="NoSpacing"/>
        <w:spacing w:line="360" w:lineRule="auto"/>
      </w:pPr>
      <w:hyperlink r:id="rId16" w:history="1">
        <w:r w:rsidR="008B54F8" w:rsidRPr="00051CDE">
          <w:rPr>
            <w:rStyle w:val="Hyperlink"/>
          </w:rPr>
          <w:t>https://ec.europa.eu/commission/sites/beta-political/files/social-summit-european-pillar-social-rights-booklet_en.pdf</w:t>
        </w:r>
      </w:hyperlink>
      <w:r w:rsidR="008B54F8" w:rsidRPr="00051CDE">
        <w:t xml:space="preserve"> (Accessed </w:t>
      </w:r>
      <w:r w:rsidR="00A9178A" w:rsidRPr="00051CDE">
        <w:t>23 March 2018</w:t>
      </w:r>
      <w:r w:rsidR="008B54F8" w:rsidRPr="00051CDE">
        <w:t>).</w:t>
      </w:r>
    </w:p>
    <w:p w14:paraId="1ED86116" w14:textId="77777777" w:rsidR="008B54F8" w:rsidRPr="00051CDE" w:rsidRDefault="008B54F8" w:rsidP="00887411">
      <w:pPr>
        <w:pStyle w:val="NoSpacing"/>
        <w:spacing w:line="360" w:lineRule="auto"/>
      </w:pPr>
    </w:p>
    <w:p w14:paraId="47DDB37D" w14:textId="77777777" w:rsidR="001E6F76" w:rsidRPr="00051CDE" w:rsidRDefault="001E6F76" w:rsidP="00887411">
      <w:pPr>
        <w:pStyle w:val="NoSpacing"/>
        <w:spacing w:line="360" w:lineRule="auto"/>
      </w:pPr>
      <w:r w:rsidRPr="00051CDE">
        <w:t xml:space="preserve">Gold M (2010) Employee participation in the EU: The long road to legislation. </w:t>
      </w:r>
      <w:r w:rsidRPr="00051CDE">
        <w:rPr>
          <w:i/>
          <w:iCs/>
        </w:rPr>
        <w:t>Economic and Industrial Democrac</w:t>
      </w:r>
      <w:r w:rsidRPr="00051CDE">
        <w:t>y 31(4s): 9-23.</w:t>
      </w:r>
    </w:p>
    <w:p w14:paraId="1F3B8D6A" w14:textId="77777777" w:rsidR="001E6F76" w:rsidRPr="00051CDE" w:rsidRDefault="001E6F76" w:rsidP="00887411">
      <w:pPr>
        <w:pStyle w:val="NoSpacing"/>
        <w:spacing w:line="360" w:lineRule="auto"/>
      </w:pPr>
    </w:p>
    <w:p w14:paraId="4AACEE87" w14:textId="77777777" w:rsidR="001E6F76" w:rsidRPr="00051CDE" w:rsidRDefault="001E6F76" w:rsidP="00887411">
      <w:pPr>
        <w:pStyle w:val="NoSpacing"/>
        <w:spacing w:line="360" w:lineRule="auto"/>
      </w:pPr>
      <w:r w:rsidRPr="00051CDE">
        <w:t xml:space="preserve">Gospel H, Lockwood G and Willman P (2003) A British dilemma: Disclosure of information for collective bargaining and joint consultation. </w:t>
      </w:r>
      <w:r w:rsidRPr="00051CDE">
        <w:rPr>
          <w:i/>
          <w:iCs/>
        </w:rPr>
        <w:t>Comparative Labor Law and Policy Journal</w:t>
      </w:r>
      <w:r w:rsidRPr="00051CDE">
        <w:t xml:space="preserve"> 22(2/3): 327-350. </w:t>
      </w:r>
    </w:p>
    <w:p w14:paraId="674794C5" w14:textId="77777777" w:rsidR="001E6F76" w:rsidRPr="00051CDE" w:rsidRDefault="001E6F76" w:rsidP="00887411">
      <w:pPr>
        <w:pStyle w:val="NoSpacing"/>
        <w:spacing w:line="360" w:lineRule="auto"/>
        <w:rPr>
          <w:lang w:val="en-IE"/>
        </w:rPr>
      </w:pPr>
    </w:p>
    <w:p w14:paraId="02B2DCC9" w14:textId="77777777" w:rsidR="001E6F76" w:rsidRPr="00051CDE" w:rsidRDefault="001E6F76" w:rsidP="00887411">
      <w:pPr>
        <w:pStyle w:val="NoSpacing"/>
        <w:spacing w:line="360" w:lineRule="auto"/>
        <w:rPr>
          <w:lang w:val="en-IE"/>
        </w:rPr>
      </w:pPr>
      <w:r w:rsidRPr="00051CDE">
        <w:rPr>
          <w:lang w:val="en-IE"/>
        </w:rPr>
        <w:lastRenderedPageBreak/>
        <w:t xml:space="preserve">Hall M and Purcell J (2012) </w:t>
      </w:r>
      <w:r w:rsidRPr="00051CDE">
        <w:rPr>
          <w:i/>
          <w:lang w:val="en-IE"/>
        </w:rPr>
        <w:t>Consultation at Work. Regulation and Practice</w:t>
      </w:r>
      <w:r w:rsidRPr="00051CDE">
        <w:rPr>
          <w:lang w:val="en-IE"/>
        </w:rPr>
        <w:t>. Oxford: Oxford University Press.</w:t>
      </w:r>
    </w:p>
    <w:p w14:paraId="4C0ED936" w14:textId="77777777" w:rsidR="00227B61" w:rsidRPr="00051CDE" w:rsidRDefault="00227B61" w:rsidP="00887411">
      <w:pPr>
        <w:pStyle w:val="NoSpacing"/>
        <w:spacing w:line="360" w:lineRule="auto"/>
        <w:rPr>
          <w:lang w:val="en-IE"/>
        </w:rPr>
      </w:pPr>
    </w:p>
    <w:p w14:paraId="21775286" w14:textId="77777777" w:rsidR="00227B61" w:rsidRPr="00051CDE" w:rsidRDefault="00227B61" w:rsidP="00227B61">
      <w:pPr>
        <w:pStyle w:val="NoSpacing"/>
        <w:spacing w:line="360" w:lineRule="auto"/>
      </w:pPr>
      <w:r w:rsidRPr="00051CDE">
        <w:t>Hall P and Soskice D (</w:t>
      </w:r>
      <w:proofErr w:type="spellStart"/>
      <w:r w:rsidRPr="00051CDE">
        <w:t>eds</w:t>
      </w:r>
      <w:proofErr w:type="spellEnd"/>
      <w:r w:rsidRPr="00051CDE">
        <w:t xml:space="preserve">) (2001) </w:t>
      </w:r>
      <w:r w:rsidRPr="00051CDE">
        <w:rPr>
          <w:i/>
        </w:rPr>
        <w:t>Varieties of Capitalism: The Institutional Foundations of Comparative Advantage</w:t>
      </w:r>
      <w:r w:rsidRPr="00051CDE">
        <w:t>. Oxford: Oxford University Press.</w:t>
      </w:r>
    </w:p>
    <w:p w14:paraId="4907EC95" w14:textId="77777777" w:rsidR="003122CC" w:rsidRPr="00051CDE" w:rsidRDefault="003122CC" w:rsidP="00887411">
      <w:pPr>
        <w:pStyle w:val="NoSpacing"/>
        <w:spacing w:line="360" w:lineRule="auto"/>
        <w:rPr>
          <w:lang w:val="en-IE"/>
        </w:rPr>
      </w:pPr>
    </w:p>
    <w:p w14:paraId="500BEB2B" w14:textId="49AABA57" w:rsidR="003122CC" w:rsidRPr="00051CDE" w:rsidRDefault="003122CC" w:rsidP="00887411">
      <w:pPr>
        <w:pStyle w:val="NoSpacing"/>
        <w:spacing w:line="360" w:lineRule="auto"/>
      </w:pPr>
      <w:proofErr w:type="spellStart"/>
      <w:r w:rsidRPr="00051CDE">
        <w:rPr>
          <w:lang w:val="en-IE"/>
        </w:rPr>
        <w:t>Heuschmid</w:t>
      </w:r>
      <w:proofErr w:type="spellEnd"/>
      <w:r w:rsidRPr="00051CDE">
        <w:rPr>
          <w:lang w:val="en-IE"/>
        </w:rPr>
        <w:t xml:space="preserve"> J (2012) The Protection of Workers under EU Company Law – The Current Position and Future Prospects. In: </w:t>
      </w:r>
      <w:proofErr w:type="spellStart"/>
      <w:r w:rsidRPr="00051CDE">
        <w:rPr>
          <w:lang w:val="en-IE"/>
        </w:rPr>
        <w:t>Vitols</w:t>
      </w:r>
      <w:proofErr w:type="spellEnd"/>
      <w:r w:rsidRPr="00051CDE">
        <w:rPr>
          <w:lang w:val="en-IE"/>
        </w:rPr>
        <w:t xml:space="preserve"> S and </w:t>
      </w:r>
      <w:proofErr w:type="spellStart"/>
      <w:r w:rsidRPr="00051CDE">
        <w:rPr>
          <w:lang w:val="en-IE"/>
        </w:rPr>
        <w:t>Heuschmid</w:t>
      </w:r>
      <w:proofErr w:type="spellEnd"/>
      <w:r w:rsidRPr="00051CDE">
        <w:rPr>
          <w:lang w:val="en-IE"/>
        </w:rPr>
        <w:t xml:space="preserve"> J (</w:t>
      </w:r>
      <w:proofErr w:type="spellStart"/>
      <w:r w:rsidRPr="00051CDE">
        <w:rPr>
          <w:lang w:val="en-IE"/>
        </w:rPr>
        <w:t>eds</w:t>
      </w:r>
      <w:proofErr w:type="spellEnd"/>
      <w:r w:rsidRPr="00051CDE">
        <w:rPr>
          <w:lang w:val="en-IE"/>
        </w:rPr>
        <w:t xml:space="preserve">) </w:t>
      </w:r>
      <w:r w:rsidRPr="00051CDE">
        <w:rPr>
          <w:i/>
          <w:lang w:val="en-IE"/>
        </w:rPr>
        <w:t xml:space="preserve">European Company Law and the </w:t>
      </w:r>
      <w:r w:rsidR="00C14744" w:rsidRPr="00051CDE">
        <w:rPr>
          <w:i/>
          <w:lang w:val="en-IE"/>
        </w:rPr>
        <w:t xml:space="preserve">Sustainable Company: A Stakeholder </w:t>
      </w:r>
      <w:proofErr w:type="spellStart"/>
      <w:r w:rsidR="00C14744" w:rsidRPr="00051CDE">
        <w:rPr>
          <w:i/>
          <w:lang w:val="en-IE"/>
        </w:rPr>
        <w:t>Approach.Vol</w:t>
      </w:r>
      <w:proofErr w:type="spellEnd"/>
      <w:r w:rsidR="00C14744" w:rsidRPr="00051CDE">
        <w:rPr>
          <w:i/>
          <w:lang w:val="en-IE"/>
        </w:rPr>
        <w:t>.</w:t>
      </w:r>
      <w:r w:rsidR="005E7D73" w:rsidRPr="00051CDE">
        <w:rPr>
          <w:i/>
          <w:lang w:val="en-IE"/>
        </w:rPr>
        <w:t xml:space="preserve"> </w:t>
      </w:r>
      <w:r w:rsidR="00C14744" w:rsidRPr="00051CDE">
        <w:rPr>
          <w:i/>
          <w:lang w:val="en-IE"/>
        </w:rPr>
        <w:t>II</w:t>
      </w:r>
      <w:r w:rsidR="00C14744" w:rsidRPr="00051CDE">
        <w:rPr>
          <w:lang w:val="en-IE"/>
        </w:rPr>
        <w:t>.</w:t>
      </w:r>
      <w:r w:rsidR="005E7D73" w:rsidRPr="00051CDE">
        <w:rPr>
          <w:lang w:val="en-IE"/>
        </w:rPr>
        <w:t xml:space="preserve"> </w:t>
      </w:r>
      <w:r w:rsidR="00C14744" w:rsidRPr="00051CDE">
        <w:rPr>
          <w:lang w:val="en-IE"/>
        </w:rPr>
        <w:t>Brussels: European Trade Union Institute, pp. 115-136.</w:t>
      </w:r>
    </w:p>
    <w:p w14:paraId="18C463B6" w14:textId="77777777" w:rsidR="001E6F76" w:rsidRPr="00051CDE" w:rsidRDefault="001E6F76" w:rsidP="00887411">
      <w:pPr>
        <w:pStyle w:val="NoSpacing"/>
        <w:spacing w:line="360" w:lineRule="auto"/>
      </w:pPr>
    </w:p>
    <w:p w14:paraId="4131F217" w14:textId="77777777" w:rsidR="001E6F76" w:rsidRPr="00051CDE" w:rsidRDefault="001E6F76" w:rsidP="00887411">
      <w:pPr>
        <w:pStyle w:val="NoSpacing"/>
        <w:spacing w:line="360" w:lineRule="auto"/>
      </w:pPr>
      <w:r w:rsidRPr="00051CDE">
        <w:t xml:space="preserve">Horn L (2012) </w:t>
      </w:r>
      <w:r w:rsidRPr="00051CDE">
        <w:rPr>
          <w:i/>
        </w:rPr>
        <w:t>Regulating Corporate Governance in the EU: Towards a Marketization of Corporate Control</w:t>
      </w:r>
      <w:r w:rsidRPr="00051CDE">
        <w:t>. Basingstoke: Palgrave Macmillan.</w:t>
      </w:r>
    </w:p>
    <w:p w14:paraId="4F5BF2A0" w14:textId="77777777" w:rsidR="001E6F76" w:rsidRPr="00051CDE" w:rsidRDefault="001E6F76" w:rsidP="00887411">
      <w:pPr>
        <w:pStyle w:val="NoSpacing"/>
        <w:spacing w:line="360" w:lineRule="auto"/>
      </w:pPr>
    </w:p>
    <w:p w14:paraId="2BBF8315" w14:textId="20A4BEB1" w:rsidR="00C14744" w:rsidRPr="00051CDE" w:rsidRDefault="00C14744" w:rsidP="00887411">
      <w:pPr>
        <w:pStyle w:val="NoSpacing"/>
        <w:spacing w:line="360" w:lineRule="auto"/>
      </w:pPr>
      <w:proofErr w:type="spellStart"/>
      <w:r w:rsidRPr="00051CDE">
        <w:t>Jagodzinski</w:t>
      </w:r>
      <w:proofErr w:type="spellEnd"/>
      <w:r w:rsidRPr="00051CDE">
        <w:t xml:space="preserve"> R (ed.) (2015) </w:t>
      </w:r>
      <w:r w:rsidRPr="00051CDE">
        <w:rPr>
          <w:i/>
        </w:rPr>
        <w:t xml:space="preserve">Variations on a Theme? The Implementation of the EWC Recast Directive. </w:t>
      </w:r>
      <w:r w:rsidRPr="00051CDE">
        <w:t xml:space="preserve">Brussels: European Trade Union Institute. </w:t>
      </w:r>
    </w:p>
    <w:p w14:paraId="6D148216" w14:textId="77777777" w:rsidR="00C14744" w:rsidRPr="00051CDE" w:rsidRDefault="00C14744" w:rsidP="00887411">
      <w:pPr>
        <w:pStyle w:val="NoSpacing"/>
        <w:spacing w:line="360" w:lineRule="auto"/>
      </w:pPr>
    </w:p>
    <w:p w14:paraId="1577B62D" w14:textId="77777777" w:rsidR="001E6F76" w:rsidRPr="00051CDE" w:rsidRDefault="001E6F76" w:rsidP="00887411">
      <w:pPr>
        <w:pStyle w:val="NoSpacing"/>
        <w:spacing w:line="360" w:lineRule="auto"/>
      </w:pPr>
      <w:r w:rsidRPr="00051CDE">
        <w:t xml:space="preserve">Johnston A (2009) </w:t>
      </w:r>
      <w:r w:rsidRPr="00051CDE">
        <w:rPr>
          <w:i/>
        </w:rPr>
        <w:t>EC Regulation of Corporate Governance</w:t>
      </w:r>
      <w:r w:rsidRPr="00051CDE">
        <w:t>. Cambridge: Cambridge University Press.</w:t>
      </w:r>
    </w:p>
    <w:p w14:paraId="2C948BDB" w14:textId="77777777" w:rsidR="001E6F76" w:rsidRPr="00051CDE" w:rsidRDefault="001E6F76" w:rsidP="00887411">
      <w:pPr>
        <w:pStyle w:val="NoSpacing"/>
        <w:spacing w:line="360" w:lineRule="auto"/>
      </w:pPr>
    </w:p>
    <w:p w14:paraId="421F2BC2" w14:textId="272B859E" w:rsidR="00DA62D0" w:rsidRPr="00051CDE" w:rsidRDefault="00DA62D0" w:rsidP="00887411">
      <w:pPr>
        <w:pStyle w:val="NoSpacing"/>
        <w:spacing w:line="360" w:lineRule="auto"/>
      </w:pPr>
      <w:r w:rsidRPr="00051CDE">
        <w:t>Johnston</w:t>
      </w:r>
      <w:r w:rsidR="005E7D73" w:rsidRPr="00051CDE">
        <w:t xml:space="preserve"> </w:t>
      </w:r>
      <w:r w:rsidRPr="00051CDE">
        <w:t>A and Njoya W (2014) Employee Voice in Corporate Control Transactions. In: Bogg A and Novitz T</w:t>
      </w:r>
      <w:r w:rsidR="00F52010" w:rsidRPr="00051CDE">
        <w:t xml:space="preserve"> (</w:t>
      </w:r>
      <w:proofErr w:type="spellStart"/>
      <w:r w:rsidR="00F52010" w:rsidRPr="00051CDE">
        <w:t>eds</w:t>
      </w:r>
      <w:proofErr w:type="spellEnd"/>
      <w:r w:rsidR="00F52010" w:rsidRPr="00051CDE">
        <w:t>)</w:t>
      </w:r>
      <w:r w:rsidRPr="00051CDE">
        <w:t xml:space="preserve">, </w:t>
      </w:r>
      <w:r w:rsidRPr="00051CDE">
        <w:rPr>
          <w:i/>
        </w:rPr>
        <w:t>Voices At Work: Continuity and Change in the Common Law World</w:t>
      </w:r>
      <w:r w:rsidR="00C14744" w:rsidRPr="00051CDE">
        <w:t>.</w:t>
      </w:r>
      <w:r w:rsidRPr="00051CDE">
        <w:t xml:space="preserve"> Oxford: Oxford University Press.</w:t>
      </w:r>
      <w:r w:rsidR="00C14744" w:rsidRPr="00051CDE">
        <w:t xml:space="preserve"> (</w:t>
      </w:r>
      <w:r w:rsidR="00C14744" w:rsidRPr="00051CDE">
        <w:rPr>
          <w:color w:val="FF0000"/>
        </w:rPr>
        <w:t>page range??)</w:t>
      </w:r>
    </w:p>
    <w:p w14:paraId="40DE9309" w14:textId="77777777" w:rsidR="00DA62D0" w:rsidRPr="00051CDE" w:rsidRDefault="00DA62D0" w:rsidP="00887411">
      <w:pPr>
        <w:pStyle w:val="NoSpacing"/>
        <w:spacing w:line="360" w:lineRule="auto"/>
      </w:pPr>
    </w:p>
    <w:p w14:paraId="59C60A2D" w14:textId="77777777" w:rsidR="001E6F76" w:rsidRPr="00051CDE" w:rsidRDefault="001E6F76" w:rsidP="00887411">
      <w:pPr>
        <w:pStyle w:val="NoSpacing"/>
        <w:spacing w:line="360" w:lineRule="auto"/>
      </w:pPr>
      <w:r w:rsidRPr="00051CDE">
        <w:t xml:space="preserve">Kay J (2012) </w:t>
      </w:r>
      <w:r w:rsidRPr="00051CDE">
        <w:rPr>
          <w:i/>
        </w:rPr>
        <w:t>The Kay Review of UK Equity Markets and Long-Term Decision-Making</w:t>
      </w:r>
      <w:r w:rsidRPr="00051CDE">
        <w:t>. July. London: Department of Business, Innovation and Skills.</w:t>
      </w:r>
    </w:p>
    <w:p w14:paraId="1D815457" w14:textId="77777777" w:rsidR="001E6F76" w:rsidRPr="00051CDE" w:rsidRDefault="001E6F76" w:rsidP="00887411">
      <w:pPr>
        <w:pStyle w:val="NoSpacing"/>
        <w:spacing w:line="360" w:lineRule="auto"/>
      </w:pPr>
    </w:p>
    <w:p w14:paraId="058D47FA" w14:textId="77777777" w:rsidR="001E6F76" w:rsidRPr="00051CDE" w:rsidRDefault="001E6F76" w:rsidP="00887411">
      <w:pPr>
        <w:pStyle w:val="NoSpacing"/>
        <w:spacing w:line="360" w:lineRule="auto"/>
      </w:pPr>
      <w:proofErr w:type="spellStart"/>
      <w:r w:rsidRPr="00051CDE">
        <w:t>Koukiadaki</w:t>
      </w:r>
      <w:proofErr w:type="spellEnd"/>
      <w:r w:rsidRPr="00051CDE">
        <w:t xml:space="preserve"> A (2011) The evolution of employee involvement in European labour law. </w:t>
      </w:r>
      <w:r w:rsidRPr="00051CDE">
        <w:rPr>
          <w:i/>
        </w:rPr>
        <w:t>ERA Forum</w:t>
      </w:r>
      <w:r w:rsidRPr="00051CDE">
        <w:t>, 11: 601-619.</w:t>
      </w:r>
    </w:p>
    <w:p w14:paraId="180F0868" w14:textId="77777777" w:rsidR="001E6F76" w:rsidRPr="00051CDE" w:rsidRDefault="001E6F76" w:rsidP="00887411">
      <w:pPr>
        <w:pStyle w:val="NoSpacing"/>
        <w:spacing w:line="360" w:lineRule="auto"/>
      </w:pPr>
    </w:p>
    <w:p w14:paraId="13C2354E" w14:textId="77777777" w:rsidR="001E6F76" w:rsidRPr="00051CDE" w:rsidRDefault="001E6F76" w:rsidP="00887411">
      <w:pPr>
        <w:pStyle w:val="NoSpacing"/>
        <w:spacing w:line="360" w:lineRule="auto"/>
      </w:pPr>
      <w:proofErr w:type="spellStart"/>
      <w:r w:rsidRPr="00051CDE">
        <w:t>Marccus</w:t>
      </w:r>
      <w:proofErr w:type="spellEnd"/>
      <w:r w:rsidRPr="00051CDE">
        <w:t xml:space="preserve"> Partners (2012) </w:t>
      </w:r>
      <w:r w:rsidRPr="00051CDE">
        <w:rPr>
          <w:i/>
        </w:rPr>
        <w:t>Study on the Application of Directive 2004/25/EC on Takeover Bids</w:t>
      </w:r>
      <w:r w:rsidRPr="00051CDE">
        <w:t>, in co-operation with the Centre for European Policy Studies, June. Brussels.</w:t>
      </w:r>
    </w:p>
    <w:p w14:paraId="286B343A" w14:textId="77777777" w:rsidR="00A01401" w:rsidRPr="00051CDE" w:rsidRDefault="00A01401" w:rsidP="00887411">
      <w:pPr>
        <w:pStyle w:val="NoSpacing"/>
        <w:spacing w:line="360" w:lineRule="auto"/>
      </w:pPr>
    </w:p>
    <w:p w14:paraId="33BF5DE7" w14:textId="6B48C9EF" w:rsidR="00A01401" w:rsidRPr="00051CDE" w:rsidRDefault="00A01401" w:rsidP="00887411">
      <w:pPr>
        <w:pStyle w:val="NoSpacing"/>
        <w:spacing w:line="360" w:lineRule="auto"/>
      </w:pPr>
      <w:r w:rsidRPr="00051CDE">
        <w:lastRenderedPageBreak/>
        <w:t xml:space="preserve">Official Journal of the European Union (2010) </w:t>
      </w:r>
      <w:r w:rsidRPr="00051CDE">
        <w:rPr>
          <w:i/>
        </w:rPr>
        <w:t>EU Charter of Fundamental Rights</w:t>
      </w:r>
      <w:r w:rsidRPr="00051CDE">
        <w:t>. C83, 30 March. Brussels.</w:t>
      </w:r>
    </w:p>
    <w:p w14:paraId="1C83BBAB" w14:textId="77777777" w:rsidR="001E6F76" w:rsidRPr="00051CDE" w:rsidRDefault="001E6F76" w:rsidP="00887411">
      <w:pPr>
        <w:pStyle w:val="NoSpacing"/>
        <w:spacing w:line="360" w:lineRule="auto"/>
      </w:pPr>
    </w:p>
    <w:p w14:paraId="04C349CB" w14:textId="77777777" w:rsidR="001E6F76" w:rsidRPr="00051CDE" w:rsidRDefault="001E6F76" w:rsidP="00887411">
      <w:pPr>
        <w:autoSpaceDE w:val="0"/>
        <w:autoSpaceDN w:val="0"/>
        <w:adjustRightInd w:val="0"/>
        <w:spacing w:after="0" w:line="360" w:lineRule="auto"/>
        <w:rPr>
          <w:rFonts w:ascii="Times New Roman" w:hAnsi="Times New Roman" w:cs="Times New Roman"/>
          <w:bCs/>
          <w:sz w:val="24"/>
          <w:szCs w:val="24"/>
        </w:rPr>
      </w:pPr>
      <w:r w:rsidRPr="00051CDE">
        <w:rPr>
          <w:rFonts w:ascii="Times New Roman" w:hAnsi="Times New Roman" w:cs="Times New Roman"/>
          <w:sz w:val="24"/>
          <w:szCs w:val="24"/>
        </w:rPr>
        <w:t xml:space="preserve">Pendleton A (2016) The employment effects of takeovers. In: </w:t>
      </w:r>
      <w:proofErr w:type="spellStart"/>
      <w:r w:rsidRPr="00051CDE">
        <w:rPr>
          <w:rFonts w:ascii="Times New Roman" w:hAnsi="Times New Roman" w:cs="Times New Roman"/>
          <w:bCs/>
          <w:sz w:val="24"/>
          <w:szCs w:val="24"/>
        </w:rPr>
        <w:t>Cremers</w:t>
      </w:r>
      <w:proofErr w:type="spellEnd"/>
      <w:r w:rsidRPr="00051CDE">
        <w:rPr>
          <w:rFonts w:ascii="Times New Roman" w:hAnsi="Times New Roman" w:cs="Times New Roman"/>
          <w:bCs/>
          <w:sz w:val="24"/>
          <w:szCs w:val="24"/>
        </w:rPr>
        <w:t xml:space="preserve"> J and Vitols S (</w:t>
      </w:r>
      <w:proofErr w:type="spellStart"/>
      <w:r w:rsidRPr="00051CDE">
        <w:rPr>
          <w:rFonts w:ascii="Times New Roman" w:hAnsi="Times New Roman" w:cs="Times New Roman"/>
          <w:bCs/>
          <w:sz w:val="24"/>
          <w:szCs w:val="24"/>
        </w:rPr>
        <w:t>eds</w:t>
      </w:r>
      <w:proofErr w:type="spellEnd"/>
      <w:r w:rsidRPr="00051CDE">
        <w:rPr>
          <w:rFonts w:ascii="Times New Roman" w:hAnsi="Times New Roman" w:cs="Times New Roman"/>
          <w:bCs/>
          <w:sz w:val="24"/>
          <w:szCs w:val="24"/>
        </w:rPr>
        <w:t xml:space="preserve">) </w:t>
      </w:r>
      <w:r w:rsidRPr="00051CDE">
        <w:rPr>
          <w:rFonts w:ascii="Times New Roman" w:hAnsi="Times New Roman" w:cs="Times New Roman"/>
          <w:bCs/>
          <w:i/>
          <w:sz w:val="24"/>
          <w:szCs w:val="24"/>
        </w:rPr>
        <w:t>Takeovers with or without Worker Voice: Workers’ Rights under the EU Takeover Bids Directive</w:t>
      </w:r>
      <w:r w:rsidRPr="00051CDE">
        <w:rPr>
          <w:rFonts w:ascii="Times New Roman" w:hAnsi="Times New Roman" w:cs="Times New Roman"/>
          <w:bCs/>
          <w:sz w:val="24"/>
          <w:szCs w:val="24"/>
        </w:rPr>
        <w:t xml:space="preserve">. Brussels: European Trade Union Institute, pp. 71-86. </w:t>
      </w:r>
    </w:p>
    <w:p w14:paraId="52F2ACD6" w14:textId="77777777" w:rsidR="001E6F76" w:rsidRPr="00051CDE" w:rsidRDefault="001E6F76" w:rsidP="00887411">
      <w:pPr>
        <w:autoSpaceDE w:val="0"/>
        <w:autoSpaceDN w:val="0"/>
        <w:adjustRightInd w:val="0"/>
        <w:spacing w:after="0" w:line="360" w:lineRule="auto"/>
        <w:rPr>
          <w:rFonts w:ascii="Times New Roman" w:hAnsi="Times New Roman" w:cs="Times New Roman"/>
          <w:bCs/>
          <w:sz w:val="24"/>
          <w:szCs w:val="24"/>
        </w:rPr>
      </w:pPr>
    </w:p>
    <w:p w14:paraId="42DD8182" w14:textId="77777777" w:rsidR="001E6F76" w:rsidRPr="00051CDE" w:rsidRDefault="001E6F76" w:rsidP="00887411">
      <w:pPr>
        <w:autoSpaceDE w:val="0"/>
        <w:autoSpaceDN w:val="0"/>
        <w:adjustRightInd w:val="0"/>
        <w:spacing w:after="0" w:line="360" w:lineRule="auto"/>
        <w:rPr>
          <w:rFonts w:ascii="Times New Roman" w:hAnsi="Times New Roman" w:cs="Times New Roman"/>
          <w:bCs/>
          <w:sz w:val="24"/>
          <w:szCs w:val="24"/>
        </w:rPr>
      </w:pPr>
      <w:r w:rsidRPr="00051CDE">
        <w:rPr>
          <w:rFonts w:ascii="Times New Roman" w:hAnsi="Times New Roman" w:cs="Times New Roman"/>
          <w:bCs/>
          <w:sz w:val="24"/>
          <w:szCs w:val="24"/>
        </w:rPr>
        <w:t xml:space="preserve">Schenk H (2016) The takeover bids directive’s flawed economics jeopardises our wealth. In: </w:t>
      </w:r>
      <w:proofErr w:type="spellStart"/>
      <w:r w:rsidRPr="00051CDE">
        <w:rPr>
          <w:rFonts w:ascii="Times New Roman" w:hAnsi="Times New Roman" w:cs="Times New Roman"/>
          <w:bCs/>
          <w:sz w:val="24"/>
          <w:szCs w:val="24"/>
        </w:rPr>
        <w:t>Cremers</w:t>
      </w:r>
      <w:proofErr w:type="spellEnd"/>
      <w:r w:rsidRPr="00051CDE">
        <w:rPr>
          <w:rFonts w:ascii="Times New Roman" w:hAnsi="Times New Roman" w:cs="Times New Roman"/>
          <w:bCs/>
          <w:sz w:val="24"/>
          <w:szCs w:val="24"/>
        </w:rPr>
        <w:t xml:space="preserve"> J and Vitols S (</w:t>
      </w:r>
      <w:proofErr w:type="spellStart"/>
      <w:r w:rsidRPr="00051CDE">
        <w:rPr>
          <w:rFonts w:ascii="Times New Roman" w:hAnsi="Times New Roman" w:cs="Times New Roman"/>
          <w:bCs/>
          <w:sz w:val="24"/>
          <w:szCs w:val="24"/>
        </w:rPr>
        <w:t>eds</w:t>
      </w:r>
      <w:proofErr w:type="spellEnd"/>
      <w:r w:rsidRPr="00051CDE">
        <w:rPr>
          <w:rFonts w:ascii="Times New Roman" w:hAnsi="Times New Roman" w:cs="Times New Roman"/>
          <w:bCs/>
          <w:sz w:val="24"/>
          <w:szCs w:val="24"/>
        </w:rPr>
        <w:t xml:space="preserve">) </w:t>
      </w:r>
      <w:r w:rsidRPr="00051CDE">
        <w:rPr>
          <w:rFonts w:ascii="Times New Roman" w:hAnsi="Times New Roman" w:cs="Times New Roman"/>
          <w:bCs/>
          <w:i/>
          <w:sz w:val="24"/>
          <w:szCs w:val="24"/>
        </w:rPr>
        <w:t>Takeovers with or without Worker Voice: Workers’ Rights under the EU Takeover Bids Directive</w:t>
      </w:r>
      <w:r w:rsidRPr="00051CDE">
        <w:rPr>
          <w:rFonts w:ascii="Times New Roman" w:hAnsi="Times New Roman" w:cs="Times New Roman"/>
          <w:bCs/>
          <w:sz w:val="24"/>
          <w:szCs w:val="24"/>
        </w:rPr>
        <w:t>. Brussels: European Trade Union Institute, pp. 51-70.</w:t>
      </w:r>
    </w:p>
    <w:p w14:paraId="6277D7F9" w14:textId="77777777" w:rsidR="00A01401" w:rsidRPr="00051CDE" w:rsidRDefault="00A01401" w:rsidP="00887411">
      <w:pPr>
        <w:autoSpaceDE w:val="0"/>
        <w:autoSpaceDN w:val="0"/>
        <w:adjustRightInd w:val="0"/>
        <w:spacing w:after="0" w:line="360" w:lineRule="auto"/>
        <w:rPr>
          <w:rFonts w:ascii="Times New Roman" w:hAnsi="Times New Roman" w:cs="Times New Roman"/>
          <w:bCs/>
          <w:sz w:val="24"/>
          <w:szCs w:val="24"/>
        </w:rPr>
      </w:pPr>
    </w:p>
    <w:p w14:paraId="2AA558EE" w14:textId="6C55028A" w:rsidR="00A01401" w:rsidRPr="00051CDE" w:rsidRDefault="00A01401" w:rsidP="00887411">
      <w:pPr>
        <w:autoSpaceDE w:val="0"/>
        <w:autoSpaceDN w:val="0"/>
        <w:adjustRightInd w:val="0"/>
        <w:spacing w:after="0" w:line="360" w:lineRule="auto"/>
        <w:rPr>
          <w:rFonts w:ascii="Times New Roman" w:hAnsi="Times New Roman" w:cs="Times New Roman"/>
          <w:bCs/>
          <w:sz w:val="24"/>
          <w:szCs w:val="24"/>
        </w:rPr>
      </w:pPr>
      <w:proofErr w:type="spellStart"/>
      <w:r w:rsidRPr="00051CDE">
        <w:rPr>
          <w:rFonts w:ascii="Times New Roman" w:hAnsi="Times New Roman" w:cs="Times New Roman"/>
          <w:bCs/>
          <w:sz w:val="24"/>
          <w:szCs w:val="24"/>
        </w:rPr>
        <w:t>Schömann</w:t>
      </w:r>
      <w:proofErr w:type="spellEnd"/>
      <w:r w:rsidRPr="00051CDE">
        <w:rPr>
          <w:rFonts w:ascii="Times New Roman" w:hAnsi="Times New Roman" w:cs="Times New Roman"/>
          <w:bCs/>
          <w:sz w:val="24"/>
          <w:szCs w:val="24"/>
        </w:rPr>
        <w:t xml:space="preserve"> I (2012) The Current State of Information and Consultation Rights in the European Union. In: Vitols S and </w:t>
      </w:r>
      <w:proofErr w:type="spellStart"/>
      <w:r w:rsidRPr="00051CDE">
        <w:rPr>
          <w:rFonts w:ascii="Times New Roman" w:hAnsi="Times New Roman" w:cs="Times New Roman"/>
          <w:bCs/>
          <w:sz w:val="24"/>
          <w:szCs w:val="24"/>
        </w:rPr>
        <w:t>Heuschmid</w:t>
      </w:r>
      <w:proofErr w:type="spellEnd"/>
      <w:r w:rsidRPr="00051CDE">
        <w:rPr>
          <w:rFonts w:ascii="Times New Roman" w:hAnsi="Times New Roman" w:cs="Times New Roman"/>
          <w:bCs/>
          <w:sz w:val="24"/>
          <w:szCs w:val="24"/>
        </w:rPr>
        <w:t xml:space="preserve"> J (</w:t>
      </w:r>
      <w:proofErr w:type="spellStart"/>
      <w:r w:rsidRPr="00051CDE">
        <w:rPr>
          <w:rFonts w:ascii="Times New Roman" w:hAnsi="Times New Roman" w:cs="Times New Roman"/>
          <w:bCs/>
          <w:sz w:val="24"/>
          <w:szCs w:val="24"/>
        </w:rPr>
        <w:t>eds</w:t>
      </w:r>
      <w:proofErr w:type="spellEnd"/>
      <w:r w:rsidRPr="00051CDE">
        <w:rPr>
          <w:rFonts w:ascii="Times New Roman" w:hAnsi="Times New Roman" w:cs="Times New Roman"/>
          <w:bCs/>
          <w:sz w:val="24"/>
          <w:szCs w:val="24"/>
        </w:rPr>
        <w:t xml:space="preserve">) (2012) </w:t>
      </w:r>
      <w:r w:rsidRPr="00051CDE">
        <w:rPr>
          <w:rFonts w:ascii="Times New Roman" w:hAnsi="Times New Roman" w:cs="Times New Roman"/>
          <w:bCs/>
          <w:i/>
          <w:sz w:val="24"/>
          <w:szCs w:val="24"/>
        </w:rPr>
        <w:t>European Company Law and the Sustainable Company: A Stakeholder Ap</w:t>
      </w:r>
      <w:r w:rsidR="005E7D73" w:rsidRPr="00051CDE">
        <w:rPr>
          <w:rFonts w:ascii="Times New Roman" w:hAnsi="Times New Roman" w:cs="Times New Roman"/>
          <w:bCs/>
          <w:i/>
          <w:sz w:val="24"/>
          <w:szCs w:val="24"/>
        </w:rPr>
        <w:t>p</w:t>
      </w:r>
      <w:r w:rsidRPr="00051CDE">
        <w:rPr>
          <w:rFonts w:ascii="Times New Roman" w:hAnsi="Times New Roman" w:cs="Times New Roman"/>
          <w:bCs/>
          <w:i/>
          <w:sz w:val="24"/>
          <w:szCs w:val="24"/>
        </w:rPr>
        <w:t>roach, Vol.</w:t>
      </w:r>
      <w:r w:rsidR="005E7D73" w:rsidRPr="00051CDE">
        <w:rPr>
          <w:rFonts w:ascii="Times New Roman" w:hAnsi="Times New Roman" w:cs="Times New Roman"/>
          <w:bCs/>
          <w:i/>
          <w:sz w:val="24"/>
          <w:szCs w:val="24"/>
        </w:rPr>
        <w:t xml:space="preserve"> </w:t>
      </w:r>
      <w:r w:rsidRPr="00051CDE">
        <w:rPr>
          <w:rFonts w:ascii="Times New Roman" w:hAnsi="Times New Roman" w:cs="Times New Roman"/>
          <w:bCs/>
          <w:i/>
          <w:sz w:val="24"/>
          <w:szCs w:val="24"/>
        </w:rPr>
        <w:t>II</w:t>
      </w:r>
      <w:r w:rsidRPr="00051CDE">
        <w:rPr>
          <w:rFonts w:ascii="Times New Roman" w:hAnsi="Times New Roman" w:cs="Times New Roman"/>
          <w:bCs/>
          <w:sz w:val="24"/>
          <w:szCs w:val="24"/>
        </w:rPr>
        <w:t>. Brussels: European Trade Union Institute, pp.211-222.</w:t>
      </w:r>
    </w:p>
    <w:p w14:paraId="4E8C3F8B" w14:textId="77777777" w:rsidR="00F52010" w:rsidRPr="00051CDE" w:rsidRDefault="00F52010" w:rsidP="00887411">
      <w:pPr>
        <w:autoSpaceDE w:val="0"/>
        <w:autoSpaceDN w:val="0"/>
        <w:adjustRightInd w:val="0"/>
        <w:spacing w:after="0" w:line="360" w:lineRule="auto"/>
        <w:rPr>
          <w:rFonts w:ascii="Times New Roman" w:hAnsi="Times New Roman" w:cs="Times New Roman"/>
          <w:bCs/>
          <w:sz w:val="24"/>
          <w:szCs w:val="24"/>
        </w:rPr>
      </w:pPr>
    </w:p>
    <w:p w14:paraId="756E94C7" w14:textId="76F31FD0" w:rsidR="00F52010" w:rsidRPr="00051CDE" w:rsidRDefault="00F52010" w:rsidP="00887411">
      <w:pPr>
        <w:autoSpaceDE w:val="0"/>
        <w:autoSpaceDN w:val="0"/>
        <w:adjustRightInd w:val="0"/>
        <w:spacing w:after="0" w:line="360" w:lineRule="auto"/>
        <w:rPr>
          <w:rFonts w:ascii="Times New Roman" w:hAnsi="Times New Roman" w:cs="Times New Roman"/>
          <w:bCs/>
          <w:sz w:val="24"/>
          <w:szCs w:val="24"/>
        </w:rPr>
      </w:pPr>
      <w:r w:rsidRPr="00051CDE">
        <w:rPr>
          <w:rFonts w:ascii="Times New Roman" w:hAnsi="Times New Roman" w:cs="Times New Roman"/>
          <w:bCs/>
          <w:sz w:val="24"/>
          <w:szCs w:val="24"/>
        </w:rPr>
        <w:t xml:space="preserve">Summers J and Hyman J (2005) </w:t>
      </w:r>
      <w:r w:rsidRPr="00051CDE">
        <w:rPr>
          <w:rFonts w:ascii="Times New Roman" w:hAnsi="Times New Roman" w:cs="Times New Roman"/>
          <w:bCs/>
          <w:i/>
          <w:sz w:val="24"/>
          <w:szCs w:val="24"/>
        </w:rPr>
        <w:t>Employee Participation and Company Performance: A Review of the Literature</w:t>
      </w:r>
      <w:r w:rsidRPr="00051CDE">
        <w:rPr>
          <w:rFonts w:ascii="Times New Roman" w:hAnsi="Times New Roman" w:cs="Times New Roman"/>
          <w:bCs/>
          <w:sz w:val="24"/>
          <w:szCs w:val="24"/>
        </w:rPr>
        <w:t>. Work and Opportunity Series No.33. York: Joseph Rowntree Foundation.</w:t>
      </w:r>
    </w:p>
    <w:p w14:paraId="46BE240E" w14:textId="77777777" w:rsidR="001E6F76" w:rsidRPr="00051CDE" w:rsidRDefault="001E6F76" w:rsidP="00887411">
      <w:pPr>
        <w:autoSpaceDE w:val="0"/>
        <w:autoSpaceDN w:val="0"/>
        <w:adjustRightInd w:val="0"/>
        <w:spacing w:after="0" w:line="360" w:lineRule="auto"/>
        <w:rPr>
          <w:rFonts w:ascii="Times New Roman" w:hAnsi="Times New Roman" w:cs="Times New Roman"/>
          <w:bCs/>
          <w:sz w:val="24"/>
          <w:szCs w:val="24"/>
        </w:rPr>
      </w:pPr>
    </w:p>
    <w:p w14:paraId="077A0009" w14:textId="77777777" w:rsidR="001E6F76" w:rsidRPr="00051CDE" w:rsidRDefault="001E6F76" w:rsidP="00887411">
      <w:pPr>
        <w:pStyle w:val="Default"/>
        <w:spacing w:line="360" w:lineRule="auto"/>
      </w:pPr>
      <w:r w:rsidRPr="00051CDE">
        <w:t xml:space="preserve">Takeover Panel (2010) </w:t>
      </w:r>
      <w:r w:rsidRPr="00051CDE">
        <w:rPr>
          <w:i/>
        </w:rPr>
        <w:t>Kraft Foods Inc. (‘Kraft’) Offer for Cadbury PLC (‘Cadbury’).</w:t>
      </w:r>
      <w:r w:rsidRPr="00051CDE">
        <w:t xml:space="preserve"> Panel Statement 2010/14. 26 May. London: Takeover Panel: Available at: </w:t>
      </w:r>
      <w:hyperlink r:id="rId17" w:history="1">
        <w:r w:rsidRPr="00051CDE">
          <w:rPr>
            <w:rStyle w:val="Hyperlink"/>
          </w:rPr>
          <w:t>http://www.thetakeoverpanel.org.uk/wp-content/uploads/2009/12/2010-14.pdf</w:t>
        </w:r>
      </w:hyperlink>
    </w:p>
    <w:p w14:paraId="6E600FAA" w14:textId="6F3233FF" w:rsidR="001E6F76" w:rsidRPr="00051CDE" w:rsidRDefault="001E6F76" w:rsidP="00887411">
      <w:pPr>
        <w:pStyle w:val="Default"/>
        <w:spacing w:line="360" w:lineRule="auto"/>
      </w:pPr>
      <w:r w:rsidRPr="00051CDE">
        <w:t xml:space="preserve">(Accessed </w:t>
      </w:r>
      <w:r w:rsidR="00A9178A" w:rsidRPr="00051CDE">
        <w:t>23 March 2018</w:t>
      </w:r>
      <w:r w:rsidRPr="00051CDE">
        <w:t>).</w:t>
      </w:r>
    </w:p>
    <w:p w14:paraId="7645E803" w14:textId="77777777" w:rsidR="001E6F76" w:rsidRPr="00051CDE" w:rsidRDefault="001E6F76" w:rsidP="00887411">
      <w:pPr>
        <w:autoSpaceDE w:val="0"/>
        <w:autoSpaceDN w:val="0"/>
        <w:adjustRightInd w:val="0"/>
        <w:spacing w:after="0" w:line="360" w:lineRule="auto"/>
        <w:rPr>
          <w:rFonts w:ascii="Times New Roman" w:hAnsi="Times New Roman" w:cs="Times New Roman"/>
          <w:bCs/>
          <w:sz w:val="24"/>
          <w:szCs w:val="24"/>
        </w:rPr>
      </w:pPr>
    </w:p>
    <w:p w14:paraId="72E2B3A6" w14:textId="2A6B99B8" w:rsidR="001E6F76" w:rsidRDefault="001E6F76" w:rsidP="00887411">
      <w:pPr>
        <w:pStyle w:val="NoSpacing"/>
        <w:spacing w:line="360" w:lineRule="auto"/>
      </w:pPr>
      <w:r w:rsidRPr="00051CDE">
        <w:t xml:space="preserve">Takeover Panel (2011) </w:t>
      </w:r>
      <w:r w:rsidRPr="00051CDE">
        <w:rPr>
          <w:i/>
        </w:rPr>
        <w:t>Review of Certain Aspects of the Regulation of Takeover Bids: Response Statement by the Code Committee of the Panel Following the Consultation on PCP 2011/1</w:t>
      </w:r>
      <w:r w:rsidRPr="00051CDE">
        <w:t xml:space="preserve">. RS 2011/1. 21 July. London: Takeover Panel. Available at: </w:t>
      </w:r>
      <w:hyperlink r:id="rId18" w:history="1">
        <w:r w:rsidRPr="00051CDE">
          <w:rPr>
            <w:rStyle w:val="Hyperlink"/>
          </w:rPr>
          <w:t>http://www.thetakeoverpanel.org.uk/wp-content/uploads/2008/11/RS201101.pdf</w:t>
        </w:r>
      </w:hyperlink>
      <w:r w:rsidRPr="00051CDE">
        <w:t xml:space="preserve"> (Accessed </w:t>
      </w:r>
      <w:r w:rsidR="00A9178A" w:rsidRPr="00051CDE">
        <w:t>23 March 2018</w:t>
      </w:r>
      <w:r w:rsidRPr="00051CDE">
        <w:t xml:space="preserve">). </w:t>
      </w:r>
    </w:p>
    <w:p w14:paraId="44BDE1A5" w14:textId="77777777" w:rsidR="00E10206" w:rsidRDefault="00E10206" w:rsidP="00887411">
      <w:pPr>
        <w:pStyle w:val="NoSpacing"/>
        <w:spacing w:line="360" w:lineRule="auto"/>
      </w:pPr>
    </w:p>
    <w:p w14:paraId="5CA856F7" w14:textId="18243A45" w:rsidR="00E10206" w:rsidRPr="00051CDE" w:rsidRDefault="00E10206" w:rsidP="00E10206">
      <w:pPr>
        <w:pStyle w:val="Default"/>
        <w:spacing w:line="360" w:lineRule="auto"/>
      </w:pPr>
      <w:r>
        <w:t xml:space="preserve">Takeover Panel (2017a) </w:t>
      </w:r>
      <w:r>
        <w:rPr>
          <w:i/>
        </w:rPr>
        <w:t xml:space="preserve">Consultation Paper Issued by the Code Committee of the Panel. Statements of Intention and Related Matters. </w:t>
      </w:r>
      <w:r>
        <w:t xml:space="preserve">PCP 2017/2. 19 September. London: Takeover </w:t>
      </w:r>
      <w:r>
        <w:lastRenderedPageBreak/>
        <w:t xml:space="preserve">Panel. Available at: </w:t>
      </w:r>
      <w:hyperlink r:id="rId19" w:history="1">
        <w:r w:rsidRPr="00AC7A19">
          <w:rPr>
            <w:rStyle w:val="Hyperlink"/>
          </w:rPr>
          <w:t>http://www.thetakeoverpanel.org.uk/wp-content/uploads/2017/09/PCP-re-statements-of-intention-September-2017.pdf</w:t>
        </w:r>
      </w:hyperlink>
      <w:r>
        <w:t xml:space="preserve"> (Accessed 20 April 2018).</w:t>
      </w:r>
    </w:p>
    <w:p w14:paraId="329FE954" w14:textId="77777777" w:rsidR="00E10206" w:rsidRDefault="00E10206" w:rsidP="005F15E6">
      <w:pPr>
        <w:pStyle w:val="EndnoteText"/>
        <w:spacing w:line="360" w:lineRule="auto"/>
        <w:rPr>
          <w:rFonts w:ascii="Times New Roman" w:hAnsi="Times New Roman" w:cs="Times New Roman"/>
          <w:sz w:val="24"/>
          <w:szCs w:val="24"/>
        </w:rPr>
      </w:pPr>
    </w:p>
    <w:p w14:paraId="637EFC13" w14:textId="62341A7C" w:rsidR="005F15E6" w:rsidRPr="00051CDE" w:rsidRDefault="005F15E6" w:rsidP="005F15E6">
      <w:pPr>
        <w:pStyle w:val="EndnoteText"/>
        <w:spacing w:line="360" w:lineRule="auto"/>
        <w:rPr>
          <w:rFonts w:ascii="Times New Roman" w:hAnsi="Times New Roman" w:cs="Times New Roman"/>
          <w:sz w:val="24"/>
          <w:szCs w:val="24"/>
        </w:rPr>
      </w:pPr>
      <w:r w:rsidRPr="00051CDE">
        <w:rPr>
          <w:rFonts w:ascii="Times New Roman" w:hAnsi="Times New Roman" w:cs="Times New Roman"/>
          <w:sz w:val="24"/>
          <w:szCs w:val="24"/>
        </w:rPr>
        <w:t>Takeover Panel (2017</w:t>
      </w:r>
      <w:r w:rsidR="00E10206">
        <w:rPr>
          <w:rFonts w:ascii="Times New Roman" w:hAnsi="Times New Roman" w:cs="Times New Roman"/>
          <w:sz w:val="24"/>
          <w:szCs w:val="24"/>
        </w:rPr>
        <w:t>b)</w:t>
      </w:r>
      <w:r w:rsidRPr="00051CDE">
        <w:rPr>
          <w:rFonts w:ascii="Times New Roman" w:hAnsi="Times New Roman" w:cs="Times New Roman"/>
          <w:sz w:val="24"/>
          <w:szCs w:val="24"/>
        </w:rPr>
        <w:t xml:space="preserve"> </w:t>
      </w:r>
      <w:r w:rsidRPr="00051CDE">
        <w:rPr>
          <w:rFonts w:ascii="Times New Roman" w:hAnsi="Times New Roman" w:cs="Times New Roman"/>
          <w:i/>
          <w:sz w:val="24"/>
          <w:szCs w:val="24"/>
        </w:rPr>
        <w:t>Rangers International Football Club Plc (‘Rangers’)</w:t>
      </w:r>
      <w:r w:rsidRPr="00051CDE">
        <w:rPr>
          <w:rFonts w:ascii="Times New Roman" w:hAnsi="Times New Roman" w:cs="Times New Roman"/>
          <w:sz w:val="24"/>
          <w:szCs w:val="24"/>
        </w:rPr>
        <w:t xml:space="preserve">. Panel Statement 2017/8, 13 April. London: Takeover Panel. Available at: </w:t>
      </w:r>
      <w:hyperlink r:id="rId20" w:history="1">
        <w:r w:rsidRPr="00051CDE">
          <w:rPr>
            <w:rStyle w:val="Hyperlink"/>
            <w:rFonts w:ascii="Times New Roman" w:hAnsi="Times New Roman" w:cs="Times New Roman"/>
            <w:sz w:val="24"/>
            <w:szCs w:val="24"/>
          </w:rPr>
          <w:t>http://www.thetakeoverpanel.org.uk/wp-content/uploads/2017/04/2017_8.pdf</w:t>
        </w:r>
      </w:hyperlink>
      <w:r w:rsidRPr="00051CDE">
        <w:rPr>
          <w:rFonts w:ascii="Times New Roman" w:hAnsi="Times New Roman" w:cs="Times New Roman"/>
          <w:sz w:val="24"/>
          <w:szCs w:val="24"/>
        </w:rPr>
        <w:t xml:space="preserve"> (Accessed 23 March 2018). </w:t>
      </w:r>
    </w:p>
    <w:p w14:paraId="3FBD7D5C" w14:textId="77777777" w:rsidR="005F15E6" w:rsidRPr="00051CDE" w:rsidRDefault="005F15E6" w:rsidP="00887411">
      <w:pPr>
        <w:pStyle w:val="Default"/>
        <w:spacing w:line="360" w:lineRule="auto"/>
      </w:pPr>
    </w:p>
    <w:p w14:paraId="3209A8DC" w14:textId="479BA5CE" w:rsidR="001E6F76" w:rsidRPr="00051CDE" w:rsidRDefault="001E6F76" w:rsidP="00887411">
      <w:pPr>
        <w:pStyle w:val="EndnoteText"/>
        <w:spacing w:line="360" w:lineRule="auto"/>
        <w:rPr>
          <w:rFonts w:ascii="Times New Roman" w:hAnsi="Times New Roman" w:cs="Times New Roman"/>
          <w:sz w:val="24"/>
          <w:szCs w:val="24"/>
        </w:rPr>
      </w:pPr>
      <w:r w:rsidRPr="00051CDE">
        <w:rPr>
          <w:rFonts w:ascii="Times New Roman" w:hAnsi="Times New Roman" w:cs="Times New Roman"/>
          <w:sz w:val="24"/>
          <w:szCs w:val="24"/>
        </w:rPr>
        <w:t xml:space="preserve">Takeover Panel Code Committee (2012) </w:t>
      </w:r>
      <w:r w:rsidRPr="00051CDE">
        <w:rPr>
          <w:rFonts w:ascii="Times New Roman" w:hAnsi="Times New Roman" w:cs="Times New Roman"/>
          <w:i/>
          <w:sz w:val="24"/>
          <w:szCs w:val="24"/>
        </w:rPr>
        <w:t>Review of the 2011 Amendments to the Takeover Code</w:t>
      </w:r>
      <w:r w:rsidRPr="00051CDE">
        <w:rPr>
          <w:rFonts w:ascii="Times New Roman" w:hAnsi="Times New Roman" w:cs="Times New Roman"/>
          <w:sz w:val="24"/>
          <w:szCs w:val="24"/>
        </w:rPr>
        <w:t xml:space="preserve">. Panel Statement 2012/8, 26 November. London: Takeover Panel. Available at: </w:t>
      </w:r>
      <w:hyperlink r:id="rId21" w:history="1">
        <w:r w:rsidRPr="00051CDE">
          <w:rPr>
            <w:rStyle w:val="Hyperlink"/>
            <w:rFonts w:ascii="Times New Roman" w:hAnsi="Times New Roman" w:cs="Times New Roman"/>
            <w:color w:val="auto"/>
            <w:sz w:val="24"/>
            <w:szCs w:val="24"/>
          </w:rPr>
          <w:t>http://www.thetakeoverpanel.org.uk/wp-content/uploads/2012/01/2012-8.pdf</w:t>
        </w:r>
      </w:hyperlink>
      <w:r w:rsidRPr="00051CDE">
        <w:rPr>
          <w:rStyle w:val="Hyperlink"/>
          <w:rFonts w:ascii="Times New Roman" w:hAnsi="Times New Roman" w:cs="Times New Roman"/>
          <w:color w:val="auto"/>
          <w:sz w:val="24"/>
          <w:szCs w:val="24"/>
        </w:rPr>
        <w:t xml:space="preserve"> </w:t>
      </w:r>
      <w:r w:rsidRPr="00051CDE">
        <w:rPr>
          <w:rFonts w:ascii="Times New Roman" w:hAnsi="Times New Roman" w:cs="Times New Roman"/>
          <w:sz w:val="24"/>
          <w:szCs w:val="24"/>
        </w:rPr>
        <w:t xml:space="preserve">(Accessed </w:t>
      </w:r>
      <w:r w:rsidR="00A9178A" w:rsidRPr="00051CDE">
        <w:rPr>
          <w:rFonts w:ascii="Times New Roman" w:hAnsi="Times New Roman" w:cs="Times New Roman"/>
          <w:sz w:val="24"/>
          <w:szCs w:val="24"/>
        </w:rPr>
        <w:t xml:space="preserve">23 March 2018). </w:t>
      </w:r>
    </w:p>
    <w:p w14:paraId="7239718E" w14:textId="7F7C3D70" w:rsidR="005F15E6" w:rsidRPr="00051CDE" w:rsidRDefault="005F15E6" w:rsidP="00887411">
      <w:pPr>
        <w:pStyle w:val="EndnoteText"/>
        <w:spacing w:line="360" w:lineRule="auto"/>
        <w:rPr>
          <w:rFonts w:ascii="Times New Roman" w:hAnsi="Times New Roman" w:cs="Times New Roman"/>
          <w:sz w:val="24"/>
          <w:szCs w:val="24"/>
        </w:rPr>
      </w:pPr>
    </w:p>
    <w:p w14:paraId="092A2E42" w14:textId="5C4DE0BB" w:rsidR="00505607" w:rsidRPr="00051CDE" w:rsidRDefault="005F15E6" w:rsidP="00887411">
      <w:pPr>
        <w:pStyle w:val="EndnoteText"/>
        <w:spacing w:line="360" w:lineRule="auto"/>
        <w:rPr>
          <w:rFonts w:ascii="Times New Roman" w:hAnsi="Times New Roman" w:cs="Times New Roman"/>
          <w:sz w:val="24"/>
          <w:szCs w:val="24"/>
        </w:rPr>
      </w:pPr>
      <w:r w:rsidRPr="00051CDE">
        <w:rPr>
          <w:rFonts w:ascii="Times New Roman" w:hAnsi="Times New Roman" w:cs="Times New Roman"/>
          <w:sz w:val="24"/>
          <w:szCs w:val="24"/>
        </w:rPr>
        <w:t xml:space="preserve">Takeover Panel Code Committee (2017) </w:t>
      </w:r>
      <w:r w:rsidRPr="00051CDE">
        <w:rPr>
          <w:rFonts w:ascii="Times New Roman" w:hAnsi="Times New Roman" w:cs="Times New Roman"/>
          <w:i/>
          <w:sz w:val="24"/>
          <w:szCs w:val="24"/>
        </w:rPr>
        <w:t>Statements of Intention and Related Matters. Response Statement by the Code Committee of the Panel following Consultation on PCP 2017/2</w:t>
      </w:r>
      <w:r w:rsidRPr="00051CDE">
        <w:rPr>
          <w:rFonts w:ascii="Times New Roman" w:hAnsi="Times New Roman" w:cs="Times New Roman"/>
          <w:sz w:val="24"/>
          <w:szCs w:val="24"/>
        </w:rPr>
        <w:t xml:space="preserve">, RS 2017/2. 11 December. London: </w:t>
      </w:r>
      <w:r w:rsidR="003C067E" w:rsidRPr="00051CDE">
        <w:rPr>
          <w:rFonts w:ascii="Times New Roman" w:hAnsi="Times New Roman" w:cs="Times New Roman"/>
          <w:sz w:val="24"/>
          <w:szCs w:val="24"/>
        </w:rPr>
        <w:t>T</w:t>
      </w:r>
      <w:r w:rsidRPr="00051CDE">
        <w:rPr>
          <w:rFonts w:ascii="Times New Roman" w:hAnsi="Times New Roman" w:cs="Times New Roman"/>
          <w:sz w:val="24"/>
          <w:szCs w:val="24"/>
        </w:rPr>
        <w:t xml:space="preserve">akeover Panel. Available at: </w:t>
      </w:r>
      <w:hyperlink r:id="rId22" w:history="1">
        <w:r w:rsidRPr="00051CDE">
          <w:rPr>
            <w:rStyle w:val="Hyperlink"/>
            <w:rFonts w:ascii="Times New Roman" w:hAnsi="Times New Roman" w:cs="Times New Roman"/>
            <w:sz w:val="24"/>
            <w:szCs w:val="24"/>
          </w:rPr>
          <w:t>http://www.thetakeoverpanel.org.uk/wp-content/uploads/2017/12/FinalRS2017-2.pdf</w:t>
        </w:r>
      </w:hyperlink>
      <w:r w:rsidRPr="00051CDE">
        <w:rPr>
          <w:rFonts w:ascii="Times New Roman" w:hAnsi="Times New Roman" w:cs="Times New Roman"/>
          <w:sz w:val="24"/>
          <w:szCs w:val="24"/>
        </w:rPr>
        <w:t xml:space="preserve"> (Accessed 23 March 2018).</w:t>
      </w:r>
    </w:p>
    <w:p w14:paraId="76A5F99A" w14:textId="77777777" w:rsidR="00851C35" w:rsidRPr="00051CDE" w:rsidRDefault="00851C35" w:rsidP="00887411">
      <w:pPr>
        <w:pStyle w:val="EndnoteText"/>
        <w:spacing w:line="360" w:lineRule="auto"/>
        <w:rPr>
          <w:rFonts w:ascii="Times New Roman" w:hAnsi="Times New Roman" w:cs="Times New Roman"/>
          <w:sz w:val="24"/>
          <w:szCs w:val="24"/>
        </w:rPr>
      </w:pPr>
    </w:p>
    <w:p w14:paraId="5865839A" w14:textId="32B34744" w:rsidR="00851C35" w:rsidRPr="00051CDE" w:rsidRDefault="00851C35" w:rsidP="00887411">
      <w:pPr>
        <w:pStyle w:val="EndnoteText"/>
        <w:spacing w:line="360" w:lineRule="auto"/>
        <w:rPr>
          <w:rFonts w:ascii="Times New Roman" w:hAnsi="Times New Roman" w:cs="Times New Roman"/>
          <w:sz w:val="24"/>
          <w:szCs w:val="24"/>
        </w:rPr>
      </w:pPr>
      <w:r w:rsidRPr="00051CDE">
        <w:rPr>
          <w:rFonts w:ascii="Times New Roman" w:hAnsi="Times New Roman" w:cs="Times New Roman"/>
          <w:sz w:val="24"/>
          <w:szCs w:val="24"/>
        </w:rPr>
        <w:t xml:space="preserve">Talbot L (2013) </w:t>
      </w:r>
      <w:r w:rsidRPr="00051CDE">
        <w:rPr>
          <w:rFonts w:ascii="Times New Roman" w:hAnsi="Times New Roman" w:cs="Times New Roman"/>
          <w:i/>
          <w:sz w:val="24"/>
          <w:szCs w:val="24"/>
        </w:rPr>
        <w:t xml:space="preserve">Progressive Corporate Governance </w:t>
      </w:r>
      <w:r w:rsidR="00F52010" w:rsidRPr="00051CDE">
        <w:rPr>
          <w:rFonts w:ascii="Times New Roman" w:hAnsi="Times New Roman" w:cs="Times New Roman"/>
          <w:i/>
          <w:sz w:val="24"/>
          <w:szCs w:val="24"/>
        </w:rPr>
        <w:t>f</w:t>
      </w:r>
      <w:r w:rsidRPr="00051CDE">
        <w:rPr>
          <w:rFonts w:ascii="Times New Roman" w:hAnsi="Times New Roman" w:cs="Times New Roman"/>
          <w:i/>
          <w:sz w:val="24"/>
          <w:szCs w:val="24"/>
        </w:rPr>
        <w:t>or The 21</w:t>
      </w:r>
      <w:r w:rsidRPr="00051CDE">
        <w:rPr>
          <w:rFonts w:ascii="Times New Roman" w:hAnsi="Times New Roman" w:cs="Times New Roman"/>
          <w:i/>
          <w:sz w:val="24"/>
          <w:szCs w:val="24"/>
          <w:vertAlign w:val="superscript"/>
        </w:rPr>
        <w:t>st</w:t>
      </w:r>
      <w:r w:rsidRPr="00051CDE">
        <w:rPr>
          <w:rFonts w:ascii="Times New Roman" w:hAnsi="Times New Roman" w:cs="Times New Roman"/>
          <w:i/>
          <w:sz w:val="24"/>
          <w:szCs w:val="24"/>
        </w:rPr>
        <w:t xml:space="preserve"> Century</w:t>
      </w:r>
      <w:r w:rsidRPr="00051CDE">
        <w:rPr>
          <w:rFonts w:ascii="Times New Roman" w:hAnsi="Times New Roman" w:cs="Times New Roman"/>
          <w:sz w:val="24"/>
          <w:szCs w:val="24"/>
        </w:rPr>
        <w:t>. London: Routledge.</w:t>
      </w:r>
    </w:p>
    <w:p w14:paraId="762A1D4A" w14:textId="77777777" w:rsidR="001E6F76" w:rsidRPr="00051CDE" w:rsidRDefault="001E6F76" w:rsidP="00887411">
      <w:pPr>
        <w:autoSpaceDE w:val="0"/>
        <w:autoSpaceDN w:val="0"/>
        <w:adjustRightInd w:val="0"/>
        <w:spacing w:after="0" w:line="360" w:lineRule="auto"/>
        <w:rPr>
          <w:rStyle w:val="Hyperlink"/>
          <w:rFonts w:ascii="Times New Roman" w:hAnsi="Times New Roman" w:cs="Times New Roman"/>
          <w:color w:val="auto"/>
          <w:sz w:val="24"/>
          <w:szCs w:val="24"/>
        </w:rPr>
      </w:pPr>
    </w:p>
    <w:p w14:paraId="48B2A3D5" w14:textId="77777777" w:rsidR="001E6F76" w:rsidRPr="00051CDE" w:rsidRDefault="001E6F76" w:rsidP="00887411">
      <w:pPr>
        <w:autoSpaceDE w:val="0"/>
        <w:autoSpaceDN w:val="0"/>
        <w:adjustRightInd w:val="0"/>
        <w:spacing w:after="0" w:line="360" w:lineRule="auto"/>
        <w:rPr>
          <w:rFonts w:ascii="Times New Roman" w:hAnsi="Times New Roman" w:cs="Times New Roman"/>
          <w:bCs/>
          <w:sz w:val="24"/>
          <w:szCs w:val="24"/>
        </w:rPr>
      </w:pPr>
      <w:proofErr w:type="spellStart"/>
      <w:r w:rsidRPr="00051CDE">
        <w:rPr>
          <w:rFonts w:ascii="Times New Roman" w:hAnsi="Times New Roman" w:cs="Times New Roman"/>
          <w:bCs/>
          <w:sz w:val="24"/>
          <w:szCs w:val="24"/>
        </w:rPr>
        <w:t>Tsagas</w:t>
      </w:r>
      <w:proofErr w:type="spellEnd"/>
      <w:r w:rsidRPr="00051CDE">
        <w:rPr>
          <w:rFonts w:ascii="Times New Roman" w:hAnsi="Times New Roman" w:cs="Times New Roman"/>
          <w:bCs/>
          <w:sz w:val="24"/>
          <w:szCs w:val="24"/>
        </w:rPr>
        <w:t xml:space="preserve"> G (2016) Worker involvement and the EU Takeover Bids Directive: the case of the United Kingdom. In: </w:t>
      </w:r>
      <w:proofErr w:type="spellStart"/>
      <w:r w:rsidRPr="00051CDE">
        <w:rPr>
          <w:rFonts w:ascii="Times New Roman" w:hAnsi="Times New Roman" w:cs="Times New Roman"/>
          <w:bCs/>
          <w:sz w:val="24"/>
          <w:szCs w:val="24"/>
        </w:rPr>
        <w:t>Cremers</w:t>
      </w:r>
      <w:proofErr w:type="spellEnd"/>
      <w:r w:rsidRPr="00051CDE">
        <w:rPr>
          <w:rFonts w:ascii="Times New Roman" w:hAnsi="Times New Roman" w:cs="Times New Roman"/>
          <w:bCs/>
          <w:sz w:val="24"/>
          <w:szCs w:val="24"/>
        </w:rPr>
        <w:t xml:space="preserve"> J and Vitols S (</w:t>
      </w:r>
      <w:proofErr w:type="spellStart"/>
      <w:r w:rsidRPr="00051CDE">
        <w:rPr>
          <w:rFonts w:ascii="Times New Roman" w:hAnsi="Times New Roman" w:cs="Times New Roman"/>
          <w:bCs/>
          <w:sz w:val="24"/>
          <w:szCs w:val="24"/>
        </w:rPr>
        <w:t>eds</w:t>
      </w:r>
      <w:proofErr w:type="spellEnd"/>
      <w:r w:rsidRPr="00051CDE">
        <w:rPr>
          <w:rFonts w:ascii="Times New Roman" w:hAnsi="Times New Roman" w:cs="Times New Roman"/>
          <w:bCs/>
          <w:sz w:val="24"/>
          <w:szCs w:val="24"/>
        </w:rPr>
        <w:t xml:space="preserve">) </w:t>
      </w:r>
      <w:r w:rsidRPr="00051CDE">
        <w:rPr>
          <w:rFonts w:ascii="Times New Roman" w:hAnsi="Times New Roman" w:cs="Times New Roman"/>
          <w:bCs/>
          <w:i/>
          <w:sz w:val="24"/>
          <w:szCs w:val="24"/>
        </w:rPr>
        <w:t>Takeovers with or without Worker Voice: Workers’ Rights under the EU Takeover Bids Directive</w:t>
      </w:r>
      <w:r w:rsidRPr="00051CDE">
        <w:rPr>
          <w:rFonts w:ascii="Times New Roman" w:hAnsi="Times New Roman" w:cs="Times New Roman"/>
          <w:bCs/>
          <w:sz w:val="24"/>
          <w:szCs w:val="24"/>
        </w:rPr>
        <w:t>. Brussels: European Trade Union Institute, pp. 225-241.</w:t>
      </w:r>
    </w:p>
    <w:p w14:paraId="0843F747" w14:textId="77777777" w:rsidR="001E6F76" w:rsidRPr="00051CDE" w:rsidRDefault="001E6F76" w:rsidP="00887411">
      <w:pPr>
        <w:pStyle w:val="NoSpacing"/>
        <w:spacing w:line="360" w:lineRule="auto"/>
      </w:pPr>
    </w:p>
    <w:p w14:paraId="32720A8D" w14:textId="77777777" w:rsidR="001E6F76" w:rsidRPr="00051CDE" w:rsidRDefault="001E6F76" w:rsidP="00887411">
      <w:pPr>
        <w:pStyle w:val="NoSpacing"/>
        <w:spacing w:line="360" w:lineRule="auto"/>
      </w:pPr>
      <w:r w:rsidRPr="00051CDE">
        <w:t xml:space="preserve">Vitols S (2012) Time for a makeover for EU takeovers? </w:t>
      </w:r>
      <w:r w:rsidRPr="00051CDE">
        <w:rPr>
          <w:i/>
        </w:rPr>
        <w:t>ETUI News Bulletin</w:t>
      </w:r>
      <w:r w:rsidRPr="00051CDE">
        <w:t>, November. Brussels: European Trade Union Institute.</w:t>
      </w:r>
    </w:p>
    <w:p w14:paraId="5C0BA00F" w14:textId="77777777" w:rsidR="001E6F76" w:rsidRPr="00051CDE" w:rsidRDefault="001E6F76" w:rsidP="00887411">
      <w:pPr>
        <w:pStyle w:val="NoSpacing"/>
        <w:spacing w:line="360" w:lineRule="auto"/>
      </w:pPr>
    </w:p>
    <w:p w14:paraId="45083B50" w14:textId="3B7DAD00" w:rsidR="001E6F76" w:rsidRPr="00051CDE" w:rsidRDefault="001E6F76" w:rsidP="00887411">
      <w:pPr>
        <w:pStyle w:val="NoSpacing"/>
        <w:spacing w:line="360" w:lineRule="auto"/>
      </w:pPr>
      <w:r w:rsidRPr="00051CDE">
        <w:t>Vitols S and Kluge N (</w:t>
      </w:r>
      <w:proofErr w:type="spellStart"/>
      <w:r w:rsidRPr="00051CDE">
        <w:t>eds</w:t>
      </w:r>
      <w:proofErr w:type="spellEnd"/>
      <w:r w:rsidRPr="00051CDE">
        <w:t xml:space="preserve">) (2011) </w:t>
      </w:r>
      <w:r w:rsidRPr="00051CDE">
        <w:rPr>
          <w:i/>
        </w:rPr>
        <w:t>The Sustainable Company: A New Approach to Corporate Governance</w:t>
      </w:r>
      <w:r w:rsidR="00A01401" w:rsidRPr="00051CDE">
        <w:rPr>
          <w:i/>
        </w:rPr>
        <w:t>, Vol.</w:t>
      </w:r>
      <w:r w:rsidR="00BE5DF8" w:rsidRPr="00051CDE">
        <w:rPr>
          <w:i/>
        </w:rPr>
        <w:t xml:space="preserve"> </w:t>
      </w:r>
      <w:r w:rsidR="00A01401" w:rsidRPr="00051CDE">
        <w:rPr>
          <w:i/>
        </w:rPr>
        <w:t>I</w:t>
      </w:r>
      <w:r w:rsidRPr="00051CDE">
        <w:t>. Brussels: European Trade Union Institute.</w:t>
      </w:r>
    </w:p>
    <w:p w14:paraId="691F8F80" w14:textId="77777777" w:rsidR="005E7D73" w:rsidRPr="00051CDE" w:rsidRDefault="005E7D73" w:rsidP="00887411">
      <w:pPr>
        <w:pStyle w:val="NoSpacing"/>
        <w:spacing w:line="360" w:lineRule="auto"/>
      </w:pPr>
    </w:p>
    <w:p w14:paraId="3F71FCD4" w14:textId="4655D3E2" w:rsidR="005E7D73" w:rsidRPr="00051CDE" w:rsidRDefault="005E7D73" w:rsidP="005E7D73">
      <w:pPr>
        <w:autoSpaceDE w:val="0"/>
        <w:autoSpaceDN w:val="0"/>
        <w:adjustRightInd w:val="0"/>
        <w:spacing w:after="0" w:line="360" w:lineRule="auto"/>
        <w:rPr>
          <w:rFonts w:ascii="Times New Roman" w:hAnsi="Times New Roman" w:cs="Times New Roman"/>
          <w:bCs/>
          <w:sz w:val="24"/>
          <w:szCs w:val="24"/>
        </w:rPr>
      </w:pPr>
      <w:r w:rsidRPr="00051CDE">
        <w:rPr>
          <w:rFonts w:ascii="Times New Roman" w:hAnsi="Times New Roman" w:cs="Times New Roman"/>
          <w:bCs/>
          <w:sz w:val="24"/>
          <w:szCs w:val="24"/>
        </w:rPr>
        <w:lastRenderedPageBreak/>
        <w:t xml:space="preserve">Vitols S and </w:t>
      </w:r>
      <w:proofErr w:type="spellStart"/>
      <w:r w:rsidRPr="00051CDE">
        <w:rPr>
          <w:rFonts w:ascii="Times New Roman" w:hAnsi="Times New Roman" w:cs="Times New Roman"/>
          <w:bCs/>
          <w:sz w:val="24"/>
          <w:szCs w:val="24"/>
        </w:rPr>
        <w:t>Heuschmid</w:t>
      </w:r>
      <w:proofErr w:type="spellEnd"/>
      <w:r w:rsidRPr="00051CDE">
        <w:rPr>
          <w:rFonts w:ascii="Times New Roman" w:hAnsi="Times New Roman" w:cs="Times New Roman"/>
          <w:bCs/>
          <w:sz w:val="24"/>
          <w:szCs w:val="24"/>
        </w:rPr>
        <w:t xml:space="preserve"> J (</w:t>
      </w:r>
      <w:proofErr w:type="spellStart"/>
      <w:r w:rsidRPr="00051CDE">
        <w:rPr>
          <w:rFonts w:ascii="Times New Roman" w:hAnsi="Times New Roman" w:cs="Times New Roman"/>
          <w:bCs/>
          <w:sz w:val="24"/>
          <w:szCs w:val="24"/>
        </w:rPr>
        <w:t>eds</w:t>
      </w:r>
      <w:proofErr w:type="spellEnd"/>
      <w:r w:rsidRPr="00051CDE">
        <w:rPr>
          <w:rFonts w:ascii="Times New Roman" w:hAnsi="Times New Roman" w:cs="Times New Roman"/>
          <w:bCs/>
          <w:sz w:val="24"/>
          <w:szCs w:val="24"/>
        </w:rPr>
        <w:t xml:space="preserve">) (2012) </w:t>
      </w:r>
      <w:r w:rsidRPr="00051CDE">
        <w:rPr>
          <w:rFonts w:ascii="Times New Roman" w:hAnsi="Times New Roman" w:cs="Times New Roman"/>
          <w:bCs/>
          <w:i/>
          <w:sz w:val="24"/>
          <w:szCs w:val="24"/>
        </w:rPr>
        <w:t>European Company Law and the Sustainable Company: A Stakeholder Approach, Vol. II</w:t>
      </w:r>
      <w:r w:rsidRPr="00051CDE">
        <w:rPr>
          <w:rFonts w:ascii="Times New Roman" w:hAnsi="Times New Roman" w:cs="Times New Roman"/>
          <w:bCs/>
          <w:sz w:val="24"/>
          <w:szCs w:val="24"/>
        </w:rPr>
        <w:t>. Brussels: European Trade Union Institute, pp.211-222.</w:t>
      </w:r>
    </w:p>
    <w:p w14:paraId="67D83A10" w14:textId="77777777" w:rsidR="001E6F76" w:rsidRPr="00051CDE" w:rsidRDefault="001E6F76" w:rsidP="00887411">
      <w:pPr>
        <w:pStyle w:val="NoSpacing"/>
        <w:spacing w:line="360" w:lineRule="auto"/>
      </w:pPr>
    </w:p>
    <w:p w14:paraId="6D385505" w14:textId="77777777" w:rsidR="001E6F76" w:rsidRPr="00051CDE" w:rsidRDefault="001E6F76" w:rsidP="00887411">
      <w:pPr>
        <w:pStyle w:val="NoSpacing"/>
        <w:spacing w:line="360" w:lineRule="auto"/>
      </w:pPr>
      <w:r w:rsidRPr="00051CDE">
        <w:t xml:space="preserve">Waddington J (2012) </w:t>
      </w:r>
      <w:r w:rsidRPr="00051CDE">
        <w:rPr>
          <w:i/>
        </w:rPr>
        <w:t>European Works Councils. A Transnational Industrial Relations Institution in the Making</w:t>
      </w:r>
      <w:r w:rsidRPr="00051CDE">
        <w:t>. London: Routledge.</w:t>
      </w:r>
    </w:p>
    <w:p w14:paraId="25229F86" w14:textId="77777777" w:rsidR="001E6F76" w:rsidRPr="00051CDE" w:rsidRDefault="001E6F76" w:rsidP="00887411">
      <w:pPr>
        <w:pStyle w:val="NoSpacing"/>
        <w:spacing w:line="360" w:lineRule="auto"/>
      </w:pPr>
    </w:p>
    <w:p w14:paraId="3C4E9126" w14:textId="77777777" w:rsidR="0059398E" w:rsidRPr="00051CDE" w:rsidRDefault="0059398E" w:rsidP="00887411">
      <w:pPr>
        <w:spacing w:line="360" w:lineRule="auto"/>
        <w:rPr>
          <w:rFonts w:ascii="Times New Roman" w:hAnsi="Times New Roman" w:cs="Times New Roman"/>
          <w:sz w:val="24"/>
          <w:szCs w:val="24"/>
        </w:rPr>
      </w:pPr>
    </w:p>
    <w:sectPr w:rsidR="0059398E" w:rsidRPr="00051CDE">
      <w:footerReference w:type="default" r:id="rId2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F56B5" w14:textId="77777777" w:rsidR="00ED0BC8" w:rsidRDefault="00ED0BC8" w:rsidP="001E6F76">
      <w:pPr>
        <w:spacing w:after="0" w:line="240" w:lineRule="auto"/>
      </w:pPr>
      <w:r>
        <w:separator/>
      </w:r>
    </w:p>
  </w:endnote>
  <w:endnote w:type="continuationSeparator" w:id="0">
    <w:p w14:paraId="77C89D33" w14:textId="77777777" w:rsidR="00ED0BC8" w:rsidRDefault="00ED0BC8" w:rsidP="001E6F76">
      <w:pPr>
        <w:spacing w:after="0" w:line="240" w:lineRule="auto"/>
      </w:pPr>
      <w:r>
        <w:continuationSeparator/>
      </w:r>
    </w:p>
  </w:endnote>
  <w:endnote w:id="1">
    <w:p w14:paraId="331038B5" w14:textId="51AD5308" w:rsidR="00E62A46" w:rsidRPr="00761FF9" w:rsidRDefault="00E62A46" w:rsidP="001E6F76">
      <w:pPr>
        <w:pStyle w:val="EndnoteText"/>
        <w:rPr>
          <w:rFonts w:ascii="Times New Roman" w:hAnsi="Times New Roman" w:cs="Times New Roman"/>
          <w:sz w:val="24"/>
          <w:szCs w:val="24"/>
        </w:rPr>
      </w:pPr>
      <w:r w:rsidRPr="00761FF9">
        <w:rPr>
          <w:rStyle w:val="EndnoteReference"/>
          <w:rFonts w:ascii="Times New Roman" w:hAnsi="Times New Roman" w:cs="Times New Roman"/>
          <w:sz w:val="24"/>
          <w:szCs w:val="24"/>
        </w:rPr>
        <w:endnoteRef/>
      </w:r>
      <w:r w:rsidRPr="00761FF9">
        <w:rPr>
          <w:rFonts w:ascii="Times New Roman" w:hAnsi="Times New Roman" w:cs="Times New Roman"/>
          <w:sz w:val="24"/>
          <w:szCs w:val="24"/>
        </w:rPr>
        <w:t xml:space="preserve"> A takeover bid is ‘a public offer (other than by the offeree company itself) made to the holders of the securities of a company to acquire all or some of those securities, whether mandatory or voluntary, which follows or has as its objective the acquisition o</w:t>
      </w:r>
      <w:r>
        <w:rPr>
          <w:rFonts w:ascii="Times New Roman" w:hAnsi="Times New Roman" w:cs="Times New Roman"/>
          <w:sz w:val="24"/>
          <w:szCs w:val="24"/>
        </w:rPr>
        <w:t>f</w:t>
      </w:r>
      <w:r w:rsidRPr="00761FF9">
        <w:rPr>
          <w:rFonts w:ascii="Times New Roman" w:hAnsi="Times New Roman" w:cs="Times New Roman"/>
          <w:sz w:val="24"/>
          <w:szCs w:val="24"/>
        </w:rPr>
        <w:t xml:space="preserve"> control of the offeree company in accordance with national law’ (</w:t>
      </w:r>
      <w:r>
        <w:rPr>
          <w:rFonts w:ascii="Times New Roman" w:hAnsi="Times New Roman" w:cs="Times New Roman"/>
          <w:sz w:val="24"/>
          <w:szCs w:val="24"/>
        </w:rPr>
        <w:t>Art. 2.1(a) of the Directive</w:t>
      </w:r>
      <w:r w:rsidRPr="00761FF9">
        <w:rPr>
          <w:rFonts w:ascii="Times New Roman" w:hAnsi="Times New Roman" w:cs="Times New Roman"/>
          <w:sz w:val="24"/>
          <w:szCs w:val="24"/>
        </w:rPr>
        <w:t>). The offeree company is ‘a company, the securities of which are the subject of a bid’ and the offeror is ‘any natural or legal person governed by public or private law making a bid’ (</w:t>
      </w:r>
      <w:r>
        <w:rPr>
          <w:rFonts w:ascii="Times New Roman" w:hAnsi="Times New Roman" w:cs="Times New Roman"/>
          <w:sz w:val="24"/>
          <w:szCs w:val="24"/>
        </w:rPr>
        <w:t>Arts. 2.1(b) and 2.1(c) respectively of the Directive</w:t>
      </w:r>
      <w:r w:rsidRPr="00761FF9">
        <w:rPr>
          <w:rFonts w:ascii="Times New Roman" w:hAnsi="Times New Roman" w:cs="Times New Roman"/>
          <w:sz w:val="24"/>
          <w:szCs w:val="24"/>
        </w:rPr>
        <w:t>).</w:t>
      </w:r>
    </w:p>
  </w:endnote>
  <w:endnote w:id="2">
    <w:p w14:paraId="105C483B" w14:textId="3DCC3BB3" w:rsidR="00E62A46" w:rsidRPr="002E7273" w:rsidRDefault="00E62A46">
      <w:pPr>
        <w:pStyle w:val="EndnoteText"/>
        <w:rPr>
          <w:rFonts w:ascii="Times New Roman" w:hAnsi="Times New Roman" w:cs="Times New Roman"/>
          <w:sz w:val="24"/>
          <w:szCs w:val="24"/>
        </w:rPr>
      </w:pPr>
      <w:r w:rsidRPr="002E7273">
        <w:rPr>
          <w:rStyle w:val="EndnoteReference"/>
          <w:rFonts w:ascii="Times New Roman" w:hAnsi="Times New Roman" w:cs="Times New Roman"/>
          <w:sz w:val="24"/>
          <w:szCs w:val="24"/>
        </w:rPr>
        <w:endnoteRef/>
      </w:r>
      <w:r w:rsidRPr="002E7273">
        <w:rPr>
          <w:rFonts w:ascii="Times New Roman" w:hAnsi="Times New Roman" w:cs="Times New Roman"/>
          <w:sz w:val="24"/>
          <w:szCs w:val="24"/>
        </w:rPr>
        <w:t xml:space="preserve"> In </w:t>
      </w:r>
      <w:r>
        <w:rPr>
          <w:rFonts w:ascii="Times New Roman" w:hAnsi="Times New Roman" w:cs="Times New Roman"/>
          <w:sz w:val="24"/>
          <w:szCs w:val="24"/>
        </w:rPr>
        <w:t xml:space="preserve">April 2017, the Takeover Panel initiated legal proceedings against Mr David King in relation to </w:t>
      </w:r>
      <w:r w:rsidRPr="002E7273">
        <w:rPr>
          <w:rFonts w:ascii="Times New Roman" w:hAnsi="Times New Roman" w:cs="Times New Roman"/>
          <w:sz w:val="24"/>
          <w:szCs w:val="24"/>
        </w:rPr>
        <w:t xml:space="preserve">Rangers International Football Club (Takeover </w:t>
      </w:r>
      <w:r>
        <w:rPr>
          <w:rFonts w:ascii="Times New Roman" w:hAnsi="Times New Roman" w:cs="Times New Roman"/>
          <w:sz w:val="24"/>
          <w:szCs w:val="24"/>
        </w:rPr>
        <w:t>P</w:t>
      </w:r>
      <w:r w:rsidRPr="002E7273">
        <w:rPr>
          <w:rFonts w:ascii="Times New Roman" w:hAnsi="Times New Roman" w:cs="Times New Roman"/>
          <w:sz w:val="24"/>
          <w:szCs w:val="24"/>
        </w:rPr>
        <w:t>anel, 2017</w:t>
      </w:r>
      <w:r>
        <w:rPr>
          <w:rFonts w:ascii="Times New Roman" w:hAnsi="Times New Roman" w:cs="Times New Roman"/>
          <w:sz w:val="24"/>
          <w:szCs w:val="24"/>
        </w:rPr>
        <w:t>b</w:t>
      </w:r>
      <w:r w:rsidRPr="002E7273">
        <w:rPr>
          <w:rFonts w:ascii="Times New Roman" w:hAnsi="Times New Roman" w:cs="Times New Roman"/>
          <w:sz w:val="24"/>
          <w:szCs w:val="24"/>
        </w:rPr>
        <w:t>).</w:t>
      </w:r>
    </w:p>
  </w:endnote>
  <w:endnote w:id="3">
    <w:p w14:paraId="569420E2" w14:textId="03E8EF80" w:rsidR="00E62A46" w:rsidRPr="00761FF9" w:rsidRDefault="00E62A46" w:rsidP="004424F5">
      <w:pPr>
        <w:pStyle w:val="EndnoteText"/>
      </w:pPr>
      <w:r w:rsidRPr="001A6238">
        <w:rPr>
          <w:rStyle w:val="EndnoteReference"/>
          <w:rFonts w:ascii="Times New Roman" w:hAnsi="Times New Roman" w:cs="Times New Roman"/>
          <w:sz w:val="24"/>
          <w:szCs w:val="24"/>
        </w:rPr>
        <w:endnoteRef/>
      </w:r>
      <w:r w:rsidRPr="00761FF9">
        <w:rPr>
          <w:rFonts w:ascii="Times New Roman" w:hAnsi="Times New Roman" w:cs="Times New Roman"/>
          <w:sz w:val="24"/>
          <w:szCs w:val="24"/>
        </w:rPr>
        <w:t xml:space="preserve"> EU Directive on Takeover Bids (2004/25/EC), 21 April 2004, was implemented in the UK through The Takeovers Directive (Interim Implementation) Regulations 2006, which took effect on 20 May 2006. These Regulations were later replaced by Chapter 1 of Part 28 of the Companies Act 2006, which took effect on 6 April 2007.</w:t>
      </w:r>
    </w:p>
  </w:endnote>
  <w:endnote w:id="4">
    <w:p w14:paraId="2EBCA908" w14:textId="48498DAD" w:rsidR="00C44FE3" w:rsidRPr="004424F5" w:rsidRDefault="00C44FE3">
      <w:pPr>
        <w:pStyle w:val="EndnoteText"/>
        <w:rPr>
          <w:rFonts w:ascii="Times New Roman" w:hAnsi="Times New Roman" w:cs="Times New Roman"/>
          <w:sz w:val="24"/>
          <w:szCs w:val="24"/>
        </w:rPr>
      </w:pPr>
      <w:r w:rsidRPr="004424F5">
        <w:rPr>
          <w:rStyle w:val="EndnoteReference"/>
          <w:rFonts w:ascii="Times New Roman" w:hAnsi="Times New Roman" w:cs="Times New Roman"/>
          <w:sz w:val="24"/>
          <w:szCs w:val="24"/>
        </w:rPr>
        <w:endnoteRef/>
      </w:r>
      <w:r w:rsidRPr="004424F5">
        <w:rPr>
          <w:rFonts w:ascii="Times New Roman" w:hAnsi="Times New Roman" w:cs="Times New Roman"/>
          <w:sz w:val="24"/>
          <w:szCs w:val="24"/>
        </w:rPr>
        <w:t xml:space="preserve"> Before January 2018, these statements of intention had only to be included in the offer document which, under Rule 24.1, must be published within 28 days of the firm offer announcement.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466194"/>
      <w:docPartObj>
        <w:docPartGallery w:val="Page Numbers (Bottom of Page)"/>
        <w:docPartUnique/>
      </w:docPartObj>
    </w:sdtPr>
    <w:sdtEndPr>
      <w:rPr>
        <w:noProof/>
      </w:rPr>
    </w:sdtEndPr>
    <w:sdtContent>
      <w:p w14:paraId="0964D126" w14:textId="6B3BEEAD" w:rsidR="00E62A46" w:rsidRDefault="00E62A46">
        <w:pPr>
          <w:pStyle w:val="Footer"/>
          <w:jc w:val="center"/>
        </w:pPr>
        <w:r>
          <w:fldChar w:fldCharType="begin"/>
        </w:r>
        <w:r>
          <w:instrText xml:space="preserve"> PAGE   \* MERGEFORMAT </w:instrText>
        </w:r>
        <w:r>
          <w:fldChar w:fldCharType="separate"/>
        </w:r>
        <w:r w:rsidR="004424F5">
          <w:rPr>
            <w:noProof/>
          </w:rPr>
          <w:t>1</w:t>
        </w:r>
        <w:r>
          <w:rPr>
            <w:noProof/>
          </w:rPr>
          <w:fldChar w:fldCharType="end"/>
        </w:r>
      </w:p>
    </w:sdtContent>
  </w:sdt>
  <w:p w14:paraId="21027257" w14:textId="77777777" w:rsidR="00E62A46" w:rsidRDefault="00E62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3E425" w14:textId="77777777" w:rsidR="00ED0BC8" w:rsidRDefault="00ED0BC8" w:rsidP="001E6F76">
      <w:pPr>
        <w:spacing w:after="0" w:line="240" w:lineRule="auto"/>
      </w:pPr>
      <w:r>
        <w:separator/>
      </w:r>
    </w:p>
  </w:footnote>
  <w:footnote w:type="continuationSeparator" w:id="0">
    <w:p w14:paraId="17CF118D" w14:textId="77777777" w:rsidR="00ED0BC8" w:rsidRDefault="00ED0BC8" w:rsidP="001E6F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463"/>
    <w:multiLevelType w:val="hybridMultilevel"/>
    <w:tmpl w:val="7590993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0C74E2E"/>
    <w:multiLevelType w:val="hybridMultilevel"/>
    <w:tmpl w:val="E404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FA2C1B"/>
    <w:multiLevelType w:val="hybridMultilevel"/>
    <w:tmpl w:val="ACDCE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F22C56"/>
    <w:multiLevelType w:val="hybridMultilevel"/>
    <w:tmpl w:val="34002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1E5160A"/>
    <w:multiLevelType w:val="hybridMultilevel"/>
    <w:tmpl w:val="4AD8D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ED30839"/>
    <w:multiLevelType w:val="hybridMultilevel"/>
    <w:tmpl w:val="4E3E385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3515813"/>
    <w:multiLevelType w:val="hybridMultilevel"/>
    <w:tmpl w:val="8D3E290E"/>
    <w:lvl w:ilvl="0" w:tplc="4EC0AEE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E92556"/>
    <w:multiLevelType w:val="hybridMultilevel"/>
    <w:tmpl w:val="3FF278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898060F"/>
    <w:multiLevelType w:val="hybridMultilevel"/>
    <w:tmpl w:val="3E7CA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6"/>
  </w:num>
  <w:num w:numId="6">
    <w:abstractNumId w:val="7"/>
  </w:num>
  <w:num w:numId="7">
    <w:abstractNumId w:val="1"/>
  </w:num>
  <w:num w:numId="8">
    <w:abstractNumId w:val="8"/>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ld, M">
    <w15:presenceInfo w15:providerId="AD" w15:userId="S-1-5-21-2032091107-1257326781-829235722-103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F76"/>
    <w:rsid w:val="00002BC7"/>
    <w:rsid w:val="0001103D"/>
    <w:rsid w:val="00017062"/>
    <w:rsid w:val="00021A06"/>
    <w:rsid w:val="00021D57"/>
    <w:rsid w:val="00022A16"/>
    <w:rsid w:val="00023F13"/>
    <w:rsid w:val="00034857"/>
    <w:rsid w:val="0003697D"/>
    <w:rsid w:val="00050352"/>
    <w:rsid w:val="00051715"/>
    <w:rsid w:val="00051CDE"/>
    <w:rsid w:val="00056BAC"/>
    <w:rsid w:val="00065EE8"/>
    <w:rsid w:val="00081316"/>
    <w:rsid w:val="000877D9"/>
    <w:rsid w:val="000908D7"/>
    <w:rsid w:val="000958CE"/>
    <w:rsid w:val="000958DB"/>
    <w:rsid w:val="000A00DD"/>
    <w:rsid w:val="000A3826"/>
    <w:rsid w:val="000B1368"/>
    <w:rsid w:val="000B5196"/>
    <w:rsid w:val="000C5168"/>
    <w:rsid w:val="000C5BEA"/>
    <w:rsid w:val="000C6BB3"/>
    <w:rsid w:val="000C7B1F"/>
    <w:rsid w:val="000D3ECB"/>
    <w:rsid w:val="000D4D18"/>
    <w:rsid w:val="000E26DB"/>
    <w:rsid w:val="000E5281"/>
    <w:rsid w:val="000E6888"/>
    <w:rsid w:val="000F3393"/>
    <w:rsid w:val="000F6C42"/>
    <w:rsid w:val="00107212"/>
    <w:rsid w:val="00117DF2"/>
    <w:rsid w:val="001245EE"/>
    <w:rsid w:val="00143AAA"/>
    <w:rsid w:val="00154D68"/>
    <w:rsid w:val="00156530"/>
    <w:rsid w:val="00163B2F"/>
    <w:rsid w:val="00171DE6"/>
    <w:rsid w:val="00181A6D"/>
    <w:rsid w:val="00182A64"/>
    <w:rsid w:val="00184307"/>
    <w:rsid w:val="001868BA"/>
    <w:rsid w:val="00191520"/>
    <w:rsid w:val="001A607C"/>
    <w:rsid w:val="001A6238"/>
    <w:rsid w:val="001B7C2F"/>
    <w:rsid w:val="001C0A9A"/>
    <w:rsid w:val="001C6FE5"/>
    <w:rsid w:val="001E0032"/>
    <w:rsid w:val="001E0308"/>
    <w:rsid w:val="001E346F"/>
    <w:rsid w:val="001E4AE4"/>
    <w:rsid w:val="001E6F76"/>
    <w:rsid w:val="001E7FEF"/>
    <w:rsid w:val="001F3799"/>
    <w:rsid w:val="001F5E36"/>
    <w:rsid w:val="001F72AA"/>
    <w:rsid w:val="002022F9"/>
    <w:rsid w:val="00215022"/>
    <w:rsid w:val="002157B4"/>
    <w:rsid w:val="0022477E"/>
    <w:rsid w:val="00227B61"/>
    <w:rsid w:val="00241202"/>
    <w:rsid w:val="0024258E"/>
    <w:rsid w:val="00243356"/>
    <w:rsid w:val="002435ED"/>
    <w:rsid w:val="00243A75"/>
    <w:rsid w:val="0024673A"/>
    <w:rsid w:val="00247002"/>
    <w:rsid w:val="00253AF7"/>
    <w:rsid w:val="00256156"/>
    <w:rsid w:val="002569CA"/>
    <w:rsid w:val="00260EA0"/>
    <w:rsid w:val="00271119"/>
    <w:rsid w:val="002742DC"/>
    <w:rsid w:val="0027560D"/>
    <w:rsid w:val="00286F50"/>
    <w:rsid w:val="002908F3"/>
    <w:rsid w:val="002A4901"/>
    <w:rsid w:val="002A667C"/>
    <w:rsid w:val="002A7364"/>
    <w:rsid w:val="002B163B"/>
    <w:rsid w:val="002B1C4F"/>
    <w:rsid w:val="002B28BF"/>
    <w:rsid w:val="002B3E06"/>
    <w:rsid w:val="002B6BE4"/>
    <w:rsid w:val="002C03C7"/>
    <w:rsid w:val="002C3F70"/>
    <w:rsid w:val="002C476F"/>
    <w:rsid w:val="002C6141"/>
    <w:rsid w:val="002D7B85"/>
    <w:rsid w:val="002E5CCB"/>
    <w:rsid w:val="002E7273"/>
    <w:rsid w:val="00301AF2"/>
    <w:rsid w:val="00302CBF"/>
    <w:rsid w:val="003069A7"/>
    <w:rsid w:val="00306C72"/>
    <w:rsid w:val="003122CC"/>
    <w:rsid w:val="0033211A"/>
    <w:rsid w:val="00340A8A"/>
    <w:rsid w:val="00341C37"/>
    <w:rsid w:val="00342E81"/>
    <w:rsid w:val="003448EB"/>
    <w:rsid w:val="003470FB"/>
    <w:rsid w:val="00354E39"/>
    <w:rsid w:val="003554FA"/>
    <w:rsid w:val="003651CA"/>
    <w:rsid w:val="00367191"/>
    <w:rsid w:val="003740B4"/>
    <w:rsid w:val="0037517D"/>
    <w:rsid w:val="0037520C"/>
    <w:rsid w:val="00393AB6"/>
    <w:rsid w:val="003A2057"/>
    <w:rsid w:val="003A48E9"/>
    <w:rsid w:val="003B4DBF"/>
    <w:rsid w:val="003B50D1"/>
    <w:rsid w:val="003C067E"/>
    <w:rsid w:val="003C2A51"/>
    <w:rsid w:val="003C41DA"/>
    <w:rsid w:val="003C6B3B"/>
    <w:rsid w:val="003C6D0A"/>
    <w:rsid w:val="003C78C0"/>
    <w:rsid w:val="003D1FF6"/>
    <w:rsid w:val="003E1EB7"/>
    <w:rsid w:val="003E480B"/>
    <w:rsid w:val="003E782A"/>
    <w:rsid w:val="003E7B31"/>
    <w:rsid w:val="003F3C84"/>
    <w:rsid w:val="00404087"/>
    <w:rsid w:val="00405D18"/>
    <w:rsid w:val="00417B1C"/>
    <w:rsid w:val="00424C8E"/>
    <w:rsid w:val="00426F6A"/>
    <w:rsid w:val="00427126"/>
    <w:rsid w:val="004424DC"/>
    <w:rsid w:val="004424F5"/>
    <w:rsid w:val="004460C4"/>
    <w:rsid w:val="00456173"/>
    <w:rsid w:val="004606D4"/>
    <w:rsid w:val="0046394A"/>
    <w:rsid w:val="0046519E"/>
    <w:rsid w:val="00467B8A"/>
    <w:rsid w:val="004838BA"/>
    <w:rsid w:val="00486985"/>
    <w:rsid w:val="00486F03"/>
    <w:rsid w:val="0049383A"/>
    <w:rsid w:val="004A3286"/>
    <w:rsid w:val="004A77FD"/>
    <w:rsid w:val="004B14C0"/>
    <w:rsid w:val="004B15C6"/>
    <w:rsid w:val="004B364C"/>
    <w:rsid w:val="004D2595"/>
    <w:rsid w:val="004D6033"/>
    <w:rsid w:val="004D7D70"/>
    <w:rsid w:val="004E11B5"/>
    <w:rsid w:val="004E730E"/>
    <w:rsid w:val="004F21D2"/>
    <w:rsid w:val="004F4102"/>
    <w:rsid w:val="004F69E2"/>
    <w:rsid w:val="00501A17"/>
    <w:rsid w:val="00502C12"/>
    <w:rsid w:val="00504DB5"/>
    <w:rsid w:val="00505607"/>
    <w:rsid w:val="00511FB7"/>
    <w:rsid w:val="00512860"/>
    <w:rsid w:val="00515B52"/>
    <w:rsid w:val="005202F7"/>
    <w:rsid w:val="005210C1"/>
    <w:rsid w:val="005213B5"/>
    <w:rsid w:val="00522D64"/>
    <w:rsid w:val="0052358D"/>
    <w:rsid w:val="00523945"/>
    <w:rsid w:val="00526984"/>
    <w:rsid w:val="00526FC2"/>
    <w:rsid w:val="00527C2B"/>
    <w:rsid w:val="005304B2"/>
    <w:rsid w:val="00537990"/>
    <w:rsid w:val="00553924"/>
    <w:rsid w:val="005679A1"/>
    <w:rsid w:val="00587694"/>
    <w:rsid w:val="0059398E"/>
    <w:rsid w:val="005A3E7F"/>
    <w:rsid w:val="005B5071"/>
    <w:rsid w:val="005B6A3C"/>
    <w:rsid w:val="005C04DB"/>
    <w:rsid w:val="005C0C63"/>
    <w:rsid w:val="005C3FF1"/>
    <w:rsid w:val="005C7087"/>
    <w:rsid w:val="005D13EB"/>
    <w:rsid w:val="005E1292"/>
    <w:rsid w:val="005E7D73"/>
    <w:rsid w:val="005F15E6"/>
    <w:rsid w:val="00604588"/>
    <w:rsid w:val="00606EAE"/>
    <w:rsid w:val="006267C3"/>
    <w:rsid w:val="006304B9"/>
    <w:rsid w:val="0063364C"/>
    <w:rsid w:val="00651B44"/>
    <w:rsid w:val="006524BE"/>
    <w:rsid w:val="00653141"/>
    <w:rsid w:val="006543B3"/>
    <w:rsid w:val="006544B0"/>
    <w:rsid w:val="00663C57"/>
    <w:rsid w:val="006644D6"/>
    <w:rsid w:val="00674489"/>
    <w:rsid w:val="00674FE9"/>
    <w:rsid w:val="006769EE"/>
    <w:rsid w:val="00681424"/>
    <w:rsid w:val="00693D49"/>
    <w:rsid w:val="006B0F95"/>
    <w:rsid w:val="006B4249"/>
    <w:rsid w:val="006B58EE"/>
    <w:rsid w:val="006D3C20"/>
    <w:rsid w:val="006E1E52"/>
    <w:rsid w:val="006E214E"/>
    <w:rsid w:val="006E4AEC"/>
    <w:rsid w:val="006F344A"/>
    <w:rsid w:val="006F6F57"/>
    <w:rsid w:val="00706A9E"/>
    <w:rsid w:val="00742655"/>
    <w:rsid w:val="00747951"/>
    <w:rsid w:val="00751010"/>
    <w:rsid w:val="00755059"/>
    <w:rsid w:val="00761FF9"/>
    <w:rsid w:val="00766AD1"/>
    <w:rsid w:val="00775CE5"/>
    <w:rsid w:val="0077738D"/>
    <w:rsid w:val="00785765"/>
    <w:rsid w:val="00787045"/>
    <w:rsid w:val="007904A0"/>
    <w:rsid w:val="007B49CA"/>
    <w:rsid w:val="007C1C16"/>
    <w:rsid w:val="007C4DD2"/>
    <w:rsid w:val="007D0C4C"/>
    <w:rsid w:val="007E2C72"/>
    <w:rsid w:val="007E3B6C"/>
    <w:rsid w:val="007F02CE"/>
    <w:rsid w:val="007F33C7"/>
    <w:rsid w:val="00802153"/>
    <w:rsid w:val="00805C2B"/>
    <w:rsid w:val="00822D86"/>
    <w:rsid w:val="00826F17"/>
    <w:rsid w:val="00850AFA"/>
    <w:rsid w:val="00851C35"/>
    <w:rsid w:val="00860059"/>
    <w:rsid w:val="008643D0"/>
    <w:rsid w:val="00875F13"/>
    <w:rsid w:val="00887411"/>
    <w:rsid w:val="00891217"/>
    <w:rsid w:val="00891AC8"/>
    <w:rsid w:val="00893928"/>
    <w:rsid w:val="008A18EF"/>
    <w:rsid w:val="008A317C"/>
    <w:rsid w:val="008A35E0"/>
    <w:rsid w:val="008A57CB"/>
    <w:rsid w:val="008A5B1D"/>
    <w:rsid w:val="008A7A14"/>
    <w:rsid w:val="008B1A87"/>
    <w:rsid w:val="008B54F8"/>
    <w:rsid w:val="008B7C04"/>
    <w:rsid w:val="008C0DE3"/>
    <w:rsid w:val="008D171B"/>
    <w:rsid w:val="008E0242"/>
    <w:rsid w:val="008E26A5"/>
    <w:rsid w:val="008E4AD2"/>
    <w:rsid w:val="008F09A7"/>
    <w:rsid w:val="008F17AD"/>
    <w:rsid w:val="00905DC3"/>
    <w:rsid w:val="0091389A"/>
    <w:rsid w:val="00922064"/>
    <w:rsid w:val="009314C8"/>
    <w:rsid w:val="009333A5"/>
    <w:rsid w:val="0094364B"/>
    <w:rsid w:val="00944A31"/>
    <w:rsid w:val="00947AB0"/>
    <w:rsid w:val="00951AC6"/>
    <w:rsid w:val="00955039"/>
    <w:rsid w:val="00957861"/>
    <w:rsid w:val="00964C77"/>
    <w:rsid w:val="009663AF"/>
    <w:rsid w:val="00966A6A"/>
    <w:rsid w:val="009736FE"/>
    <w:rsid w:val="00985844"/>
    <w:rsid w:val="00987FB1"/>
    <w:rsid w:val="00990127"/>
    <w:rsid w:val="00990A73"/>
    <w:rsid w:val="00994EFC"/>
    <w:rsid w:val="009A0BCF"/>
    <w:rsid w:val="009A2D99"/>
    <w:rsid w:val="009B14DE"/>
    <w:rsid w:val="009B3A6A"/>
    <w:rsid w:val="009B6E7B"/>
    <w:rsid w:val="009C3319"/>
    <w:rsid w:val="009C3EF6"/>
    <w:rsid w:val="009D3D28"/>
    <w:rsid w:val="009D64B6"/>
    <w:rsid w:val="009D734B"/>
    <w:rsid w:val="009E3A9F"/>
    <w:rsid w:val="009F27B9"/>
    <w:rsid w:val="009F62D3"/>
    <w:rsid w:val="009F69C2"/>
    <w:rsid w:val="009F7CA3"/>
    <w:rsid w:val="00A01401"/>
    <w:rsid w:val="00A045E9"/>
    <w:rsid w:val="00A154DB"/>
    <w:rsid w:val="00A21598"/>
    <w:rsid w:val="00A33708"/>
    <w:rsid w:val="00A3657A"/>
    <w:rsid w:val="00A53504"/>
    <w:rsid w:val="00A56D7C"/>
    <w:rsid w:val="00A81894"/>
    <w:rsid w:val="00A82479"/>
    <w:rsid w:val="00A843D7"/>
    <w:rsid w:val="00A865BE"/>
    <w:rsid w:val="00A9151B"/>
    <w:rsid w:val="00A9178A"/>
    <w:rsid w:val="00A91FA2"/>
    <w:rsid w:val="00AA0699"/>
    <w:rsid w:val="00AA3DBD"/>
    <w:rsid w:val="00AA4381"/>
    <w:rsid w:val="00AA475E"/>
    <w:rsid w:val="00AA525D"/>
    <w:rsid w:val="00AB2520"/>
    <w:rsid w:val="00AB276D"/>
    <w:rsid w:val="00AB5A24"/>
    <w:rsid w:val="00AC2F07"/>
    <w:rsid w:val="00AD04FB"/>
    <w:rsid w:val="00AD5E11"/>
    <w:rsid w:val="00AE7373"/>
    <w:rsid w:val="00AF076A"/>
    <w:rsid w:val="00AF370D"/>
    <w:rsid w:val="00B04A39"/>
    <w:rsid w:val="00B054D9"/>
    <w:rsid w:val="00B05638"/>
    <w:rsid w:val="00B1246B"/>
    <w:rsid w:val="00B224DE"/>
    <w:rsid w:val="00B25C00"/>
    <w:rsid w:val="00B25E8F"/>
    <w:rsid w:val="00B31D41"/>
    <w:rsid w:val="00B332AB"/>
    <w:rsid w:val="00B51FD8"/>
    <w:rsid w:val="00B553FF"/>
    <w:rsid w:val="00B60BB6"/>
    <w:rsid w:val="00B6151E"/>
    <w:rsid w:val="00B67632"/>
    <w:rsid w:val="00BA0F15"/>
    <w:rsid w:val="00BA1056"/>
    <w:rsid w:val="00BA1B0E"/>
    <w:rsid w:val="00BA2AC1"/>
    <w:rsid w:val="00BA6D7E"/>
    <w:rsid w:val="00BB2395"/>
    <w:rsid w:val="00BB7AE9"/>
    <w:rsid w:val="00BC71CC"/>
    <w:rsid w:val="00BD175C"/>
    <w:rsid w:val="00BE5DF8"/>
    <w:rsid w:val="00BE5E5C"/>
    <w:rsid w:val="00BE777A"/>
    <w:rsid w:val="00BF457A"/>
    <w:rsid w:val="00BF5840"/>
    <w:rsid w:val="00BF7E49"/>
    <w:rsid w:val="00C054A8"/>
    <w:rsid w:val="00C05B9B"/>
    <w:rsid w:val="00C14744"/>
    <w:rsid w:val="00C16B8F"/>
    <w:rsid w:val="00C16BC3"/>
    <w:rsid w:val="00C207D0"/>
    <w:rsid w:val="00C2311E"/>
    <w:rsid w:val="00C36EAC"/>
    <w:rsid w:val="00C40DD5"/>
    <w:rsid w:val="00C44FE3"/>
    <w:rsid w:val="00C4771F"/>
    <w:rsid w:val="00C525D1"/>
    <w:rsid w:val="00C5560B"/>
    <w:rsid w:val="00C578A0"/>
    <w:rsid w:val="00C57AD0"/>
    <w:rsid w:val="00C9146C"/>
    <w:rsid w:val="00C91BFF"/>
    <w:rsid w:val="00CA51D1"/>
    <w:rsid w:val="00CB02E6"/>
    <w:rsid w:val="00CB1D11"/>
    <w:rsid w:val="00CC0C95"/>
    <w:rsid w:val="00CD1B62"/>
    <w:rsid w:val="00CD5D55"/>
    <w:rsid w:val="00CD62A9"/>
    <w:rsid w:val="00CD78F4"/>
    <w:rsid w:val="00CF48AA"/>
    <w:rsid w:val="00D00B53"/>
    <w:rsid w:val="00D019F4"/>
    <w:rsid w:val="00D02AF1"/>
    <w:rsid w:val="00D03BDD"/>
    <w:rsid w:val="00D107FE"/>
    <w:rsid w:val="00D10915"/>
    <w:rsid w:val="00D373BD"/>
    <w:rsid w:val="00D37C83"/>
    <w:rsid w:val="00D427F5"/>
    <w:rsid w:val="00D43E69"/>
    <w:rsid w:val="00D53F2D"/>
    <w:rsid w:val="00D6596F"/>
    <w:rsid w:val="00D80AE9"/>
    <w:rsid w:val="00D87A24"/>
    <w:rsid w:val="00D90A8C"/>
    <w:rsid w:val="00D9239D"/>
    <w:rsid w:val="00D95588"/>
    <w:rsid w:val="00DA62D0"/>
    <w:rsid w:val="00DB2509"/>
    <w:rsid w:val="00DD183C"/>
    <w:rsid w:val="00DE1560"/>
    <w:rsid w:val="00DE1A7A"/>
    <w:rsid w:val="00DE22E8"/>
    <w:rsid w:val="00DE5E5A"/>
    <w:rsid w:val="00DE6309"/>
    <w:rsid w:val="00DF1099"/>
    <w:rsid w:val="00DF5716"/>
    <w:rsid w:val="00DF6348"/>
    <w:rsid w:val="00DF7CB8"/>
    <w:rsid w:val="00E06DAC"/>
    <w:rsid w:val="00E10206"/>
    <w:rsid w:val="00E34A07"/>
    <w:rsid w:val="00E3628E"/>
    <w:rsid w:val="00E37429"/>
    <w:rsid w:val="00E54FAD"/>
    <w:rsid w:val="00E55D90"/>
    <w:rsid w:val="00E56B28"/>
    <w:rsid w:val="00E62A46"/>
    <w:rsid w:val="00E64FB4"/>
    <w:rsid w:val="00E70163"/>
    <w:rsid w:val="00E73517"/>
    <w:rsid w:val="00E75835"/>
    <w:rsid w:val="00E80240"/>
    <w:rsid w:val="00E90D90"/>
    <w:rsid w:val="00E9575C"/>
    <w:rsid w:val="00EA5763"/>
    <w:rsid w:val="00EA6070"/>
    <w:rsid w:val="00EB23B4"/>
    <w:rsid w:val="00EB370B"/>
    <w:rsid w:val="00ED0BC8"/>
    <w:rsid w:val="00ED720C"/>
    <w:rsid w:val="00EE015D"/>
    <w:rsid w:val="00EE63DE"/>
    <w:rsid w:val="00EE6AC1"/>
    <w:rsid w:val="00EE6FAE"/>
    <w:rsid w:val="00EF253C"/>
    <w:rsid w:val="00F20351"/>
    <w:rsid w:val="00F3634B"/>
    <w:rsid w:val="00F4232B"/>
    <w:rsid w:val="00F44F8B"/>
    <w:rsid w:val="00F45413"/>
    <w:rsid w:val="00F460B8"/>
    <w:rsid w:val="00F4611B"/>
    <w:rsid w:val="00F52010"/>
    <w:rsid w:val="00F575D6"/>
    <w:rsid w:val="00F57F0F"/>
    <w:rsid w:val="00F6561C"/>
    <w:rsid w:val="00F65969"/>
    <w:rsid w:val="00F82C9F"/>
    <w:rsid w:val="00F97C43"/>
    <w:rsid w:val="00FA6DDA"/>
    <w:rsid w:val="00FB3F6A"/>
    <w:rsid w:val="00FB4AD6"/>
    <w:rsid w:val="00FB4E33"/>
    <w:rsid w:val="00FC0011"/>
    <w:rsid w:val="00FE12A4"/>
    <w:rsid w:val="00FE505C"/>
    <w:rsid w:val="00FE69FB"/>
    <w:rsid w:val="00FF3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C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F76"/>
    <w:rPr>
      <w:color w:val="0000FF"/>
      <w:u w:val="single"/>
    </w:rPr>
  </w:style>
  <w:style w:type="character" w:styleId="Emphasis">
    <w:name w:val="Emphasis"/>
    <w:basedOn w:val="DefaultParagraphFont"/>
    <w:uiPriority w:val="20"/>
    <w:qFormat/>
    <w:rsid w:val="001E6F76"/>
    <w:rPr>
      <w:b/>
      <w:bCs/>
      <w:i w:val="0"/>
      <w:iCs w:val="0"/>
    </w:rPr>
  </w:style>
  <w:style w:type="paragraph" w:styleId="NoSpacing">
    <w:name w:val="No Spacing"/>
    <w:qFormat/>
    <w:rsid w:val="001E6F76"/>
    <w:pPr>
      <w:spacing w:after="0"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1E6F76"/>
  </w:style>
  <w:style w:type="paragraph" w:styleId="Header">
    <w:name w:val="header"/>
    <w:basedOn w:val="Normal"/>
    <w:link w:val="HeaderChar"/>
    <w:uiPriority w:val="99"/>
    <w:unhideWhenUsed/>
    <w:rsid w:val="001E6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F76"/>
  </w:style>
  <w:style w:type="paragraph" w:styleId="Footer">
    <w:name w:val="footer"/>
    <w:basedOn w:val="Normal"/>
    <w:link w:val="FooterChar"/>
    <w:uiPriority w:val="99"/>
    <w:unhideWhenUsed/>
    <w:rsid w:val="001E6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F76"/>
  </w:style>
  <w:style w:type="table" w:styleId="TableGrid">
    <w:name w:val="Table Grid"/>
    <w:basedOn w:val="TableNormal"/>
    <w:uiPriority w:val="59"/>
    <w:rsid w:val="001E6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E6F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E6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F76"/>
    <w:rPr>
      <w:rFonts w:ascii="Tahoma" w:hAnsi="Tahoma" w:cs="Tahoma"/>
      <w:sz w:val="16"/>
      <w:szCs w:val="16"/>
    </w:rPr>
  </w:style>
  <w:style w:type="paragraph" w:styleId="EndnoteText">
    <w:name w:val="endnote text"/>
    <w:basedOn w:val="Normal"/>
    <w:link w:val="EndnoteTextChar"/>
    <w:uiPriority w:val="99"/>
    <w:unhideWhenUsed/>
    <w:rsid w:val="001E6F76"/>
    <w:pPr>
      <w:spacing w:after="0" w:line="240" w:lineRule="auto"/>
    </w:pPr>
    <w:rPr>
      <w:sz w:val="20"/>
      <w:szCs w:val="20"/>
    </w:rPr>
  </w:style>
  <w:style w:type="character" w:customStyle="1" w:styleId="EndnoteTextChar">
    <w:name w:val="Endnote Text Char"/>
    <w:basedOn w:val="DefaultParagraphFont"/>
    <w:link w:val="EndnoteText"/>
    <w:uiPriority w:val="99"/>
    <w:rsid w:val="001E6F76"/>
    <w:rPr>
      <w:sz w:val="20"/>
      <w:szCs w:val="20"/>
    </w:rPr>
  </w:style>
  <w:style w:type="character" w:styleId="EndnoteReference">
    <w:name w:val="endnote reference"/>
    <w:basedOn w:val="DefaultParagraphFont"/>
    <w:uiPriority w:val="99"/>
    <w:semiHidden/>
    <w:unhideWhenUsed/>
    <w:rsid w:val="001E6F76"/>
    <w:rPr>
      <w:vertAlign w:val="superscript"/>
    </w:rPr>
  </w:style>
  <w:style w:type="paragraph" w:styleId="ListParagraph">
    <w:name w:val="List Paragraph"/>
    <w:basedOn w:val="Normal"/>
    <w:uiPriority w:val="34"/>
    <w:qFormat/>
    <w:rsid w:val="001E6F76"/>
    <w:pPr>
      <w:ind w:left="720"/>
      <w:contextualSpacing/>
    </w:pPr>
  </w:style>
  <w:style w:type="paragraph" w:styleId="FootnoteText">
    <w:name w:val="footnote text"/>
    <w:basedOn w:val="Normal"/>
    <w:link w:val="FootnoteTextChar"/>
    <w:semiHidden/>
    <w:rsid w:val="001E6F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E6F7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E6F76"/>
    <w:rPr>
      <w:vertAlign w:val="superscript"/>
    </w:rPr>
  </w:style>
  <w:style w:type="character" w:styleId="FollowedHyperlink">
    <w:name w:val="FollowedHyperlink"/>
    <w:basedOn w:val="DefaultParagraphFont"/>
    <w:uiPriority w:val="99"/>
    <w:semiHidden/>
    <w:unhideWhenUsed/>
    <w:rsid w:val="001E6F76"/>
    <w:rPr>
      <w:color w:val="800080" w:themeColor="followedHyperlink"/>
      <w:u w:val="single"/>
    </w:rPr>
  </w:style>
  <w:style w:type="paragraph" w:customStyle="1" w:styleId="Default">
    <w:name w:val="Default"/>
    <w:rsid w:val="001E6F7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E22E8"/>
    <w:rPr>
      <w:sz w:val="16"/>
      <w:szCs w:val="16"/>
    </w:rPr>
  </w:style>
  <w:style w:type="paragraph" w:styleId="CommentText">
    <w:name w:val="annotation text"/>
    <w:basedOn w:val="Normal"/>
    <w:link w:val="CommentTextChar"/>
    <w:uiPriority w:val="99"/>
    <w:semiHidden/>
    <w:unhideWhenUsed/>
    <w:rsid w:val="00DE22E8"/>
    <w:pPr>
      <w:spacing w:line="240" w:lineRule="auto"/>
    </w:pPr>
    <w:rPr>
      <w:sz w:val="20"/>
      <w:szCs w:val="20"/>
    </w:rPr>
  </w:style>
  <w:style w:type="character" w:customStyle="1" w:styleId="CommentTextChar">
    <w:name w:val="Comment Text Char"/>
    <w:basedOn w:val="DefaultParagraphFont"/>
    <w:link w:val="CommentText"/>
    <w:uiPriority w:val="99"/>
    <w:semiHidden/>
    <w:rsid w:val="00DE22E8"/>
    <w:rPr>
      <w:sz w:val="20"/>
      <w:szCs w:val="20"/>
    </w:rPr>
  </w:style>
  <w:style w:type="paragraph" w:styleId="CommentSubject">
    <w:name w:val="annotation subject"/>
    <w:basedOn w:val="CommentText"/>
    <w:next w:val="CommentText"/>
    <w:link w:val="CommentSubjectChar"/>
    <w:uiPriority w:val="99"/>
    <w:semiHidden/>
    <w:unhideWhenUsed/>
    <w:rsid w:val="00DE22E8"/>
    <w:rPr>
      <w:b/>
      <w:bCs/>
    </w:rPr>
  </w:style>
  <w:style w:type="character" w:customStyle="1" w:styleId="CommentSubjectChar">
    <w:name w:val="Comment Subject Char"/>
    <w:basedOn w:val="CommentTextChar"/>
    <w:link w:val="CommentSubject"/>
    <w:uiPriority w:val="99"/>
    <w:semiHidden/>
    <w:rsid w:val="00DE22E8"/>
    <w:rPr>
      <w:b/>
      <w:bCs/>
      <w:sz w:val="20"/>
      <w:szCs w:val="20"/>
    </w:rPr>
  </w:style>
  <w:style w:type="paragraph" w:styleId="Revision">
    <w:name w:val="Revision"/>
    <w:hidden/>
    <w:uiPriority w:val="99"/>
    <w:semiHidden/>
    <w:rsid w:val="00DE22E8"/>
    <w:pPr>
      <w:spacing w:after="0" w:line="240" w:lineRule="auto"/>
    </w:pPr>
  </w:style>
  <w:style w:type="paragraph" w:customStyle="1" w:styleId="doc-ti2">
    <w:name w:val="doc-ti2"/>
    <w:basedOn w:val="Normal"/>
    <w:rsid w:val="002B28BF"/>
    <w:pPr>
      <w:spacing w:before="240" w:after="120" w:line="312" w:lineRule="atLeast"/>
      <w:jc w:val="center"/>
    </w:pPr>
    <w:rPr>
      <w:rFonts w:ascii="Times New Roman" w:eastAsia="Times New Roman" w:hAnsi="Times New Roman" w:cs="Times New Roman"/>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F76"/>
    <w:rPr>
      <w:color w:val="0000FF"/>
      <w:u w:val="single"/>
    </w:rPr>
  </w:style>
  <w:style w:type="character" w:styleId="Emphasis">
    <w:name w:val="Emphasis"/>
    <w:basedOn w:val="DefaultParagraphFont"/>
    <w:uiPriority w:val="20"/>
    <w:qFormat/>
    <w:rsid w:val="001E6F76"/>
    <w:rPr>
      <w:b/>
      <w:bCs/>
      <w:i w:val="0"/>
      <w:iCs w:val="0"/>
    </w:rPr>
  </w:style>
  <w:style w:type="paragraph" w:styleId="NoSpacing">
    <w:name w:val="No Spacing"/>
    <w:qFormat/>
    <w:rsid w:val="001E6F76"/>
    <w:pPr>
      <w:spacing w:after="0"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1E6F76"/>
  </w:style>
  <w:style w:type="paragraph" w:styleId="Header">
    <w:name w:val="header"/>
    <w:basedOn w:val="Normal"/>
    <w:link w:val="HeaderChar"/>
    <w:uiPriority w:val="99"/>
    <w:unhideWhenUsed/>
    <w:rsid w:val="001E6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F76"/>
  </w:style>
  <w:style w:type="paragraph" w:styleId="Footer">
    <w:name w:val="footer"/>
    <w:basedOn w:val="Normal"/>
    <w:link w:val="FooterChar"/>
    <w:uiPriority w:val="99"/>
    <w:unhideWhenUsed/>
    <w:rsid w:val="001E6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F76"/>
  </w:style>
  <w:style w:type="table" w:styleId="TableGrid">
    <w:name w:val="Table Grid"/>
    <w:basedOn w:val="TableNormal"/>
    <w:uiPriority w:val="59"/>
    <w:rsid w:val="001E6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E6F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E6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F76"/>
    <w:rPr>
      <w:rFonts w:ascii="Tahoma" w:hAnsi="Tahoma" w:cs="Tahoma"/>
      <w:sz w:val="16"/>
      <w:szCs w:val="16"/>
    </w:rPr>
  </w:style>
  <w:style w:type="paragraph" w:styleId="EndnoteText">
    <w:name w:val="endnote text"/>
    <w:basedOn w:val="Normal"/>
    <w:link w:val="EndnoteTextChar"/>
    <w:uiPriority w:val="99"/>
    <w:unhideWhenUsed/>
    <w:rsid w:val="001E6F76"/>
    <w:pPr>
      <w:spacing w:after="0" w:line="240" w:lineRule="auto"/>
    </w:pPr>
    <w:rPr>
      <w:sz w:val="20"/>
      <w:szCs w:val="20"/>
    </w:rPr>
  </w:style>
  <w:style w:type="character" w:customStyle="1" w:styleId="EndnoteTextChar">
    <w:name w:val="Endnote Text Char"/>
    <w:basedOn w:val="DefaultParagraphFont"/>
    <w:link w:val="EndnoteText"/>
    <w:uiPriority w:val="99"/>
    <w:rsid w:val="001E6F76"/>
    <w:rPr>
      <w:sz w:val="20"/>
      <w:szCs w:val="20"/>
    </w:rPr>
  </w:style>
  <w:style w:type="character" w:styleId="EndnoteReference">
    <w:name w:val="endnote reference"/>
    <w:basedOn w:val="DefaultParagraphFont"/>
    <w:uiPriority w:val="99"/>
    <w:semiHidden/>
    <w:unhideWhenUsed/>
    <w:rsid w:val="001E6F76"/>
    <w:rPr>
      <w:vertAlign w:val="superscript"/>
    </w:rPr>
  </w:style>
  <w:style w:type="paragraph" w:styleId="ListParagraph">
    <w:name w:val="List Paragraph"/>
    <w:basedOn w:val="Normal"/>
    <w:uiPriority w:val="34"/>
    <w:qFormat/>
    <w:rsid w:val="001E6F76"/>
    <w:pPr>
      <w:ind w:left="720"/>
      <w:contextualSpacing/>
    </w:pPr>
  </w:style>
  <w:style w:type="paragraph" w:styleId="FootnoteText">
    <w:name w:val="footnote text"/>
    <w:basedOn w:val="Normal"/>
    <w:link w:val="FootnoteTextChar"/>
    <w:semiHidden/>
    <w:rsid w:val="001E6F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E6F7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E6F76"/>
    <w:rPr>
      <w:vertAlign w:val="superscript"/>
    </w:rPr>
  </w:style>
  <w:style w:type="character" w:styleId="FollowedHyperlink">
    <w:name w:val="FollowedHyperlink"/>
    <w:basedOn w:val="DefaultParagraphFont"/>
    <w:uiPriority w:val="99"/>
    <w:semiHidden/>
    <w:unhideWhenUsed/>
    <w:rsid w:val="001E6F76"/>
    <w:rPr>
      <w:color w:val="800080" w:themeColor="followedHyperlink"/>
      <w:u w:val="single"/>
    </w:rPr>
  </w:style>
  <w:style w:type="paragraph" w:customStyle="1" w:styleId="Default">
    <w:name w:val="Default"/>
    <w:rsid w:val="001E6F7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E22E8"/>
    <w:rPr>
      <w:sz w:val="16"/>
      <w:szCs w:val="16"/>
    </w:rPr>
  </w:style>
  <w:style w:type="paragraph" w:styleId="CommentText">
    <w:name w:val="annotation text"/>
    <w:basedOn w:val="Normal"/>
    <w:link w:val="CommentTextChar"/>
    <w:uiPriority w:val="99"/>
    <w:semiHidden/>
    <w:unhideWhenUsed/>
    <w:rsid w:val="00DE22E8"/>
    <w:pPr>
      <w:spacing w:line="240" w:lineRule="auto"/>
    </w:pPr>
    <w:rPr>
      <w:sz w:val="20"/>
      <w:szCs w:val="20"/>
    </w:rPr>
  </w:style>
  <w:style w:type="character" w:customStyle="1" w:styleId="CommentTextChar">
    <w:name w:val="Comment Text Char"/>
    <w:basedOn w:val="DefaultParagraphFont"/>
    <w:link w:val="CommentText"/>
    <w:uiPriority w:val="99"/>
    <w:semiHidden/>
    <w:rsid w:val="00DE22E8"/>
    <w:rPr>
      <w:sz w:val="20"/>
      <w:szCs w:val="20"/>
    </w:rPr>
  </w:style>
  <w:style w:type="paragraph" w:styleId="CommentSubject">
    <w:name w:val="annotation subject"/>
    <w:basedOn w:val="CommentText"/>
    <w:next w:val="CommentText"/>
    <w:link w:val="CommentSubjectChar"/>
    <w:uiPriority w:val="99"/>
    <w:semiHidden/>
    <w:unhideWhenUsed/>
    <w:rsid w:val="00DE22E8"/>
    <w:rPr>
      <w:b/>
      <w:bCs/>
    </w:rPr>
  </w:style>
  <w:style w:type="character" w:customStyle="1" w:styleId="CommentSubjectChar">
    <w:name w:val="Comment Subject Char"/>
    <w:basedOn w:val="CommentTextChar"/>
    <w:link w:val="CommentSubject"/>
    <w:uiPriority w:val="99"/>
    <w:semiHidden/>
    <w:rsid w:val="00DE22E8"/>
    <w:rPr>
      <w:b/>
      <w:bCs/>
      <w:sz w:val="20"/>
      <w:szCs w:val="20"/>
    </w:rPr>
  </w:style>
  <w:style w:type="paragraph" w:styleId="Revision">
    <w:name w:val="Revision"/>
    <w:hidden/>
    <w:uiPriority w:val="99"/>
    <w:semiHidden/>
    <w:rsid w:val="00DE22E8"/>
    <w:pPr>
      <w:spacing w:after="0" w:line="240" w:lineRule="auto"/>
    </w:pPr>
  </w:style>
  <w:style w:type="paragraph" w:customStyle="1" w:styleId="doc-ti2">
    <w:name w:val="doc-ti2"/>
    <w:basedOn w:val="Normal"/>
    <w:rsid w:val="002B28BF"/>
    <w:pPr>
      <w:spacing w:before="240" w:after="120" w:line="312" w:lineRule="atLeast"/>
      <w:jc w:val="center"/>
    </w:pPr>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5474">
      <w:bodyDiv w:val="1"/>
      <w:marLeft w:val="0"/>
      <w:marRight w:val="0"/>
      <w:marTop w:val="0"/>
      <w:marBottom w:val="0"/>
      <w:divBdr>
        <w:top w:val="none" w:sz="0" w:space="0" w:color="auto"/>
        <w:left w:val="none" w:sz="0" w:space="0" w:color="auto"/>
        <w:bottom w:val="none" w:sz="0" w:space="0" w:color="auto"/>
        <w:right w:val="none" w:sz="0" w:space="0" w:color="auto"/>
      </w:divBdr>
      <w:divsChild>
        <w:div w:id="1094790190">
          <w:marLeft w:val="0"/>
          <w:marRight w:val="0"/>
          <w:marTop w:val="0"/>
          <w:marBottom w:val="0"/>
          <w:divBdr>
            <w:top w:val="none" w:sz="0" w:space="0" w:color="auto"/>
            <w:left w:val="none" w:sz="0" w:space="0" w:color="auto"/>
            <w:bottom w:val="none" w:sz="0" w:space="0" w:color="auto"/>
            <w:right w:val="none" w:sz="0" w:space="0" w:color="auto"/>
          </w:divBdr>
          <w:divsChild>
            <w:div w:id="2142113077">
              <w:marLeft w:val="0"/>
              <w:marRight w:val="0"/>
              <w:marTop w:val="0"/>
              <w:marBottom w:val="0"/>
              <w:divBdr>
                <w:top w:val="none" w:sz="0" w:space="0" w:color="auto"/>
                <w:left w:val="none" w:sz="0" w:space="0" w:color="auto"/>
                <w:bottom w:val="none" w:sz="0" w:space="0" w:color="auto"/>
                <w:right w:val="none" w:sz="0" w:space="0" w:color="auto"/>
              </w:divBdr>
              <w:divsChild>
                <w:div w:id="542524447">
                  <w:marLeft w:val="0"/>
                  <w:marRight w:val="0"/>
                  <w:marTop w:val="0"/>
                  <w:marBottom w:val="0"/>
                  <w:divBdr>
                    <w:top w:val="none" w:sz="0" w:space="0" w:color="auto"/>
                    <w:left w:val="none" w:sz="0" w:space="0" w:color="auto"/>
                    <w:bottom w:val="none" w:sz="0" w:space="0" w:color="auto"/>
                    <w:right w:val="none" w:sz="0" w:space="0" w:color="auto"/>
                  </w:divBdr>
                  <w:divsChild>
                    <w:div w:id="1473668190">
                      <w:marLeft w:val="1"/>
                      <w:marRight w:val="1"/>
                      <w:marTop w:val="0"/>
                      <w:marBottom w:val="0"/>
                      <w:divBdr>
                        <w:top w:val="none" w:sz="0" w:space="0" w:color="auto"/>
                        <w:left w:val="none" w:sz="0" w:space="0" w:color="auto"/>
                        <w:bottom w:val="none" w:sz="0" w:space="0" w:color="auto"/>
                        <w:right w:val="none" w:sz="0" w:space="0" w:color="auto"/>
                      </w:divBdr>
                      <w:divsChild>
                        <w:div w:id="760613100">
                          <w:marLeft w:val="0"/>
                          <w:marRight w:val="0"/>
                          <w:marTop w:val="0"/>
                          <w:marBottom w:val="0"/>
                          <w:divBdr>
                            <w:top w:val="none" w:sz="0" w:space="0" w:color="auto"/>
                            <w:left w:val="none" w:sz="0" w:space="0" w:color="auto"/>
                            <w:bottom w:val="none" w:sz="0" w:space="0" w:color="auto"/>
                            <w:right w:val="none" w:sz="0" w:space="0" w:color="auto"/>
                          </w:divBdr>
                          <w:divsChild>
                            <w:div w:id="1022393364">
                              <w:marLeft w:val="0"/>
                              <w:marRight w:val="0"/>
                              <w:marTop w:val="0"/>
                              <w:marBottom w:val="360"/>
                              <w:divBdr>
                                <w:top w:val="none" w:sz="0" w:space="0" w:color="auto"/>
                                <w:left w:val="none" w:sz="0" w:space="0" w:color="auto"/>
                                <w:bottom w:val="none" w:sz="0" w:space="0" w:color="auto"/>
                                <w:right w:val="none" w:sz="0" w:space="0" w:color="auto"/>
                              </w:divBdr>
                              <w:divsChild>
                                <w:div w:id="213929848">
                                  <w:marLeft w:val="0"/>
                                  <w:marRight w:val="0"/>
                                  <w:marTop w:val="0"/>
                                  <w:marBottom w:val="0"/>
                                  <w:divBdr>
                                    <w:top w:val="none" w:sz="0" w:space="0" w:color="auto"/>
                                    <w:left w:val="none" w:sz="0" w:space="0" w:color="auto"/>
                                    <w:bottom w:val="none" w:sz="0" w:space="0" w:color="auto"/>
                                    <w:right w:val="none" w:sz="0" w:space="0" w:color="auto"/>
                                  </w:divBdr>
                                  <w:divsChild>
                                    <w:div w:id="1230460200">
                                      <w:marLeft w:val="0"/>
                                      <w:marRight w:val="0"/>
                                      <w:marTop w:val="0"/>
                                      <w:marBottom w:val="0"/>
                                      <w:divBdr>
                                        <w:top w:val="none" w:sz="0" w:space="0" w:color="auto"/>
                                        <w:left w:val="none" w:sz="0" w:space="0" w:color="auto"/>
                                        <w:bottom w:val="none" w:sz="0" w:space="0" w:color="auto"/>
                                        <w:right w:val="none" w:sz="0" w:space="0" w:color="auto"/>
                                      </w:divBdr>
                                      <w:divsChild>
                                        <w:div w:id="1735853892">
                                          <w:marLeft w:val="0"/>
                                          <w:marRight w:val="0"/>
                                          <w:marTop w:val="0"/>
                                          <w:marBottom w:val="0"/>
                                          <w:divBdr>
                                            <w:top w:val="none" w:sz="0" w:space="0" w:color="auto"/>
                                            <w:left w:val="none" w:sz="0" w:space="0" w:color="auto"/>
                                            <w:bottom w:val="none" w:sz="0" w:space="0" w:color="auto"/>
                                            <w:right w:val="none" w:sz="0" w:space="0" w:color="auto"/>
                                          </w:divBdr>
                                          <w:divsChild>
                                            <w:div w:id="1871993391">
                                              <w:marLeft w:val="0"/>
                                              <w:marRight w:val="0"/>
                                              <w:marTop w:val="0"/>
                                              <w:marBottom w:val="0"/>
                                              <w:divBdr>
                                                <w:top w:val="none" w:sz="0" w:space="0" w:color="auto"/>
                                                <w:left w:val="none" w:sz="0" w:space="0" w:color="auto"/>
                                                <w:bottom w:val="none" w:sz="0" w:space="0" w:color="auto"/>
                                                <w:right w:val="none" w:sz="0" w:space="0" w:color="auto"/>
                                              </w:divBdr>
                                              <w:divsChild>
                                                <w:div w:id="10617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2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licy-network.net/publications_detail.aspx?ID=4435" TargetMode="External"/><Relationship Id="rId18" Type="http://schemas.openxmlformats.org/officeDocument/2006/relationships/hyperlink" Target="http://www.thetakeoverpanel.org.uk/wp-content/uploads/2008/11/RS201101.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thetakeoverpanel.org.uk/wp-content/uploads/2012/01/2012-8.pdf" TargetMode="External"/><Relationship Id="rId7" Type="http://schemas.openxmlformats.org/officeDocument/2006/relationships/footnotes" Target="footnotes.xml"/><Relationship Id="rId12" Type="http://schemas.openxmlformats.org/officeDocument/2006/relationships/hyperlink" Target="https://assets.publishing.service.gov.uk/media/585bc8fde5274a13030000fe/severn-trent-dee-valley-ftd.pdf" TargetMode="External"/><Relationship Id="rId17" Type="http://schemas.openxmlformats.org/officeDocument/2006/relationships/hyperlink" Target="http://www.thetakeoverpanel.org.uk/wp-content/uploads/2009/12/2010-14.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europa.eu/commission/sites/beta-political/files/social-summit-european-pillar-social-rights-booklet_en.pdf" TargetMode="External"/><Relationship Id="rId20" Type="http://schemas.openxmlformats.org/officeDocument/2006/relationships/hyperlink" Target="http://www.thetakeoverpanel.org.uk/wp-content/uploads/2017/04/2017_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se.edu/es/files/Campa%20investigacion_tcm5-24752.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tuc.org/IMG/pdf/resolution_2012_EN-4.pdf" TargetMode="External"/><Relationship Id="rId23" Type="http://schemas.openxmlformats.org/officeDocument/2006/relationships/footer" Target="footer1.xml"/><Relationship Id="rId10" Type="http://schemas.openxmlformats.org/officeDocument/2006/relationships/hyperlink" Target="https://assets.publishing.service.gov.uk/government/uploads/system/uploads/attachment_data/file/640631/corporate-governance-reform-government-response.pdf" TargetMode="External"/><Relationship Id="rId19" Type="http://schemas.openxmlformats.org/officeDocument/2006/relationships/hyperlink" Target="http://www.thetakeoverpanel.org.uk/wp-content/uploads/2017/09/PCP-re-statements-of-intention-September-2017.pdf" TargetMode="External"/><Relationship Id="rId4" Type="http://schemas.microsoft.com/office/2007/relationships/stylesWithEffects" Target="stylesWithEffects.xml"/><Relationship Id="rId9" Type="http://schemas.openxmlformats.org/officeDocument/2006/relationships/hyperlink" Target="https://assets.publishing.service.gov.uk/government/uploads/system/uploads/attachment_data/file/640631/corporate-governance-reform-government-response.pdf" TargetMode="External"/><Relationship Id="rId14" Type="http://schemas.openxmlformats.org/officeDocument/2006/relationships/hyperlink" Target="http://eur-lex.europa.eu/legal-content/EN/TXT/?uri=celex%3A32004L0025" TargetMode="External"/><Relationship Id="rId22" Type="http://schemas.openxmlformats.org/officeDocument/2006/relationships/hyperlink" Target="http://www.thetakeoverpanel.org.uk/wp-content/uploads/2017/12/FinalRS201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D75DE-8A31-4983-8A4E-A03D9982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9862</Words>
  <Characters>56216</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dc:creator>
  <cp:lastModifiedBy>Chris</cp:lastModifiedBy>
  <cp:revision>2</cp:revision>
  <dcterms:created xsi:type="dcterms:W3CDTF">2018-10-02T13:08:00Z</dcterms:created>
  <dcterms:modified xsi:type="dcterms:W3CDTF">2018-10-02T13:08:00Z</dcterms:modified>
</cp:coreProperties>
</file>