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8D312F" w14:textId="2AB1B0D0" w:rsidR="00A04CC3" w:rsidRDefault="00744243">
      <w:pPr>
        <w:rPr>
          <w:b/>
        </w:rPr>
      </w:pPr>
      <w:r>
        <w:rPr>
          <w:b/>
        </w:rPr>
        <w:t>Ethnic</w:t>
      </w:r>
      <w:r w:rsidR="003062FF">
        <w:rPr>
          <w:b/>
        </w:rPr>
        <w:t xml:space="preserve"> and religious </w:t>
      </w:r>
      <w:r w:rsidR="00CB148C" w:rsidRPr="00112FFA">
        <w:rPr>
          <w:b/>
        </w:rPr>
        <w:t>diversity</w:t>
      </w:r>
      <w:r w:rsidR="0024122C" w:rsidRPr="00112FFA">
        <w:rPr>
          <w:b/>
        </w:rPr>
        <w:t xml:space="preserve"> </w:t>
      </w:r>
      <w:r w:rsidR="003062FF">
        <w:rPr>
          <w:b/>
        </w:rPr>
        <w:t>in</w:t>
      </w:r>
      <w:r w:rsidR="0024122C" w:rsidRPr="00112FFA">
        <w:rPr>
          <w:b/>
        </w:rPr>
        <w:t xml:space="preserve"> the politics of </w:t>
      </w:r>
      <w:r>
        <w:rPr>
          <w:b/>
        </w:rPr>
        <w:t>suburban</w:t>
      </w:r>
      <w:r w:rsidR="008B5434">
        <w:rPr>
          <w:b/>
        </w:rPr>
        <w:t xml:space="preserve"> London</w:t>
      </w:r>
      <w:r w:rsidR="003062FF">
        <w:rPr>
          <w:b/>
        </w:rPr>
        <w:t>.</w:t>
      </w:r>
    </w:p>
    <w:p w14:paraId="73A4C864" w14:textId="77777777" w:rsidR="0024122C" w:rsidRDefault="0024122C"/>
    <w:p w14:paraId="13A888F6" w14:textId="77777777" w:rsidR="0024122C" w:rsidRDefault="0024122C">
      <w:r>
        <w:t>David Gilbert, Claire Dwyer and Nazneen Ahmed.</w:t>
      </w:r>
    </w:p>
    <w:p w14:paraId="0965A50A" w14:textId="77777777" w:rsidR="00974790" w:rsidRDefault="00974790"/>
    <w:p w14:paraId="1B7937D1" w14:textId="4CE17758" w:rsidR="00974790" w:rsidRDefault="00974790">
      <w:r>
        <w:t>David Gilbert is Professor of Urban and Historical Geography, Royal Holloway, University of London.</w:t>
      </w:r>
    </w:p>
    <w:p w14:paraId="4B1DAF78" w14:textId="77777777" w:rsidR="00974790" w:rsidRDefault="00974790"/>
    <w:p w14:paraId="6730B6E2" w14:textId="0C42F77E" w:rsidR="001D0E8B" w:rsidRDefault="00974790">
      <w:r>
        <w:t xml:space="preserve">Claire Dwyer is </w:t>
      </w:r>
      <w:r w:rsidR="002262EA">
        <w:t>Professor of</w:t>
      </w:r>
      <w:r>
        <w:t xml:space="preserve"> </w:t>
      </w:r>
      <w:r w:rsidR="00940345">
        <w:t xml:space="preserve">Human </w:t>
      </w:r>
      <w:r>
        <w:t>Geography</w:t>
      </w:r>
      <w:r w:rsidR="001D0E8B">
        <w:t>, University College London.</w:t>
      </w:r>
    </w:p>
    <w:p w14:paraId="3026EDC4" w14:textId="77777777" w:rsidR="001D0E8B" w:rsidRDefault="001D0E8B"/>
    <w:p w14:paraId="66145759" w14:textId="77777777" w:rsidR="001D0E8B" w:rsidRDefault="001D0E8B" w:rsidP="001D0E8B">
      <w:r>
        <w:t>Dr Nazneen Ahmed is Research Associate in the Department of Geography, University College London.</w:t>
      </w:r>
    </w:p>
    <w:p w14:paraId="00AC4244" w14:textId="7F4D1061" w:rsidR="00974790" w:rsidRDefault="001D0E8B">
      <w:r>
        <w:t xml:space="preserve"> </w:t>
      </w:r>
      <w:r w:rsidR="00974790">
        <w:t xml:space="preserve"> </w:t>
      </w:r>
    </w:p>
    <w:p w14:paraId="439AF6BF" w14:textId="77777777" w:rsidR="0003272E" w:rsidRDefault="0003272E"/>
    <w:p w14:paraId="2AF8CBC3" w14:textId="3C27F3F5" w:rsidR="0003272E" w:rsidRPr="00EB37E5" w:rsidRDefault="00EB37E5">
      <w:pPr>
        <w:rPr>
          <w:b/>
        </w:rPr>
      </w:pPr>
      <w:r w:rsidRPr="00EB37E5">
        <w:rPr>
          <w:b/>
        </w:rPr>
        <w:t>Abstract</w:t>
      </w:r>
    </w:p>
    <w:p w14:paraId="6E6BE473" w14:textId="77777777" w:rsidR="00EB37E5" w:rsidRDefault="00EB37E5"/>
    <w:p w14:paraId="63C6D24C" w14:textId="15CB1E46" w:rsidR="00EB37E5" w:rsidRDefault="00676D6F">
      <w:r>
        <w:t>The</w:t>
      </w:r>
      <w:r w:rsidR="00EB37E5">
        <w:t xml:space="preserve"> notion of ‘suburbia’ </w:t>
      </w:r>
      <w:r w:rsidR="007B0BE3">
        <w:t xml:space="preserve">is increasingly useless as a singular, simple description of place, identity or political culture. Focusing on ethnic and particularly religious diversity highlights the intensely differentiated nature of </w:t>
      </w:r>
      <w:r w:rsidR="00206A8E">
        <w:t xml:space="preserve">outer London. </w:t>
      </w:r>
      <w:r w:rsidR="00240948">
        <w:t>The</w:t>
      </w:r>
      <w:r w:rsidR="00206A8E">
        <w:t xml:space="preserve"> tropes of ‘</w:t>
      </w:r>
      <w:proofErr w:type="spellStart"/>
      <w:r w:rsidR="00206A8E">
        <w:t>Metroland</w:t>
      </w:r>
      <w:proofErr w:type="spellEnd"/>
      <w:r w:rsidR="00206A8E">
        <w:t>’, and ‘leafy suburbia’ deflect from recognition of this diversity</w:t>
      </w:r>
      <w:r w:rsidR="006D3B7F">
        <w:t xml:space="preserve">, </w:t>
      </w:r>
      <w:r w:rsidR="00240948">
        <w:t>and the</w:t>
      </w:r>
      <w:r w:rsidR="006D3B7F">
        <w:t xml:space="preserve"> </w:t>
      </w:r>
      <w:r w:rsidR="00003862">
        <w:t xml:space="preserve">broadly-found </w:t>
      </w:r>
      <w:r w:rsidR="006D3B7F">
        <w:t xml:space="preserve">expectations about patterns of migration, suburbanization and cultural change loosely associated with the Chicago School of urban sociology have </w:t>
      </w:r>
      <w:r w:rsidR="00974790">
        <w:t xml:space="preserve">less and less applicability to modern London. </w:t>
      </w:r>
      <w:r w:rsidR="006D177E">
        <w:t>Religious and ethnic</w:t>
      </w:r>
      <w:r w:rsidR="00975076">
        <w:t xml:space="preserve"> diversity in suburbia poses</w:t>
      </w:r>
      <w:r w:rsidR="00DA042D">
        <w:t xml:space="preserve"> significant challenges for political parties. </w:t>
      </w:r>
      <w:r w:rsidR="00C668C8">
        <w:t xml:space="preserve">In particular, </w:t>
      </w:r>
      <w:proofErr w:type="spellStart"/>
      <w:r w:rsidR="00532349">
        <w:t>Labour’s</w:t>
      </w:r>
      <w:proofErr w:type="spellEnd"/>
      <w:r w:rsidR="00532349">
        <w:t xml:space="preserve"> difficulties in </w:t>
      </w:r>
      <w:r w:rsidR="00556C5A">
        <w:t xml:space="preserve">appealing to different constituencies, often </w:t>
      </w:r>
      <w:r w:rsidR="009C3E25">
        <w:t xml:space="preserve">expressed geographically in terms of the differences between inner London and the white working-class areas of post-industrial Britain, </w:t>
      </w:r>
      <w:r w:rsidR="00240948">
        <w:t xml:space="preserve">are </w:t>
      </w:r>
      <w:r w:rsidR="009C3E25">
        <w:t xml:space="preserve">also present in the micro-politics of adjacent areas of outer London. </w:t>
      </w:r>
      <w:r w:rsidR="009741AA">
        <w:t xml:space="preserve">New forms of religion, and particularly the development of large new worship spaces, increasingly common in outer London, </w:t>
      </w:r>
      <w:r w:rsidR="00FB7F12">
        <w:t xml:space="preserve">also have significant consequences for the local politics of suburbia. </w:t>
      </w:r>
    </w:p>
    <w:p w14:paraId="2C55188E" w14:textId="77777777" w:rsidR="00FB7F12" w:rsidRDefault="00FB7F12"/>
    <w:p w14:paraId="176E49BB" w14:textId="77777777" w:rsidR="00FB7F12" w:rsidRDefault="00FB7F12"/>
    <w:p w14:paraId="579BD11B" w14:textId="3782D298" w:rsidR="00FB7F12" w:rsidRDefault="00FB7F12">
      <w:pPr>
        <w:rPr>
          <w:b/>
        </w:rPr>
      </w:pPr>
      <w:r>
        <w:rPr>
          <w:b/>
        </w:rPr>
        <w:t>Keywords</w:t>
      </w:r>
    </w:p>
    <w:p w14:paraId="0FB1EAA1" w14:textId="77777777" w:rsidR="00FB7F12" w:rsidRDefault="00FB7F12">
      <w:pPr>
        <w:rPr>
          <w:b/>
        </w:rPr>
      </w:pPr>
    </w:p>
    <w:p w14:paraId="30D5DC39" w14:textId="7CAFC309" w:rsidR="00FB7F12" w:rsidRPr="000E4E54" w:rsidRDefault="000E4E54">
      <w:r w:rsidRPr="000E4E54">
        <w:t>Suburb</w:t>
      </w:r>
      <w:r>
        <w:t>s</w:t>
      </w:r>
      <w:r w:rsidRPr="000E4E54">
        <w:tab/>
        <w:t xml:space="preserve">Religion </w:t>
      </w:r>
      <w:r w:rsidRPr="000E4E54">
        <w:tab/>
        <w:t xml:space="preserve">Ethnicity </w:t>
      </w:r>
      <w:r w:rsidRPr="000E4E54">
        <w:tab/>
        <w:t>London</w:t>
      </w:r>
      <w:r>
        <w:t xml:space="preserve">  </w:t>
      </w:r>
      <w:r w:rsidR="00C77024">
        <w:t xml:space="preserve"> </w:t>
      </w:r>
      <w:proofErr w:type="spellStart"/>
      <w:r w:rsidR="00C77024">
        <w:t>Metroland</w:t>
      </w:r>
      <w:proofErr w:type="spellEnd"/>
      <w:r w:rsidR="00C77024">
        <w:t xml:space="preserve"> </w:t>
      </w:r>
      <w:r w:rsidR="00C77024">
        <w:tab/>
        <w:t>‘Chicago School’</w:t>
      </w:r>
      <w:r>
        <w:tab/>
      </w:r>
      <w:r>
        <w:tab/>
      </w:r>
    </w:p>
    <w:p w14:paraId="78A04924" w14:textId="77777777" w:rsidR="00EB37E5" w:rsidRDefault="00EB37E5"/>
    <w:p w14:paraId="3822D0CE" w14:textId="77777777" w:rsidR="00EB37E5" w:rsidRDefault="00EB37E5"/>
    <w:p w14:paraId="2AB149E0" w14:textId="77777777" w:rsidR="00EB37E5" w:rsidRDefault="00EB37E5"/>
    <w:p w14:paraId="25ADD188" w14:textId="77777777" w:rsidR="0003272E" w:rsidRDefault="00931969">
      <w:pPr>
        <w:rPr>
          <w:b/>
        </w:rPr>
      </w:pPr>
      <w:r>
        <w:rPr>
          <w:b/>
        </w:rPr>
        <w:t>Time</w:t>
      </w:r>
      <w:r w:rsidR="0003272E">
        <w:rPr>
          <w:b/>
        </w:rPr>
        <w:t xml:space="preserve"> to forget </w:t>
      </w:r>
      <w:proofErr w:type="spellStart"/>
      <w:r w:rsidR="0003272E">
        <w:rPr>
          <w:b/>
        </w:rPr>
        <w:t>Metroland</w:t>
      </w:r>
      <w:proofErr w:type="spellEnd"/>
      <w:r w:rsidR="0003272E">
        <w:rPr>
          <w:b/>
        </w:rPr>
        <w:t>?</w:t>
      </w:r>
    </w:p>
    <w:p w14:paraId="184C1225" w14:textId="77777777" w:rsidR="0003272E" w:rsidRDefault="0003272E">
      <w:pPr>
        <w:rPr>
          <w:b/>
        </w:rPr>
      </w:pPr>
    </w:p>
    <w:p w14:paraId="3960D0B6" w14:textId="42572321" w:rsidR="00311F00" w:rsidRDefault="00112FFA" w:rsidP="005A322B">
      <w:pPr>
        <w:ind w:firstLine="720"/>
      </w:pPr>
      <w:r>
        <w:t xml:space="preserve">Suburbia, and perhaps particularly </w:t>
      </w:r>
      <w:r w:rsidR="005A322B">
        <w:t xml:space="preserve">London’s suburbia, is as much a place in the mind as a place on the map.  </w:t>
      </w:r>
      <w:r w:rsidR="00653002">
        <w:t xml:space="preserve">There is a </w:t>
      </w:r>
      <w:r w:rsidR="00A234CE">
        <w:t>academic</w:t>
      </w:r>
      <w:r w:rsidR="00653002">
        <w:t xml:space="preserve"> cottage industry (or perhaps </w:t>
      </w:r>
      <w:r w:rsidR="006553F6">
        <w:t xml:space="preserve">a </w:t>
      </w:r>
      <w:r w:rsidR="00653002">
        <w:t>semi-detached</w:t>
      </w:r>
      <w:r w:rsidR="00A234CE">
        <w:t>-house</w:t>
      </w:r>
      <w:r w:rsidR="00653002">
        <w:t xml:space="preserve"> industry) </w:t>
      </w:r>
      <w:r w:rsidR="00EF632E">
        <w:t xml:space="preserve">in </w:t>
      </w:r>
      <w:r w:rsidR="00653002">
        <w:t xml:space="preserve">cultural </w:t>
      </w:r>
      <w:r w:rsidR="00EF632E">
        <w:t>studies</w:t>
      </w:r>
      <w:r w:rsidR="00653002">
        <w:t>, sociolog</w:t>
      </w:r>
      <w:r w:rsidR="00EF632E">
        <w:t>y</w:t>
      </w:r>
      <w:r w:rsidR="00653002">
        <w:t>, histor</w:t>
      </w:r>
      <w:r w:rsidR="00EF632E">
        <w:t>y</w:t>
      </w:r>
      <w:r w:rsidR="00653002">
        <w:t xml:space="preserve"> and cultural geograph</w:t>
      </w:r>
      <w:r w:rsidR="00EF632E">
        <w:t>y</w:t>
      </w:r>
      <w:r w:rsidR="00653002">
        <w:t xml:space="preserve"> </w:t>
      </w:r>
      <w:r w:rsidR="00EF632E">
        <w:t xml:space="preserve">grouped loosely into what is </w:t>
      </w:r>
      <w:r w:rsidR="00653002">
        <w:t>sometimes called the ‘new suburban studies’</w:t>
      </w:r>
      <w:r w:rsidR="00EF632E">
        <w:t>, all</w:t>
      </w:r>
      <w:r w:rsidR="00653002">
        <w:t xml:space="preserve"> pointing to the complexity of suburban culture and society; this has</w:t>
      </w:r>
      <w:r w:rsidR="00EF632E">
        <w:t xml:space="preserve"> had</w:t>
      </w:r>
      <w:r w:rsidR="00653002">
        <w:t xml:space="preserve"> </w:t>
      </w:r>
      <w:r w:rsidR="00556265">
        <w:t>limited</w:t>
      </w:r>
      <w:r w:rsidR="00653002">
        <w:t xml:space="preserve"> effect on the wider popular imagination</w:t>
      </w:r>
      <w:r w:rsidR="0038016C">
        <w:t>.</w:t>
      </w:r>
      <w:r w:rsidR="0027142E">
        <w:rPr>
          <w:rStyle w:val="EndnoteReference"/>
        </w:rPr>
        <w:endnoteReference w:id="1"/>
      </w:r>
      <w:r w:rsidR="0038016C">
        <w:t xml:space="preserve">  The trope of the ‘leafy suburb’ is</w:t>
      </w:r>
      <w:r w:rsidR="00A234CE">
        <w:t xml:space="preserve"> still</w:t>
      </w:r>
      <w:r w:rsidR="0038016C">
        <w:t xml:space="preserve"> remarkably pervasive, as is a set of assumptions about suburban values and suburban political identities.  </w:t>
      </w:r>
      <w:r w:rsidR="004765D0">
        <w:t xml:space="preserve">From </w:t>
      </w:r>
      <w:r w:rsidR="006B3ED8">
        <w:t xml:space="preserve">the </w:t>
      </w:r>
      <w:r w:rsidR="00474A27">
        <w:t xml:space="preserve">late-Victorian </w:t>
      </w:r>
      <w:r w:rsidR="006B3ED8">
        <w:t xml:space="preserve">satire </w:t>
      </w:r>
      <w:r w:rsidR="006B3ED8">
        <w:lastRenderedPageBreak/>
        <w:t xml:space="preserve">of </w:t>
      </w:r>
      <w:r w:rsidR="00474A27">
        <w:t xml:space="preserve">the </w:t>
      </w:r>
      <w:proofErr w:type="spellStart"/>
      <w:r w:rsidR="00474A27">
        <w:t>Grossmith’s</w:t>
      </w:r>
      <w:proofErr w:type="spellEnd"/>
      <w:r w:rsidR="00474A27">
        <w:t xml:space="preserve"> </w:t>
      </w:r>
      <w:r w:rsidR="006B3ED8">
        <w:rPr>
          <w:i/>
        </w:rPr>
        <w:t>Diary of a Nobo</w:t>
      </w:r>
      <w:r w:rsidR="00474A27">
        <w:rPr>
          <w:i/>
        </w:rPr>
        <w:t xml:space="preserve">dy, </w:t>
      </w:r>
      <w:r w:rsidR="00474A27">
        <w:t>through mid-</w:t>
      </w:r>
      <w:r w:rsidR="00A82F12">
        <w:t xml:space="preserve">twentieth </w:t>
      </w:r>
      <w:r w:rsidR="00474A27">
        <w:t xml:space="preserve">century castigation </w:t>
      </w:r>
      <w:r w:rsidR="00A82F12">
        <w:t xml:space="preserve">(for example by George Orwell and Ian </w:t>
      </w:r>
      <w:proofErr w:type="spellStart"/>
      <w:r w:rsidR="00A82F12">
        <w:t>Nairn</w:t>
      </w:r>
      <w:proofErr w:type="spellEnd"/>
      <w:r w:rsidR="00A82F12">
        <w:t xml:space="preserve">) and John Betjeman’s </w:t>
      </w:r>
      <w:proofErr w:type="spellStart"/>
      <w:r w:rsidR="00AC1BF7">
        <w:t>romanticisation</w:t>
      </w:r>
      <w:proofErr w:type="spellEnd"/>
      <w:r w:rsidR="00AC1BF7">
        <w:t xml:space="preserve"> of ‘</w:t>
      </w:r>
      <w:proofErr w:type="spellStart"/>
      <w:r w:rsidR="0027642A">
        <w:t>Metroland</w:t>
      </w:r>
      <w:proofErr w:type="spellEnd"/>
      <w:r w:rsidR="00AC1BF7">
        <w:t>’, to the gentle</w:t>
      </w:r>
      <w:r w:rsidR="0085429C">
        <w:t xml:space="preserve"> mockery (sometimes affectionate, sometime just plain smug) </w:t>
      </w:r>
      <w:r w:rsidR="00AC1BF7">
        <w:t>of</w:t>
      </w:r>
      <w:r w:rsidR="0027642A">
        <w:t xml:space="preserve"> 1970s</w:t>
      </w:r>
      <w:r w:rsidR="0085429C">
        <w:t xml:space="preserve"> and 1980s</w:t>
      </w:r>
      <w:r w:rsidR="00AC1BF7">
        <w:t xml:space="preserve"> TV </w:t>
      </w:r>
      <w:r w:rsidR="0085429C">
        <w:t xml:space="preserve">sit-coms, there are variations in place and tone, but </w:t>
      </w:r>
      <w:r w:rsidR="009F0EE8">
        <w:t xml:space="preserve">also </w:t>
      </w:r>
      <w:r w:rsidR="0085429C">
        <w:t xml:space="preserve">a strongly embedded cultural positioning of suburbia as a place </w:t>
      </w:r>
      <w:r w:rsidR="006302FA">
        <w:t xml:space="preserve">of small-‘c’ conservative values, of </w:t>
      </w:r>
      <w:r w:rsidR="00971FBD">
        <w:t>‘</w:t>
      </w:r>
      <w:r w:rsidR="00D116F8">
        <w:t>home</w:t>
      </w:r>
      <w:r w:rsidR="00971FBD">
        <w:t>’</w:t>
      </w:r>
      <w:r w:rsidR="00D116F8">
        <w:t xml:space="preserve"> and </w:t>
      </w:r>
      <w:r w:rsidR="00971FBD">
        <w:t xml:space="preserve">a </w:t>
      </w:r>
      <w:r w:rsidR="00D116F8">
        <w:t xml:space="preserve">certain kind of Englishness. </w:t>
      </w:r>
    </w:p>
    <w:p w14:paraId="5233A398" w14:textId="77777777" w:rsidR="00311F00" w:rsidRDefault="00311F00" w:rsidP="005A322B">
      <w:pPr>
        <w:ind w:firstLine="720"/>
      </w:pPr>
    </w:p>
    <w:p w14:paraId="2217D104" w14:textId="4AF9FDEE" w:rsidR="00026786" w:rsidRDefault="004E22E0" w:rsidP="005A322B">
      <w:pPr>
        <w:ind w:firstLine="720"/>
      </w:pPr>
      <w:r>
        <w:t>Th</w:t>
      </w:r>
      <w:r w:rsidR="00971FBD">
        <w:t>ere</w:t>
      </w:r>
      <w:r>
        <w:t xml:space="preserve"> is also a lasting </w:t>
      </w:r>
      <w:r w:rsidR="00311F00">
        <w:t xml:space="preserve">expected </w:t>
      </w:r>
      <w:r>
        <w:t>relationship with Conservative politics</w:t>
      </w:r>
      <w:r w:rsidR="00EF632E">
        <w:t>.</w:t>
      </w:r>
      <w:r>
        <w:t xml:space="preserve"> </w:t>
      </w:r>
      <w:r w:rsidR="00EF632E">
        <w:t>O</w:t>
      </w:r>
      <w:r>
        <w:t xml:space="preserve">ne of the great successes of the inter-war Conservative Party was to recognize the significance of growing suburbs and new suburban identities </w:t>
      </w:r>
      <w:r w:rsidR="00905391">
        <w:t xml:space="preserve">as </w:t>
      </w:r>
      <w:r w:rsidR="00556265">
        <w:t>a</w:t>
      </w:r>
      <w:r w:rsidR="00905391">
        <w:t xml:space="preserve"> new core const</w:t>
      </w:r>
      <w:r w:rsidR="00372722">
        <w:t>ituency</w:t>
      </w:r>
      <w:r w:rsidR="00D04E77">
        <w:t>. Later</w:t>
      </w:r>
      <w:r w:rsidR="00971FBD">
        <w:t xml:space="preserve"> Conservative leaders developed different aspects of their connection wit</w:t>
      </w:r>
      <w:r w:rsidR="006D613A">
        <w:t xml:space="preserve">h the suburbs, whether in </w:t>
      </w:r>
      <w:r w:rsidR="00D04E77">
        <w:t xml:space="preserve">Margaret </w:t>
      </w:r>
      <w:r w:rsidR="006D613A">
        <w:t>Thatcher’s emphasis on home-ownership, privatized individualism and the rhetoric of good-housekeeping and domestic budgets, or John Major’s initially highly success</w:t>
      </w:r>
      <w:r w:rsidR="009F0EE8">
        <w:t>ful</w:t>
      </w:r>
      <w:r w:rsidR="006D613A">
        <w:t xml:space="preserve"> projection of </w:t>
      </w:r>
      <w:r w:rsidR="006342B1">
        <w:t xml:space="preserve">his </w:t>
      </w:r>
      <w:r w:rsidR="006D613A">
        <w:t>suburban ordinariness</w:t>
      </w:r>
      <w:r w:rsidR="004E5041">
        <w:t xml:space="preserve">. </w:t>
      </w:r>
      <w:r w:rsidR="008A79CE">
        <w:t>In her short honeymoon period before the disastrous</w:t>
      </w:r>
      <w:r w:rsidR="004E5041">
        <w:t xml:space="preserve"> </w:t>
      </w:r>
      <w:proofErr w:type="gramStart"/>
      <w:r w:rsidR="008A79CE">
        <w:t>2017 election</w:t>
      </w:r>
      <w:proofErr w:type="gramEnd"/>
      <w:r w:rsidR="008A79CE">
        <w:t xml:space="preserve"> campa</w:t>
      </w:r>
      <w:r w:rsidR="0060003C">
        <w:t xml:space="preserve">ign, a laudatory </w:t>
      </w:r>
      <w:r w:rsidR="004E5041">
        <w:rPr>
          <w:i/>
        </w:rPr>
        <w:t xml:space="preserve">Economist </w:t>
      </w:r>
      <w:r w:rsidR="004E5041">
        <w:t>pen-portrait of T</w:t>
      </w:r>
      <w:r w:rsidR="0070636C">
        <w:t>h</w:t>
      </w:r>
      <w:r w:rsidR="004E5041">
        <w:t>eresa May</w:t>
      </w:r>
      <w:r w:rsidR="00661101">
        <w:t xml:space="preserve"> </w:t>
      </w:r>
      <w:r w:rsidR="0060003C">
        <w:t>wa</w:t>
      </w:r>
      <w:r w:rsidR="00661101">
        <w:t xml:space="preserve">s illustrated with </w:t>
      </w:r>
      <w:r w:rsidR="006342B1">
        <w:t>a privet</w:t>
      </w:r>
      <w:r w:rsidR="00661101">
        <w:t>-hedge topiary of the silhouette of the Prime Minister</w:t>
      </w:r>
      <w:r w:rsidR="003E57F2">
        <w:t xml:space="preserve">, representing </w:t>
      </w:r>
      <w:r w:rsidR="00995C50">
        <w:t xml:space="preserve">a </w:t>
      </w:r>
      <w:r w:rsidR="003E57F2">
        <w:t xml:space="preserve">supposed </w:t>
      </w:r>
      <w:r w:rsidR="00995C50">
        <w:t xml:space="preserve">return to the values of ‘middling folk’ in contrast to the mixture of metropolitan and establishment </w:t>
      </w:r>
      <w:r w:rsidR="0009194F">
        <w:t>elitism of the previous administration.</w:t>
      </w:r>
      <w:r w:rsidR="000C0196">
        <w:rPr>
          <w:rStyle w:val="EndnoteReference"/>
        </w:rPr>
        <w:endnoteReference w:id="2"/>
      </w:r>
      <w:r w:rsidR="00311F00">
        <w:t xml:space="preserve"> </w:t>
      </w:r>
    </w:p>
    <w:p w14:paraId="06BA5548" w14:textId="77777777" w:rsidR="006302FA" w:rsidRDefault="006302FA" w:rsidP="005A322B">
      <w:pPr>
        <w:ind w:firstLine="720"/>
      </w:pPr>
    </w:p>
    <w:p w14:paraId="356661EE" w14:textId="3DBAE8B5" w:rsidR="00795AE5" w:rsidRDefault="00FB2761" w:rsidP="0027642A">
      <w:pPr>
        <w:ind w:firstLine="720"/>
      </w:pPr>
      <w:r>
        <w:t xml:space="preserve">Built into these approaches to suburbia are not-very-hidden expectations </w:t>
      </w:r>
      <w:r w:rsidR="00D04E77">
        <w:t xml:space="preserve">about what ordinariness or </w:t>
      </w:r>
      <w:r>
        <w:t xml:space="preserve">middling folk </w:t>
      </w:r>
      <w:r w:rsidR="00CA2817">
        <w:t xml:space="preserve">might </w:t>
      </w:r>
      <w:r>
        <w:t xml:space="preserve">look like. </w:t>
      </w:r>
      <w:r w:rsidR="009F0EE8">
        <w:t>Whenever</w:t>
      </w:r>
      <w:r w:rsidR="0038016C">
        <w:t xml:space="preserve"> there is </w:t>
      </w:r>
      <w:r w:rsidR="00AE2DBA">
        <w:t>a</w:t>
      </w:r>
      <w:r w:rsidR="001C238D">
        <w:t xml:space="preserve"> </w:t>
      </w:r>
      <w:r w:rsidR="0038016C">
        <w:t xml:space="preserve">sense of </w:t>
      </w:r>
      <w:r w:rsidR="00026786">
        <w:t>suburbs as places undergoing significant change</w:t>
      </w:r>
      <w:r w:rsidR="0038016C">
        <w:t xml:space="preserve">, </w:t>
      </w:r>
      <w:r w:rsidR="00D535E9">
        <w:t xml:space="preserve">challenging these stubborn assumptions, </w:t>
      </w:r>
      <w:r w:rsidR="0038016C">
        <w:t>this</w:t>
      </w:r>
      <w:r w:rsidR="00D535E9">
        <w:t xml:space="preserve"> often</w:t>
      </w:r>
      <w:r w:rsidR="0038016C">
        <w:t xml:space="preserve"> gets treated as a category error.  </w:t>
      </w:r>
      <w:r w:rsidR="00AE2DBA">
        <w:t xml:space="preserve">In 2002, </w:t>
      </w:r>
      <w:r w:rsidR="006553F6">
        <w:t xml:space="preserve">the </w:t>
      </w:r>
      <w:r w:rsidR="00376AED">
        <w:t>then</w:t>
      </w:r>
      <w:r w:rsidR="006553F6">
        <w:t xml:space="preserve"> </w:t>
      </w:r>
      <w:r w:rsidR="00376AED">
        <w:t xml:space="preserve">London Mayor </w:t>
      </w:r>
      <w:r w:rsidR="0038016C">
        <w:t xml:space="preserve">Ken Livingstone described </w:t>
      </w:r>
      <w:proofErr w:type="spellStart"/>
      <w:r w:rsidR="0038016C">
        <w:t>Southall</w:t>
      </w:r>
      <w:proofErr w:type="spellEnd"/>
      <w:r w:rsidR="0038016C">
        <w:t xml:space="preserve"> as</w:t>
      </w:r>
      <w:r w:rsidR="00AE2DBA">
        <w:t xml:space="preserve"> suffering </w:t>
      </w:r>
      <w:r w:rsidR="0038016C">
        <w:t xml:space="preserve"> ‘inner-city </w:t>
      </w:r>
      <w:r w:rsidR="00AE2DBA">
        <w:t>stress</w:t>
      </w:r>
      <w:r w:rsidR="00376AED">
        <w:t>’ and being not at all suburban</w:t>
      </w:r>
      <w:r w:rsidR="00931969">
        <w:t>.</w:t>
      </w:r>
      <w:r w:rsidR="00B92B11">
        <w:rPr>
          <w:rStyle w:val="EndnoteReference"/>
        </w:rPr>
        <w:endnoteReference w:id="3"/>
      </w:r>
      <w:r w:rsidR="00931969">
        <w:t xml:space="preserve">  </w:t>
      </w:r>
      <w:r w:rsidR="00026786">
        <w:t>O</w:t>
      </w:r>
      <w:r w:rsidR="00A234CE">
        <w:t>ur own</w:t>
      </w:r>
      <w:r w:rsidR="00026786">
        <w:t xml:space="preserve"> recent</w:t>
      </w:r>
      <w:r w:rsidR="00931969">
        <w:t xml:space="preserve"> research work focuses on religious faith and practice in </w:t>
      </w:r>
      <w:r w:rsidR="006553F6">
        <w:t xml:space="preserve">the London Borough of </w:t>
      </w:r>
      <w:r w:rsidR="00931969">
        <w:t>Ealing</w:t>
      </w:r>
      <w:r w:rsidR="00A234CE">
        <w:t xml:space="preserve"> in a project called ‘Making Suburban Faith’</w:t>
      </w:r>
      <w:r w:rsidR="00931969">
        <w:t>; a regular response from the faith groups that we work with, at public events, and even from academic colleagues</w:t>
      </w:r>
      <w:r w:rsidR="00BA7C59">
        <w:t xml:space="preserve"> and referees</w:t>
      </w:r>
      <w:r w:rsidR="00A234CE">
        <w:t>,</w:t>
      </w:r>
      <w:r w:rsidR="00931969">
        <w:t xml:space="preserve"> is to question whe</w:t>
      </w:r>
      <w:r w:rsidR="00BA7C59">
        <w:t>ther Ealing</w:t>
      </w:r>
      <w:r w:rsidR="00931969">
        <w:t xml:space="preserve"> is ‘really suburban’ or is ‘still subu</w:t>
      </w:r>
      <w:r w:rsidR="009F0EE8">
        <w:t>rban’.</w:t>
      </w:r>
      <w:r w:rsidR="005F6736">
        <w:rPr>
          <w:rStyle w:val="EndnoteReference"/>
        </w:rPr>
        <w:endnoteReference w:id="4"/>
      </w:r>
      <w:r w:rsidR="00884F0B">
        <w:t xml:space="preserve"> </w:t>
      </w:r>
      <w:r w:rsidR="009F0EE8">
        <w:t>This is partly</w:t>
      </w:r>
      <w:r w:rsidR="00D95677">
        <w:t xml:space="preserve"> about architecture and </w:t>
      </w:r>
      <w:r w:rsidR="00A234CE">
        <w:t>built form</w:t>
      </w:r>
      <w:r w:rsidR="00D535E9">
        <w:t xml:space="preserve"> </w:t>
      </w:r>
      <w:r w:rsidR="00D95677">
        <w:t xml:space="preserve">as well as a more general sense of changing consumption cultures and increasing ‘busyness.’ </w:t>
      </w:r>
      <w:r w:rsidR="001C238D">
        <w:t xml:space="preserve"> W</w:t>
      </w:r>
      <w:r w:rsidR="00A234CE">
        <w:t>hile Ealing still has many thousands of Edwardian</w:t>
      </w:r>
      <w:r w:rsidR="001C238D">
        <w:t xml:space="preserve"> terraces</w:t>
      </w:r>
      <w:r w:rsidR="00A234CE">
        <w:t xml:space="preserve"> and inter-war </w:t>
      </w:r>
      <w:r w:rsidR="001C238D">
        <w:t>semis</w:t>
      </w:r>
      <w:r w:rsidR="00A234CE">
        <w:t xml:space="preserve"> as well as the Victorian villas </w:t>
      </w:r>
      <w:r w:rsidR="00696B92">
        <w:t>near the Common</w:t>
      </w:r>
      <w:r w:rsidR="00D403BE">
        <w:t xml:space="preserve"> that </w:t>
      </w:r>
      <w:r w:rsidR="00BA7C59">
        <w:t>earned it the sobriquet ‘The Queen of the Suburbs’, recent developments have tended to be large-scale, high-density developments of apartments concentrated arou</w:t>
      </w:r>
      <w:r w:rsidR="0027642A">
        <w:t>nd the tube and rail station</w:t>
      </w:r>
      <w:r w:rsidR="00C6197E">
        <w:t>s</w:t>
      </w:r>
      <w:r w:rsidR="009F0EE8">
        <w:t xml:space="preserve"> (given an additional stimulus by the prospect of </w:t>
      </w:r>
      <w:proofErr w:type="spellStart"/>
      <w:r w:rsidR="009F0EE8">
        <w:t>CrossRail</w:t>
      </w:r>
      <w:proofErr w:type="spellEnd"/>
      <w:r w:rsidR="009F0EE8">
        <w:t>)</w:t>
      </w:r>
      <w:r w:rsidR="0027642A">
        <w:t xml:space="preserve">. </w:t>
      </w:r>
      <w:r w:rsidR="00C6197E">
        <w:t xml:space="preserve">But in </w:t>
      </w:r>
      <w:r w:rsidR="009F0EE8">
        <w:t xml:space="preserve">large </w:t>
      </w:r>
      <w:r w:rsidR="00C6197E">
        <w:t xml:space="preserve">part, this is about racial, </w:t>
      </w:r>
      <w:r w:rsidR="005F6E72">
        <w:t xml:space="preserve">ethnic and religious diversity. Despite the work of </w:t>
      </w:r>
      <w:r w:rsidR="00D82820">
        <w:t xml:space="preserve">the </w:t>
      </w:r>
      <w:r w:rsidR="005F6E72">
        <w:t xml:space="preserve">‘new suburban studies’ in showing the longevity of the Black and Asian presence even in the most archetypal </w:t>
      </w:r>
      <w:r w:rsidR="006F0A12">
        <w:t xml:space="preserve">of </w:t>
      </w:r>
      <w:proofErr w:type="spellStart"/>
      <w:r w:rsidR="006F0A12">
        <w:t>Metroland</w:t>
      </w:r>
      <w:proofErr w:type="spellEnd"/>
      <w:r w:rsidR="006F0A12">
        <w:t xml:space="preserve"> suburbs, there is still buried in the term ‘suburban’ some lasti</w:t>
      </w:r>
      <w:r w:rsidR="007116AF">
        <w:t xml:space="preserve">ng </w:t>
      </w:r>
      <w:r w:rsidR="006553F6">
        <w:t>expectations of</w:t>
      </w:r>
      <w:r w:rsidR="00C6197E">
        <w:t xml:space="preserve"> </w:t>
      </w:r>
      <w:r w:rsidR="00B92B11">
        <w:t xml:space="preserve">cultural homogeneity.  </w:t>
      </w:r>
      <w:r w:rsidR="00AB5F16">
        <w:t>John Carey once wrote that elite culture of the mid-twentieth century used the</w:t>
      </w:r>
      <w:r w:rsidR="00532529">
        <w:t xml:space="preserve"> term ‘suburban’ </w:t>
      </w:r>
      <w:r w:rsidR="00AB5F16">
        <w:t xml:space="preserve">as a </w:t>
      </w:r>
      <w:r w:rsidR="00AB5F16" w:rsidRPr="00AB5F16">
        <w:rPr>
          <w:lang w:val="en-GB"/>
        </w:rPr>
        <w:t xml:space="preserve">distinctive </w:t>
      </w:r>
      <w:r w:rsidR="00AB5F16">
        <w:rPr>
          <w:lang w:val="en-GB"/>
        </w:rPr>
        <w:t>combination of</w:t>
      </w:r>
      <w:r w:rsidR="00AB5F16" w:rsidRPr="00AB5F16">
        <w:rPr>
          <w:lang w:val="en-GB"/>
        </w:rPr>
        <w:t xml:space="preserve"> </w:t>
      </w:r>
      <w:r w:rsidR="00AB5F16">
        <w:rPr>
          <w:lang w:val="en-GB"/>
        </w:rPr>
        <w:t>‘</w:t>
      </w:r>
      <w:r w:rsidR="00AB5F16" w:rsidRPr="00AB5F16">
        <w:rPr>
          <w:lang w:val="en-GB"/>
        </w:rPr>
        <w:t>topographical with intellectual disdain</w:t>
      </w:r>
      <w:r w:rsidR="00190873">
        <w:rPr>
          <w:lang w:val="en-GB"/>
        </w:rPr>
        <w:t>.</w:t>
      </w:r>
      <w:r w:rsidR="003D0777">
        <w:rPr>
          <w:lang w:val="en-GB"/>
        </w:rPr>
        <w:t>’</w:t>
      </w:r>
      <w:r w:rsidR="003E4ECA">
        <w:rPr>
          <w:rStyle w:val="EndnoteReference"/>
          <w:lang w:val="en-GB"/>
        </w:rPr>
        <w:endnoteReference w:id="5"/>
      </w:r>
      <w:r w:rsidR="003E4ECA">
        <w:rPr>
          <w:lang w:val="en-GB"/>
        </w:rPr>
        <w:t xml:space="preserve"> I</w:t>
      </w:r>
      <w:r w:rsidR="003D0777">
        <w:rPr>
          <w:lang w:val="en-GB"/>
        </w:rPr>
        <w:t xml:space="preserve">n the late twentieth and twenty-first century this has been inflected by </w:t>
      </w:r>
      <w:r w:rsidR="003E4ECA">
        <w:rPr>
          <w:lang w:val="en-GB"/>
        </w:rPr>
        <w:t>the meanings</w:t>
      </w:r>
      <w:r w:rsidR="003D0777">
        <w:rPr>
          <w:lang w:val="en-GB"/>
        </w:rPr>
        <w:t xml:space="preserve"> of the terms ‘inner city’ and ‘urban’.  Both </w:t>
      </w:r>
      <w:r w:rsidR="00F87F2C">
        <w:rPr>
          <w:lang w:val="en-GB"/>
        </w:rPr>
        <w:t xml:space="preserve">these </w:t>
      </w:r>
      <w:r w:rsidR="003D0777">
        <w:rPr>
          <w:lang w:val="en-GB"/>
        </w:rPr>
        <w:t xml:space="preserve">terms have </w:t>
      </w:r>
      <w:r w:rsidR="00F87F2C">
        <w:rPr>
          <w:lang w:val="en-GB"/>
        </w:rPr>
        <w:t>pulled together topographical positioning and ideas of race and identity; ‘inner-</w:t>
      </w:r>
      <w:r w:rsidR="004E66E7">
        <w:rPr>
          <w:lang w:val="en-GB"/>
        </w:rPr>
        <w:t>city problems’</w:t>
      </w:r>
      <w:r w:rsidR="00F87F2C">
        <w:rPr>
          <w:lang w:val="en-GB"/>
        </w:rPr>
        <w:t xml:space="preserve">, or </w:t>
      </w:r>
      <w:r w:rsidR="00F87F2C">
        <w:rPr>
          <w:lang w:val="en-GB"/>
        </w:rPr>
        <w:lastRenderedPageBreak/>
        <w:t>‘urban music</w:t>
      </w:r>
      <w:r w:rsidR="007116AF">
        <w:rPr>
          <w:lang w:val="en-GB"/>
        </w:rPr>
        <w:t>’</w:t>
      </w:r>
      <w:r w:rsidR="00F87F2C">
        <w:rPr>
          <w:lang w:val="en-GB"/>
        </w:rPr>
        <w:t xml:space="preserve"> </w:t>
      </w:r>
      <w:r w:rsidR="004E66E7">
        <w:rPr>
          <w:lang w:val="en-GB"/>
        </w:rPr>
        <w:t>both have clear</w:t>
      </w:r>
      <w:r w:rsidR="007116AF">
        <w:rPr>
          <w:lang w:val="en-GB"/>
        </w:rPr>
        <w:t xml:space="preserve"> </w:t>
      </w:r>
      <w:r w:rsidR="004E66E7">
        <w:rPr>
          <w:lang w:val="en-GB"/>
        </w:rPr>
        <w:t xml:space="preserve">connotations, but also indirectly establish what suburbia is not expected to be. </w:t>
      </w:r>
    </w:p>
    <w:p w14:paraId="33C7B8D6" w14:textId="77777777" w:rsidR="004E66E7" w:rsidRDefault="004E66E7" w:rsidP="0027642A">
      <w:pPr>
        <w:ind w:firstLine="720"/>
      </w:pPr>
    </w:p>
    <w:p w14:paraId="100AA743" w14:textId="255C8691" w:rsidR="00EF5E25" w:rsidRDefault="00EF5E25" w:rsidP="0027642A">
      <w:pPr>
        <w:ind w:firstLine="720"/>
      </w:pPr>
      <w:r>
        <w:t>The suburbs of London</w:t>
      </w:r>
      <w:r w:rsidR="009768FC">
        <w:t xml:space="preserve"> </w:t>
      </w:r>
      <w:r w:rsidR="00FA3170">
        <w:t>have become not</w:t>
      </w:r>
      <w:r w:rsidR="002940E8">
        <w:t xml:space="preserve"> just more ethnically and religiously diverse, but also remarkably complex social and political spaces</w:t>
      </w:r>
      <w:r w:rsidR="00CC0D3B">
        <w:t xml:space="preserve"> more generally</w:t>
      </w:r>
      <w:r w:rsidR="002940E8">
        <w:t xml:space="preserve">.  Much of the commentary on the results of the 2016 Brexit </w:t>
      </w:r>
      <w:r w:rsidR="00A86097">
        <w:t xml:space="preserve">referendum focused on the difference and distance between </w:t>
      </w:r>
      <w:r w:rsidR="000252F0">
        <w:t xml:space="preserve">the </w:t>
      </w:r>
      <w:r w:rsidR="00A86097">
        <w:t>metropolita</w:t>
      </w:r>
      <w:r w:rsidR="00915774">
        <w:t xml:space="preserve">n Remain </w:t>
      </w:r>
      <w:r w:rsidR="000252F0">
        <w:t xml:space="preserve">vote, and </w:t>
      </w:r>
      <w:r w:rsidR="009F0EE8">
        <w:t xml:space="preserve">the </w:t>
      </w:r>
      <w:r w:rsidR="000252F0">
        <w:t xml:space="preserve">rural and deindustrialized Leave heartlands, between </w:t>
      </w:r>
      <w:r w:rsidR="00FB7C65">
        <w:t xml:space="preserve">Islington and Boston, Manchester and Stoke, or Bristol and </w:t>
      </w:r>
      <w:r w:rsidR="00A56D83">
        <w:t xml:space="preserve">Cornwall.  Yet </w:t>
      </w:r>
      <w:r w:rsidR="00EC44F3">
        <w:t>look</w:t>
      </w:r>
      <w:r w:rsidR="00A56D83">
        <w:t xml:space="preserve"> at a different scale, and the referendum </w:t>
      </w:r>
      <w:r w:rsidR="003A5A11">
        <w:t xml:space="preserve">geography also </w:t>
      </w:r>
      <w:r w:rsidR="00A56D83">
        <w:t xml:space="preserve">tells of much more </w:t>
      </w:r>
      <w:r w:rsidR="004C58EF">
        <w:t xml:space="preserve">fine-grained difference in London’s outer suburbs. </w:t>
      </w:r>
      <w:r w:rsidR="003A2F11">
        <w:t>Follow the border</w:t>
      </w:r>
      <w:r w:rsidR="009768FC">
        <w:t xml:space="preserve">lands </w:t>
      </w:r>
      <w:r w:rsidR="003A2F11">
        <w:t xml:space="preserve">between outer London and </w:t>
      </w:r>
      <w:r w:rsidR="009768FC">
        <w:t>the Home Counties</w:t>
      </w:r>
      <w:r w:rsidR="003A2F11">
        <w:t xml:space="preserve"> (according to taste, </w:t>
      </w:r>
      <w:r w:rsidR="00672D4F">
        <w:t>round</w:t>
      </w:r>
      <w:r w:rsidR="003A2F11">
        <w:t xml:space="preserve"> </w:t>
      </w:r>
      <w:r w:rsidR="00A11369">
        <w:t xml:space="preserve">the </w:t>
      </w:r>
      <w:r w:rsidR="003A2F11">
        <w:t xml:space="preserve">hard-shoulder of the M25 or the route of Iain Sinclair’s </w:t>
      </w:r>
      <w:r w:rsidR="00D57F64">
        <w:t xml:space="preserve">psychogeography </w:t>
      </w:r>
      <w:r w:rsidR="00D57F64">
        <w:rPr>
          <w:i/>
        </w:rPr>
        <w:t xml:space="preserve">London </w:t>
      </w:r>
      <w:r w:rsidR="00D57F64" w:rsidRPr="009F0EE8">
        <w:rPr>
          <w:i/>
        </w:rPr>
        <w:t>Orbital</w:t>
      </w:r>
      <w:r w:rsidR="00D57F64">
        <w:t xml:space="preserve">), and </w:t>
      </w:r>
      <w:r w:rsidR="00A11369">
        <w:t xml:space="preserve">the </w:t>
      </w:r>
      <w:r w:rsidR="008E571B">
        <w:t xml:space="preserve">journey through the referendum geography shows how differentiated </w:t>
      </w:r>
      <w:r w:rsidR="009768FC">
        <w:t xml:space="preserve">these </w:t>
      </w:r>
      <w:r w:rsidR="008E571B">
        <w:t>places have become</w:t>
      </w:r>
      <w:r w:rsidR="00892BFE">
        <w:t>. Kingston (23% Remain majority) borders Sutton (</w:t>
      </w:r>
      <w:r w:rsidR="00985BD7">
        <w:t>7% Leave</w:t>
      </w:r>
      <w:r w:rsidR="00B10799">
        <w:t xml:space="preserve"> majority</w:t>
      </w:r>
      <w:r w:rsidR="00985BD7">
        <w:t>), which in turn borders Croydon (9% Remain</w:t>
      </w:r>
      <w:r w:rsidR="00B10799">
        <w:t xml:space="preserve"> majority</w:t>
      </w:r>
      <w:r w:rsidR="00985BD7">
        <w:t xml:space="preserve">), and </w:t>
      </w:r>
      <w:proofErr w:type="spellStart"/>
      <w:r w:rsidR="00985BD7">
        <w:t>Reigate</w:t>
      </w:r>
      <w:proofErr w:type="spellEnd"/>
      <w:r w:rsidR="00985BD7">
        <w:t xml:space="preserve"> &amp;</w:t>
      </w:r>
      <w:r w:rsidR="003F550B">
        <w:t xml:space="preserve"> </w:t>
      </w:r>
      <w:r w:rsidR="00985BD7">
        <w:t>Banste</w:t>
      </w:r>
      <w:r w:rsidR="0070636C">
        <w:t>a</w:t>
      </w:r>
      <w:r w:rsidR="00985BD7">
        <w:t xml:space="preserve">d </w:t>
      </w:r>
      <w:r w:rsidR="004B354A">
        <w:t>(1% Leave</w:t>
      </w:r>
      <w:r w:rsidR="00B10799">
        <w:t xml:space="preserve"> majority</w:t>
      </w:r>
      <w:r w:rsidR="004B354A">
        <w:t>).  There were marked contrasts along the western stretches of the M25</w:t>
      </w:r>
      <w:r w:rsidR="00892BFE">
        <w:t xml:space="preserve"> </w:t>
      </w:r>
      <w:r w:rsidR="004B354A">
        <w:t xml:space="preserve">– </w:t>
      </w:r>
      <w:proofErr w:type="spellStart"/>
      <w:r w:rsidR="004B354A">
        <w:t>Spelthorne</w:t>
      </w:r>
      <w:proofErr w:type="spellEnd"/>
      <w:r w:rsidR="004B354A">
        <w:t xml:space="preserve"> (</w:t>
      </w:r>
      <w:r w:rsidR="008A121C">
        <w:t>20</w:t>
      </w:r>
      <w:r w:rsidR="00E64A7B">
        <w:t>% Leave</w:t>
      </w:r>
      <w:r w:rsidR="00B10799">
        <w:t xml:space="preserve"> majority</w:t>
      </w:r>
      <w:r w:rsidR="00E64A7B">
        <w:t>), abuts Richmond (39</w:t>
      </w:r>
      <w:r w:rsidR="00123D13">
        <w:t>% Remain</w:t>
      </w:r>
      <w:r w:rsidR="00F23510">
        <w:t xml:space="preserve"> majority</w:t>
      </w:r>
      <w:r w:rsidR="00123D13">
        <w:t>)</w:t>
      </w:r>
      <w:r w:rsidR="008A121C">
        <w:t xml:space="preserve">, Windsor </w:t>
      </w:r>
      <w:r w:rsidR="00C44937">
        <w:t>&amp;</w:t>
      </w:r>
      <w:r w:rsidR="00123D13">
        <w:t xml:space="preserve"> </w:t>
      </w:r>
      <w:r w:rsidR="008A121C">
        <w:t xml:space="preserve">Maidenhead (8% </w:t>
      </w:r>
      <w:r w:rsidR="00C44937">
        <w:t>R</w:t>
      </w:r>
      <w:r w:rsidR="008A121C">
        <w:t>emain</w:t>
      </w:r>
      <w:r w:rsidR="00F23510">
        <w:t xml:space="preserve"> majority</w:t>
      </w:r>
      <w:r w:rsidR="00C44937">
        <w:t xml:space="preserve">) and </w:t>
      </w:r>
      <w:r w:rsidR="00123D13">
        <w:t>El</w:t>
      </w:r>
      <w:r w:rsidR="000D1817">
        <w:t>mbridge (20% Remain</w:t>
      </w:r>
      <w:r w:rsidR="00F23510">
        <w:t xml:space="preserve"> majority</w:t>
      </w:r>
      <w:r w:rsidR="006C444F">
        <w:t xml:space="preserve">). </w:t>
      </w:r>
      <w:r w:rsidR="00C44937">
        <w:t xml:space="preserve">While the strong Leave vote </w:t>
      </w:r>
      <w:r w:rsidR="00ED1FE4">
        <w:t>in outer East London</w:t>
      </w:r>
      <w:r w:rsidR="00DB7351">
        <w:t xml:space="preserve"> and Essex was expected, </w:t>
      </w:r>
      <w:r w:rsidR="003F29C8">
        <w:t xml:space="preserve">other </w:t>
      </w:r>
      <w:r w:rsidR="00EC44F3">
        <w:t>outer London</w:t>
      </w:r>
      <w:r w:rsidR="003F29C8">
        <w:t xml:space="preserve"> </w:t>
      </w:r>
      <w:r w:rsidR="001A3A6D">
        <w:t>areas</w:t>
      </w:r>
      <w:r w:rsidR="004871AE">
        <w:t xml:space="preserve"> also </w:t>
      </w:r>
      <w:r w:rsidR="003F29C8">
        <w:t xml:space="preserve">showed </w:t>
      </w:r>
      <w:r w:rsidR="00682A19">
        <w:t>significant variation</w:t>
      </w:r>
      <w:r w:rsidR="004871AE">
        <w:t>s</w:t>
      </w:r>
      <w:r w:rsidR="00B35124">
        <w:t>; for example,</w:t>
      </w:r>
      <w:r w:rsidR="003F29C8">
        <w:t xml:space="preserve"> </w:t>
      </w:r>
      <w:r w:rsidR="001A3A6D">
        <w:t xml:space="preserve">to the north of London, </w:t>
      </w:r>
      <w:r w:rsidR="00A2576E">
        <w:t>Waltham</w:t>
      </w:r>
      <w:r w:rsidR="003F29C8">
        <w:t xml:space="preserve"> Forest</w:t>
      </w:r>
      <w:r w:rsidR="00143B46">
        <w:t xml:space="preserve"> and</w:t>
      </w:r>
      <w:r w:rsidR="009444DE">
        <w:t xml:space="preserve"> Enfield voted strongly to Remain, but </w:t>
      </w:r>
      <w:r w:rsidR="00FE53C5">
        <w:t xml:space="preserve">a few miles away </w:t>
      </w:r>
      <w:r w:rsidR="00143B46">
        <w:t>around</w:t>
      </w:r>
      <w:r w:rsidR="00FE53C5">
        <w:t xml:space="preserve"> the M25, </w:t>
      </w:r>
      <w:r w:rsidR="004871AE">
        <w:t>there were very big majorities for Leave in Epping Forest (25%)</w:t>
      </w:r>
      <w:r w:rsidR="00143B46">
        <w:t xml:space="preserve"> and </w:t>
      </w:r>
      <w:proofErr w:type="spellStart"/>
      <w:r w:rsidR="004871AE">
        <w:t>Broxbourne</w:t>
      </w:r>
      <w:proofErr w:type="spellEnd"/>
      <w:r w:rsidR="004871AE">
        <w:t xml:space="preserve"> (</w:t>
      </w:r>
      <w:r w:rsidR="00143B46">
        <w:t>33%).</w:t>
      </w:r>
    </w:p>
    <w:p w14:paraId="03BF6DB1" w14:textId="77777777" w:rsidR="00143B46" w:rsidRDefault="00143B46" w:rsidP="0027642A">
      <w:pPr>
        <w:ind w:firstLine="720"/>
      </w:pPr>
    </w:p>
    <w:p w14:paraId="61DFC331" w14:textId="5CEBE304" w:rsidR="005C6E45" w:rsidRPr="004D3D92" w:rsidRDefault="00143B46" w:rsidP="004D3D92">
      <w:pPr>
        <w:ind w:firstLine="720"/>
        <w:rPr>
          <w:bCs/>
          <w:lang w:val="en-GB"/>
        </w:rPr>
      </w:pPr>
      <w:r>
        <w:t>What the refere</w:t>
      </w:r>
      <w:r w:rsidR="006F38DF">
        <w:t>ndum results point</w:t>
      </w:r>
      <w:r w:rsidR="00C235B0">
        <w:t>ed</w:t>
      </w:r>
      <w:r w:rsidR="006F38DF">
        <w:t xml:space="preserve"> to is that the idea of suburbia is increasingly useless as </w:t>
      </w:r>
      <w:r w:rsidR="00EC44F3">
        <w:t xml:space="preserve">a </w:t>
      </w:r>
      <w:r w:rsidR="006F38DF">
        <w:t>singula</w:t>
      </w:r>
      <w:r w:rsidR="0036115F">
        <w:t xml:space="preserve">r, simple description of place, of identity, or </w:t>
      </w:r>
      <w:r w:rsidR="00FE1676">
        <w:t xml:space="preserve">indeed </w:t>
      </w:r>
      <w:r w:rsidR="0036115F">
        <w:t>of political culture</w:t>
      </w:r>
      <w:r w:rsidR="00EC44F3">
        <w:t>.</w:t>
      </w:r>
      <w:r w:rsidR="0036115F">
        <w:t xml:space="preserve"> Outer London in the twenty-first century is both a patchwork of different kinds of place</w:t>
      </w:r>
      <w:r w:rsidR="002404E5">
        <w:t xml:space="preserve">, and the product of overlapping </w:t>
      </w:r>
      <w:r w:rsidR="00CA7A20">
        <w:t xml:space="preserve">geographies of class, commuting patterns, housing tenure, </w:t>
      </w:r>
      <w:r w:rsidR="003F550B">
        <w:t xml:space="preserve">education, </w:t>
      </w:r>
      <w:r w:rsidR="00481D32">
        <w:t xml:space="preserve">migration, </w:t>
      </w:r>
      <w:r w:rsidR="00CA7A20">
        <w:t>ethnicity</w:t>
      </w:r>
      <w:r w:rsidR="003F550B">
        <w:t xml:space="preserve">, </w:t>
      </w:r>
      <w:r w:rsidR="00CA7A20">
        <w:t xml:space="preserve">and </w:t>
      </w:r>
      <w:r w:rsidR="003F550B">
        <w:t>religious identity</w:t>
      </w:r>
      <w:r w:rsidR="00CA7A20">
        <w:t xml:space="preserve">. Within </w:t>
      </w:r>
      <w:r w:rsidR="00455557">
        <w:t>o</w:t>
      </w:r>
      <w:r w:rsidR="00CA7A20">
        <w:t xml:space="preserve">uter London </w:t>
      </w:r>
      <w:r w:rsidR="00455557">
        <w:t xml:space="preserve">and its wider hinterland in </w:t>
      </w:r>
      <w:r w:rsidR="006B7DAE">
        <w:t>S</w:t>
      </w:r>
      <w:r w:rsidR="00455557">
        <w:t xml:space="preserve">outh </w:t>
      </w:r>
      <w:r w:rsidR="006B7DAE">
        <w:t>E</w:t>
      </w:r>
      <w:r w:rsidR="00455557">
        <w:t xml:space="preserve">ast England </w:t>
      </w:r>
      <w:r w:rsidR="00CA7A20">
        <w:t>there are places with widely contrasting integration into the metropolitan, European and global economy. It was t</w:t>
      </w:r>
      <w:r w:rsidR="00A2205C">
        <w:t xml:space="preserve">elling that much – </w:t>
      </w:r>
      <w:r w:rsidR="005C6E45">
        <w:t>but not all</w:t>
      </w:r>
      <w:r w:rsidR="00A2205C">
        <w:t xml:space="preserve"> –</w:t>
      </w:r>
      <w:r w:rsidR="005C6E45">
        <w:t xml:space="preserve"> </w:t>
      </w:r>
      <w:r w:rsidR="00D40089">
        <w:t xml:space="preserve">of the so-called </w:t>
      </w:r>
      <w:r w:rsidR="00194626">
        <w:t xml:space="preserve">Surrey </w:t>
      </w:r>
      <w:r w:rsidR="00D40089">
        <w:t>‘Stockbroker Belt’</w:t>
      </w:r>
      <w:r w:rsidR="00CE0271">
        <w:t xml:space="preserve">, </w:t>
      </w:r>
      <w:r w:rsidR="001B6660">
        <w:t xml:space="preserve">including Guildford, </w:t>
      </w:r>
      <w:proofErr w:type="spellStart"/>
      <w:r w:rsidR="001B6660">
        <w:t>Woking</w:t>
      </w:r>
      <w:proofErr w:type="spellEnd"/>
      <w:r w:rsidR="001B6660">
        <w:t>, Mole Valley, and Epsom &amp;</w:t>
      </w:r>
      <w:r w:rsidR="00A2205C">
        <w:t xml:space="preserve"> </w:t>
      </w:r>
      <w:r w:rsidR="001B6660">
        <w:t>Ewell</w:t>
      </w:r>
      <w:r w:rsidR="00CE0271">
        <w:t xml:space="preserve">, </w:t>
      </w:r>
      <w:r w:rsidR="00D40089">
        <w:t>leaned</w:t>
      </w:r>
      <w:r w:rsidR="003F550B">
        <w:t xml:space="preserve"> strongly</w:t>
      </w:r>
      <w:r w:rsidR="00D40089">
        <w:t xml:space="preserve"> towards Remain</w:t>
      </w:r>
      <w:r w:rsidR="00455557">
        <w:t>.</w:t>
      </w:r>
      <w:r w:rsidR="001B6660">
        <w:t xml:space="preserve">  </w:t>
      </w:r>
      <w:r w:rsidR="00B50DD6">
        <w:t xml:space="preserve">By contrast, right across outer London, wards with relatively poor white-working class populations voted strongly for Leave, such as the Cray Valley wards in Bromley and the New Addington and </w:t>
      </w:r>
      <w:proofErr w:type="spellStart"/>
      <w:r w:rsidR="00B50DD6">
        <w:t>Fieldway</w:t>
      </w:r>
      <w:proofErr w:type="spellEnd"/>
      <w:r w:rsidR="00B50DD6">
        <w:t xml:space="preserve"> wards in Croydon. </w:t>
      </w:r>
      <w:r w:rsidR="00116253">
        <w:t>The referendum d</w:t>
      </w:r>
      <w:r w:rsidR="00B50DD6">
        <w:t xml:space="preserve">ata for individual wards highlight </w:t>
      </w:r>
      <w:r w:rsidR="0045212D">
        <w:t xml:space="preserve">the </w:t>
      </w:r>
      <w:r w:rsidR="001B6660">
        <w:t xml:space="preserve">patchwork geographies </w:t>
      </w:r>
      <w:r w:rsidR="00116253">
        <w:t xml:space="preserve">of suburban London. </w:t>
      </w:r>
      <w:r w:rsidR="003E5963">
        <w:t xml:space="preserve">For example, </w:t>
      </w:r>
      <w:r w:rsidR="00194626">
        <w:t>data</w:t>
      </w:r>
      <w:r w:rsidR="00481D32">
        <w:t xml:space="preserve"> for Hounslow </w:t>
      </w:r>
      <w:r w:rsidR="00792015">
        <w:t xml:space="preserve">and </w:t>
      </w:r>
      <w:proofErr w:type="spellStart"/>
      <w:r w:rsidR="00792015">
        <w:t>Ealing</w:t>
      </w:r>
      <w:proofErr w:type="spellEnd"/>
      <w:r w:rsidR="003E5963">
        <w:t xml:space="preserve"> indicate a pattern where affluent, well-educated, majority white areas voted very strongly for Remain</w:t>
      </w:r>
      <w:r w:rsidR="00A825F3">
        <w:t>, majority white, working class areas with lower education attainment</w:t>
      </w:r>
      <w:r w:rsidR="003E5963">
        <w:t xml:space="preserve"> voted </w:t>
      </w:r>
      <w:r w:rsidR="00A825F3">
        <w:t>st</w:t>
      </w:r>
      <w:r w:rsidR="003E5963">
        <w:t xml:space="preserve">rongly for </w:t>
      </w:r>
      <w:r w:rsidR="00A825F3">
        <w:t>Leave, and wards with higher proportions of Asian voters tended to be more evenly split.</w:t>
      </w:r>
      <w:r w:rsidR="00123EF2">
        <w:rPr>
          <w:rStyle w:val="EndnoteReference"/>
        </w:rPr>
        <w:endnoteReference w:id="6"/>
      </w:r>
    </w:p>
    <w:p w14:paraId="605008DD" w14:textId="77777777" w:rsidR="00EF5E25" w:rsidRDefault="00EF5E25" w:rsidP="0027642A">
      <w:pPr>
        <w:ind w:firstLine="720"/>
      </w:pPr>
    </w:p>
    <w:p w14:paraId="7970ECDC" w14:textId="77777777" w:rsidR="00B91755" w:rsidRDefault="00B91755" w:rsidP="00797F4E">
      <w:pPr>
        <w:rPr>
          <w:b/>
        </w:rPr>
      </w:pPr>
    </w:p>
    <w:p w14:paraId="7C3BA74F" w14:textId="77777777" w:rsidR="0057267F" w:rsidRDefault="00311F00" w:rsidP="00797F4E">
      <w:pPr>
        <w:rPr>
          <w:b/>
        </w:rPr>
      </w:pPr>
      <w:r>
        <w:rPr>
          <w:b/>
        </w:rPr>
        <w:t>Time</w:t>
      </w:r>
      <w:r w:rsidR="0057267F">
        <w:rPr>
          <w:b/>
        </w:rPr>
        <w:t xml:space="preserve"> to forget the ‘Chicago School’?</w:t>
      </w:r>
    </w:p>
    <w:p w14:paraId="178E776A" w14:textId="77777777" w:rsidR="00B91755" w:rsidRDefault="00B91755" w:rsidP="00797F4E">
      <w:pPr>
        <w:rPr>
          <w:b/>
        </w:rPr>
      </w:pPr>
    </w:p>
    <w:p w14:paraId="4F87DEC5" w14:textId="08E15110" w:rsidR="00B91755" w:rsidRDefault="005A24A2" w:rsidP="0040158D">
      <w:pPr>
        <w:ind w:firstLine="720"/>
      </w:pPr>
      <w:r>
        <w:lastRenderedPageBreak/>
        <w:t>Suburbia is becoming increasingly</w:t>
      </w:r>
      <w:r w:rsidR="00B91755">
        <w:t xml:space="preserve"> </w:t>
      </w:r>
      <w:r w:rsidR="00DF0656">
        <w:t xml:space="preserve">complex in the twenty-first century. </w:t>
      </w:r>
      <w:r w:rsidR="00196CC1">
        <w:t xml:space="preserve">Ethnic </w:t>
      </w:r>
      <w:r w:rsidR="0039722B">
        <w:t xml:space="preserve">and religious </w:t>
      </w:r>
      <w:r w:rsidR="00196CC1">
        <w:t xml:space="preserve">diversity may be the most visible manifestation, but there are also marked differences in </w:t>
      </w:r>
      <w:r w:rsidR="00A87C8E">
        <w:t>other indicators, including social class, housing tenure, age-profiles, educational attainment and commuting patterns. What we are s</w:t>
      </w:r>
      <w:r w:rsidR="003F550B">
        <w:t xml:space="preserve">eeing is the disruption of </w:t>
      </w:r>
      <w:r w:rsidR="00A87C8E">
        <w:t xml:space="preserve">established </w:t>
      </w:r>
      <w:r w:rsidR="00804E53">
        <w:t xml:space="preserve">understandings </w:t>
      </w:r>
      <w:r w:rsidR="003F550B">
        <w:t>of</w:t>
      </w:r>
      <w:r w:rsidR="00804E53">
        <w:t xml:space="preserve"> the geography of English cities, and of London in particular. For a</w:t>
      </w:r>
      <w:r w:rsidR="00132246" w:rsidRPr="00132246">
        <w:t xml:space="preserve"> </w:t>
      </w:r>
      <w:r w:rsidR="00132246">
        <w:t>long time</w:t>
      </w:r>
      <w:r w:rsidR="00804E53">
        <w:t>, unde</w:t>
      </w:r>
      <w:r w:rsidR="00AD27A6">
        <w:t xml:space="preserve">rstanding of London’s geography, and particularly the relationship between metropolitan core and suburbs, </w:t>
      </w:r>
      <w:r w:rsidR="00804E53">
        <w:t xml:space="preserve">seemed to sit within </w:t>
      </w:r>
      <w:r w:rsidR="00AD27A6">
        <w:t xml:space="preserve">what might be described as an </w:t>
      </w:r>
      <w:r w:rsidR="007570EE">
        <w:t>Anglo-Saxon</w:t>
      </w:r>
      <w:r w:rsidR="00AD27A6">
        <w:t xml:space="preserve"> model of city structure.  </w:t>
      </w:r>
      <w:r w:rsidR="0027122A">
        <w:t xml:space="preserve">The fullest expression </w:t>
      </w:r>
      <w:r w:rsidR="0040158D">
        <w:t>of that model was associated w</w:t>
      </w:r>
      <w:r w:rsidR="007E30AD">
        <w:t>ith the work of Robert Park and</w:t>
      </w:r>
      <w:r w:rsidR="00AD27A6">
        <w:t xml:space="preserve"> </w:t>
      </w:r>
      <w:r w:rsidR="007E30AD">
        <w:t xml:space="preserve">Ernest Burgess, members of the so-called ‘Chicago School’ of </w:t>
      </w:r>
      <w:r w:rsidR="007570EE">
        <w:t xml:space="preserve">urban sociology, writing in the 1920s and 1930s. </w:t>
      </w:r>
    </w:p>
    <w:p w14:paraId="2A7A0D6D" w14:textId="77777777" w:rsidR="007570EE" w:rsidRDefault="007570EE" w:rsidP="0040158D">
      <w:pPr>
        <w:ind w:firstLine="720"/>
      </w:pPr>
    </w:p>
    <w:p w14:paraId="2761CA9E" w14:textId="4F5CAF01" w:rsidR="008F2782" w:rsidRDefault="007570EE" w:rsidP="0040158D">
      <w:pPr>
        <w:ind w:firstLine="720"/>
      </w:pPr>
      <w:r>
        <w:t xml:space="preserve">The Chicago School </w:t>
      </w:r>
      <w:r w:rsidR="006D56ED">
        <w:t xml:space="preserve">drew upon the geographies of their city, one of the shock cities of the age, to suggest </w:t>
      </w:r>
      <w:r w:rsidR="00E168BC">
        <w:t>emergent</w:t>
      </w:r>
      <w:r w:rsidR="006D56ED">
        <w:t xml:space="preserve"> features of </w:t>
      </w:r>
      <w:r w:rsidR="00FD6476">
        <w:t xml:space="preserve">modern </w:t>
      </w:r>
      <w:r w:rsidR="00883521">
        <w:t>urbanism</w:t>
      </w:r>
      <w:r w:rsidR="00FD6476">
        <w:t xml:space="preserve">. In </w:t>
      </w:r>
      <w:r w:rsidR="00EC21DE">
        <w:t xml:space="preserve">Burgess’s work, the key feature </w:t>
      </w:r>
      <w:r w:rsidR="00884F0B">
        <w:t>in the</w:t>
      </w:r>
      <w:r w:rsidR="00EC21DE">
        <w:t xml:space="preserve"> </w:t>
      </w:r>
      <w:r w:rsidR="001A7BFD">
        <w:t xml:space="preserve">distinctive </w:t>
      </w:r>
      <w:r w:rsidR="00EC21DE">
        <w:t xml:space="preserve">spatial structure to </w:t>
      </w:r>
      <w:r w:rsidR="00EF17A2">
        <w:t>cities</w:t>
      </w:r>
      <w:r w:rsidR="00375736">
        <w:t xml:space="preserve"> </w:t>
      </w:r>
      <w:r w:rsidR="00884F0B">
        <w:t xml:space="preserve">was </w:t>
      </w:r>
      <w:r w:rsidR="00EC21DE">
        <w:t xml:space="preserve">the famous concentric zone model </w:t>
      </w:r>
      <w:r w:rsidR="005F14EE">
        <w:t xml:space="preserve">(for many years a staple subject for O level and GCSE Geography </w:t>
      </w:r>
      <w:r w:rsidR="00EF17A2">
        <w:t xml:space="preserve">examination questions.) Outside a central business district, Burgess suggested that there would be </w:t>
      </w:r>
      <w:r w:rsidR="008C1E98">
        <w:t>ringed</w:t>
      </w:r>
      <w:r w:rsidR="00EF17A2">
        <w:t xml:space="preserve"> zones of housing, </w:t>
      </w:r>
      <w:r w:rsidR="00A750FE">
        <w:t xml:space="preserve">each successively more affluent, from slums and working-class housing </w:t>
      </w:r>
      <w:r w:rsidR="008C1E98">
        <w:t>near the urban core, out to affluent low-density housing in the distant commuter suburbs.  This view of urban spatial structure was combi</w:t>
      </w:r>
      <w:r w:rsidR="000F3D20">
        <w:t xml:space="preserve">ned with understandings of migration and cultural </w:t>
      </w:r>
      <w:r w:rsidR="000F3D20" w:rsidRPr="00320822">
        <w:t>change in the city.  The inner</w:t>
      </w:r>
      <w:r w:rsidR="001A7BFD" w:rsidRPr="009324D7">
        <w:t xml:space="preserve"> zones</w:t>
      </w:r>
      <w:r w:rsidR="000F3D20" w:rsidRPr="009324D7">
        <w:t xml:space="preserve"> were</w:t>
      </w:r>
      <w:r w:rsidR="001A37EF" w:rsidRPr="00B105DD">
        <w:t xml:space="preserve"> associated with </w:t>
      </w:r>
      <w:r w:rsidR="001A7BFD" w:rsidRPr="00B105DD">
        <w:t>recent migration, and strong conflict and competition between different migrant</w:t>
      </w:r>
      <w:r w:rsidR="00EE51BC" w:rsidRPr="00CE0271">
        <w:t xml:space="preserve"> groups for control of urban space and access to urban resources.  Park argued that over time, different groups moved from periods of conflict, through phases of accommodation, towards </w:t>
      </w:r>
      <w:r w:rsidR="008F2782" w:rsidRPr="00CE0271">
        <w:t xml:space="preserve">cultural </w:t>
      </w:r>
      <w:r w:rsidR="00EE51BC" w:rsidRPr="00CE0271">
        <w:t>assimilation</w:t>
      </w:r>
      <w:r w:rsidR="008F2782" w:rsidRPr="00CE0271">
        <w:t xml:space="preserve">. </w:t>
      </w:r>
      <w:r w:rsidR="00CE0271">
        <w:t>T</w:t>
      </w:r>
      <w:r w:rsidR="008F2782" w:rsidRPr="00CE0271">
        <w:t xml:space="preserve">his was </w:t>
      </w:r>
      <w:r w:rsidR="00CE0271">
        <w:t>simultaneously</w:t>
      </w:r>
      <w:r w:rsidR="00CE0271" w:rsidRPr="00CE0271">
        <w:t xml:space="preserve"> </w:t>
      </w:r>
      <w:r w:rsidR="008F2782" w:rsidRPr="00CE0271">
        <w:t>a social and spatial process</w:t>
      </w:r>
      <w:r w:rsidR="00A40750">
        <w:t>:</w:t>
      </w:r>
      <w:r w:rsidR="008F2782" w:rsidRPr="00CE0271">
        <w:t xml:space="preserve"> migrant groups lost their distinctiveness as </w:t>
      </w:r>
      <w:r w:rsidR="00A40750">
        <w:t>they</w:t>
      </w:r>
      <w:r w:rsidR="008F2782" w:rsidRPr="00CE0271">
        <w:t xml:space="preserve"> became more affluent and as they moved to the suburbs, also becoming more socially and </w:t>
      </w:r>
      <w:r w:rsidR="00060B7B" w:rsidRPr="00CE0271">
        <w:t>politically</w:t>
      </w:r>
      <w:r w:rsidR="008F2782" w:rsidRPr="00A40750">
        <w:t xml:space="preserve"> conservative in the process</w:t>
      </w:r>
      <w:r w:rsidR="008F2782" w:rsidRPr="009324D7">
        <w:t>.</w:t>
      </w:r>
      <w:r w:rsidR="008F2782">
        <w:t xml:space="preserve"> </w:t>
      </w:r>
    </w:p>
    <w:p w14:paraId="6DA6D5D4" w14:textId="77777777" w:rsidR="008F2782" w:rsidRDefault="008F2782" w:rsidP="0040158D">
      <w:pPr>
        <w:ind w:firstLine="720"/>
      </w:pPr>
    </w:p>
    <w:p w14:paraId="34661C54" w14:textId="31B2A63C" w:rsidR="008C4C8E" w:rsidRDefault="00674B29" w:rsidP="004E2BC3">
      <w:pPr>
        <w:ind w:firstLine="720"/>
      </w:pPr>
      <w:r>
        <w:t>There is a long list of criticisms of the Chicago School approach</w:t>
      </w:r>
      <w:r w:rsidR="0092348D">
        <w:t>. P</w:t>
      </w:r>
      <w:r>
        <w:t xml:space="preserve">rominent among these are the way that it generalized from the experience of early twentieth century </w:t>
      </w:r>
      <w:r w:rsidR="00920CD5">
        <w:t>US cities</w:t>
      </w:r>
      <w:r w:rsidR="004A4B93">
        <w:t>,</w:t>
      </w:r>
      <w:r w:rsidR="00491874">
        <w:t xml:space="preserve"> as well as</w:t>
      </w:r>
      <w:r w:rsidR="00060B7B">
        <w:t xml:space="preserve"> the way that it saw the fundamental dynamic </w:t>
      </w:r>
      <w:r w:rsidR="007F266B">
        <w:t>in urban systems as being a kind of ecological competition for territory and resources between different groups</w:t>
      </w:r>
      <w:r w:rsidR="00920CD5">
        <w:t>, ignoring the</w:t>
      </w:r>
      <w:r w:rsidR="007F266B">
        <w:t xml:space="preserve"> importance of </w:t>
      </w:r>
      <w:proofErr w:type="spellStart"/>
      <w:r w:rsidR="007F266B">
        <w:t>labour</w:t>
      </w:r>
      <w:proofErr w:type="spellEnd"/>
      <w:r w:rsidR="007F266B">
        <w:t xml:space="preserve"> and housing markets and the role of the state</w:t>
      </w:r>
      <w:r w:rsidR="00491874">
        <w:t xml:space="preserve"> the production of urban inequalities.  The Chicago School approach</w:t>
      </w:r>
      <w:r w:rsidR="004E2BC3">
        <w:t xml:space="preserve"> h</w:t>
      </w:r>
      <w:r w:rsidR="00C349B9">
        <w:t>as also been criticized for</w:t>
      </w:r>
      <w:r w:rsidR="004E2BC3">
        <w:t xml:space="preserve"> its use of a</w:t>
      </w:r>
      <w:r w:rsidR="007F266B">
        <w:t xml:space="preserve"> simplistic </w:t>
      </w:r>
      <w:r w:rsidR="004E2BC3">
        <w:t xml:space="preserve">binary </w:t>
      </w:r>
      <w:r w:rsidR="007F266B">
        <w:t xml:space="preserve">distinction between </w:t>
      </w:r>
      <w:r w:rsidR="005C2D72">
        <w:t xml:space="preserve">migrant groups and an undifferentiated ‘host’ society.  However, </w:t>
      </w:r>
      <w:r w:rsidR="00F16093">
        <w:t xml:space="preserve">a loose version of this </w:t>
      </w:r>
      <w:r w:rsidR="002B5806">
        <w:t>analysis</w:t>
      </w:r>
      <w:r w:rsidR="00F16093">
        <w:t xml:space="preserve"> has </w:t>
      </w:r>
      <w:r w:rsidR="00CE329A">
        <w:t xml:space="preserve">often </w:t>
      </w:r>
      <w:r w:rsidR="00F16093">
        <w:t>informed how London’s geography has been understood</w:t>
      </w:r>
      <w:r w:rsidR="0029579F">
        <w:t xml:space="preserve">.  </w:t>
      </w:r>
      <w:r w:rsidR="00227F4E">
        <w:t>The powerful associations of suburbia with a particular construction of Englishnes</w:t>
      </w:r>
      <w:r w:rsidR="00427BC4">
        <w:t xml:space="preserve">s combine </w:t>
      </w:r>
      <w:r w:rsidR="00D910FD">
        <w:t xml:space="preserve">with expectations about the </w:t>
      </w:r>
      <w:r w:rsidR="00FA3D36">
        <w:t xml:space="preserve">initial </w:t>
      </w:r>
      <w:r w:rsidR="00D910FD">
        <w:t xml:space="preserve">inner-city </w:t>
      </w:r>
      <w:r w:rsidR="00FA3D36">
        <w:t xml:space="preserve">location of migrant groups, </w:t>
      </w:r>
      <w:r w:rsidR="00427BC4">
        <w:t xml:space="preserve">and the cultural changes associated with suburbanization.  </w:t>
      </w:r>
    </w:p>
    <w:p w14:paraId="4C599529" w14:textId="77777777" w:rsidR="008C4C8E" w:rsidRDefault="008C4C8E" w:rsidP="008C4C8E">
      <w:pPr>
        <w:ind w:firstLine="720"/>
      </w:pPr>
    </w:p>
    <w:p w14:paraId="23BC2D26" w14:textId="5B3E4F1E" w:rsidR="008C4C8E" w:rsidRDefault="00427BC4" w:rsidP="00946E66">
      <w:pPr>
        <w:ind w:firstLine="720"/>
      </w:pPr>
      <w:r>
        <w:t xml:space="preserve">The Jewish </w:t>
      </w:r>
      <w:r w:rsidR="00B73CCE">
        <w:t>history</w:t>
      </w:r>
      <w:r>
        <w:t xml:space="preserve"> in London </w:t>
      </w:r>
      <w:r w:rsidR="00B73CCE">
        <w:t>provided</w:t>
      </w:r>
      <w:r>
        <w:t xml:space="preserve"> a powerful archetype</w:t>
      </w:r>
      <w:r w:rsidR="004A4B93">
        <w:t xml:space="preserve"> of this pattern.  Between the mid-nineteenth and mid-twentieth centuries the East End of London was mar</w:t>
      </w:r>
      <w:r w:rsidR="00607451">
        <w:t xml:space="preserve">ked by a distinctive and intense Jewish culture, associated particularly with migration in response to persecution in central and Eastern Europe.  By the inter-war period the East End’s Jewish population </w:t>
      </w:r>
      <w:r w:rsidR="008C4C8E">
        <w:t xml:space="preserve">was around </w:t>
      </w:r>
      <w:r w:rsidR="00B73CCE">
        <w:lastRenderedPageBreak/>
        <w:t>150</w:t>
      </w:r>
      <w:r w:rsidR="006C5128">
        <w:t>0</w:t>
      </w:r>
      <w:r w:rsidR="00B73CCE">
        <w:t xml:space="preserve">00, but the </w:t>
      </w:r>
      <w:r w:rsidR="00372B96">
        <w:t xml:space="preserve">1930s and particularly the </w:t>
      </w:r>
      <w:r w:rsidR="00B73CCE">
        <w:t xml:space="preserve">post-war period saw rapid </w:t>
      </w:r>
      <w:r w:rsidR="006C5128">
        <w:t>out-migration</w:t>
      </w:r>
      <w:r w:rsidR="00B73CCE">
        <w:t xml:space="preserve"> and suburbanization, particularly to </w:t>
      </w:r>
      <w:proofErr w:type="spellStart"/>
      <w:r w:rsidR="00E9514F">
        <w:t>Golders</w:t>
      </w:r>
      <w:proofErr w:type="spellEnd"/>
      <w:r w:rsidR="00E9514F">
        <w:t xml:space="preserve"> Green, </w:t>
      </w:r>
      <w:r w:rsidR="00375736">
        <w:t xml:space="preserve">Barnet, </w:t>
      </w:r>
      <w:r w:rsidR="00E9514F">
        <w:t>Hendon</w:t>
      </w:r>
      <w:r w:rsidR="00372B96">
        <w:t xml:space="preserve"> and </w:t>
      </w:r>
      <w:proofErr w:type="spellStart"/>
      <w:r w:rsidR="00E9514F">
        <w:t>Edgware</w:t>
      </w:r>
      <w:proofErr w:type="spellEnd"/>
      <w:r w:rsidR="00372B96">
        <w:t xml:space="preserve"> in </w:t>
      </w:r>
      <w:r w:rsidR="00631235">
        <w:t>n</w:t>
      </w:r>
      <w:r w:rsidR="00372B96">
        <w:t xml:space="preserve">orth </w:t>
      </w:r>
      <w:r w:rsidR="00631235">
        <w:t>w</w:t>
      </w:r>
      <w:r w:rsidR="00372B96">
        <w:t>est London,</w:t>
      </w:r>
      <w:r w:rsidR="00D62564">
        <w:t xml:space="preserve"> and </w:t>
      </w:r>
      <w:r w:rsidR="00372B96">
        <w:t>later to Barkingside</w:t>
      </w:r>
      <w:r w:rsidR="00631235">
        <w:t xml:space="preserve"> and </w:t>
      </w:r>
      <w:proofErr w:type="spellStart"/>
      <w:r w:rsidR="00631235">
        <w:t>Clayhall</w:t>
      </w:r>
      <w:proofErr w:type="spellEnd"/>
      <w:r w:rsidR="00631235">
        <w:t xml:space="preserve"> in north east London</w:t>
      </w:r>
      <w:r w:rsidR="00407FBB">
        <w:t xml:space="preserve">.  </w:t>
      </w:r>
      <w:r w:rsidR="00906EE3">
        <w:t>While t</w:t>
      </w:r>
      <w:r w:rsidR="00407FBB">
        <w:t xml:space="preserve">hese moves were not associated </w:t>
      </w:r>
      <w:r w:rsidR="00906EE3">
        <w:t xml:space="preserve">with </w:t>
      </w:r>
      <w:r w:rsidR="00043496">
        <w:t>the</w:t>
      </w:r>
      <w:r w:rsidR="00906EE3">
        <w:t xml:space="preserve"> </w:t>
      </w:r>
      <w:r w:rsidR="003F550B">
        <w:t>simplistic model</w:t>
      </w:r>
      <w:r w:rsidR="00906EE3">
        <w:t xml:space="preserve"> of ‘assimilation’</w:t>
      </w:r>
      <w:r w:rsidR="00907C35">
        <w:t xml:space="preserve"> </w:t>
      </w:r>
      <w:r w:rsidR="003B6BFA">
        <w:t xml:space="preserve">suggested in the Chicago School models – suburbanization was associated with some measure of secularization, but </w:t>
      </w:r>
      <w:r w:rsidR="00946E66">
        <w:t>distinctively J</w:t>
      </w:r>
      <w:r w:rsidR="003B6BFA">
        <w:t xml:space="preserve">ewish religious, political and </w:t>
      </w:r>
      <w:r w:rsidR="00946E66">
        <w:t xml:space="preserve">cultural institutions and cuisine </w:t>
      </w:r>
      <w:r w:rsidR="00393F09">
        <w:t>remained</w:t>
      </w:r>
      <w:r w:rsidR="00946E66">
        <w:t xml:space="preserve"> </w:t>
      </w:r>
      <w:r w:rsidR="00375736">
        <w:t xml:space="preserve">as </w:t>
      </w:r>
      <w:r w:rsidR="00946E66">
        <w:t xml:space="preserve">characteristic elements of these new suburban cultures – there were significant changes, notably in the </w:t>
      </w:r>
      <w:r w:rsidR="00DE3FFB">
        <w:t xml:space="preserve">almost complete </w:t>
      </w:r>
      <w:r w:rsidR="00D55AB0">
        <w:t xml:space="preserve">disappearance of Yiddish as an everyday language. </w:t>
      </w:r>
    </w:p>
    <w:p w14:paraId="051CC9D3" w14:textId="77777777" w:rsidR="008C4C8E" w:rsidRDefault="008C4C8E" w:rsidP="008C4C8E">
      <w:pPr>
        <w:ind w:firstLine="720"/>
      </w:pPr>
    </w:p>
    <w:p w14:paraId="1B7D450A" w14:textId="6010FF05" w:rsidR="00F27137" w:rsidRPr="00427F53" w:rsidRDefault="00051297" w:rsidP="00427F53">
      <w:pPr>
        <w:ind w:firstLine="720"/>
        <w:rPr>
          <w:lang w:val="en-GB"/>
        </w:rPr>
      </w:pPr>
      <w:r>
        <w:t>A variation of th</w:t>
      </w:r>
      <w:r w:rsidR="004B3150">
        <w:t>is narrative</w:t>
      </w:r>
      <w:r>
        <w:t xml:space="preserve"> has become a common interpretation of the changing </w:t>
      </w:r>
      <w:r w:rsidR="00723BAA">
        <w:t xml:space="preserve">spatial </w:t>
      </w:r>
      <w:r>
        <w:t xml:space="preserve">patterning of diversity in London.  Writing recently </w:t>
      </w:r>
      <w:r w:rsidR="00723BAA">
        <w:t>about the increasing ethnic diversity of London’s suburbs, commentator Hugh Muir interpreted change in exactly this way: ‘</w:t>
      </w:r>
      <w:r w:rsidR="00012B97" w:rsidRPr="00012B97">
        <w:rPr>
          <w:lang w:val="en-GB"/>
        </w:rPr>
        <w:t xml:space="preserve">There is an inevitability about diversity in the inner cities. Poorer Britons of all origins live there. Migrants looking for jobs and cheap housing gravitate there. But it is not surprising that minorities should want a piece of </w:t>
      </w:r>
      <w:proofErr w:type="spellStart"/>
      <w:r w:rsidR="00012B97" w:rsidRPr="00012B97">
        <w:rPr>
          <w:lang w:val="en-GB"/>
        </w:rPr>
        <w:t>Metroland</w:t>
      </w:r>
      <w:proofErr w:type="spellEnd"/>
      <w:r w:rsidR="00012B97" w:rsidRPr="00012B97">
        <w:rPr>
          <w:lang w:val="en-GB"/>
        </w:rPr>
        <w:t>.</w:t>
      </w:r>
      <w:r w:rsidR="00012B97">
        <w:rPr>
          <w:lang w:val="en-GB"/>
        </w:rPr>
        <w:t>’</w:t>
      </w:r>
      <w:r w:rsidR="00012B97">
        <w:rPr>
          <w:rStyle w:val="EndnoteReference"/>
          <w:lang w:val="en-GB"/>
        </w:rPr>
        <w:endnoteReference w:id="7"/>
      </w:r>
      <w:r w:rsidR="00012B97" w:rsidRPr="00012B97">
        <w:rPr>
          <w:lang w:val="en-GB"/>
        </w:rPr>
        <w:t> </w:t>
      </w:r>
      <w:r w:rsidR="0057287E">
        <w:rPr>
          <w:lang w:val="en-GB"/>
        </w:rPr>
        <w:t xml:space="preserve">For Muir, this </w:t>
      </w:r>
      <w:r w:rsidR="00B47130">
        <w:rPr>
          <w:lang w:val="en-GB"/>
        </w:rPr>
        <w:t xml:space="preserve">‘black flight’ </w:t>
      </w:r>
      <w:r w:rsidR="00E00091">
        <w:rPr>
          <w:lang w:val="en-GB"/>
        </w:rPr>
        <w:t xml:space="preserve">is </w:t>
      </w:r>
      <w:r w:rsidR="00B47130">
        <w:rPr>
          <w:lang w:val="en-GB"/>
        </w:rPr>
        <w:t>associated with the growing affluence of some ethnic groups</w:t>
      </w:r>
      <w:r w:rsidR="000428FD">
        <w:rPr>
          <w:lang w:val="en-GB"/>
        </w:rPr>
        <w:t xml:space="preserve">, and </w:t>
      </w:r>
      <w:r w:rsidR="004B3150">
        <w:rPr>
          <w:lang w:val="en-GB"/>
        </w:rPr>
        <w:t>changing</w:t>
      </w:r>
      <w:r w:rsidR="000428FD">
        <w:rPr>
          <w:lang w:val="en-GB"/>
        </w:rPr>
        <w:t xml:space="preserve"> assumptions about the</w:t>
      </w:r>
      <w:r w:rsidR="008C057D">
        <w:rPr>
          <w:lang w:val="en-GB"/>
        </w:rPr>
        <w:t>ir</w:t>
      </w:r>
      <w:r w:rsidR="000428FD">
        <w:rPr>
          <w:lang w:val="en-GB"/>
        </w:rPr>
        <w:t xml:space="preserve"> political geography</w:t>
      </w:r>
      <w:r w:rsidR="007429BD">
        <w:rPr>
          <w:lang w:val="en-GB"/>
        </w:rPr>
        <w:t xml:space="preserve">.  </w:t>
      </w:r>
      <w:r w:rsidR="0072353E">
        <w:rPr>
          <w:lang w:val="en-GB"/>
        </w:rPr>
        <w:t xml:space="preserve">There are complex effects </w:t>
      </w:r>
      <w:r w:rsidR="008C057D">
        <w:rPr>
          <w:lang w:val="en-GB"/>
        </w:rPr>
        <w:t xml:space="preserve">in </w:t>
      </w:r>
      <w:r w:rsidR="0072353E">
        <w:rPr>
          <w:lang w:val="en-GB"/>
        </w:rPr>
        <w:t xml:space="preserve">some outer London constituencies.  </w:t>
      </w:r>
      <w:r w:rsidR="001C3F20">
        <w:rPr>
          <w:lang w:val="en-GB"/>
        </w:rPr>
        <w:t xml:space="preserve">The politics of Harrow West constituency has changed dramatically with changes in its ethic composition </w:t>
      </w:r>
      <w:r w:rsidR="00BE6045">
        <w:rPr>
          <w:lang w:val="en-GB"/>
        </w:rPr>
        <w:t xml:space="preserve">particularly the </w:t>
      </w:r>
      <w:r w:rsidR="00BE6045" w:rsidRPr="00EC26CB">
        <w:rPr>
          <w:lang w:val="en-GB"/>
        </w:rPr>
        <w:t xml:space="preserve">migration of upwardly-mobile British Asian voters to classic </w:t>
      </w:r>
      <w:proofErr w:type="spellStart"/>
      <w:r w:rsidR="00BE6045" w:rsidRPr="00EC26CB">
        <w:rPr>
          <w:lang w:val="en-GB"/>
        </w:rPr>
        <w:t>Metroland</w:t>
      </w:r>
      <w:proofErr w:type="spellEnd"/>
      <w:r w:rsidR="00BE6045" w:rsidRPr="00EC26CB">
        <w:rPr>
          <w:lang w:val="en-GB"/>
        </w:rPr>
        <w:t xml:space="preserve"> territory</w:t>
      </w:r>
      <w:r w:rsidR="00BE6045">
        <w:rPr>
          <w:lang w:val="en-GB"/>
        </w:rPr>
        <w:t xml:space="preserve">.  It </w:t>
      </w:r>
      <w:r w:rsidR="00DD52F7">
        <w:rPr>
          <w:lang w:val="en-GB"/>
        </w:rPr>
        <w:t xml:space="preserve">was </w:t>
      </w:r>
      <w:r w:rsidR="003A253B">
        <w:rPr>
          <w:lang w:val="en-GB"/>
        </w:rPr>
        <w:t xml:space="preserve">a very safe Conservative seat </w:t>
      </w:r>
      <w:r w:rsidR="002C6576">
        <w:rPr>
          <w:lang w:val="en-GB"/>
        </w:rPr>
        <w:t xml:space="preserve">up to </w:t>
      </w:r>
      <w:r w:rsidR="00500CE4">
        <w:rPr>
          <w:lang w:val="en-GB"/>
        </w:rPr>
        <w:t xml:space="preserve">the </w:t>
      </w:r>
      <w:r w:rsidR="002C6576">
        <w:rPr>
          <w:lang w:val="en-GB"/>
        </w:rPr>
        <w:t>1997</w:t>
      </w:r>
      <w:r w:rsidR="00500CE4">
        <w:rPr>
          <w:lang w:val="en-GB"/>
        </w:rPr>
        <w:t xml:space="preserve"> general election</w:t>
      </w:r>
      <w:r w:rsidR="002C6576">
        <w:rPr>
          <w:lang w:val="en-GB"/>
        </w:rPr>
        <w:t xml:space="preserve">; </w:t>
      </w:r>
      <w:r w:rsidR="00B36003">
        <w:rPr>
          <w:lang w:val="en-GB"/>
        </w:rPr>
        <w:t xml:space="preserve">Labour </w:t>
      </w:r>
      <w:r w:rsidR="002C6576">
        <w:rPr>
          <w:lang w:val="en-GB"/>
        </w:rPr>
        <w:t xml:space="preserve">took the seat with a swing of </w:t>
      </w:r>
      <w:r w:rsidR="00EF06A9">
        <w:rPr>
          <w:lang w:val="en-GB"/>
        </w:rPr>
        <w:t xml:space="preserve">over 17% in 1997, and has held the seat since.  </w:t>
      </w:r>
      <w:r w:rsidR="00BE6045">
        <w:rPr>
          <w:lang w:val="en-GB"/>
        </w:rPr>
        <w:t xml:space="preserve">By contrast </w:t>
      </w:r>
      <w:r w:rsidR="00FE5AE0">
        <w:rPr>
          <w:lang w:val="en-GB"/>
        </w:rPr>
        <w:t>the neighbour</w:t>
      </w:r>
      <w:r w:rsidR="00427F53">
        <w:rPr>
          <w:lang w:val="en-GB"/>
        </w:rPr>
        <w:t>ing constituency of Harrow East</w:t>
      </w:r>
      <w:r w:rsidR="00FE5AE0">
        <w:rPr>
          <w:lang w:val="en-GB"/>
        </w:rPr>
        <w:t xml:space="preserve">, also an area of characterised by a large British Asian middle class, was recaptured </w:t>
      </w:r>
      <w:r w:rsidR="002B34B0">
        <w:rPr>
          <w:lang w:val="en-GB"/>
        </w:rPr>
        <w:t>by the Conservatives in 2010, and did not experience the strong London swings to Labou</w:t>
      </w:r>
      <w:r w:rsidR="00F27137">
        <w:rPr>
          <w:lang w:val="en-GB"/>
        </w:rPr>
        <w:t>r</w:t>
      </w:r>
      <w:r w:rsidR="002B34B0">
        <w:rPr>
          <w:lang w:val="en-GB"/>
        </w:rPr>
        <w:t xml:space="preserve"> in 2015 and 2017. </w:t>
      </w:r>
      <w:r w:rsidR="00F27137">
        <w:rPr>
          <w:lang w:val="en-GB"/>
        </w:rPr>
        <w:t xml:space="preserve"> A significant factor in the Conservatives</w:t>
      </w:r>
      <w:r w:rsidR="00375736">
        <w:rPr>
          <w:lang w:val="en-GB"/>
        </w:rPr>
        <w:t>’</w:t>
      </w:r>
      <w:r w:rsidR="00F27137">
        <w:rPr>
          <w:lang w:val="en-GB"/>
        </w:rPr>
        <w:t xml:space="preserve"> relative success has been </w:t>
      </w:r>
      <w:r w:rsidR="00F27137" w:rsidRPr="00F27137">
        <w:rPr>
          <w:lang w:val="en-GB"/>
        </w:rPr>
        <w:t>the increasing propensity of middle-class Asian voters, particularly Hindus and Sikhs</w:t>
      </w:r>
      <w:r w:rsidR="008C057D">
        <w:rPr>
          <w:lang w:val="en-GB"/>
        </w:rPr>
        <w:t>,</w:t>
      </w:r>
      <w:r w:rsidR="00F27137" w:rsidRPr="00F27137">
        <w:rPr>
          <w:lang w:val="en-GB"/>
        </w:rPr>
        <w:t xml:space="preserve"> to vote Conservative</w:t>
      </w:r>
      <w:r w:rsidR="00F27137" w:rsidRPr="00F27137">
        <w:rPr>
          <w:i/>
          <w:lang w:val="en-GB"/>
        </w:rPr>
        <w:t>.</w:t>
      </w:r>
    </w:p>
    <w:p w14:paraId="47F4CE91" w14:textId="77777777" w:rsidR="004F362F" w:rsidRDefault="004F362F" w:rsidP="001E51A2">
      <w:pPr>
        <w:rPr>
          <w:lang w:val="en-GB"/>
        </w:rPr>
      </w:pPr>
    </w:p>
    <w:p w14:paraId="15A5723C" w14:textId="682CC728" w:rsidR="00350DFE" w:rsidRDefault="007C77AB" w:rsidP="008B5434">
      <w:pPr>
        <w:ind w:firstLine="720"/>
        <w:rPr>
          <w:lang w:val="en-GB"/>
        </w:rPr>
      </w:pPr>
      <w:r>
        <w:rPr>
          <w:lang w:val="en-GB"/>
        </w:rPr>
        <w:t xml:space="preserve">The Chicago School model of urban structure </w:t>
      </w:r>
      <w:r w:rsidR="000759DD">
        <w:rPr>
          <w:lang w:val="en-GB"/>
        </w:rPr>
        <w:t>and change is</w:t>
      </w:r>
      <w:r>
        <w:rPr>
          <w:lang w:val="en-GB"/>
        </w:rPr>
        <w:t xml:space="preserve"> often contrasted with a Europe</w:t>
      </w:r>
      <w:r w:rsidR="00C349B9">
        <w:rPr>
          <w:lang w:val="en-GB"/>
        </w:rPr>
        <w:t xml:space="preserve">an model.  </w:t>
      </w:r>
      <w:r w:rsidR="000759DD">
        <w:rPr>
          <w:lang w:val="en-GB"/>
        </w:rPr>
        <w:t>Unlike the</w:t>
      </w:r>
      <w:r w:rsidR="003D10FC">
        <w:rPr>
          <w:lang w:val="en-GB"/>
        </w:rPr>
        <w:t xml:space="preserve"> affluent, sprawling suburbs of the Chicago School, the European model identifies an urban structure in which geographical marginality is </w:t>
      </w:r>
      <w:r w:rsidR="000759DD">
        <w:rPr>
          <w:lang w:val="en-GB"/>
        </w:rPr>
        <w:t xml:space="preserve">closely </w:t>
      </w:r>
      <w:r w:rsidR="003D10FC">
        <w:rPr>
          <w:lang w:val="en-GB"/>
        </w:rPr>
        <w:t>associated with social and political marginalisation</w:t>
      </w:r>
      <w:r w:rsidR="00947387">
        <w:rPr>
          <w:lang w:val="en-GB"/>
        </w:rPr>
        <w:t>.  The most obvious example is Paris, with</w:t>
      </w:r>
      <w:r w:rsidR="002B6A24">
        <w:rPr>
          <w:lang w:val="en-GB"/>
        </w:rPr>
        <w:t xml:space="preserve"> its elite historic</w:t>
      </w:r>
      <w:r w:rsidR="00A45082">
        <w:rPr>
          <w:lang w:val="en-GB"/>
        </w:rPr>
        <w:t xml:space="preserve"> core within the ‘</w:t>
      </w:r>
      <w:proofErr w:type="spellStart"/>
      <w:r w:rsidR="00A45082">
        <w:rPr>
          <w:lang w:val="en-GB"/>
        </w:rPr>
        <w:t>Peripherique</w:t>
      </w:r>
      <w:proofErr w:type="spellEnd"/>
      <w:r w:rsidR="00A45082">
        <w:rPr>
          <w:lang w:val="en-GB"/>
        </w:rPr>
        <w:t>’</w:t>
      </w:r>
      <w:r w:rsidR="002B6A24">
        <w:rPr>
          <w:lang w:val="en-GB"/>
        </w:rPr>
        <w:t xml:space="preserve"> contrasted with </w:t>
      </w:r>
      <w:r w:rsidR="00E45360">
        <w:rPr>
          <w:lang w:val="en-GB"/>
        </w:rPr>
        <w:t xml:space="preserve">the </w:t>
      </w:r>
      <w:proofErr w:type="spellStart"/>
      <w:r w:rsidR="000759DD">
        <w:rPr>
          <w:lang w:val="en-GB"/>
        </w:rPr>
        <w:t>banlieus</w:t>
      </w:r>
      <w:proofErr w:type="spellEnd"/>
      <w:r w:rsidR="00A45082">
        <w:rPr>
          <w:lang w:val="en-GB"/>
        </w:rPr>
        <w:t xml:space="preserve"> beyond</w:t>
      </w:r>
      <w:r w:rsidR="00E45360">
        <w:rPr>
          <w:lang w:val="en-GB"/>
        </w:rPr>
        <w:t xml:space="preserve">, characterised by state housing projects, relative </w:t>
      </w:r>
      <w:r w:rsidR="00A45082">
        <w:rPr>
          <w:lang w:val="en-GB"/>
        </w:rPr>
        <w:t xml:space="preserve">and absolute </w:t>
      </w:r>
      <w:r w:rsidR="00E45360">
        <w:rPr>
          <w:lang w:val="en-GB"/>
        </w:rPr>
        <w:t>poverty, and concentrations of some ethnic identities and recent migration.  Th</w:t>
      </w:r>
      <w:r w:rsidR="008B5434">
        <w:rPr>
          <w:lang w:val="en-GB"/>
        </w:rPr>
        <w:t>is</w:t>
      </w:r>
      <w:r w:rsidR="00E45360">
        <w:rPr>
          <w:lang w:val="en-GB"/>
        </w:rPr>
        <w:t xml:space="preserve"> </w:t>
      </w:r>
      <w:r w:rsidR="004B3150">
        <w:rPr>
          <w:lang w:val="en-GB"/>
        </w:rPr>
        <w:t xml:space="preserve">polarisation between </w:t>
      </w:r>
      <w:proofErr w:type="spellStart"/>
      <w:r w:rsidR="004B3150">
        <w:rPr>
          <w:lang w:val="en-GB"/>
        </w:rPr>
        <w:t>banlieu</w:t>
      </w:r>
      <w:proofErr w:type="spellEnd"/>
      <w:r w:rsidR="00A45082">
        <w:rPr>
          <w:lang w:val="en-GB"/>
        </w:rPr>
        <w:t xml:space="preserve"> and city has been a central theme </w:t>
      </w:r>
      <w:r w:rsidR="00640B08">
        <w:rPr>
          <w:lang w:val="en-GB"/>
        </w:rPr>
        <w:t>in recent French politics, with tensions over migration, religious extremism</w:t>
      </w:r>
      <w:r w:rsidR="004D2F39">
        <w:rPr>
          <w:lang w:val="en-GB"/>
        </w:rPr>
        <w:t xml:space="preserve"> and </w:t>
      </w:r>
      <w:r w:rsidR="00640B08">
        <w:rPr>
          <w:lang w:val="en-GB"/>
        </w:rPr>
        <w:t xml:space="preserve">the place of </w:t>
      </w:r>
      <w:r w:rsidR="004D2F39">
        <w:rPr>
          <w:lang w:val="en-GB"/>
        </w:rPr>
        <w:t xml:space="preserve">Islam in French culture mapped into </w:t>
      </w:r>
      <w:r w:rsidR="008B5434">
        <w:rPr>
          <w:lang w:val="en-GB"/>
        </w:rPr>
        <w:t xml:space="preserve">its </w:t>
      </w:r>
      <w:r w:rsidR="004D2F39">
        <w:rPr>
          <w:lang w:val="en-GB"/>
        </w:rPr>
        <w:t xml:space="preserve">urban geographies. </w:t>
      </w:r>
      <w:r w:rsidR="008B5434">
        <w:rPr>
          <w:lang w:val="en-GB"/>
        </w:rPr>
        <w:t xml:space="preserve"> </w:t>
      </w:r>
    </w:p>
    <w:p w14:paraId="071C2E4F" w14:textId="77777777" w:rsidR="00350DFE" w:rsidRDefault="00350DFE" w:rsidP="008B5434">
      <w:pPr>
        <w:ind w:firstLine="720"/>
        <w:rPr>
          <w:lang w:val="en-GB"/>
        </w:rPr>
      </w:pPr>
    </w:p>
    <w:p w14:paraId="5F293D40" w14:textId="77777777" w:rsidR="004D2F39" w:rsidRDefault="004D2F39" w:rsidP="008B5434">
      <w:pPr>
        <w:ind w:firstLine="720"/>
        <w:rPr>
          <w:lang w:val="en-GB"/>
        </w:rPr>
      </w:pPr>
      <w:r>
        <w:rPr>
          <w:lang w:val="en-GB"/>
        </w:rPr>
        <w:t xml:space="preserve">Although there are some concentrations of deprivation </w:t>
      </w:r>
      <w:r w:rsidR="008B5434">
        <w:rPr>
          <w:lang w:val="en-GB"/>
        </w:rPr>
        <w:t xml:space="preserve">in </w:t>
      </w:r>
      <w:r w:rsidR="00350DFE">
        <w:rPr>
          <w:lang w:val="en-GB"/>
        </w:rPr>
        <w:t xml:space="preserve">outer London, the city is a long way from this European model; nonetheless the structure of London is becoming more </w:t>
      </w:r>
      <w:r w:rsidR="00644AF7">
        <w:rPr>
          <w:lang w:val="en-GB"/>
        </w:rPr>
        <w:t>hybrid</w:t>
      </w:r>
      <w:r w:rsidR="00350DFE">
        <w:rPr>
          <w:lang w:val="en-GB"/>
        </w:rPr>
        <w:t>, and in some ways less Chicago School and more ‘European</w:t>
      </w:r>
      <w:r w:rsidR="00A04839">
        <w:rPr>
          <w:lang w:val="en-GB"/>
        </w:rPr>
        <w:t>.</w:t>
      </w:r>
      <w:r w:rsidR="00350DFE">
        <w:rPr>
          <w:lang w:val="en-GB"/>
        </w:rPr>
        <w:t xml:space="preserve">’ </w:t>
      </w:r>
      <w:r w:rsidR="00A04839">
        <w:rPr>
          <w:lang w:val="en-GB"/>
        </w:rPr>
        <w:t xml:space="preserve"> Firstly, internal migration is becoming less about upward mobility and more ab</w:t>
      </w:r>
      <w:r w:rsidR="008F4782">
        <w:rPr>
          <w:lang w:val="en-GB"/>
        </w:rPr>
        <w:t xml:space="preserve">out the consequences of housing inflation, inner-city </w:t>
      </w:r>
      <w:r w:rsidR="008F4782">
        <w:rPr>
          <w:lang w:val="en-GB"/>
        </w:rPr>
        <w:lastRenderedPageBreak/>
        <w:t xml:space="preserve">gentrification, and other factors that have seen lower income groups increasingly </w:t>
      </w:r>
      <w:r w:rsidR="006B7C63">
        <w:rPr>
          <w:lang w:val="en-GB"/>
        </w:rPr>
        <w:t xml:space="preserve">excluded from central areas of the city. London is extreme, </w:t>
      </w:r>
      <w:r w:rsidR="00CF7899">
        <w:rPr>
          <w:lang w:val="en-GB"/>
        </w:rPr>
        <w:t>i</w:t>
      </w:r>
      <w:r w:rsidR="006B7C63">
        <w:rPr>
          <w:lang w:val="en-GB"/>
        </w:rPr>
        <w:t>f not un</w:t>
      </w:r>
      <w:r w:rsidR="00CF7899">
        <w:rPr>
          <w:lang w:val="en-GB"/>
        </w:rPr>
        <w:t>ique in these patterns, as the transformation of old industrial and working</w:t>
      </w:r>
      <w:r w:rsidR="008D32FB">
        <w:rPr>
          <w:lang w:val="en-GB"/>
        </w:rPr>
        <w:t xml:space="preserve">-class inner districts has been a feature of many major cities.  In twenty-first century London, this has been exacerbated by the continuing decline </w:t>
      </w:r>
      <w:r w:rsidR="00A24E5A">
        <w:rPr>
          <w:lang w:val="en-GB"/>
        </w:rPr>
        <w:t xml:space="preserve">of social housing, particularly in more central districts, by the revival of an aggressive private rental market, </w:t>
      </w:r>
      <w:r w:rsidR="00A124C1">
        <w:rPr>
          <w:lang w:val="en-GB"/>
        </w:rPr>
        <w:t>and</w:t>
      </w:r>
      <w:r w:rsidR="00A24E5A">
        <w:rPr>
          <w:lang w:val="en-GB"/>
        </w:rPr>
        <w:t xml:space="preserve"> also by </w:t>
      </w:r>
      <w:r w:rsidR="00A06A71">
        <w:rPr>
          <w:lang w:val="en-GB"/>
        </w:rPr>
        <w:t xml:space="preserve">changes to </w:t>
      </w:r>
      <w:r w:rsidR="00A24E5A">
        <w:rPr>
          <w:lang w:val="en-GB"/>
        </w:rPr>
        <w:t xml:space="preserve">government </w:t>
      </w:r>
      <w:r w:rsidR="00A06A71">
        <w:rPr>
          <w:lang w:val="en-GB"/>
        </w:rPr>
        <w:t xml:space="preserve">welfare and housing support </w:t>
      </w:r>
      <w:r w:rsidR="00A24E5A">
        <w:rPr>
          <w:lang w:val="en-GB"/>
        </w:rPr>
        <w:t>policies, most notoriously the so-called ‘bed-roo</w:t>
      </w:r>
      <w:r w:rsidR="00A06A71">
        <w:rPr>
          <w:lang w:val="en-GB"/>
        </w:rPr>
        <w:t>m</w:t>
      </w:r>
      <w:r w:rsidR="00A24E5A">
        <w:rPr>
          <w:lang w:val="en-GB"/>
        </w:rPr>
        <w:t xml:space="preserve"> </w:t>
      </w:r>
      <w:r w:rsidR="00BA0D9C">
        <w:rPr>
          <w:lang w:val="en-GB"/>
        </w:rPr>
        <w:t xml:space="preserve">tax’. </w:t>
      </w:r>
      <w:r w:rsidR="00A06A71">
        <w:rPr>
          <w:lang w:val="en-GB"/>
        </w:rPr>
        <w:t>In some wards of outer London, migration</w:t>
      </w:r>
      <w:r w:rsidR="007C040C">
        <w:rPr>
          <w:lang w:val="en-GB"/>
        </w:rPr>
        <w:t xml:space="preserve"> from inner London is not associated </w:t>
      </w:r>
      <w:r w:rsidR="00BA0D9C">
        <w:rPr>
          <w:lang w:val="en-GB"/>
        </w:rPr>
        <w:t xml:space="preserve">with upward-mobility, but with </w:t>
      </w:r>
      <w:r w:rsidR="00A124C1">
        <w:rPr>
          <w:lang w:val="en-GB"/>
        </w:rPr>
        <w:t xml:space="preserve">patterns of </w:t>
      </w:r>
      <w:r w:rsidR="00BA0D9C">
        <w:rPr>
          <w:lang w:val="en-GB"/>
        </w:rPr>
        <w:t>exclusion</w:t>
      </w:r>
      <w:r w:rsidR="00BE0C53">
        <w:rPr>
          <w:lang w:val="en-GB"/>
        </w:rPr>
        <w:t>.</w:t>
      </w:r>
      <w:r w:rsidR="00BA0D9C">
        <w:rPr>
          <w:lang w:val="en-GB"/>
        </w:rPr>
        <w:t xml:space="preserve"> </w:t>
      </w:r>
    </w:p>
    <w:p w14:paraId="4C1FB510" w14:textId="77777777" w:rsidR="0057287E" w:rsidRDefault="0057287E" w:rsidP="00012B97">
      <w:pPr>
        <w:ind w:firstLine="720"/>
        <w:rPr>
          <w:lang w:val="en-GB"/>
        </w:rPr>
      </w:pPr>
    </w:p>
    <w:p w14:paraId="77720778" w14:textId="77298B0B" w:rsidR="00A643BD" w:rsidRDefault="00A124C1" w:rsidP="00320822">
      <w:pPr>
        <w:ind w:firstLine="720"/>
        <w:rPr>
          <w:lang w:val="en-GB"/>
        </w:rPr>
      </w:pPr>
      <w:r>
        <w:rPr>
          <w:lang w:val="en-GB"/>
        </w:rPr>
        <w:t xml:space="preserve">The second feature of twenty-first London that complicates </w:t>
      </w:r>
      <w:r w:rsidR="004C414D">
        <w:rPr>
          <w:lang w:val="en-GB"/>
        </w:rPr>
        <w:t xml:space="preserve">the relationship between </w:t>
      </w:r>
      <w:r w:rsidR="00C40D48">
        <w:rPr>
          <w:lang w:val="en-GB"/>
        </w:rPr>
        <w:t>centre an</w:t>
      </w:r>
      <w:r w:rsidR="005A1B36">
        <w:rPr>
          <w:lang w:val="en-GB"/>
        </w:rPr>
        <w:t xml:space="preserve">d suburb, is that the geography of </w:t>
      </w:r>
      <w:r w:rsidR="00C7430E">
        <w:rPr>
          <w:lang w:val="en-GB"/>
        </w:rPr>
        <w:t>im</w:t>
      </w:r>
      <w:r w:rsidR="005A1B36">
        <w:rPr>
          <w:lang w:val="en-GB"/>
        </w:rPr>
        <w:t xml:space="preserve">migration has become more </w:t>
      </w:r>
      <w:r w:rsidR="00F52777">
        <w:rPr>
          <w:lang w:val="en-GB"/>
        </w:rPr>
        <w:t>complex</w:t>
      </w:r>
      <w:r w:rsidR="005A1B36">
        <w:rPr>
          <w:lang w:val="en-GB"/>
        </w:rPr>
        <w:t xml:space="preserve">. While the Chicago-style pattern of migration to poorer inner-city areas followed by suburbanization may have fitted </w:t>
      </w:r>
      <w:r w:rsidR="00490771">
        <w:rPr>
          <w:lang w:val="en-GB"/>
        </w:rPr>
        <w:t xml:space="preserve">both the Jewish experience and some of the main movements of the post-war period, </w:t>
      </w:r>
      <w:r w:rsidR="008556C7">
        <w:rPr>
          <w:lang w:val="en-GB"/>
        </w:rPr>
        <w:t xml:space="preserve">international </w:t>
      </w:r>
      <w:r w:rsidR="00490771">
        <w:rPr>
          <w:lang w:val="en-GB"/>
        </w:rPr>
        <w:t xml:space="preserve">migration directly into </w:t>
      </w:r>
      <w:r w:rsidR="00171169">
        <w:rPr>
          <w:lang w:val="en-GB"/>
        </w:rPr>
        <w:t xml:space="preserve">outer London areas is </w:t>
      </w:r>
      <w:r w:rsidR="00D82C62">
        <w:rPr>
          <w:lang w:val="en-GB"/>
        </w:rPr>
        <w:t xml:space="preserve">now </w:t>
      </w:r>
      <w:r w:rsidR="00171169">
        <w:rPr>
          <w:lang w:val="en-GB"/>
        </w:rPr>
        <w:t xml:space="preserve">much more common.  This is in part connected to the hyper-capitalisation of central and inner London; relatively affordable places to live in London are much more likely </w:t>
      </w:r>
      <w:r w:rsidR="002F3D6E">
        <w:rPr>
          <w:lang w:val="en-GB"/>
        </w:rPr>
        <w:t>to be found outside its core areas</w:t>
      </w:r>
      <w:r w:rsidR="00F41A30">
        <w:rPr>
          <w:lang w:val="en-GB"/>
        </w:rPr>
        <w:t xml:space="preserve">.  It is striking that while the </w:t>
      </w:r>
      <w:r w:rsidR="001D1953">
        <w:rPr>
          <w:lang w:val="en-GB"/>
        </w:rPr>
        <w:t xml:space="preserve">share </w:t>
      </w:r>
      <w:r w:rsidR="00F41A30">
        <w:rPr>
          <w:lang w:val="en-GB"/>
        </w:rPr>
        <w:t>of the population born outside th</w:t>
      </w:r>
      <w:r w:rsidR="000E2160">
        <w:rPr>
          <w:lang w:val="en-GB"/>
        </w:rPr>
        <w:t xml:space="preserve">e UK increased for all boroughs between the 2001 and 2011 censuses, the rate of growth </w:t>
      </w:r>
      <w:r w:rsidR="00F861A1">
        <w:rPr>
          <w:lang w:val="en-GB"/>
        </w:rPr>
        <w:t xml:space="preserve">in that share </w:t>
      </w:r>
      <w:r w:rsidR="000E2160">
        <w:rPr>
          <w:lang w:val="en-GB"/>
        </w:rPr>
        <w:t xml:space="preserve">was much </w:t>
      </w:r>
      <w:r w:rsidR="00D32313">
        <w:rPr>
          <w:lang w:val="en-GB"/>
        </w:rPr>
        <w:t>higher in outer London</w:t>
      </w:r>
      <w:r w:rsidR="00894A59">
        <w:rPr>
          <w:lang w:val="en-GB"/>
        </w:rPr>
        <w:t>;</w:t>
      </w:r>
      <w:r w:rsidR="00D32313">
        <w:rPr>
          <w:lang w:val="en-GB"/>
        </w:rPr>
        <w:t xml:space="preserve"> </w:t>
      </w:r>
      <w:r w:rsidR="004C6ED9">
        <w:rPr>
          <w:lang w:val="en-GB"/>
        </w:rPr>
        <w:t xml:space="preserve">the sharpest growth was in Barking and Dagenham, followed by </w:t>
      </w:r>
      <w:r w:rsidR="00F861A1">
        <w:rPr>
          <w:lang w:val="en-GB"/>
        </w:rPr>
        <w:t xml:space="preserve">Havering, Bexley, Greenwich, Hillingdon and </w:t>
      </w:r>
      <w:r w:rsidR="00320822">
        <w:rPr>
          <w:lang w:val="en-GB"/>
        </w:rPr>
        <w:t xml:space="preserve">Sutton. By contrast, </w:t>
      </w:r>
      <w:r w:rsidR="00D32313">
        <w:rPr>
          <w:lang w:val="en-GB"/>
        </w:rPr>
        <w:t>Hackney, one of the most significant destinations for post-war migration</w:t>
      </w:r>
      <w:r w:rsidR="00894A59">
        <w:rPr>
          <w:lang w:val="en-GB"/>
        </w:rPr>
        <w:t xml:space="preserve">, but a borough experiencing rapid </w:t>
      </w:r>
      <w:r w:rsidR="00F73A4D">
        <w:rPr>
          <w:lang w:val="en-GB"/>
        </w:rPr>
        <w:t>gentrification</w:t>
      </w:r>
      <w:r w:rsidR="00894A59">
        <w:rPr>
          <w:lang w:val="en-GB"/>
        </w:rPr>
        <w:t xml:space="preserve"> and property inflation, saw the lowest rate of increase</w:t>
      </w:r>
      <w:r w:rsidR="00320822">
        <w:rPr>
          <w:lang w:val="en-GB"/>
        </w:rPr>
        <w:t xml:space="preserve"> in the share of its population born outside the UK</w:t>
      </w:r>
      <w:r w:rsidR="00894A59">
        <w:rPr>
          <w:lang w:val="en-GB"/>
        </w:rPr>
        <w:t>.</w:t>
      </w:r>
      <w:r w:rsidR="00955359">
        <w:rPr>
          <w:rStyle w:val="EndnoteReference"/>
          <w:lang w:val="en-GB"/>
        </w:rPr>
        <w:endnoteReference w:id="8"/>
      </w:r>
      <w:r w:rsidR="00955359">
        <w:rPr>
          <w:lang w:val="en-GB"/>
        </w:rPr>
        <w:t xml:space="preserve"> </w:t>
      </w:r>
      <w:r w:rsidR="00644AF7">
        <w:rPr>
          <w:lang w:val="en-GB"/>
        </w:rPr>
        <w:t xml:space="preserve"> </w:t>
      </w:r>
    </w:p>
    <w:p w14:paraId="6C956C92" w14:textId="77777777" w:rsidR="00A643BD" w:rsidRDefault="00A643BD" w:rsidP="008C4C8E">
      <w:pPr>
        <w:ind w:firstLine="720"/>
        <w:rPr>
          <w:lang w:val="en-GB"/>
        </w:rPr>
      </w:pPr>
    </w:p>
    <w:p w14:paraId="3B72FF1F" w14:textId="5AA70F79" w:rsidR="00051297" w:rsidRDefault="00824F25" w:rsidP="008C4C8E">
      <w:pPr>
        <w:ind w:firstLine="720"/>
      </w:pPr>
      <w:r>
        <w:rPr>
          <w:lang w:val="en-GB"/>
        </w:rPr>
        <w:t>There is also a</w:t>
      </w:r>
      <w:r w:rsidR="00644AF7">
        <w:rPr>
          <w:lang w:val="en-GB"/>
        </w:rPr>
        <w:t xml:space="preserve"> reinforc</w:t>
      </w:r>
      <w:r>
        <w:rPr>
          <w:lang w:val="en-GB"/>
        </w:rPr>
        <w:t xml:space="preserve">ing effect from </w:t>
      </w:r>
      <w:r w:rsidR="00F73A4D">
        <w:rPr>
          <w:lang w:val="en-GB"/>
        </w:rPr>
        <w:t xml:space="preserve">the </w:t>
      </w:r>
      <w:r>
        <w:rPr>
          <w:lang w:val="en-GB"/>
        </w:rPr>
        <w:t xml:space="preserve">growing diversity of outer London.  </w:t>
      </w:r>
      <w:r w:rsidR="0078048A">
        <w:rPr>
          <w:lang w:val="en-GB"/>
        </w:rPr>
        <w:t xml:space="preserve">Family </w:t>
      </w:r>
      <w:r w:rsidR="00DF2B21">
        <w:rPr>
          <w:lang w:val="en-GB"/>
        </w:rPr>
        <w:t>re</w:t>
      </w:r>
      <w:r w:rsidR="0078048A">
        <w:rPr>
          <w:lang w:val="en-GB"/>
        </w:rPr>
        <w:t>unification migration follows this geography, but there is also</w:t>
      </w:r>
      <w:r w:rsidR="0009048C">
        <w:rPr>
          <w:lang w:val="en-GB"/>
        </w:rPr>
        <w:t xml:space="preserve"> an increasing concentration of</w:t>
      </w:r>
      <w:r w:rsidR="00906067">
        <w:rPr>
          <w:lang w:val="en-GB"/>
        </w:rPr>
        <w:t xml:space="preserve"> gateway institutions that support new migrants in suburbia, </w:t>
      </w:r>
      <w:r w:rsidR="004B3150">
        <w:rPr>
          <w:lang w:val="en-GB"/>
        </w:rPr>
        <w:t xml:space="preserve">including </w:t>
      </w:r>
      <w:r w:rsidR="00906067">
        <w:rPr>
          <w:lang w:val="en-GB"/>
        </w:rPr>
        <w:t xml:space="preserve">particularly mosques, temples, churches and gurdwaras. The sociologist </w:t>
      </w:r>
      <w:r w:rsidR="007B1781">
        <w:rPr>
          <w:lang w:val="en-GB"/>
        </w:rPr>
        <w:t xml:space="preserve">Wei </w:t>
      </w:r>
      <w:r w:rsidR="0057221E">
        <w:rPr>
          <w:lang w:val="en-GB"/>
        </w:rPr>
        <w:t xml:space="preserve">Li </w:t>
      </w:r>
      <w:r w:rsidR="007B1781">
        <w:rPr>
          <w:lang w:val="en-GB"/>
        </w:rPr>
        <w:t xml:space="preserve">has written of the development of ‘ethnoburbs’ in the </w:t>
      </w:r>
      <w:r w:rsidR="0057221E">
        <w:rPr>
          <w:lang w:val="en-GB"/>
        </w:rPr>
        <w:t>USA and Canada</w:t>
      </w:r>
      <w:r w:rsidR="00FF1975">
        <w:rPr>
          <w:lang w:val="en-GB"/>
        </w:rPr>
        <w:t>.</w:t>
      </w:r>
      <w:r w:rsidR="00955359">
        <w:rPr>
          <w:rStyle w:val="EndnoteReference"/>
          <w:lang w:val="en-GB"/>
        </w:rPr>
        <w:endnoteReference w:id="9"/>
      </w:r>
      <w:r w:rsidR="0057221E">
        <w:rPr>
          <w:lang w:val="en-GB"/>
        </w:rPr>
        <w:t xml:space="preserve"> </w:t>
      </w:r>
      <w:r w:rsidR="00FF1975">
        <w:rPr>
          <w:lang w:val="en-GB"/>
        </w:rPr>
        <w:t>W</w:t>
      </w:r>
      <w:r w:rsidR="0057221E">
        <w:rPr>
          <w:lang w:val="en-GB"/>
        </w:rPr>
        <w:t>hile London’s suburbs do not have</w:t>
      </w:r>
      <w:r w:rsidR="00FF1975">
        <w:rPr>
          <w:lang w:val="en-GB"/>
        </w:rPr>
        <w:t xml:space="preserve"> all the features </w:t>
      </w:r>
      <w:r w:rsidR="00375736">
        <w:rPr>
          <w:lang w:val="en-GB"/>
        </w:rPr>
        <w:t>s</w:t>
      </w:r>
      <w:r w:rsidR="00FF1975">
        <w:rPr>
          <w:lang w:val="en-GB"/>
        </w:rPr>
        <w:t>he identifies, they are increasingly plugged into transnational networks through digital communication and transport networks.  For many people in outer London,</w:t>
      </w:r>
      <w:r w:rsidR="00A643BD">
        <w:rPr>
          <w:lang w:val="en-GB"/>
        </w:rPr>
        <w:t xml:space="preserve"> family, business, social and religious networks connect their suburban locations directly wi</w:t>
      </w:r>
      <w:r w:rsidR="00EA60E0">
        <w:rPr>
          <w:lang w:val="en-GB"/>
        </w:rPr>
        <w:t xml:space="preserve">th distant places. </w:t>
      </w:r>
      <w:r w:rsidR="00FF1975">
        <w:rPr>
          <w:lang w:val="en-GB"/>
        </w:rPr>
        <w:t xml:space="preserve"> </w:t>
      </w:r>
    </w:p>
    <w:p w14:paraId="45B21942" w14:textId="77777777" w:rsidR="00051297" w:rsidRDefault="00051297" w:rsidP="008C4C8E">
      <w:pPr>
        <w:ind w:firstLine="720"/>
      </w:pPr>
    </w:p>
    <w:p w14:paraId="5C7FE060" w14:textId="77777777" w:rsidR="00EA60E0" w:rsidRDefault="00EA60E0" w:rsidP="008C4C8E">
      <w:pPr>
        <w:ind w:firstLine="720"/>
      </w:pPr>
    </w:p>
    <w:p w14:paraId="30CFB631" w14:textId="77777777" w:rsidR="00EA60E0" w:rsidRDefault="00EA60E0" w:rsidP="00EA60E0">
      <w:pPr>
        <w:rPr>
          <w:b/>
        </w:rPr>
      </w:pPr>
      <w:r>
        <w:rPr>
          <w:b/>
        </w:rPr>
        <w:t>Suburbia and the changing political geographies of faith</w:t>
      </w:r>
    </w:p>
    <w:p w14:paraId="2B8D3E2F" w14:textId="77777777" w:rsidR="00051297" w:rsidRDefault="00051297" w:rsidP="00EA60E0"/>
    <w:p w14:paraId="64975662" w14:textId="658C544D" w:rsidR="00FB3E80" w:rsidRDefault="0063159A" w:rsidP="00396B57">
      <w:pPr>
        <w:ind w:firstLine="720"/>
      </w:pPr>
      <w:r>
        <w:t xml:space="preserve">Religion is a perhaps surprising element </w:t>
      </w:r>
      <w:r w:rsidR="00D24FB7">
        <w:t>of this new suburban diversity</w:t>
      </w:r>
      <w:r w:rsidR="001614E9">
        <w:t>, as</w:t>
      </w:r>
      <w:r w:rsidR="00D24FB7">
        <w:t xml:space="preserve"> </w:t>
      </w:r>
      <w:r w:rsidR="001614E9">
        <w:t>s</w:t>
      </w:r>
      <w:r w:rsidR="00D24FB7">
        <w:t xml:space="preserve">uburbanization has often been connected to secularization. The suburban growth of London before the First </w:t>
      </w:r>
      <w:r w:rsidR="00BD4156">
        <w:t xml:space="preserve">World </w:t>
      </w:r>
      <w:r w:rsidR="00D24FB7">
        <w:t>W</w:t>
      </w:r>
      <w:r w:rsidR="00BD4156">
        <w:t xml:space="preserve">ar and in the </w:t>
      </w:r>
      <w:r w:rsidR="002E0900">
        <w:t xml:space="preserve">inter-war period, was seen by the established churches as a threat to religious life.  Suburbanization was supposedly associated with turn to materialism and a loss of associational culture.  If the great challenge for organized religion in the nineteenth century was the dislocation and supposed </w:t>
      </w:r>
      <w:proofErr w:type="spellStart"/>
      <w:r w:rsidR="002E0900">
        <w:t>demoralisation</w:t>
      </w:r>
      <w:proofErr w:type="spellEnd"/>
      <w:r w:rsidR="002E0900">
        <w:t xml:space="preserve"> associated with </w:t>
      </w:r>
      <w:r w:rsidR="002E0900">
        <w:lastRenderedPageBreak/>
        <w:t xml:space="preserve">industrialization and urbanization, in the early twentieth century </w:t>
      </w:r>
      <w:r w:rsidR="00216C0D">
        <w:t xml:space="preserve">the geographical focus of concern broadened to include the spiritual welfare of the new suburbanites. In the Edwardian period, there were panics </w:t>
      </w:r>
      <w:r w:rsidR="00DF4271">
        <w:t>that gardening, tennis and golf were eroding the suburban Sunday</w:t>
      </w:r>
      <w:r w:rsidR="00E0414C">
        <w:t xml:space="preserve">. </w:t>
      </w:r>
      <w:r w:rsidR="00DF4271">
        <w:t xml:space="preserve"> </w:t>
      </w:r>
      <w:r w:rsidR="00E0414C">
        <w:t>A</w:t>
      </w:r>
      <w:r w:rsidR="00DF4271">
        <w:t xml:space="preserve">fter the First World War </w:t>
      </w:r>
      <w:r w:rsidR="000C3944">
        <w:t xml:space="preserve">Church of England initiatives </w:t>
      </w:r>
      <w:r w:rsidR="00DF4271">
        <w:t xml:space="preserve">such as the </w:t>
      </w:r>
      <w:r w:rsidR="00825AB6">
        <w:t>London Diocese ‘Forty-Five Churches Fund’</w:t>
      </w:r>
      <w:r w:rsidR="00DF4271">
        <w:t xml:space="preserve"> and the </w:t>
      </w:r>
      <w:r w:rsidR="000C3944">
        <w:t xml:space="preserve">‘Twenty-five Churches’ campaign by the Southwark </w:t>
      </w:r>
      <w:r w:rsidR="00825AB6">
        <w:t>D</w:t>
      </w:r>
      <w:r w:rsidR="000C3944">
        <w:t>iocese</w:t>
      </w:r>
      <w:r w:rsidR="00DF4271">
        <w:t xml:space="preserve"> attempted to build new churches and establish new parishes across semi-detached Londo</w:t>
      </w:r>
      <w:r w:rsidR="00825AB6">
        <w:t xml:space="preserve">n.  After the Second World War, while there was significant church building in outer London, particularly by the Roman Catholic Church, </w:t>
      </w:r>
      <w:r w:rsidR="00253546">
        <w:t>the decline in regular church attendance steepened</w:t>
      </w:r>
      <w:r w:rsidR="00396B57">
        <w:t>. The</w:t>
      </w:r>
      <w:r w:rsidR="00253546">
        <w:t xml:space="preserve"> materialism and social privatization of suburbia was regarded as one component of the loss of religious belief and observance.</w:t>
      </w:r>
    </w:p>
    <w:p w14:paraId="1CD9C81E" w14:textId="77777777" w:rsidR="00253546" w:rsidRDefault="00253546" w:rsidP="008C4C8E">
      <w:pPr>
        <w:ind w:firstLine="720"/>
      </w:pPr>
    </w:p>
    <w:p w14:paraId="27D94A9D" w14:textId="418D3530" w:rsidR="00F30461" w:rsidRDefault="00253546" w:rsidP="001614E9">
      <w:pPr>
        <w:ind w:firstLine="720"/>
        <w:rPr>
          <w:lang w:val="en-GB"/>
        </w:rPr>
      </w:pPr>
      <w:r>
        <w:t xml:space="preserve">However, the religious geography of London in the twenty-first century </w:t>
      </w:r>
      <w:r w:rsidR="00AF1FBE">
        <w:t>does not fit with the more general pattern</w:t>
      </w:r>
      <w:r>
        <w:t xml:space="preserve"> of long-term decline in </w:t>
      </w:r>
      <w:proofErr w:type="spellStart"/>
      <w:r>
        <w:t>organised</w:t>
      </w:r>
      <w:proofErr w:type="spellEnd"/>
      <w:r>
        <w:t xml:space="preserve"> religion. </w:t>
      </w:r>
      <w:r w:rsidR="00F30461">
        <w:t xml:space="preserve"> </w:t>
      </w:r>
      <w:r w:rsidR="00195CEB">
        <w:t xml:space="preserve">Religion is just one aspect of the way that London’s culture and politics is becoming more distinctive, and less like other parts of England; this is not just a feature of inner London, but part of the way that outer London is also changing.  </w:t>
      </w:r>
      <w:r w:rsidR="00396B57">
        <w:t xml:space="preserve">The picture in Britain as a whole indicates a long-term shift </w:t>
      </w:r>
      <w:r w:rsidR="00FB6F68">
        <w:t xml:space="preserve">away from </w:t>
      </w:r>
      <w:r w:rsidR="00396B57">
        <w:t xml:space="preserve"> </w:t>
      </w:r>
      <w:r w:rsidR="00FB6F68">
        <w:t xml:space="preserve">organized religion, and particularly mainstream Christianity; </w:t>
      </w:r>
      <w:r w:rsidR="001614E9">
        <w:t>regular</w:t>
      </w:r>
      <w:r w:rsidR="00F70AED" w:rsidRPr="00F70AED">
        <w:t xml:space="preserve"> Sunday attendance has declined in the Anglican Church (an estimated decline in England of 14% between 2000 and 2010), the Roman Catholic Church (-16%) and the Methodist Church (-39%)</w:t>
      </w:r>
      <w:r w:rsidR="00F70AED">
        <w:t>.</w:t>
      </w:r>
      <w:r w:rsidR="002A2A2D">
        <w:rPr>
          <w:rStyle w:val="EndnoteReference"/>
        </w:rPr>
        <w:endnoteReference w:id="10"/>
      </w:r>
      <w:r w:rsidR="002A2A2D">
        <w:t xml:space="preserve"> How</w:t>
      </w:r>
      <w:r w:rsidR="004C3075">
        <w:t xml:space="preserve">ever, </w:t>
      </w:r>
      <w:r w:rsidR="004C3075" w:rsidRPr="004C3075">
        <w:rPr>
          <w:lang w:val="en-GB"/>
        </w:rPr>
        <w:t>the steady decline in Christian worship has been slowed significantly by recent migration, particularly Catholics from Poland, Orthodox</w:t>
      </w:r>
      <w:r w:rsidR="004C3075">
        <w:rPr>
          <w:lang w:val="en-GB"/>
        </w:rPr>
        <w:t xml:space="preserve"> Christians</w:t>
      </w:r>
      <w:r w:rsidR="004C3075" w:rsidRPr="004C3075">
        <w:rPr>
          <w:lang w:val="en-GB"/>
        </w:rPr>
        <w:t xml:space="preserve"> from Romania, and Pentecostal</w:t>
      </w:r>
      <w:r w:rsidR="004C3075">
        <w:rPr>
          <w:lang w:val="en-GB"/>
        </w:rPr>
        <w:t xml:space="preserve"> Christians</w:t>
      </w:r>
      <w:r w:rsidR="004C3075" w:rsidRPr="004C3075">
        <w:rPr>
          <w:lang w:val="en-GB"/>
        </w:rPr>
        <w:t xml:space="preserve"> from West Africa. </w:t>
      </w:r>
      <w:r w:rsidR="004C3075">
        <w:rPr>
          <w:lang w:val="en-GB"/>
        </w:rPr>
        <w:t xml:space="preserve"> Outer London</w:t>
      </w:r>
      <w:r w:rsidR="00F9743B">
        <w:rPr>
          <w:lang w:val="en-GB"/>
        </w:rPr>
        <w:t xml:space="preserve"> has been one of the main destinations for these migration flows, and new churches have been important </w:t>
      </w:r>
      <w:r w:rsidR="0009048C">
        <w:rPr>
          <w:lang w:val="en-GB"/>
        </w:rPr>
        <w:t xml:space="preserve">gateway </w:t>
      </w:r>
      <w:r w:rsidR="00C058B9">
        <w:rPr>
          <w:lang w:val="en-GB"/>
        </w:rPr>
        <w:t xml:space="preserve">institutions for recent migrants. </w:t>
      </w:r>
      <w:r w:rsidR="00F9743B">
        <w:rPr>
          <w:lang w:val="en-GB"/>
        </w:rPr>
        <w:t xml:space="preserve"> </w:t>
      </w:r>
      <w:r w:rsidR="0009048C">
        <w:rPr>
          <w:lang w:val="en-GB"/>
        </w:rPr>
        <w:t xml:space="preserve">This has been complemented by the growth of distinctive elements of Christianity; </w:t>
      </w:r>
      <w:r w:rsidR="004762E6">
        <w:rPr>
          <w:lang w:val="en-GB"/>
        </w:rPr>
        <w:t xml:space="preserve">for example, the evangelical wing of Anglicanism has been particularly successful in </w:t>
      </w:r>
      <w:r w:rsidR="0009048C">
        <w:rPr>
          <w:lang w:val="en-GB"/>
        </w:rPr>
        <w:t xml:space="preserve">suburban London </w:t>
      </w:r>
      <w:r w:rsidR="00BB409E">
        <w:rPr>
          <w:lang w:val="en-GB"/>
        </w:rPr>
        <w:t xml:space="preserve">and the Home Counties </w:t>
      </w:r>
      <w:r w:rsidR="004762E6">
        <w:rPr>
          <w:lang w:val="en-GB"/>
        </w:rPr>
        <w:t xml:space="preserve">where some of its </w:t>
      </w:r>
      <w:r w:rsidR="00626EE6">
        <w:rPr>
          <w:lang w:val="en-GB"/>
        </w:rPr>
        <w:t xml:space="preserve">biggest and most successful </w:t>
      </w:r>
      <w:r w:rsidR="004762E6">
        <w:rPr>
          <w:lang w:val="en-GB"/>
        </w:rPr>
        <w:t xml:space="preserve">churches and networks are to be found. </w:t>
      </w:r>
    </w:p>
    <w:p w14:paraId="2771BDDD" w14:textId="77777777" w:rsidR="0009048C" w:rsidRDefault="0009048C" w:rsidP="008C4C8E">
      <w:pPr>
        <w:ind w:firstLine="720"/>
        <w:rPr>
          <w:lang w:val="en-GB"/>
        </w:rPr>
      </w:pPr>
    </w:p>
    <w:p w14:paraId="30EA57DE" w14:textId="2DE574FE" w:rsidR="00A435DA" w:rsidRDefault="00D54F46" w:rsidP="008C4C8E">
      <w:pPr>
        <w:ind w:firstLine="720"/>
        <w:rPr>
          <w:lang w:val="en-GB"/>
        </w:rPr>
      </w:pPr>
      <w:r>
        <w:rPr>
          <w:lang w:val="en-GB"/>
        </w:rPr>
        <w:t>At the same time, non-Christian worship is a</w:t>
      </w:r>
      <w:r w:rsidR="001614E9">
        <w:rPr>
          <w:lang w:val="en-GB"/>
        </w:rPr>
        <w:t>n important</w:t>
      </w:r>
      <w:r>
        <w:rPr>
          <w:lang w:val="en-GB"/>
        </w:rPr>
        <w:t xml:space="preserve"> feature of many parts of outer London.  </w:t>
      </w:r>
      <w:r w:rsidR="00A0404F">
        <w:rPr>
          <w:lang w:val="en-GB"/>
        </w:rPr>
        <w:t xml:space="preserve">Newham, Harrow, Brent, Redbridge and then Slough </w:t>
      </w:r>
      <w:r w:rsidR="005A0D7A">
        <w:rPr>
          <w:lang w:val="en-GB"/>
        </w:rPr>
        <w:t>we</w:t>
      </w:r>
      <w:r w:rsidR="00A0404F">
        <w:rPr>
          <w:lang w:val="en-GB"/>
        </w:rPr>
        <w:t>re the five UK local authorit</w:t>
      </w:r>
      <w:r w:rsidR="005A0D7A">
        <w:rPr>
          <w:lang w:val="en-GB"/>
        </w:rPr>
        <w:t>ies</w:t>
      </w:r>
      <w:r w:rsidR="003B3A77">
        <w:rPr>
          <w:lang w:val="en-GB"/>
        </w:rPr>
        <w:t xml:space="preserve"> with the lowest rates </w:t>
      </w:r>
      <w:r w:rsidR="008556C7">
        <w:rPr>
          <w:lang w:val="en-GB"/>
        </w:rPr>
        <w:t xml:space="preserve">of </w:t>
      </w:r>
      <w:r w:rsidR="003B3A77">
        <w:rPr>
          <w:lang w:val="en-GB"/>
        </w:rPr>
        <w:t>self-identification as having ‘no</w:t>
      </w:r>
      <w:r w:rsidR="005A0D7A">
        <w:rPr>
          <w:lang w:val="en-GB"/>
        </w:rPr>
        <w:t xml:space="preserve"> reli</w:t>
      </w:r>
      <w:r w:rsidR="0074218D">
        <w:rPr>
          <w:lang w:val="en-GB"/>
        </w:rPr>
        <w:t>gion’ in the 2011 census. Nearly a third of Newham’s population is Muslim, while a quarter of Harrow’s population i</w:t>
      </w:r>
      <w:r w:rsidR="008556C7">
        <w:rPr>
          <w:lang w:val="en-GB"/>
        </w:rPr>
        <w:t>s</w:t>
      </w:r>
      <w:r w:rsidR="0074218D">
        <w:rPr>
          <w:lang w:val="en-GB"/>
        </w:rPr>
        <w:t xml:space="preserve"> Hind</w:t>
      </w:r>
      <w:r w:rsidR="00B052E1">
        <w:rPr>
          <w:lang w:val="en-GB"/>
        </w:rPr>
        <w:t>u.  Other lesser well-know</w:t>
      </w:r>
      <w:r w:rsidR="00396BE9">
        <w:rPr>
          <w:lang w:val="en-GB"/>
        </w:rPr>
        <w:t>n</w:t>
      </w:r>
      <w:r w:rsidR="00B052E1">
        <w:rPr>
          <w:lang w:val="en-GB"/>
        </w:rPr>
        <w:t xml:space="preserve"> religious groups have also made a home in </w:t>
      </w:r>
      <w:r w:rsidR="00923C37">
        <w:rPr>
          <w:lang w:val="en-GB"/>
        </w:rPr>
        <w:t>o</w:t>
      </w:r>
      <w:r w:rsidR="00B052E1">
        <w:rPr>
          <w:lang w:val="en-GB"/>
        </w:rPr>
        <w:t>uter London; Britain’s largest Jain temple is just north of the</w:t>
      </w:r>
      <w:r w:rsidR="00A54AF1">
        <w:rPr>
          <w:lang w:val="en-GB"/>
        </w:rPr>
        <w:t xml:space="preserve"> M25, just outside Potter’s Bar. </w:t>
      </w:r>
      <w:r w:rsidR="00396BE9">
        <w:rPr>
          <w:lang w:val="en-GB"/>
        </w:rPr>
        <w:t xml:space="preserve"> </w:t>
      </w:r>
      <w:r w:rsidR="00224CF4">
        <w:rPr>
          <w:lang w:val="en-GB"/>
        </w:rPr>
        <w:t xml:space="preserve">Irrespective of </w:t>
      </w:r>
      <w:r w:rsidR="009245DC">
        <w:rPr>
          <w:lang w:val="en-GB"/>
        </w:rPr>
        <w:t xml:space="preserve">future </w:t>
      </w:r>
      <w:r w:rsidR="00224CF4">
        <w:rPr>
          <w:lang w:val="en-GB"/>
        </w:rPr>
        <w:t xml:space="preserve">changes </w:t>
      </w:r>
      <w:r w:rsidR="009245DC">
        <w:rPr>
          <w:lang w:val="en-GB"/>
        </w:rPr>
        <w:t xml:space="preserve">and patterns </w:t>
      </w:r>
      <w:r w:rsidR="00224CF4">
        <w:rPr>
          <w:lang w:val="en-GB"/>
        </w:rPr>
        <w:t xml:space="preserve">in </w:t>
      </w:r>
      <w:r w:rsidR="00923C37">
        <w:rPr>
          <w:lang w:val="en-GB"/>
        </w:rPr>
        <w:t xml:space="preserve">post-Brexit </w:t>
      </w:r>
      <w:r w:rsidR="00224CF4">
        <w:rPr>
          <w:lang w:val="en-GB"/>
        </w:rPr>
        <w:t xml:space="preserve">immigration policy (which might potentially </w:t>
      </w:r>
      <w:r w:rsidR="009245DC">
        <w:rPr>
          <w:lang w:val="en-GB"/>
        </w:rPr>
        <w:t>a</w:t>
      </w:r>
      <w:r w:rsidR="00224CF4">
        <w:rPr>
          <w:lang w:val="en-GB"/>
        </w:rPr>
        <w:t>ffect the growth of Christian worship associated with</w:t>
      </w:r>
      <w:r w:rsidR="009245DC">
        <w:rPr>
          <w:lang w:val="en-GB"/>
        </w:rPr>
        <w:t xml:space="preserve"> migration from eastern Europe), the </w:t>
      </w:r>
      <w:r w:rsidR="008B4C6A">
        <w:rPr>
          <w:lang w:val="en-GB"/>
        </w:rPr>
        <w:t>increasing</w:t>
      </w:r>
      <w:r w:rsidR="009245DC">
        <w:rPr>
          <w:lang w:val="en-GB"/>
        </w:rPr>
        <w:t xml:space="preserve"> significance of non-Christian religious identity is effec</w:t>
      </w:r>
      <w:r w:rsidR="00765BAA">
        <w:rPr>
          <w:lang w:val="en-GB"/>
        </w:rPr>
        <w:t>tively locked in</w:t>
      </w:r>
      <w:r w:rsidR="008556C7">
        <w:rPr>
          <w:lang w:val="en-GB"/>
        </w:rPr>
        <w:t>,</w:t>
      </w:r>
      <w:r w:rsidR="00A435DA">
        <w:rPr>
          <w:lang w:val="en-GB"/>
        </w:rPr>
        <w:t xml:space="preserve"> as t</w:t>
      </w:r>
      <w:r w:rsidR="00923C37">
        <w:rPr>
          <w:lang w:val="en-GB"/>
        </w:rPr>
        <w:t xml:space="preserve">here is a markedly </w:t>
      </w:r>
      <w:r w:rsidR="00A435DA">
        <w:rPr>
          <w:lang w:val="en-GB"/>
        </w:rPr>
        <w:t>younger</w:t>
      </w:r>
      <w:r w:rsidR="00923C37">
        <w:rPr>
          <w:lang w:val="en-GB"/>
        </w:rPr>
        <w:t xml:space="preserve"> </w:t>
      </w:r>
      <w:r w:rsidR="008B4C6A">
        <w:rPr>
          <w:lang w:val="en-GB"/>
        </w:rPr>
        <w:t>demographic pro</w:t>
      </w:r>
      <w:r w:rsidR="00A435DA">
        <w:rPr>
          <w:lang w:val="en-GB"/>
        </w:rPr>
        <w:t xml:space="preserve">file to most of these populations.  </w:t>
      </w:r>
    </w:p>
    <w:p w14:paraId="2676C31E" w14:textId="77777777" w:rsidR="00A435DA" w:rsidRDefault="00A435DA" w:rsidP="008C4C8E">
      <w:pPr>
        <w:ind w:firstLine="720"/>
        <w:rPr>
          <w:lang w:val="en-GB"/>
        </w:rPr>
      </w:pPr>
    </w:p>
    <w:p w14:paraId="5CFF967F" w14:textId="7AB8C804" w:rsidR="00212F4A" w:rsidRDefault="00A435DA" w:rsidP="00D736C1">
      <w:pPr>
        <w:ind w:firstLine="720"/>
      </w:pPr>
      <w:r>
        <w:rPr>
          <w:lang w:val="en-GB"/>
        </w:rPr>
        <w:t xml:space="preserve">The implications for the politics of outer London are complex.  </w:t>
      </w:r>
      <w:r w:rsidR="007676F1">
        <w:rPr>
          <w:lang w:val="en-GB"/>
        </w:rPr>
        <w:t xml:space="preserve">The </w:t>
      </w:r>
      <w:r w:rsidR="00F33237">
        <w:rPr>
          <w:lang w:val="en-GB"/>
        </w:rPr>
        <w:t xml:space="preserve">national </w:t>
      </w:r>
      <w:r w:rsidR="007676F1">
        <w:rPr>
          <w:lang w:val="en-GB"/>
        </w:rPr>
        <w:t xml:space="preserve">focus on fears of Islamic radicalisation and the </w:t>
      </w:r>
      <w:r w:rsidR="003D2D4E">
        <w:rPr>
          <w:lang w:val="en-GB"/>
        </w:rPr>
        <w:t>emergence</w:t>
      </w:r>
      <w:r w:rsidR="007676F1">
        <w:rPr>
          <w:lang w:val="en-GB"/>
        </w:rPr>
        <w:t xml:space="preserve"> of UKIP</w:t>
      </w:r>
      <w:r w:rsidR="00886543">
        <w:rPr>
          <w:lang w:val="en-GB"/>
        </w:rPr>
        <w:t xml:space="preserve"> and more extremist nationalist and racist politics, can be read </w:t>
      </w:r>
      <w:r w:rsidR="006C397C">
        <w:rPr>
          <w:lang w:val="en-GB"/>
        </w:rPr>
        <w:t>o</w:t>
      </w:r>
      <w:r w:rsidR="00886543">
        <w:rPr>
          <w:lang w:val="en-GB"/>
        </w:rPr>
        <w:t>nto the patchwork geographies of parts of outer London to suggest</w:t>
      </w:r>
      <w:r w:rsidR="00702E70">
        <w:rPr>
          <w:lang w:val="en-GB"/>
        </w:rPr>
        <w:t xml:space="preserve"> the potential </w:t>
      </w:r>
      <w:r w:rsidR="003D2D4E">
        <w:rPr>
          <w:lang w:val="en-GB"/>
        </w:rPr>
        <w:t>development</w:t>
      </w:r>
      <w:r w:rsidR="00702E70">
        <w:rPr>
          <w:lang w:val="en-GB"/>
        </w:rPr>
        <w:t xml:space="preserve"> of</w:t>
      </w:r>
      <w:r w:rsidR="00886543">
        <w:rPr>
          <w:lang w:val="en-GB"/>
        </w:rPr>
        <w:t xml:space="preserve"> </w:t>
      </w:r>
      <w:r w:rsidR="00A22578">
        <w:rPr>
          <w:lang w:val="en-GB"/>
        </w:rPr>
        <w:lastRenderedPageBreak/>
        <w:t xml:space="preserve">new intensely local and conflict-bound patterns of suburban politics.  </w:t>
      </w:r>
      <w:r w:rsidR="00434F50">
        <w:rPr>
          <w:lang w:val="en-GB"/>
        </w:rPr>
        <w:t xml:space="preserve">While outer London </w:t>
      </w:r>
      <w:r w:rsidR="00F63D6D">
        <w:rPr>
          <w:lang w:val="en-GB"/>
        </w:rPr>
        <w:t>is</w:t>
      </w:r>
      <w:r w:rsidR="00434F50">
        <w:rPr>
          <w:lang w:val="en-GB"/>
        </w:rPr>
        <w:t xml:space="preserve"> unlikely to see the kinds of violen</w:t>
      </w:r>
      <w:r w:rsidR="002E042E">
        <w:rPr>
          <w:lang w:val="en-GB"/>
        </w:rPr>
        <w:t xml:space="preserve">ce </w:t>
      </w:r>
      <w:r w:rsidR="00434F50">
        <w:rPr>
          <w:lang w:val="en-GB"/>
        </w:rPr>
        <w:t>associated with the Parisi</w:t>
      </w:r>
      <w:r w:rsidR="002E042E">
        <w:rPr>
          <w:lang w:val="en-GB"/>
        </w:rPr>
        <w:t>an banlieues</w:t>
      </w:r>
      <w:r w:rsidR="00F63D6D">
        <w:rPr>
          <w:lang w:val="en-GB"/>
        </w:rPr>
        <w:t>, in some p</w:t>
      </w:r>
      <w:r w:rsidR="00F229B7">
        <w:rPr>
          <w:lang w:val="en-GB"/>
        </w:rPr>
        <w:t>lace</w:t>
      </w:r>
      <w:r w:rsidR="00F63D6D">
        <w:rPr>
          <w:lang w:val="en-GB"/>
        </w:rPr>
        <w:t>s there are clear moves towards strongly polarized local geographies</w:t>
      </w:r>
      <w:r w:rsidR="00D736C1">
        <w:rPr>
          <w:lang w:val="en-GB"/>
        </w:rPr>
        <w:t xml:space="preserve">. </w:t>
      </w:r>
      <w:r w:rsidR="00702E70">
        <w:rPr>
          <w:lang w:val="en-GB"/>
        </w:rPr>
        <w:t xml:space="preserve"> </w:t>
      </w:r>
      <w:r w:rsidR="002E042E">
        <w:rPr>
          <w:lang w:val="en-GB"/>
        </w:rPr>
        <w:t xml:space="preserve"> </w:t>
      </w:r>
      <w:r w:rsidR="00D736C1">
        <w:rPr>
          <w:lang w:val="en-GB"/>
        </w:rPr>
        <w:t>In the past s</w:t>
      </w:r>
      <w:r w:rsidR="00296F4C">
        <w:rPr>
          <w:lang w:val="en-GB"/>
        </w:rPr>
        <w:t xml:space="preserve">uch </w:t>
      </w:r>
      <w:r w:rsidR="00D736C1">
        <w:rPr>
          <w:lang w:val="en-GB"/>
        </w:rPr>
        <w:t>tensions</w:t>
      </w:r>
      <w:r w:rsidR="00296F4C">
        <w:rPr>
          <w:lang w:val="en-GB"/>
        </w:rPr>
        <w:t xml:space="preserve"> </w:t>
      </w:r>
      <w:r w:rsidR="00D736C1">
        <w:rPr>
          <w:lang w:val="en-GB"/>
        </w:rPr>
        <w:t>have</w:t>
      </w:r>
      <w:r w:rsidR="00296F4C">
        <w:rPr>
          <w:lang w:val="en-GB"/>
        </w:rPr>
        <w:t xml:space="preserve"> </w:t>
      </w:r>
      <w:r w:rsidR="00641DA2">
        <w:rPr>
          <w:lang w:val="en-GB"/>
        </w:rPr>
        <w:t xml:space="preserve">drawn upon the cultural associations of suburbia with leafy Englishness, </w:t>
      </w:r>
      <w:r w:rsidR="00D736C1">
        <w:rPr>
          <w:lang w:val="en-GB"/>
        </w:rPr>
        <w:t xml:space="preserve">particularly </w:t>
      </w:r>
      <w:r w:rsidR="00641DA2">
        <w:rPr>
          <w:lang w:val="en-GB"/>
        </w:rPr>
        <w:t xml:space="preserve">as a way of mobilizing opposition to the developments of new </w:t>
      </w:r>
      <w:r w:rsidR="002119BC">
        <w:rPr>
          <w:lang w:val="en-GB"/>
        </w:rPr>
        <w:t>mosques</w:t>
      </w:r>
      <w:r w:rsidR="00641DA2">
        <w:rPr>
          <w:lang w:val="en-GB"/>
        </w:rPr>
        <w:t xml:space="preserve">.  In the early 1990s, </w:t>
      </w:r>
      <w:r w:rsidR="0079666A">
        <w:rPr>
          <w:lang w:val="en-GB"/>
        </w:rPr>
        <w:t>a</w:t>
      </w:r>
      <w:r w:rsidR="00641DA2">
        <w:rPr>
          <w:lang w:val="en-GB"/>
        </w:rPr>
        <w:t xml:space="preserve"> local campaign </w:t>
      </w:r>
      <w:r w:rsidR="00146589">
        <w:rPr>
          <w:lang w:val="en-GB"/>
        </w:rPr>
        <w:t xml:space="preserve">against the building of the </w:t>
      </w:r>
      <w:proofErr w:type="spellStart"/>
      <w:r w:rsidR="00146589" w:rsidRPr="00641DA2">
        <w:t>Dahwoo</w:t>
      </w:r>
      <w:r w:rsidR="00146589">
        <w:t>di</w:t>
      </w:r>
      <w:proofErr w:type="spellEnd"/>
      <w:r w:rsidR="00146589">
        <w:t xml:space="preserve"> Bohra mosque in Northolt, </w:t>
      </w:r>
      <w:r w:rsidR="0079666A">
        <w:t>drew upon the imagery of ‘an alien development’ in a</w:t>
      </w:r>
      <w:r w:rsidR="001B7A61">
        <w:t xml:space="preserve"> what was rather ambitiously described as an</w:t>
      </w:r>
      <w:r w:rsidR="00661102">
        <w:t xml:space="preserve"> </w:t>
      </w:r>
      <w:r w:rsidR="0079666A">
        <w:t xml:space="preserve">English </w:t>
      </w:r>
      <w:r w:rsidR="00661102">
        <w:t>‘</w:t>
      </w:r>
      <w:r w:rsidR="0079666A">
        <w:t>Garden suburb</w:t>
      </w:r>
      <w:r w:rsidR="00661102">
        <w:t>’</w:t>
      </w:r>
      <w:r w:rsidR="001B7A61">
        <w:t>.</w:t>
      </w:r>
      <w:r w:rsidR="004215A1">
        <w:rPr>
          <w:rStyle w:val="EndnoteReference"/>
        </w:rPr>
        <w:endnoteReference w:id="11"/>
      </w:r>
      <w:r w:rsidR="00C960BC">
        <w:t xml:space="preserve"> </w:t>
      </w:r>
      <w:r w:rsidR="007A409F">
        <w:t xml:space="preserve">Yet this kind of ‘out-of-place’ political rhetoric seems increasingly </w:t>
      </w:r>
      <w:r w:rsidR="007A60B5">
        <w:t xml:space="preserve">anachronistic, as religious diversity </w:t>
      </w:r>
      <w:r w:rsidR="00F33237">
        <w:t xml:space="preserve">becomes the new normal </w:t>
      </w:r>
      <w:r w:rsidR="007A60B5">
        <w:t>in many part</w:t>
      </w:r>
      <w:r w:rsidR="002119BC">
        <w:t>s</w:t>
      </w:r>
      <w:r w:rsidR="007A60B5">
        <w:t xml:space="preserve"> of suburbia</w:t>
      </w:r>
      <w:r w:rsidR="00375736">
        <w:t xml:space="preserve">. New </w:t>
      </w:r>
      <w:r w:rsidR="00D2519B">
        <w:t xml:space="preserve">religious identities and buildings have become taken-for-granted </w:t>
      </w:r>
      <w:r w:rsidR="00F229B7">
        <w:t>elements</w:t>
      </w:r>
      <w:r w:rsidR="00D2519B">
        <w:t xml:space="preserve"> of everyday life in outer London. </w:t>
      </w:r>
    </w:p>
    <w:p w14:paraId="552142C1" w14:textId="77777777" w:rsidR="00212F4A" w:rsidRDefault="00212F4A" w:rsidP="00D736C1">
      <w:pPr>
        <w:ind w:firstLine="720"/>
      </w:pPr>
    </w:p>
    <w:p w14:paraId="1A28E341" w14:textId="48D8D858" w:rsidR="0096209D" w:rsidRDefault="00212F4A" w:rsidP="00D736C1">
      <w:pPr>
        <w:ind w:firstLine="720"/>
      </w:pPr>
      <w:r>
        <w:t>These changes do not have straightforward consequences for political parties.  Older assumptions about the</w:t>
      </w:r>
      <w:r w:rsidR="00F229B7">
        <w:t xml:space="preserve"> political affiliations of different religious and ethnic groups have been stretched, and </w:t>
      </w:r>
      <w:r w:rsidR="00F229B7" w:rsidRPr="008A0CFD">
        <w:t xml:space="preserve">there are not </w:t>
      </w:r>
      <w:r w:rsidR="00375736">
        <w:t xml:space="preserve">direct </w:t>
      </w:r>
      <w:r w:rsidR="008D547D">
        <w:t xml:space="preserve">mappings of religious beliefs and principles into the agendas and manifestos of political parties. </w:t>
      </w:r>
      <w:r w:rsidR="00B156EE">
        <w:t>Changes to the nature of suburban culture ha</w:t>
      </w:r>
      <w:r w:rsidR="009351AF">
        <w:t>ve</w:t>
      </w:r>
      <w:r w:rsidR="00B156EE">
        <w:t xml:space="preserve"> contributed to t</w:t>
      </w:r>
      <w:r w:rsidR="00B75933">
        <w:t>he greater fluidity of political affiliation that has been a feature o</w:t>
      </w:r>
      <w:r w:rsidR="00B156EE">
        <w:t>f twenty-first century politics</w:t>
      </w:r>
      <w:r w:rsidR="009351AF">
        <w:t xml:space="preserve">.  What we suggest here are not predictions for the future voting patterns of different religious </w:t>
      </w:r>
      <w:r w:rsidR="00424F1D">
        <w:t xml:space="preserve">groups, but rather three wider observations about the relationship between religion and politics </w:t>
      </w:r>
      <w:r w:rsidR="00E52373">
        <w:t>as they relate to</w:t>
      </w:r>
      <w:r w:rsidR="00424F1D">
        <w:t xml:space="preserve"> suburban London.  </w:t>
      </w:r>
    </w:p>
    <w:p w14:paraId="5EB42042" w14:textId="77777777" w:rsidR="0096209D" w:rsidRDefault="0096209D" w:rsidP="00D736C1">
      <w:pPr>
        <w:ind w:firstLine="720"/>
      </w:pPr>
    </w:p>
    <w:p w14:paraId="54E57C25" w14:textId="4F205FFD" w:rsidR="00275B8D" w:rsidRDefault="00424F1D" w:rsidP="00D736C1">
      <w:pPr>
        <w:ind w:firstLine="720"/>
      </w:pPr>
      <w:r>
        <w:t>The first of these is that religion is an important d</w:t>
      </w:r>
      <w:r w:rsidR="003B3E6D">
        <w:t>i</w:t>
      </w:r>
      <w:r>
        <w:t>mension of a particular kind of multi</w:t>
      </w:r>
      <w:r w:rsidR="003B3E6D">
        <w:t xml:space="preserve">cultural politics that is increasingly successful </w:t>
      </w:r>
      <w:r w:rsidR="00423637">
        <w:t xml:space="preserve">in </w:t>
      </w:r>
      <w:r w:rsidR="00E52373">
        <w:t>pla</w:t>
      </w:r>
      <w:r w:rsidR="00576218">
        <w:t xml:space="preserve">ces that were once dismissed as rather dull, and particularly those places that now mix elements of the suburban and the </w:t>
      </w:r>
      <w:r w:rsidR="00136A11">
        <w:t>metropolitan</w:t>
      </w:r>
      <w:r w:rsidR="00576218">
        <w:t xml:space="preserve">. </w:t>
      </w:r>
      <w:r w:rsidR="001E51A2">
        <w:t xml:space="preserve"> </w:t>
      </w:r>
      <w:r w:rsidR="0029416F">
        <w:t>Rup</w:t>
      </w:r>
      <w:r w:rsidR="002119BC">
        <w:t>a</w:t>
      </w:r>
      <w:r w:rsidR="0029416F">
        <w:t xml:space="preserve"> Huq’s ‘against the head’ 2015</w:t>
      </w:r>
      <w:r w:rsidR="0097161A">
        <w:t xml:space="preserve"> </w:t>
      </w:r>
      <w:r w:rsidR="00706070">
        <w:t>capture</w:t>
      </w:r>
      <w:r w:rsidR="0097161A">
        <w:t xml:space="preserve"> </w:t>
      </w:r>
      <w:r w:rsidR="00706070">
        <w:t>of</w:t>
      </w:r>
      <w:r w:rsidR="0097161A">
        <w:t xml:space="preserve"> </w:t>
      </w:r>
      <w:r w:rsidR="00E82AC2">
        <w:t xml:space="preserve">the </w:t>
      </w:r>
      <w:proofErr w:type="spellStart"/>
      <w:r w:rsidR="0097161A">
        <w:t>Ealing</w:t>
      </w:r>
      <w:proofErr w:type="spellEnd"/>
      <w:r w:rsidR="0097161A">
        <w:t xml:space="preserve"> Central and Acton</w:t>
      </w:r>
      <w:r w:rsidR="00E82AC2">
        <w:t xml:space="preserve"> constituency</w:t>
      </w:r>
      <w:r w:rsidR="00706070">
        <w:t xml:space="preserve"> for </w:t>
      </w:r>
      <w:proofErr w:type="spellStart"/>
      <w:r w:rsidR="00706070">
        <w:t>Labour</w:t>
      </w:r>
      <w:proofErr w:type="spellEnd"/>
      <w:r w:rsidR="00E82AC2">
        <w:t xml:space="preserve">, followed up </w:t>
      </w:r>
      <w:r w:rsidR="00706070">
        <w:t>by a spectacular increase in her majority in</w:t>
      </w:r>
      <w:r w:rsidR="00275B8D">
        <w:t xml:space="preserve"> 2017 is a good example of this</w:t>
      </w:r>
      <w:r w:rsidR="001670C9">
        <w:t xml:space="preserve">.  In </w:t>
      </w:r>
      <w:r w:rsidR="009B6D57">
        <w:t>such</w:t>
      </w:r>
      <w:r w:rsidR="001670C9">
        <w:t xml:space="preserve"> </w:t>
      </w:r>
      <w:r w:rsidR="00275B8D">
        <w:t>areas</w:t>
      </w:r>
      <w:r w:rsidR="001670C9">
        <w:t xml:space="preserve">, </w:t>
      </w:r>
      <w:r w:rsidR="00EF4CB4">
        <w:t xml:space="preserve">the open promotion </w:t>
      </w:r>
      <w:r w:rsidR="00136A11">
        <w:t xml:space="preserve">of </w:t>
      </w:r>
      <w:r w:rsidR="00EF4CB4">
        <w:t xml:space="preserve">diversity has been </w:t>
      </w:r>
      <w:r w:rsidR="001670C9">
        <w:t xml:space="preserve">part not just of </w:t>
      </w:r>
      <w:proofErr w:type="spellStart"/>
      <w:r w:rsidR="001670C9">
        <w:t>Labour’s</w:t>
      </w:r>
      <w:proofErr w:type="spellEnd"/>
      <w:r w:rsidR="001670C9">
        <w:t xml:space="preserve"> campaigns in general elections, but has also been both a firmly </w:t>
      </w:r>
      <w:proofErr w:type="spellStart"/>
      <w:r w:rsidR="001670C9">
        <w:t>institution</w:t>
      </w:r>
      <w:r w:rsidR="00953B8C">
        <w:t>al</w:t>
      </w:r>
      <w:r w:rsidR="001670C9">
        <w:t>ised</w:t>
      </w:r>
      <w:proofErr w:type="spellEnd"/>
      <w:r w:rsidR="001670C9">
        <w:t xml:space="preserve"> and relatively successful element of the </w:t>
      </w:r>
      <w:r w:rsidR="00490BB8">
        <w:t xml:space="preserve">work of the </w:t>
      </w:r>
      <w:r w:rsidR="001670C9">
        <w:t>local state</w:t>
      </w:r>
      <w:r w:rsidR="00C733B6">
        <w:t xml:space="preserve">. This multiculturalism and religious pluralism is also an increasingly taken-for-granted aspect of </w:t>
      </w:r>
      <w:r w:rsidR="00B37EBB">
        <w:t xml:space="preserve">everyday life in these places.  A form of </w:t>
      </w:r>
      <w:r w:rsidR="00080D49">
        <w:t>multi</w:t>
      </w:r>
      <w:r w:rsidR="00984F76">
        <w:t xml:space="preserve">cultural </w:t>
      </w:r>
      <w:r w:rsidR="00B37EBB">
        <w:t xml:space="preserve">political culture often labeled </w:t>
      </w:r>
      <w:r w:rsidR="00984F76">
        <w:t>simply as</w:t>
      </w:r>
      <w:r w:rsidR="00B37EBB">
        <w:t xml:space="preserve"> </w:t>
      </w:r>
      <w:r w:rsidR="00984F76">
        <w:t xml:space="preserve">‘metropolitan’ has a particular force in these places, and </w:t>
      </w:r>
      <w:r w:rsidR="00080D49">
        <w:t xml:space="preserve">has a rather different inflection from the political culture of inner London areas.  </w:t>
      </w:r>
    </w:p>
    <w:p w14:paraId="453F402A" w14:textId="77777777" w:rsidR="00275B8D" w:rsidRDefault="00275B8D" w:rsidP="00D736C1">
      <w:pPr>
        <w:ind w:firstLine="720"/>
      </w:pPr>
    </w:p>
    <w:p w14:paraId="77CF48C5" w14:textId="77777777" w:rsidR="00375736" w:rsidRDefault="00375736" w:rsidP="00375736">
      <w:pPr>
        <w:ind w:firstLine="720"/>
      </w:pPr>
      <w:r>
        <w:t xml:space="preserve">As many have pointed out, </w:t>
      </w:r>
      <w:proofErr w:type="spellStart"/>
      <w:r>
        <w:t>Labour’s</w:t>
      </w:r>
      <w:proofErr w:type="spellEnd"/>
      <w:r>
        <w:t xml:space="preserve"> relative success in London in the present decade highlights tensions and even contradictions in its broad national coalition of support, that were obvious in its performance in the 2015 and 2017 elections. Those tensions are often expressed geographically in terms of the differences between inner London and the white working-class areas of post-industrial Britain, yet such tensions are also present in the micro-politics of adjacent areas of outer London. What works in </w:t>
      </w:r>
      <w:proofErr w:type="spellStart"/>
      <w:r>
        <w:t>Ealing</w:t>
      </w:r>
      <w:proofErr w:type="spellEnd"/>
      <w:r>
        <w:t xml:space="preserve"> or Harrow West may have consequences for the way that the </w:t>
      </w:r>
      <w:proofErr w:type="spellStart"/>
      <w:r>
        <w:t>Labour</w:t>
      </w:r>
      <w:proofErr w:type="spellEnd"/>
      <w:r>
        <w:t xml:space="preserve"> Party is perceived in </w:t>
      </w:r>
      <w:proofErr w:type="spellStart"/>
      <w:r>
        <w:t>Spelthorne</w:t>
      </w:r>
      <w:proofErr w:type="spellEnd"/>
      <w:r>
        <w:t xml:space="preserve"> or significant parts of Hounslow and </w:t>
      </w:r>
      <w:proofErr w:type="spellStart"/>
      <w:r>
        <w:t>Hillingdon</w:t>
      </w:r>
      <w:proofErr w:type="spellEnd"/>
      <w:r>
        <w:t xml:space="preserve">. Examples of anti-Semitism in the </w:t>
      </w:r>
      <w:proofErr w:type="spellStart"/>
      <w:r>
        <w:t>Labour</w:t>
      </w:r>
      <w:proofErr w:type="spellEnd"/>
      <w:r>
        <w:t xml:space="preserve"> Party and the leadership’s mishandling of those scandals were a </w:t>
      </w:r>
      <w:r>
        <w:lastRenderedPageBreak/>
        <w:t xml:space="preserve">significant factor in the Party’s failure to capture the local authority in the north London suburb of Barnet in the May 2018 elections (approximately 15% of the electorate in Barnet identify as Jewish).  Beyond the specific circumstances of </w:t>
      </w:r>
      <w:proofErr w:type="spellStart"/>
      <w:r>
        <w:t>Labour’s</w:t>
      </w:r>
      <w:proofErr w:type="spellEnd"/>
      <w:r>
        <w:t xml:space="preserve"> failure to address hate-speech in the Party, this also points to the increasing salience of religious and ethnic identity, and of the resonances of international politics in the London suburbs. The politics of the Middle East, South Asia and elsewhere are likely to have increasing consequences for the policies and cultures of local politics in suburban London. </w:t>
      </w:r>
    </w:p>
    <w:p w14:paraId="410036BE" w14:textId="2415CB60" w:rsidR="00003862" w:rsidRDefault="001C2F43" w:rsidP="00D736C1">
      <w:pPr>
        <w:ind w:firstLine="720"/>
      </w:pPr>
      <w:r>
        <w:t xml:space="preserve"> </w:t>
      </w:r>
      <w:r w:rsidR="009D55AB">
        <w:t xml:space="preserve"> </w:t>
      </w:r>
    </w:p>
    <w:p w14:paraId="1822ABEA" w14:textId="77777777" w:rsidR="00003862" w:rsidRDefault="00003862" w:rsidP="00D736C1">
      <w:pPr>
        <w:ind w:firstLine="720"/>
      </w:pPr>
    </w:p>
    <w:p w14:paraId="79893072" w14:textId="48720A5F" w:rsidR="00A517F1" w:rsidRDefault="00957ACF" w:rsidP="00D736C1">
      <w:pPr>
        <w:ind w:firstLine="720"/>
      </w:pPr>
      <w:r>
        <w:t>T</w:t>
      </w:r>
      <w:r w:rsidR="00996AEC">
        <w:t xml:space="preserve">here </w:t>
      </w:r>
      <w:r>
        <w:t xml:space="preserve">are </w:t>
      </w:r>
      <w:r w:rsidR="00996AEC">
        <w:t xml:space="preserve">as many potential contradictions for the Tories in the growing complexity of outer London.  The old certainties </w:t>
      </w:r>
      <w:r w:rsidR="00F3104E">
        <w:t xml:space="preserve">of </w:t>
      </w:r>
      <w:r w:rsidR="00261593">
        <w:t xml:space="preserve">semi-automatic </w:t>
      </w:r>
      <w:r w:rsidR="00F3104E">
        <w:t xml:space="preserve">suburban </w:t>
      </w:r>
      <w:r w:rsidR="00261593">
        <w:t xml:space="preserve">Conservative </w:t>
      </w:r>
      <w:r w:rsidR="00F3104E">
        <w:t xml:space="preserve">support are being replaced by a mosaic of different </w:t>
      </w:r>
      <w:r w:rsidR="00A517F1">
        <w:t>positions. These include</w:t>
      </w:r>
      <w:r w:rsidR="00F3104E">
        <w:t xml:space="preserve"> not just very </w:t>
      </w:r>
      <w:r w:rsidR="00A517F1">
        <w:t>divergent</w:t>
      </w:r>
      <w:r w:rsidR="00F3104E">
        <w:t xml:space="preserve"> </w:t>
      </w:r>
      <w:r w:rsidR="00077036">
        <w:t xml:space="preserve">Conservative </w:t>
      </w:r>
      <w:r w:rsidR="00F3104E">
        <w:t>attitudes t</w:t>
      </w:r>
      <w:r w:rsidR="00A675AE">
        <w:t xml:space="preserve">o hard or soft Brexit, </w:t>
      </w:r>
      <w:r w:rsidR="00077036">
        <w:t xml:space="preserve">which are perhaps more acute than in other parts of Britain, </w:t>
      </w:r>
      <w:r w:rsidR="00A675AE">
        <w:t>but also</w:t>
      </w:r>
      <w:r w:rsidR="00261593">
        <w:t xml:space="preserve"> different Conservative </w:t>
      </w:r>
      <w:r w:rsidR="00A517F1">
        <w:t>responses to</w:t>
      </w:r>
      <w:r w:rsidR="00261593">
        <w:t xml:space="preserve"> the support of the local state for multiculturalism</w:t>
      </w:r>
      <w:r w:rsidR="00077036">
        <w:t xml:space="preserve">.  There are </w:t>
      </w:r>
      <w:r w:rsidR="00A517F1">
        <w:t xml:space="preserve">notable contrasts between places where there is a significant British Asian representation </w:t>
      </w:r>
      <w:r w:rsidR="00077036">
        <w:t>as Conservative local council</w:t>
      </w:r>
      <w:r w:rsidR="00D460D9">
        <w:t>l</w:t>
      </w:r>
      <w:r w:rsidR="00077036">
        <w:t xml:space="preserve">ors, </w:t>
      </w:r>
      <w:r w:rsidR="00A517F1">
        <w:t xml:space="preserve">and </w:t>
      </w:r>
      <w:r w:rsidR="0050018A">
        <w:t xml:space="preserve">other </w:t>
      </w:r>
      <w:r w:rsidR="00A517F1">
        <w:t xml:space="preserve">places </w:t>
      </w:r>
      <w:r w:rsidR="0050018A">
        <w:t>where the party has</w:t>
      </w:r>
      <w:r w:rsidR="00B9740F">
        <w:t xml:space="preserve"> been competing with </w:t>
      </w:r>
      <w:proofErr w:type="spellStart"/>
      <w:r w:rsidR="00B9740F">
        <w:t>Labour</w:t>
      </w:r>
      <w:proofErr w:type="spellEnd"/>
      <w:r w:rsidR="00B9740F">
        <w:t xml:space="preserve"> and </w:t>
      </w:r>
      <w:r w:rsidR="0050018A">
        <w:t>UKIP for white working-class voters.</w:t>
      </w:r>
    </w:p>
    <w:p w14:paraId="34DA8AA6" w14:textId="77777777" w:rsidR="0050018A" w:rsidRDefault="0050018A" w:rsidP="00D736C1">
      <w:pPr>
        <w:ind w:firstLine="720"/>
      </w:pPr>
    </w:p>
    <w:p w14:paraId="4F2E8E77" w14:textId="5A04B607" w:rsidR="0020185C" w:rsidRDefault="0002256A" w:rsidP="00D736C1">
      <w:pPr>
        <w:ind w:firstLine="720"/>
        <w:rPr>
          <w:lang w:val="en-GB"/>
        </w:rPr>
      </w:pPr>
      <w:r>
        <w:t xml:space="preserve">A second observation relates more directly </w:t>
      </w:r>
      <w:r w:rsidR="005A263A">
        <w:t>to the impact of religion on local politics, and particularly the politics associated with planning and the built environment.</w:t>
      </w:r>
      <w:r w:rsidR="00573220">
        <w:t xml:space="preserve"> Our research has focused on the creativity associated with suburban religious faiths, often as expressed through the creation of new buildings.  </w:t>
      </w:r>
      <w:r w:rsidR="00240889" w:rsidRPr="00240889">
        <w:rPr>
          <w:lang w:val="en-GB"/>
        </w:rPr>
        <w:t xml:space="preserve">Faith groups often have significant advantages in their capacities for the development of new buildings and facilities compared with most other civil society organisations. The most dynamic churches in terms of membership, including Pentecostal </w:t>
      </w:r>
      <w:r w:rsidR="00056AF1">
        <w:rPr>
          <w:lang w:val="en-GB"/>
        </w:rPr>
        <w:t>‘</w:t>
      </w:r>
      <w:r w:rsidR="00240889" w:rsidRPr="00240889">
        <w:rPr>
          <w:lang w:val="en-GB"/>
        </w:rPr>
        <w:t>B</w:t>
      </w:r>
      <w:r w:rsidR="00240889">
        <w:rPr>
          <w:lang w:val="en-GB"/>
        </w:rPr>
        <w:t>lack Majority Churche</w:t>
      </w:r>
      <w:r w:rsidR="00240889" w:rsidRPr="00240889">
        <w:rPr>
          <w:lang w:val="en-GB"/>
        </w:rPr>
        <w:t>s</w:t>
      </w:r>
      <w:r w:rsidR="00056AF1">
        <w:rPr>
          <w:lang w:val="en-GB"/>
        </w:rPr>
        <w:t>’ (BMCs)</w:t>
      </w:r>
      <w:r w:rsidR="00240889" w:rsidRPr="00240889">
        <w:rPr>
          <w:lang w:val="en-GB"/>
        </w:rPr>
        <w:t xml:space="preserve">, other Pentecostal churches, the evangelical wing of the Anglican church, and a wider set of churches and groups associated with the ‘new expressions’ movement, tend to have strong cultures and expectations of financial giving, providing resources to acquire new premises or to undertake significant programmes of work. This kind of financial commitment is matched in other faith groups, providing the resources for ambitious mosque, temple and gurdwara projects. </w:t>
      </w:r>
      <w:r w:rsidR="0020185C">
        <w:rPr>
          <w:lang w:val="en-GB"/>
        </w:rPr>
        <w:t xml:space="preserve">In a context of severe cuts </w:t>
      </w:r>
      <w:r w:rsidR="00F47118">
        <w:rPr>
          <w:lang w:val="en-GB"/>
        </w:rPr>
        <w:t xml:space="preserve">to local government funding, and the decline of many other civil society organisations, faith groups are often the only contributors to significant </w:t>
      </w:r>
      <w:r w:rsidR="007B4886">
        <w:rPr>
          <w:lang w:val="en-GB"/>
        </w:rPr>
        <w:t xml:space="preserve">building projects other than commercial developers. </w:t>
      </w:r>
    </w:p>
    <w:p w14:paraId="7ECC3E22" w14:textId="77777777" w:rsidR="0020185C" w:rsidRDefault="0020185C" w:rsidP="00D736C1">
      <w:pPr>
        <w:ind w:firstLine="720"/>
        <w:rPr>
          <w:lang w:val="en-GB"/>
        </w:rPr>
      </w:pPr>
    </w:p>
    <w:p w14:paraId="01F2D32A" w14:textId="7327E755" w:rsidR="0002256A" w:rsidRDefault="007B4886" w:rsidP="00D736C1">
      <w:pPr>
        <w:ind w:firstLine="720"/>
      </w:pPr>
      <w:r>
        <w:rPr>
          <w:lang w:val="en-GB"/>
        </w:rPr>
        <w:t xml:space="preserve">In the recent past new faith sites have often been temporary or converted premises, and there is a long </w:t>
      </w:r>
      <w:r w:rsidR="00B23FAC">
        <w:rPr>
          <w:lang w:val="en-GB"/>
        </w:rPr>
        <w:t>h</w:t>
      </w:r>
      <w:r>
        <w:rPr>
          <w:lang w:val="en-GB"/>
        </w:rPr>
        <w:t xml:space="preserve">istory of the </w:t>
      </w:r>
      <w:r w:rsidR="00B23FAC">
        <w:rPr>
          <w:lang w:val="en-GB"/>
        </w:rPr>
        <w:t>conversion of older commercial and industrial buildings, such as cinemas, offices and shops, into places of worship. In common with many parts of Britain, outer London has also seen the transformation of older churches and chapels into new faith spaces</w:t>
      </w:r>
      <w:r w:rsidR="00987C4C">
        <w:rPr>
          <w:lang w:val="en-GB"/>
        </w:rPr>
        <w:t xml:space="preserve">, reflecting changes in religious identity and belief.  However, what is increasingly apparent is that as well as a continuing </w:t>
      </w:r>
      <w:r w:rsidR="00056AF1">
        <w:rPr>
          <w:lang w:val="en-GB"/>
        </w:rPr>
        <w:t xml:space="preserve">pattern of re-use and improvisation of existing buildings (most recently associated with BMCs connected to migration from West Africa particularly in inner south London and outer east London), that there are </w:t>
      </w:r>
      <w:r w:rsidR="008722D9">
        <w:rPr>
          <w:lang w:val="en-GB"/>
        </w:rPr>
        <w:t xml:space="preserve">many </w:t>
      </w:r>
      <w:r w:rsidR="00056AF1">
        <w:rPr>
          <w:lang w:val="en-GB"/>
        </w:rPr>
        <w:t>more purpose</w:t>
      </w:r>
      <w:r w:rsidR="00404E91">
        <w:rPr>
          <w:lang w:val="en-GB"/>
        </w:rPr>
        <w:t xml:space="preserve">-built and ambitious projects taking place, and that </w:t>
      </w:r>
      <w:r w:rsidR="00404E91">
        <w:rPr>
          <w:lang w:val="en-GB"/>
        </w:rPr>
        <w:lastRenderedPageBreak/>
        <w:t xml:space="preserve">these are predominantly in outer London.  These new developments are possible because of the availability of larger sites in outer London, and reflect the confidence and resources of newer religious communities. </w:t>
      </w:r>
      <w:r w:rsidR="000F716D">
        <w:rPr>
          <w:lang w:val="en-GB"/>
        </w:rPr>
        <w:t>It is striking that these</w:t>
      </w:r>
      <w:r w:rsidR="00404E91">
        <w:rPr>
          <w:lang w:val="en-GB"/>
        </w:rPr>
        <w:t xml:space="preserve"> </w:t>
      </w:r>
      <w:r w:rsidR="000F716D">
        <w:rPr>
          <w:lang w:val="en-GB"/>
        </w:rPr>
        <w:t>developments</w:t>
      </w:r>
      <w:r w:rsidR="00570BDE">
        <w:rPr>
          <w:lang w:val="en-GB"/>
        </w:rPr>
        <w:t xml:space="preserve"> </w:t>
      </w:r>
      <w:r w:rsidR="00237E46">
        <w:rPr>
          <w:lang w:val="en-GB"/>
        </w:rPr>
        <w:t xml:space="preserve">often </w:t>
      </w:r>
      <w:r w:rsidR="00570BDE">
        <w:rPr>
          <w:lang w:val="en-GB"/>
        </w:rPr>
        <w:t xml:space="preserve">draw upon </w:t>
      </w:r>
      <w:r w:rsidR="00237E46">
        <w:rPr>
          <w:lang w:val="en-GB"/>
        </w:rPr>
        <w:t xml:space="preserve">increasing professional skills within faith groups, in architecture and design, in engineering, but also in law and planning. Older assumptions about </w:t>
      </w:r>
      <w:r w:rsidR="00742C14">
        <w:rPr>
          <w:lang w:val="en-GB"/>
        </w:rPr>
        <w:t xml:space="preserve">the marginal position of such groups in relation to the local state and planning authorities </w:t>
      </w:r>
      <w:r w:rsidR="008722D9">
        <w:rPr>
          <w:lang w:val="en-GB"/>
        </w:rPr>
        <w:t xml:space="preserve">are being altered; </w:t>
      </w:r>
      <w:r w:rsidR="005C5C56">
        <w:rPr>
          <w:lang w:val="en-GB"/>
        </w:rPr>
        <w:t xml:space="preserve">these larger scale </w:t>
      </w:r>
      <w:r w:rsidR="00A67F7F">
        <w:rPr>
          <w:lang w:val="en-GB"/>
        </w:rPr>
        <w:t>developments shift the relationship between the local state and faith groups</w:t>
      </w:r>
      <w:r w:rsidR="00647C6B">
        <w:rPr>
          <w:lang w:val="en-GB"/>
        </w:rPr>
        <w:t>.</w:t>
      </w:r>
      <w:r w:rsidR="00D8772D">
        <w:rPr>
          <w:rStyle w:val="EndnoteReference"/>
          <w:lang w:val="en-GB"/>
        </w:rPr>
        <w:endnoteReference w:id="12"/>
      </w:r>
      <w:r w:rsidR="00647C6B">
        <w:rPr>
          <w:lang w:val="en-GB"/>
        </w:rPr>
        <w:t xml:space="preserve">  This is </w:t>
      </w:r>
      <w:r w:rsidR="00375736">
        <w:rPr>
          <w:lang w:val="en-GB"/>
        </w:rPr>
        <w:t xml:space="preserve">in </w:t>
      </w:r>
      <w:r w:rsidR="00647C6B">
        <w:rPr>
          <w:lang w:val="en-GB"/>
        </w:rPr>
        <w:t xml:space="preserve">part about </w:t>
      </w:r>
      <w:r w:rsidR="001351E2">
        <w:rPr>
          <w:lang w:val="en-GB"/>
        </w:rPr>
        <w:t xml:space="preserve">navigating through issues </w:t>
      </w:r>
      <w:r w:rsidR="00647C6B">
        <w:rPr>
          <w:lang w:val="en-GB"/>
        </w:rPr>
        <w:t xml:space="preserve">of access, congestion, noise and parking, but it is also about local politicians’ commitment to very visible expressions of diversity, and the </w:t>
      </w:r>
      <w:r w:rsidR="00CB65E9">
        <w:rPr>
          <w:lang w:val="en-GB"/>
        </w:rPr>
        <w:t xml:space="preserve">opportunity for ambitious </w:t>
      </w:r>
      <w:proofErr w:type="gramStart"/>
      <w:r w:rsidR="00CB65E9">
        <w:rPr>
          <w:lang w:val="en-GB"/>
        </w:rPr>
        <w:t>place-making</w:t>
      </w:r>
      <w:proofErr w:type="gramEnd"/>
      <w:r w:rsidR="00CB65E9">
        <w:rPr>
          <w:lang w:val="en-GB"/>
        </w:rPr>
        <w:t xml:space="preserve"> through the creation of new landmarks.</w:t>
      </w:r>
      <w:r w:rsidR="008722D9">
        <w:rPr>
          <w:lang w:val="en-GB"/>
        </w:rPr>
        <w:t xml:space="preserve"> </w:t>
      </w:r>
      <w:r w:rsidR="000F716D">
        <w:rPr>
          <w:lang w:val="en-GB"/>
        </w:rPr>
        <w:t xml:space="preserve"> </w:t>
      </w:r>
    </w:p>
    <w:p w14:paraId="7F3197F3" w14:textId="77777777" w:rsidR="0002256A" w:rsidRDefault="0002256A" w:rsidP="00D736C1">
      <w:pPr>
        <w:ind w:firstLine="720"/>
      </w:pPr>
    </w:p>
    <w:p w14:paraId="469BB968" w14:textId="5F2108BD" w:rsidR="002F4FB0" w:rsidRDefault="00CB65E9" w:rsidP="00267E3E">
      <w:pPr>
        <w:ind w:firstLine="720"/>
      </w:pPr>
      <w:r>
        <w:t xml:space="preserve">Finally, the </w:t>
      </w:r>
      <w:r w:rsidR="005025F5">
        <w:t>changing nature</w:t>
      </w:r>
      <w:r>
        <w:t xml:space="preserve"> of faith</w:t>
      </w:r>
      <w:r w:rsidR="005025F5">
        <w:t xml:space="preserve"> communities</w:t>
      </w:r>
      <w:r>
        <w:t xml:space="preserve"> in outer London </w:t>
      </w:r>
      <w:r w:rsidR="005025F5">
        <w:t>highlights</w:t>
      </w:r>
      <w:r>
        <w:t xml:space="preserve"> </w:t>
      </w:r>
      <w:r w:rsidR="005025F5">
        <w:t xml:space="preserve">some of the limitations of the spatial organization of British democracy.  The efforts made </w:t>
      </w:r>
      <w:r w:rsidR="00D8772D">
        <w:t xml:space="preserve">to bring religion to the new suburbanites during the mid-twentieth century worked on a very localized model. What the Anglican and </w:t>
      </w:r>
      <w:r w:rsidR="00962172">
        <w:t xml:space="preserve">Catholic churches were trying to achieve </w:t>
      </w:r>
      <w:r w:rsidR="00854D55">
        <w:t xml:space="preserve">was </w:t>
      </w:r>
      <w:r w:rsidR="00962172">
        <w:t xml:space="preserve">an extension of the old parish model to new places, with a church at the heart of a new community.  </w:t>
      </w:r>
      <w:r w:rsidR="00C87242">
        <w:t>T</w:t>
      </w:r>
      <w:r w:rsidR="00135A12">
        <w:t>here was a relatively clear and straightforward relationship between local faith communities, particularly local faith leaders, and elected councillors</w:t>
      </w:r>
      <w:r w:rsidR="00544FAC">
        <w:t xml:space="preserve">.  New faith developments increasingly have very different </w:t>
      </w:r>
      <w:r w:rsidR="00654C86">
        <w:t>geographies, often with a dispersed community travelling significant distances for worship</w:t>
      </w:r>
      <w:r w:rsidR="00E327DD">
        <w:t xml:space="preserve">.  Outer London has a </w:t>
      </w:r>
      <w:r w:rsidR="00654C86">
        <w:t>British variant of a pattern that is common in North America</w:t>
      </w:r>
      <w:r w:rsidR="00E327DD">
        <w:t xml:space="preserve">, that can be </w:t>
      </w:r>
      <w:proofErr w:type="spellStart"/>
      <w:r w:rsidR="00E327DD">
        <w:t>conceptualised</w:t>
      </w:r>
      <w:proofErr w:type="spellEnd"/>
      <w:r w:rsidR="00E327DD">
        <w:t xml:space="preserve"> as ‘edge-city’ faith, where places of worship may be sited </w:t>
      </w:r>
      <w:r w:rsidR="00E22198">
        <w:t xml:space="preserve">to suit ease of access as much as the needs of an immediate locality.  </w:t>
      </w:r>
    </w:p>
    <w:p w14:paraId="1E41BD1D" w14:textId="77777777" w:rsidR="002F4FB0" w:rsidRDefault="002F4FB0" w:rsidP="00267E3E">
      <w:pPr>
        <w:ind w:firstLine="720"/>
      </w:pPr>
    </w:p>
    <w:p w14:paraId="1C893A0F" w14:textId="5CE29054" w:rsidR="00E11F29" w:rsidRDefault="00E22198" w:rsidP="00B67169">
      <w:pPr>
        <w:ind w:firstLine="720"/>
        <w:rPr>
          <w:lang w:val="en-GB"/>
        </w:rPr>
      </w:pPr>
      <w:r>
        <w:t xml:space="preserve">Where once a central metropolitan Cathedral may have served as a symbolic and spiritual focus for a city, in </w:t>
      </w:r>
      <w:r w:rsidR="00C87242">
        <w:t>this</w:t>
      </w:r>
      <w:r>
        <w:t xml:space="preserve"> more complex religious geography, significant </w:t>
      </w:r>
      <w:r w:rsidR="00A05206">
        <w:t xml:space="preserve">religious hubs may be on the outskirts.  Some of the major temples and </w:t>
      </w:r>
      <w:proofErr w:type="spellStart"/>
      <w:r w:rsidR="00A05206">
        <w:t>gurdwaras</w:t>
      </w:r>
      <w:proofErr w:type="spellEnd"/>
      <w:r w:rsidR="00A05206">
        <w:t xml:space="preserve"> in </w:t>
      </w:r>
      <w:proofErr w:type="spellStart"/>
      <w:r w:rsidR="00A05206">
        <w:t>Southall</w:t>
      </w:r>
      <w:proofErr w:type="spellEnd"/>
      <w:r w:rsidR="00A05206">
        <w:t xml:space="preserve"> for example, serve a </w:t>
      </w:r>
      <w:r w:rsidR="00A60B12">
        <w:t>population that ‘faith-</w:t>
      </w:r>
      <w:r w:rsidR="00460CF9">
        <w:t>commutes</w:t>
      </w:r>
      <w:r w:rsidR="00A60B12">
        <w:t>’</w:t>
      </w:r>
      <w:r w:rsidR="002B0E68">
        <w:t xml:space="preserve"> from across outer west London</w:t>
      </w:r>
      <w:r w:rsidR="00D5037B">
        <w:t xml:space="preserve"> and beyond.</w:t>
      </w:r>
      <w:r w:rsidR="002B0E68">
        <w:t xml:space="preserve"> </w:t>
      </w:r>
      <w:r w:rsidR="00E11F29">
        <w:t xml:space="preserve"> In our research on </w:t>
      </w:r>
      <w:proofErr w:type="spellStart"/>
      <w:r w:rsidR="00E11F29">
        <w:t>centres</w:t>
      </w:r>
      <w:proofErr w:type="spellEnd"/>
      <w:r w:rsidR="00E11F29">
        <w:t xml:space="preserve"> of worship</w:t>
      </w:r>
      <w:r w:rsidR="00010AD9">
        <w:t xml:space="preserve"> in </w:t>
      </w:r>
      <w:r w:rsidR="00036B0D">
        <w:t xml:space="preserve">Ealing, two of our case studies have this kind of stretched geography. The </w:t>
      </w:r>
      <w:proofErr w:type="spellStart"/>
      <w:r w:rsidR="00036B0D">
        <w:t>Elim</w:t>
      </w:r>
      <w:proofErr w:type="spellEnd"/>
      <w:r w:rsidR="00036B0D">
        <w:t xml:space="preserve"> Pentecostal </w:t>
      </w:r>
      <w:proofErr w:type="spellStart"/>
      <w:r w:rsidR="00036B0D">
        <w:t>Ealing</w:t>
      </w:r>
      <w:proofErr w:type="spellEnd"/>
      <w:r w:rsidR="00036B0D">
        <w:t xml:space="preserve"> Christian Centre, </w:t>
      </w:r>
      <w:r w:rsidR="00AB510F">
        <w:t xml:space="preserve">in a large converted cinema opposite Northfields underground station, pulls in worshippers </w:t>
      </w:r>
      <w:r w:rsidR="008A0CFD">
        <w:t xml:space="preserve">well beyond </w:t>
      </w:r>
      <w:proofErr w:type="spellStart"/>
      <w:r w:rsidR="008A0CFD">
        <w:t>Ealing</w:t>
      </w:r>
      <w:proofErr w:type="spellEnd"/>
      <w:r w:rsidR="00AB510F">
        <w:t xml:space="preserve">, while the </w:t>
      </w:r>
      <w:r w:rsidR="00B67169" w:rsidRPr="00B67169">
        <w:t xml:space="preserve">Sri </w:t>
      </w:r>
      <w:proofErr w:type="spellStart"/>
      <w:r w:rsidR="00B67169" w:rsidRPr="00B67169">
        <w:t>Kanaga</w:t>
      </w:r>
      <w:proofErr w:type="spellEnd"/>
      <w:r w:rsidR="00B67169" w:rsidRPr="00B67169">
        <w:t xml:space="preserve"> </w:t>
      </w:r>
      <w:proofErr w:type="spellStart"/>
      <w:r w:rsidR="00B67169" w:rsidRPr="00B67169">
        <w:t>Thurkkai</w:t>
      </w:r>
      <w:proofErr w:type="spellEnd"/>
      <w:r w:rsidR="00B67169" w:rsidRPr="00B67169">
        <w:t xml:space="preserve"> Amman Hindu Temple in </w:t>
      </w:r>
      <w:r w:rsidR="00B67169">
        <w:t xml:space="preserve">a converted Baptist Chapel in West Ealing acts as a hub for Tamil-speaking Hindus from across much of London and the South-East. </w:t>
      </w:r>
      <w:r w:rsidR="00E11F29">
        <w:t xml:space="preserve">The most extreme example of this kind of ‘edge-city’ faith in the UK is probably </w:t>
      </w:r>
      <w:r w:rsidR="00267E3E">
        <w:t xml:space="preserve">the giant ‘Prayer City’ run by the </w:t>
      </w:r>
      <w:r w:rsidR="00267E3E" w:rsidRPr="00267E3E">
        <w:rPr>
          <w:lang w:val="en-GB"/>
        </w:rPr>
        <w:t>Kingsway International Christian Centre</w:t>
      </w:r>
      <w:r w:rsidR="00A6062E">
        <w:rPr>
          <w:lang w:val="en-GB"/>
        </w:rPr>
        <w:t xml:space="preserve"> (KICC) </w:t>
      </w:r>
      <w:r w:rsidR="006C7A2A">
        <w:rPr>
          <w:lang w:val="en-GB"/>
        </w:rPr>
        <w:t xml:space="preserve">close to </w:t>
      </w:r>
      <w:r w:rsidR="000A08D9">
        <w:rPr>
          <w:lang w:val="en-GB"/>
        </w:rPr>
        <w:t>j</w:t>
      </w:r>
      <w:r w:rsidR="006C7A2A">
        <w:rPr>
          <w:lang w:val="en-GB"/>
        </w:rPr>
        <w:t xml:space="preserve">unction </w:t>
      </w:r>
      <w:r w:rsidR="000A08D9">
        <w:rPr>
          <w:lang w:val="en-GB"/>
        </w:rPr>
        <w:t xml:space="preserve">3 of the M2, south of Chatham.  This is a replacement for the large church in converted warehouses in </w:t>
      </w:r>
      <w:r w:rsidR="00194631">
        <w:rPr>
          <w:lang w:val="en-GB"/>
        </w:rPr>
        <w:t xml:space="preserve">Stratford that was </w:t>
      </w:r>
      <w:r w:rsidR="00DF2B21">
        <w:rPr>
          <w:lang w:val="en-GB"/>
        </w:rPr>
        <w:t xml:space="preserve">vacated </w:t>
      </w:r>
      <w:r w:rsidR="00194631">
        <w:rPr>
          <w:lang w:val="en-GB"/>
        </w:rPr>
        <w:t xml:space="preserve">for the Olympics.  A fleet of coaches brings worshippers from across east London and the </w:t>
      </w:r>
      <w:r w:rsidR="00A53623">
        <w:rPr>
          <w:lang w:val="en-GB"/>
        </w:rPr>
        <w:t>wider region to Chatham, with congregations of up to 8000 attending each Sunday.</w:t>
      </w:r>
    </w:p>
    <w:p w14:paraId="50B2D9D7" w14:textId="77777777" w:rsidR="00A53623" w:rsidRDefault="00A53623" w:rsidP="00B67169">
      <w:pPr>
        <w:ind w:firstLine="720"/>
        <w:rPr>
          <w:lang w:val="en-GB"/>
        </w:rPr>
      </w:pPr>
    </w:p>
    <w:p w14:paraId="043AA966" w14:textId="7AC7C872" w:rsidR="00D8772D" w:rsidRDefault="00A53623" w:rsidP="00C7430E">
      <w:pPr>
        <w:ind w:firstLine="720"/>
      </w:pPr>
      <w:r>
        <w:rPr>
          <w:lang w:val="en-GB"/>
        </w:rPr>
        <w:t xml:space="preserve">The Prayer City </w:t>
      </w:r>
      <w:r w:rsidR="00563BA4">
        <w:rPr>
          <w:lang w:val="en-GB"/>
        </w:rPr>
        <w:t xml:space="preserve">is an extreme example </w:t>
      </w:r>
      <w:r w:rsidR="00C7430E">
        <w:rPr>
          <w:lang w:val="en-GB"/>
        </w:rPr>
        <w:t xml:space="preserve">of a more common </w:t>
      </w:r>
      <w:r w:rsidR="00B44D8A">
        <w:rPr>
          <w:lang w:val="en-GB"/>
        </w:rPr>
        <w:t>pattern.  Whereas once religious organisations fitted into the ecology of British democracy</w:t>
      </w:r>
      <w:r w:rsidR="00E90322">
        <w:rPr>
          <w:lang w:val="en-GB"/>
        </w:rPr>
        <w:t xml:space="preserve"> (</w:t>
      </w:r>
      <w:r w:rsidR="00B44D8A">
        <w:rPr>
          <w:lang w:val="en-GB"/>
        </w:rPr>
        <w:t xml:space="preserve">and </w:t>
      </w:r>
      <w:r w:rsidR="00E90322">
        <w:rPr>
          <w:lang w:val="en-GB"/>
        </w:rPr>
        <w:t>of course the structure of civil parishes as</w:t>
      </w:r>
      <w:r w:rsidR="00B44D8A">
        <w:rPr>
          <w:lang w:val="en-GB"/>
        </w:rPr>
        <w:t xml:space="preserve"> the first tier of local government </w:t>
      </w:r>
      <w:r w:rsidR="00E90322">
        <w:rPr>
          <w:lang w:val="en-GB"/>
        </w:rPr>
        <w:t>in many ar</w:t>
      </w:r>
      <w:r w:rsidR="00722F89">
        <w:rPr>
          <w:lang w:val="en-GB"/>
        </w:rPr>
        <w:t xml:space="preserve">eas is </w:t>
      </w:r>
      <w:r w:rsidR="00DF2B21">
        <w:rPr>
          <w:lang w:val="en-GB"/>
        </w:rPr>
        <w:t xml:space="preserve">a </w:t>
      </w:r>
      <w:r w:rsidR="00722F89">
        <w:rPr>
          <w:lang w:val="en-GB"/>
        </w:rPr>
        <w:t xml:space="preserve">lasting echo of that relationship), the new </w:t>
      </w:r>
      <w:r w:rsidR="00722F89">
        <w:rPr>
          <w:lang w:val="en-GB"/>
        </w:rPr>
        <w:lastRenderedPageBreak/>
        <w:t>geographies of religio</w:t>
      </w:r>
      <w:r w:rsidR="00935199">
        <w:rPr>
          <w:lang w:val="en-GB"/>
        </w:rPr>
        <w:t xml:space="preserve">n place </w:t>
      </w:r>
      <w:r w:rsidR="00DF2B21">
        <w:rPr>
          <w:lang w:val="en-GB"/>
        </w:rPr>
        <w:t xml:space="preserve">a </w:t>
      </w:r>
      <w:r w:rsidR="00935199">
        <w:rPr>
          <w:lang w:val="en-GB"/>
        </w:rPr>
        <w:t xml:space="preserve">strain on that system. </w:t>
      </w:r>
      <w:r w:rsidR="00E851B6">
        <w:rPr>
          <w:lang w:val="en-GB"/>
        </w:rPr>
        <w:t xml:space="preserve"> It is hard for locally elected politicians to represent both the interests of their voters, and these ki</w:t>
      </w:r>
      <w:r w:rsidR="00C412C2">
        <w:rPr>
          <w:lang w:val="en-GB"/>
        </w:rPr>
        <w:t>nd of large, spatially-</w:t>
      </w:r>
      <w:r w:rsidR="00E851B6">
        <w:rPr>
          <w:lang w:val="en-GB"/>
        </w:rPr>
        <w:t>stretched faith communities</w:t>
      </w:r>
      <w:r w:rsidR="00C412C2">
        <w:rPr>
          <w:lang w:val="en-GB"/>
        </w:rPr>
        <w:t xml:space="preserve">.  </w:t>
      </w:r>
      <w:r w:rsidR="009A4DA9">
        <w:rPr>
          <w:lang w:val="en-GB"/>
        </w:rPr>
        <w:t>The British electoral</w:t>
      </w:r>
      <w:r w:rsidR="00B97302">
        <w:rPr>
          <w:lang w:val="en-GB"/>
        </w:rPr>
        <w:t xml:space="preserve"> system has always had a strongly entrenched culture of localism, which has often caused tensions between large-scale developments </w:t>
      </w:r>
      <w:r w:rsidR="00C4203E">
        <w:rPr>
          <w:lang w:val="en-GB"/>
        </w:rPr>
        <w:t xml:space="preserve">with national or regional </w:t>
      </w:r>
      <w:r w:rsidR="00532C75">
        <w:rPr>
          <w:lang w:val="en-GB"/>
        </w:rPr>
        <w:t>importance</w:t>
      </w:r>
      <w:r w:rsidR="00C4203E">
        <w:rPr>
          <w:lang w:val="en-GB"/>
        </w:rPr>
        <w:t xml:space="preserve">, </w:t>
      </w:r>
      <w:r w:rsidR="00532C75">
        <w:rPr>
          <w:lang w:val="en-GB"/>
        </w:rPr>
        <w:t xml:space="preserve">such as airports, prisons and waste-centres, </w:t>
      </w:r>
      <w:r w:rsidR="00C4203E">
        <w:rPr>
          <w:lang w:val="en-GB"/>
        </w:rPr>
        <w:t>and electoral success in individual wards and constituenci</w:t>
      </w:r>
      <w:r w:rsidR="00CA6395">
        <w:rPr>
          <w:lang w:val="en-GB"/>
        </w:rPr>
        <w:t xml:space="preserve">es. </w:t>
      </w:r>
      <w:r w:rsidR="00471595">
        <w:rPr>
          <w:lang w:val="en-GB"/>
        </w:rPr>
        <w:t>‘E</w:t>
      </w:r>
      <w:r w:rsidR="00CA6395">
        <w:rPr>
          <w:lang w:val="en-GB"/>
        </w:rPr>
        <w:t>dge-city</w:t>
      </w:r>
      <w:r w:rsidR="00471595">
        <w:rPr>
          <w:lang w:val="en-GB"/>
        </w:rPr>
        <w:t xml:space="preserve"> faith’ turns religious worship into </w:t>
      </w:r>
      <w:r w:rsidR="00532C75">
        <w:rPr>
          <w:lang w:val="en-GB"/>
        </w:rPr>
        <w:t>a</w:t>
      </w:r>
      <w:r w:rsidR="00934166">
        <w:rPr>
          <w:lang w:val="en-GB"/>
        </w:rPr>
        <w:t xml:space="preserve"> kind of externality, and politics can all too easily </w:t>
      </w:r>
      <w:r w:rsidR="009A4DA9">
        <w:rPr>
          <w:lang w:val="en-GB"/>
        </w:rPr>
        <w:t>become reconfigured around a defence of the ‘local’ against outsiders</w:t>
      </w:r>
      <w:r w:rsidR="00F64C97">
        <w:rPr>
          <w:lang w:val="en-GB"/>
        </w:rPr>
        <w:t>.  In some parts of outer London</w:t>
      </w:r>
      <w:r w:rsidR="00F52C1C">
        <w:rPr>
          <w:lang w:val="en-GB"/>
        </w:rPr>
        <w:t>, th</w:t>
      </w:r>
      <w:r w:rsidR="00F668BD">
        <w:rPr>
          <w:lang w:val="en-GB"/>
        </w:rPr>
        <w:t>ose</w:t>
      </w:r>
      <w:r w:rsidR="00F52C1C">
        <w:rPr>
          <w:lang w:val="en-GB"/>
        </w:rPr>
        <w:t xml:space="preserve"> stresses </w:t>
      </w:r>
      <w:r w:rsidR="00F668BD">
        <w:rPr>
          <w:lang w:val="en-GB"/>
        </w:rPr>
        <w:t xml:space="preserve">associated with congestion, noise and parking are seen as problems to be dealt with as part of </w:t>
      </w:r>
      <w:r w:rsidR="007C7547">
        <w:rPr>
          <w:lang w:val="en-GB"/>
        </w:rPr>
        <w:t>the balance of interest in a</w:t>
      </w:r>
      <w:r w:rsidR="00F668BD">
        <w:rPr>
          <w:lang w:val="en-GB"/>
        </w:rPr>
        <w:t xml:space="preserve"> broader </w:t>
      </w:r>
      <w:r w:rsidR="00362439">
        <w:rPr>
          <w:lang w:val="en-GB"/>
        </w:rPr>
        <w:t>political culture of diversity</w:t>
      </w:r>
      <w:r w:rsidR="001918D8">
        <w:rPr>
          <w:lang w:val="en-GB"/>
        </w:rPr>
        <w:t>;</w:t>
      </w:r>
      <w:r w:rsidR="00362439">
        <w:rPr>
          <w:lang w:val="en-GB"/>
        </w:rPr>
        <w:t xml:space="preserve"> in other places</w:t>
      </w:r>
      <w:r w:rsidR="001918D8">
        <w:rPr>
          <w:lang w:val="en-GB"/>
        </w:rPr>
        <w:t>,</w:t>
      </w:r>
      <w:r w:rsidR="00362439">
        <w:rPr>
          <w:lang w:val="en-GB"/>
        </w:rPr>
        <w:t xml:space="preserve"> the danger is that these tensions </w:t>
      </w:r>
      <w:r w:rsidR="003D2384">
        <w:rPr>
          <w:lang w:val="en-GB"/>
        </w:rPr>
        <w:t xml:space="preserve">are </w:t>
      </w:r>
      <w:r w:rsidR="00995476">
        <w:rPr>
          <w:lang w:val="en-GB"/>
        </w:rPr>
        <w:t>easily recast in</w:t>
      </w:r>
      <w:r w:rsidR="007C7547">
        <w:rPr>
          <w:lang w:val="en-GB"/>
        </w:rPr>
        <w:t>to</w:t>
      </w:r>
      <w:r w:rsidR="00995476">
        <w:rPr>
          <w:lang w:val="en-GB"/>
        </w:rPr>
        <w:t xml:space="preserve"> the politic</w:t>
      </w:r>
      <w:r w:rsidR="00845F04">
        <w:rPr>
          <w:lang w:val="en-GB"/>
        </w:rPr>
        <w:t>s of division and cultural essentialism.</w:t>
      </w:r>
    </w:p>
    <w:p w14:paraId="4CA35446" w14:textId="77777777" w:rsidR="0032039D" w:rsidRDefault="0032039D"/>
    <w:p w14:paraId="65C2CD47" w14:textId="77777777" w:rsidR="004C02BE" w:rsidRDefault="004C02BE"/>
    <w:p w14:paraId="563E3D6D" w14:textId="24D7E51D" w:rsidR="0003272E" w:rsidRPr="0003272E" w:rsidRDefault="0003272E"/>
    <w:sectPr w:rsidR="0003272E" w:rsidRPr="0003272E" w:rsidSect="001F54DC">
      <w:endnotePr>
        <w:numFmt w:val="decimal"/>
      </w:endnotePr>
      <w:pgSz w:w="11900" w:h="16840"/>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632C46A" w15:done="0"/>
  <w15:commentEx w15:paraId="37A9ECF3"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4F93D6" w14:textId="77777777" w:rsidR="00663F12" w:rsidRDefault="00663F12" w:rsidP="00B92B11">
      <w:r>
        <w:separator/>
      </w:r>
    </w:p>
  </w:endnote>
  <w:endnote w:type="continuationSeparator" w:id="0">
    <w:p w14:paraId="23189586" w14:textId="77777777" w:rsidR="00663F12" w:rsidRDefault="00663F12" w:rsidP="00B92B11">
      <w:r>
        <w:continuationSeparator/>
      </w:r>
    </w:p>
  </w:endnote>
  <w:endnote w:id="1">
    <w:p w14:paraId="4C50F5C5" w14:textId="1477E82A" w:rsidR="00427F53" w:rsidRPr="007C62C5" w:rsidRDefault="00427F53" w:rsidP="000564DB">
      <w:pPr>
        <w:pStyle w:val="EndnoteText"/>
        <w:spacing w:after="120"/>
        <w:rPr>
          <w:bCs/>
          <w:sz w:val="24"/>
          <w:szCs w:val="24"/>
          <w:lang w:val="en-GB"/>
        </w:rPr>
      </w:pPr>
      <w:r w:rsidRPr="00123EF2">
        <w:rPr>
          <w:rStyle w:val="EndnoteReference"/>
          <w:sz w:val="24"/>
          <w:szCs w:val="24"/>
        </w:rPr>
        <w:endnoteRef/>
      </w:r>
      <w:r w:rsidRPr="00123EF2">
        <w:rPr>
          <w:sz w:val="24"/>
          <w:szCs w:val="24"/>
        </w:rPr>
        <w:t xml:space="preserve"> </w:t>
      </w:r>
      <w:r>
        <w:rPr>
          <w:sz w:val="24"/>
          <w:szCs w:val="24"/>
        </w:rPr>
        <w:t xml:space="preserve">See for examples of the ‘new suburban studies’: Roger Silverstone, ed., </w:t>
      </w:r>
      <w:r>
        <w:rPr>
          <w:i/>
          <w:sz w:val="24"/>
          <w:szCs w:val="24"/>
        </w:rPr>
        <w:t>Visions of Suburbia</w:t>
      </w:r>
      <w:r>
        <w:rPr>
          <w:sz w:val="24"/>
          <w:szCs w:val="24"/>
        </w:rPr>
        <w:t xml:space="preserve">, London, Routledge 1996; Mark Clapson, </w:t>
      </w:r>
      <w:r w:rsidRPr="007431C7">
        <w:rPr>
          <w:bCs/>
          <w:i/>
          <w:sz w:val="24"/>
          <w:szCs w:val="24"/>
          <w:lang w:val="en-GB"/>
        </w:rPr>
        <w:t xml:space="preserve">Suburban Century: Social Change and Urban </w:t>
      </w:r>
      <w:r w:rsidRPr="007C62C5">
        <w:rPr>
          <w:bCs/>
          <w:i/>
          <w:sz w:val="24"/>
          <w:szCs w:val="24"/>
          <w:lang w:val="en-GB"/>
        </w:rPr>
        <w:t xml:space="preserve">Growth in England and the </w:t>
      </w:r>
      <w:r w:rsidRPr="007C62C5">
        <w:rPr>
          <w:bCs/>
          <w:sz w:val="24"/>
          <w:szCs w:val="24"/>
          <w:lang w:val="en-GB"/>
        </w:rPr>
        <w:t xml:space="preserve">USA, Oxford, Berg, 2003; </w:t>
      </w:r>
      <w:r w:rsidRPr="007C62C5">
        <w:rPr>
          <w:sz w:val="24"/>
          <w:szCs w:val="24"/>
        </w:rPr>
        <w:t xml:space="preserve">Rupa Huq, </w:t>
      </w:r>
      <w:r w:rsidRPr="007C62C5">
        <w:rPr>
          <w:i/>
          <w:sz w:val="24"/>
          <w:szCs w:val="24"/>
        </w:rPr>
        <w:t>O</w:t>
      </w:r>
      <w:r w:rsidRPr="007C62C5">
        <w:rPr>
          <w:bCs/>
          <w:i/>
          <w:sz w:val="24"/>
          <w:szCs w:val="24"/>
          <w:lang w:val="en-GB"/>
        </w:rPr>
        <w:t xml:space="preserve">n the Edge: The Contested Cultures of English Suburbia, </w:t>
      </w:r>
      <w:r w:rsidRPr="007C62C5">
        <w:rPr>
          <w:bCs/>
          <w:sz w:val="24"/>
          <w:szCs w:val="24"/>
          <w:lang w:val="en-GB"/>
        </w:rPr>
        <w:t xml:space="preserve">London, Lawrence &amp; Wishart, 2013. For discussion of the relationship between religion and suburbia see: Claire Dwyer, David Gilbert, and </w:t>
      </w:r>
      <w:r>
        <w:rPr>
          <w:bCs/>
          <w:sz w:val="24"/>
          <w:szCs w:val="24"/>
          <w:lang w:val="en-GB"/>
        </w:rPr>
        <w:t xml:space="preserve">Bindi Shah ‘Faith and suburbia: </w:t>
      </w:r>
      <w:r w:rsidRPr="007C62C5">
        <w:rPr>
          <w:bCs/>
          <w:sz w:val="24"/>
          <w:szCs w:val="24"/>
          <w:lang w:val="en-GB"/>
        </w:rPr>
        <w:t xml:space="preserve">secularisation, modernity and the changing geographies of religion in London’s suburbs’, </w:t>
      </w:r>
      <w:r w:rsidRPr="007C62C5">
        <w:rPr>
          <w:bCs/>
          <w:i/>
          <w:sz w:val="24"/>
          <w:szCs w:val="24"/>
          <w:lang w:val="en-GB"/>
        </w:rPr>
        <w:t>Transactions of the Institute of British Geographers</w:t>
      </w:r>
      <w:r w:rsidRPr="007C62C5">
        <w:rPr>
          <w:bCs/>
          <w:sz w:val="24"/>
          <w:szCs w:val="24"/>
          <w:lang w:val="en-GB"/>
        </w:rPr>
        <w:t xml:space="preserve">, vol. 38, </w:t>
      </w:r>
      <w:r>
        <w:rPr>
          <w:bCs/>
          <w:sz w:val="24"/>
          <w:szCs w:val="24"/>
          <w:lang w:val="en-GB"/>
        </w:rPr>
        <w:t xml:space="preserve">2013, </w:t>
      </w:r>
      <w:r w:rsidRPr="007C62C5">
        <w:rPr>
          <w:bCs/>
          <w:sz w:val="24"/>
          <w:szCs w:val="24"/>
          <w:lang w:val="en-GB"/>
        </w:rPr>
        <w:t>pp. 403–419.</w:t>
      </w:r>
    </w:p>
  </w:endnote>
  <w:endnote w:id="2">
    <w:p w14:paraId="57668E19" w14:textId="0961BB3F" w:rsidR="00427F53" w:rsidRPr="00123EF2" w:rsidRDefault="00427F53" w:rsidP="000564DB">
      <w:pPr>
        <w:pStyle w:val="EndnoteText"/>
        <w:spacing w:after="120"/>
        <w:rPr>
          <w:i/>
          <w:sz w:val="24"/>
          <w:szCs w:val="24"/>
        </w:rPr>
      </w:pPr>
      <w:r w:rsidRPr="00123EF2">
        <w:rPr>
          <w:rStyle w:val="EndnoteReference"/>
          <w:sz w:val="24"/>
          <w:szCs w:val="24"/>
        </w:rPr>
        <w:endnoteRef/>
      </w:r>
      <w:r w:rsidRPr="00123EF2">
        <w:rPr>
          <w:sz w:val="24"/>
          <w:szCs w:val="24"/>
        </w:rPr>
        <w:t xml:space="preserve"> ‘Bagehot’, ‘Theresa May, Tory of Tories’ </w:t>
      </w:r>
      <w:r w:rsidRPr="00123EF2">
        <w:rPr>
          <w:i/>
          <w:sz w:val="24"/>
          <w:szCs w:val="24"/>
        </w:rPr>
        <w:t xml:space="preserve">The Economist, </w:t>
      </w:r>
      <w:r w:rsidRPr="00123EF2">
        <w:rPr>
          <w:sz w:val="24"/>
          <w:szCs w:val="24"/>
        </w:rPr>
        <w:t>22</w:t>
      </w:r>
      <w:r w:rsidRPr="00123EF2">
        <w:rPr>
          <w:sz w:val="24"/>
          <w:szCs w:val="24"/>
          <w:vertAlign w:val="superscript"/>
        </w:rPr>
        <w:t>nd</w:t>
      </w:r>
      <w:r w:rsidRPr="00123EF2">
        <w:rPr>
          <w:sz w:val="24"/>
          <w:szCs w:val="24"/>
        </w:rPr>
        <w:t xml:space="preserve"> April 2017, p. 28. </w:t>
      </w:r>
      <w:r w:rsidRPr="00123EF2">
        <w:rPr>
          <w:i/>
          <w:sz w:val="24"/>
          <w:szCs w:val="24"/>
        </w:rPr>
        <w:t xml:space="preserve"> </w:t>
      </w:r>
    </w:p>
  </w:endnote>
  <w:endnote w:id="3">
    <w:p w14:paraId="14664062" w14:textId="77777777" w:rsidR="00427F53" w:rsidRPr="00123EF2" w:rsidRDefault="00427F53" w:rsidP="000564DB">
      <w:pPr>
        <w:pStyle w:val="EndnoteText"/>
        <w:spacing w:after="120"/>
        <w:rPr>
          <w:sz w:val="24"/>
          <w:szCs w:val="24"/>
          <w:lang w:val="en-GB"/>
        </w:rPr>
      </w:pPr>
      <w:r w:rsidRPr="00123EF2">
        <w:rPr>
          <w:rStyle w:val="EndnoteReference"/>
          <w:sz w:val="24"/>
          <w:szCs w:val="24"/>
        </w:rPr>
        <w:endnoteRef/>
      </w:r>
      <w:r w:rsidRPr="00123EF2">
        <w:rPr>
          <w:sz w:val="24"/>
          <w:szCs w:val="24"/>
        </w:rPr>
        <w:t xml:space="preserve"> </w:t>
      </w:r>
      <w:r w:rsidRPr="00123EF2">
        <w:rPr>
          <w:i/>
          <w:sz w:val="24"/>
          <w:szCs w:val="24"/>
          <w:lang w:val="en-GB"/>
        </w:rPr>
        <w:t xml:space="preserve">Ealing Times, </w:t>
      </w:r>
      <w:r w:rsidRPr="00123EF2">
        <w:rPr>
          <w:sz w:val="24"/>
          <w:szCs w:val="24"/>
          <w:lang w:val="en-GB"/>
        </w:rPr>
        <w:t xml:space="preserve">7th March 2002. </w:t>
      </w:r>
      <w:r w:rsidRPr="00123EF2">
        <w:rPr>
          <w:i/>
          <w:sz w:val="24"/>
          <w:szCs w:val="24"/>
          <w:lang w:val="en-GB"/>
        </w:rPr>
        <w:t xml:space="preserve"> </w:t>
      </w:r>
    </w:p>
  </w:endnote>
  <w:endnote w:id="4">
    <w:p w14:paraId="124521B6" w14:textId="5D61A6C3" w:rsidR="005F6736" w:rsidRPr="001048FF" w:rsidRDefault="005F6736">
      <w:pPr>
        <w:pStyle w:val="EndnoteText"/>
        <w:rPr>
          <w:rFonts w:ascii="Times New Roman" w:hAnsi="Times New Roman" w:cs="Times New Roman"/>
          <w:sz w:val="24"/>
          <w:szCs w:val="24"/>
        </w:rPr>
      </w:pPr>
      <w:r>
        <w:rPr>
          <w:rStyle w:val="EndnoteReference"/>
        </w:rPr>
        <w:endnoteRef/>
      </w:r>
      <w:r>
        <w:t xml:space="preserve">  </w:t>
      </w:r>
      <w:bookmarkStart w:id="0" w:name="_GoBack"/>
      <w:r w:rsidRPr="00F14315">
        <w:rPr>
          <w:rFonts w:cs="Times New Roman"/>
          <w:sz w:val="24"/>
          <w:szCs w:val="24"/>
        </w:rPr>
        <w:t xml:space="preserve">See </w:t>
      </w:r>
      <w:hyperlink r:id="rId1" w:history="1">
        <w:r w:rsidR="00402BC3" w:rsidRPr="00F14315">
          <w:rPr>
            <w:rStyle w:val="Hyperlink"/>
            <w:rFonts w:cs="Times New Roman"/>
            <w:sz w:val="24"/>
            <w:szCs w:val="24"/>
          </w:rPr>
          <w:t>https://makingsuburbanfaith.wordpress.com</w:t>
        </w:r>
      </w:hyperlink>
      <w:proofErr w:type="gramStart"/>
      <w:r w:rsidR="001048FF" w:rsidRPr="00F14315">
        <w:rPr>
          <w:rFonts w:cs="Times New Roman"/>
          <w:sz w:val="24"/>
          <w:szCs w:val="24"/>
        </w:rPr>
        <w:t xml:space="preserve">  </w:t>
      </w:r>
      <w:r w:rsidRPr="00F14315">
        <w:rPr>
          <w:rFonts w:cs="Times New Roman"/>
          <w:sz w:val="24"/>
          <w:szCs w:val="24"/>
        </w:rPr>
        <w:t>This</w:t>
      </w:r>
      <w:proofErr w:type="gramEnd"/>
      <w:r w:rsidRPr="00F14315">
        <w:rPr>
          <w:rFonts w:cs="Times New Roman"/>
          <w:sz w:val="24"/>
          <w:szCs w:val="24"/>
        </w:rPr>
        <w:t xml:space="preserve"> project is funded by the Arts and Humanities Research Council</w:t>
      </w:r>
      <w:r w:rsidR="00402BC3" w:rsidRPr="00F14315">
        <w:rPr>
          <w:rFonts w:cs="Times New Roman"/>
          <w:sz w:val="24"/>
          <w:szCs w:val="24"/>
        </w:rPr>
        <w:t xml:space="preserve"> (</w:t>
      </w:r>
      <w:r w:rsidR="001048FF" w:rsidRPr="00F14315">
        <w:rPr>
          <w:rFonts w:cs="Times New Roman"/>
          <w:color w:val="000000"/>
          <w:sz w:val="24"/>
          <w:szCs w:val="24"/>
          <w:lang w:val="en-GB"/>
        </w:rPr>
        <w:t>AH/M001636/1)</w:t>
      </w:r>
      <w:bookmarkEnd w:id="0"/>
    </w:p>
    <w:p w14:paraId="5365D82B" w14:textId="77777777" w:rsidR="00402BC3" w:rsidRDefault="00402BC3">
      <w:pPr>
        <w:pStyle w:val="EndnoteText"/>
      </w:pPr>
    </w:p>
  </w:endnote>
  <w:endnote w:id="5">
    <w:p w14:paraId="57E8709D" w14:textId="618FDDCC" w:rsidR="00427F53" w:rsidRPr="00F8272F" w:rsidRDefault="00427F53" w:rsidP="003E4ECA">
      <w:pPr>
        <w:pStyle w:val="EndnoteText"/>
        <w:spacing w:after="120"/>
        <w:rPr>
          <w:i/>
          <w:lang w:val="en-GB"/>
        </w:rPr>
      </w:pPr>
      <w:r w:rsidRPr="00123EF2">
        <w:rPr>
          <w:rStyle w:val="EndnoteReference"/>
          <w:sz w:val="24"/>
          <w:szCs w:val="24"/>
        </w:rPr>
        <w:endnoteRef/>
      </w:r>
      <w:r w:rsidRPr="00123EF2">
        <w:rPr>
          <w:sz w:val="24"/>
          <w:szCs w:val="24"/>
        </w:rPr>
        <w:t xml:space="preserve">  </w:t>
      </w:r>
      <w:r>
        <w:rPr>
          <w:sz w:val="24"/>
          <w:szCs w:val="24"/>
        </w:rPr>
        <w:t xml:space="preserve">John Carey, </w:t>
      </w:r>
      <w:r w:rsidRPr="00190873">
        <w:rPr>
          <w:i/>
          <w:sz w:val="24"/>
          <w:szCs w:val="24"/>
        </w:rPr>
        <w:t>T</w:t>
      </w:r>
      <w:r w:rsidRPr="00190873">
        <w:rPr>
          <w:i/>
          <w:sz w:val="24"/>
          <w:szCs w:val="24"/>
          <w:lang w:val="en-GB"/>
        </w:rPr>
        <w:t>he </w:t>
      </w:r>
      <w:r w:rsidRPr="00190873">
        <w:rPr>
          <w:bCs/>
          <w:i/>
          <w:sz w:val="24"/>
          <w:szCs w:val="24"/>
          <w:lang w:val="en-GB"/>
        </w:rPr>
        <w:t>Intellectuals and the Masses</w:t>
      </w:r>
      <w:r w:rsidRPr="00190873">
        <w:rPr>
          <w:i/>
          <w:sz w:val="24"/>
          <w:szCs w:val="24"/>
          <w:lang w:val="en-GB"/>
        </w:rPr>
        <w:t>: Pride and Prejudice Among the Literary Intelligentsia, 1880-1939</w:t>
      </w:r>
      <w:r>
        <w:rPr>
          <w:i/>
          <w:sz w:val="24"/>
          <w:szCs w:val="24"/>
          <w:lang w:val="en-GB"/>
        </w:rPr>
        <w:t xml:space="preserve">, </w:t>
      </w:r>
      <w:r>
        <w:rPr>
          <w:sz w:val="24"/>
          <w:szCs w:val="24"/>
          <w:lang w:val="en-GB"/>
        </w:rPr>
        <w:t>London, Fabre &amp; Faber, 1992, p. 53.</w:t>
      </w:r>
      <w:r w:rsidRPr="00190873">
        <w:rPr>
          <w:i/>
          <w:sz w:val="24"/>
          <w:szCs w:val="24"/>
          <w:lang w:val="en-GB"/>
        </w:rPr>
        <w:t> </w:t>
      </w:r>
    </w:p>
  </w:endnote>
  <w:endnote w:id="6">
    <w:p w14:paraId="3D931438" w14:textId="5712563E" w:rsidR="00427F53" w:rsidRPr="00F8272F" w:rsidRDefault="00427F53" w:rsidP="000564DB">
      <w:pPr>
        <w:pStyle w:val="EndnoteText"/>
        <w:spacing w:after="120"/>
        <w:rPr>
          <w:bCs/>
          <w:sz w:val="24"/>
          <w:szCs w:val="24"/>
          <w:lang w:val="en-GB"/>
        </w:rPr>
      </w:pPr>
      <w:r w:rsidRPr="00123EF2">
        <w:rPr>
          <w:rStyle w:val="EndnoteReference"/>
          <w:sz w:val="24"/>
          <w:szCs w:val="24"/>
        </w:rPr>
        <w:endnoteRef/>
      </w:r>
      <w:r w:rsidRPr="00123EF2">
        <w:rPr>
          <w:sz w:val="24"/>
          <w:szCs w:val="24"/>
        </w:rPr>
        <w:t xml:space="preserve"> </w:t>
      </w:r>
      <w:r>
        <w:rPr>
          <w:sz w:val="24"/>
          <w:szCs w:val="24"/>
        </w:rPr>
        <w:t xml:space="preserve">Martin Rosenbaum, </w:t>
      </w:r>
      <w:r w:rsidRPr="00E778EF">
        <w:rPr>
          <w:sz w:val="24"/>
          <w:szCs w:val="24"/>
        </w:rPr>
        <w:t>‘</w:t>
      </w:r>
      <w:r w:rsidRPr="00E778EF">
        <w:rPr>
          <w:bCs/>
          <w:sz w:val="24"/>
          <w:szCs w:val="24"/>
          <w:lang w:val="en-GB"/>
        </w:rPr>
        <w:t>Local voting figures shed new light on EU referendum</w:t>
      </w:r>
      <w:r>
        <w:rPr>
          <w:bCs/>
          <w:sz w:val="24"/>
          <w:szCs w:val="24"/>
          <w:lang w:val="en-GB"/>
        </w:rPr>
        <w:t xml:space="preserve">’, BBC News </w:t>
      </w:r>
      <w:r w:rsidRPr="00C46310">
        <w:rPr>
          <w:bCs/>
          <w:sz w:val="24"/>
          <w:szCs w:val="24"/>
          <w:lang w:val="en-GB"/>
        </w:rPr>
        <w:t xml:space="preserve">online, 6 Feb 2017. </w:t>
      </w:r>
      <w:hyperlink r:id="rId2" w:history="1">
        <w:r w:rsidRPr="00C46310">
          <w:rPr>
            <w:rStyle w:val="Hyperlink"/>
            <w:bCs/>
            <w:sz w:val="24"/>
            <w:szCs w:val="24"/>
            <w:lang w:val="en-GB"/>
          </w:rPr>
          <w:t>http://www.bbc.co.uk/news/uk-politics-38762034</w:t>
        </w:r>
      </w:hyperlink>
      <w:r w:rsidRPr="00C46310">
        <w:rPr>
          <w:bCs/>
          <w:sz w:val="24"/>
          <w:szCs w:val="24"/>
          <w:lang w:val="en-GB"/>
        </w:rPr>
        <w:t xml:space="preserve"> (accessed 1 May 2017). </w:t>
      </w:r>
    </w:p>
  </w:endnote>
  <w:endnote w:id="7">
    <w:p w14:paraId="4895CCE8" w14:textId="2601D400" w:rsidR="00427F53" w:rsidRPr="00123EF2" w:rsidRDefault="00427F53" w:rsidP="000564DB">
      <w:pPr>
        <w:pStyle w:val="EndnoteText"/>
        <w:spacing w:after="120"/>
        <w:rPr>
          <w:sz w:val="24"/>
          <w:szCs w:val="24"/>
          <w:lang w:val="en-GB"/>
        </w:rPr>
      </w:pPr>
      <w:r w:rsidRPr="00123EF2">
        <w:rPr>
          <w:rStyle w:val="EndnoteReference"/>
          <w:sz w:val="24"/>
          <w:szCs w:val="24"/>
        </w:rPr>
        <w:endnoteRef/>
      </w:r>
      <w:r w:rsidRPr="00123EF2">
        <w:rPr>
          <w:sz w:val="24"/>
          <w:szCs w:val="24"/>
        </w:rPr>
        <w:t xml:space="preserve">  Hugh Muir ‘</w:t>
      </w:r>
      <w:r w:rsidRPr="00123EF2">
        <w:rPr>
          <w:sz w:val="24"/>
          <w:szCs w:val="24"/>
          <w:lang w:val="en-GB"/>
        </w:rPr>
        <w:t xml:space="preserve">Black flight: how England’s suburbs are changing colour’ </w:t>
      </w:r>
      <w:r w:rsidRPr="00123EF2">
        <w:rPr>
          <w:i/>
          <w:sz w:val="24"/>
          <w:szCs w:val="24"/>
          <w:lang w:val="en-GB"/>
        </w:rPr>
        <w:t xml:space="preserve">The Guardian </w:t>
      </w:r>
      <w:r w:rsidRPr="00123EF2">
        <w:rPr>
          <w:sz w:val="24"/>
          <w:szCs w:val="24"/>
          <w:lang w:val="en-GB"/>
        </w:rPr>
        <w:t>8</w:t>
      </w:r>
      <w:r w:rsidRPr="00123EF2">
        <w:rPr>
          <w:sz w:val="24"/>
          <w:szCs w:val="24"/>
          <w:vertAlign w:val="superscript"/>
          <w:lang w:val="en-GB"/>
        </w:rPr>
        <w:t>th</w:t>
      </w:r>
      <w:r w:rsidRPr="00123EF2">
        <w:rPr>
          <w:sz w:val="24"/>
          <w:szCs w:val="24"/>
          <w:lang w:val="en-GB"/>
        </w:rPr>
        <w:t xml:space="preserve"> July 2016. </w:t>
      </w:r>
      <w:hyperlink r:id="rId3" w:history="1">
        <w:r w:rsidRPr="00A17C8B">
          <w:rPr>
            <w:rStyle w:val="Hyperlink"/>
            <w:sz w:val="24"/>
            <w:szCs w:val="24"/>
            <w:lang w:val="en-GB"/>
          </w:rPr>
          <w:t>https://www.theguardian.com/commentisfree/2016/jul/08/black-flight-england-suburbs-ethnic-minorities-multiculturalism</w:t>
        </w:r>
      </w:hyperlink>
      <w:r>
        <w:rPr>
          <w:sz w:val="24"/>
          <w:szCs w:val="24"/>
          <w:lang w:val="en-GB"/>
        </w:rPr>
        <w:t xml:space="preserve"> (accessed 1 May 2017).</w:t>
      </w:r>
    </w:p>
  </w:endnote>
  <w:endnote w:id="8">
    <w:p w14:paraId="5921855E" w14:textId="33B0D666" w:rsidR="00427F53" w:rsidRPr="00123EF2" w:rsidRDefault="00427F53" w:rsidP="000564DB">
      <w:pPr>
        <w:pStyle w:val="EndnoteText"/>
        <w:spacing w:after="120"/>
        <w:rPr>
          <w:sz w:val="24"/>
          <w:szCs w:val="24"/>
        </w:rPr>
      </w:pPr>
      <w:r w:rsidRPr="00123EF2">
        <w:rPr>
          <w:rStyle w:val="EndnoteReference"/>
          <w:sz w:val="24"/>
          <w:szCs w:val="24"/>
        </w:rPr>
        <w:endnoteRef/>
      </w:r>
      <w:r w:rsidRPr="00123EF2">
        <w:rPr>
          <w:sz w:val="24"/>
          <w:szCs w:val="24"/>
        </w:rPr>
        <w:t xml:space="preserve"> Migration Observatory </w:t>
      </w:r>
      <w:r w:rsidRPr="00123EF2">
        <w:rPr>
          <w:i/>
          <w:sz w:val="24"/>
          <w:szCs w:val="24"/>
        </w:rPr>
        <w:t xml:space="preserve">London Census Profile </w:t>
      </w:r>
      <w:r w:rsidRPr="00123EF2">
        <w:rPr>
          <w:sz w:val="24"/>
          <w:szCs w:val="24"/>
        </w:rPr>
        <w:t xml:space="preserve">(20 May 2013). </w:t>
      </w:r>
      <w:hyperlink r:id="rId4" w:history="1">
        <w:r w:rsidRPr="00123EF2">
          <w:rPr>
            <w:rStyle w:val="Hyperlink"/>
            <w:sz w:val="24"/>
            <w:szCs w:val="24"/>
          </w:rPr>
          <w:t>http://www.migrationobservatory.ox.ac.uk/resources/briefings/london-census-profile/</w:t>
        </w:r>
      </w:hyperlink>
      <w:r w:rsidRPr="00123EF2">
        <w:rPr>
          <w:rStyle w:val="Hyperlink"/>
          <w:sz w:val="24"/>
          <w:szCs w:val="24"/>
        </w:rPr>
        <w:t xml:space="preserve"> </w:t>
      </w:r>
      <w:r w:rsidRPr="00123EF2">
        <w:rPr>
          <w:rStyle w:val="Hyperlink"/>
          <w:color w:val="auto"/>
          <w:sz w:val="24"/>
          <w:szCs w:val="24"/>
          <w:u w:val="none"/>
        </w:rPr>
        <w:t>(accessed 1 May 2017)</w:t>
      </w:r>
      <w:r>
        <w:rPr>
          <w:rStyle w:val="Hyperlink"/>
          <w:sz w:val="24"/>
          <w:szCs w:val="24"/>
          <w:u w:val="none"/>
        </w:rPr>
        <w:t>.</w:t>
      </w:r>
    </w:p>
  </w:endnote>
  <w:endnote w:id="9">
    <w:p w14:paraId="3178158E" w14:textId="21F0F196" w:rsidR="00427F53" w:rsidRPr="000564DB" w:rsidRDefault="00427F53" w:rsidP="000564DB">
      <w:pPr>
        <w:pStyle w:val="EndnoteText"/>
        <w:spacing w:after="120"/>
        <w:rPr>
          <w:bCs/>
          <w:sz w:val="24"/>
          <w:szCs w:val="24"/>
          <w:lang w:val="en-GB"/>
        </w:rPr>
      </w:pPr>
      <w:r w:rsidRPr="00123EF2">
        <w:rPr>
          <w:rStyle w:val="EndnoteReference"/>
          <w:sz w:val="24"/>
          <w:szCs w:val="24"/>
        </w:rPr>
        <w:endnoteRef/>
      </w:r>
      <w:r w:rsidRPr="00123EF2">
        <w:rPr>
          <w:sz w:val="24"/>
          <w:szCs w:val="24"/>
        </w:rPr>
        <w:t xml:space="preserve">  We Li, </w:t>
      </w:r>
      <w:r w:rsidRPr="00123EF2">
        <w:rPr>
          <w:bCs/>
          <w:i/>
          <w:sz w:val="24"/>
          <w:szCs w:val="24"/>
          <w:lang w:val="en-GB"/>
        </w:rPr>
        <w:t xml:space="preserve">Ethnoburb: The New Ethnic Community in Urban America </w:t>
      </w:r>
      <w:r w:rsidRPr="00123EF2">
        <w:rPr>
          <w:bCs/>
          <w:sz w:val="24"/>
          <w:szCs w:val="24"/>
          <w:lang w:val="en-GB"/>
        </w:rPr>
        <w:t>2009 University Of Hawai'i Press.</w:t>
      </w:r>
    </w:p>
  </w:endnote>
  <w:endnote w:id="10">
    <w:p w14:paraId="56417738" w14:textId="527EE5ED" w:rsidR="00427F53" w:rsidRPr="00123EF2" w:rsidRDefault="00427F53" w:rsidP="000564DB">
      <w:pPr>
        <w:pStyle w:val="EndnoteText"/>
        <w:spacing w:after="120"/>
        <w:rPr>
          <w:sz w:val="24"/>
          <w:szCs w:val="24"/>
        </w:rPr>
      </w:pPr>
      <w:r w:rsidRPr="00123EF2">
        <w:rPr>
          <w:rStyle w:val="EndnoteReference"/>
          <w:sz w:val="24"/>
          <w:szCs w:val="24"/>
        </w:rPr>
        <w:endnoteRef/>
      </w:r>
      <w:r w:rsidRPr="00123EF2">
        <w:rPr>
          <w:sz w:val="24"/>
          <w:szCs w:val="24"/>
        </w:rPr>
        <w:t xml:space="preserve">  </w:t>
      </w:r>
      <w:r w:rsidRPr="00123EF2">
        <w:rPr>
          <w:sz w:val="24"/>
          <w:szCs w:val="24"/>
          <w:lang w:val="en-GB"/>
        </w:rPr>
        <w:t xml:space="preserve">Peter Brierley, </w:t>
      </w:r>
      <w:r w:rsidRPr="00123EF2">
        <w:rPr>
          <w:i/>
          <w:sz w:val="24"/>
          <w:szCs w:val="24"/>
          <w:lang w:val="en-GB"/>
        </w:rPr>
        <w:t>UK Church Statistics 2005-2015</w:t>
      </w:r>
      <w:r w:rsidRPr="00123EF2">
        <w:rPr>
          <w:sz w:val="24"/>
          <w:szCs w:val="24"/>
          <w:lang w:val="en-GB"/>
        </w:rPr>
        <w:t>, (Tonbridge, ADBC, 2011), table 13.8</w:t>
      </w:r>
    </w:p>
  </w:endnote>
  <w:endnote w:id="11">
    <w:p w14:paraId="26EEE23E" w14:textId="4C8CD1C6" w:rsidR="00427F53" w:rsidRPr="00123EF2" w:rsidRDefault="00427F53" w:rsidP="004215A1">
      <w:pPr>
        <w:pStyle w:val="EndnoteText"/>
        <w:spacing w:after="120"/>
        <w:rPr>
          <w:sz w:val="24"/>
          <w:szCs w:val="24"/>
        </w:rPr>
      </w:pPr>
      <w:r w:rsidRPr="00123EF2">
        <w:rPr>
          <w:rStyle w:val="EndnoteReference"/>
          <w:sz w:val="24"/>
          <w:szCs w:val="24"/>
        </w:rPr>
        <w:endnoteRef/>
      </w:r>
      <w:r w:rsidRPr="00123EF2">
        <w:rPr>
          <w:sz w:val="24"/>
          <w:szCs w:val="24"/>
        </w:rPr>
        <w:t xml:space="preserve">  </w:t>
      </w:r>
      <w:r>
        <w:rPr>
          <w:sz w:val="24"/>
          <w:szCs w:val="24"/>
        </w:rPr>
        <w:t>John Eade, ‘</w:t>
      </w:r>
      <w:r w:rsidRPr="00123EF2">
        <w:rPr>
          <w:sz w:val="24"/>
          <w:szCs w:val="24"/>
        </w:rPr>
        <w:t>The political articulation of community and the Islamisation of space in London</w:t>
      </w:r>
      <w:r>
        <w:rPr>
          <w:sz w:val="24"/>
          <w:szCs w:val="24"/>
        </w:rPr>
        <w:t>’</w:t>
      </w:r>
      <w:r w:rsidRPr="00123EF2">
        <w:rPr>
          <w:sz w:val="24"/>
          <w:szCs w:val="24"/>
        </w:rPr>
        <w:t xml:space="preserve"> in </w:t>
      </w:r>
      <w:r>
        <w:rPr>
          <w:sz w:val="24"/>
          <w:szCs w:val="24"/>
        </w:rPr>
        <w:t xml:space="preserve">R. </w:t>
      </w:r>
      <w:r w:rsidRPr="00123EF2">
        <w:rPr>
          <w:sz w:val="24"/>
          <w:szCs w:val="24"/>
        </w:rPr>
        <w:t>Barot ed</w:t>
      </w:r>
      <w:r>
        <w:rPr>
          <w:sz w:val="24"/>
          <w:szCs w:val="24"/>
        </w:rPr>
        <w:t>.</w:t>
      </w:r>
      <w:r w:rsidRPr="00123EF2">
        <w:rPr>
          <w:sz w:val="24"/>
          <w:szCs w:val="24"/>
        </w:rPr>
        <w:t xml:space="preserve"> </w:t>
      </w:r>
      <w:r w:rsidRPr="006E4A7D">
        <w:rPr>
          <w:i/>
          <w:sz w:val="24"/>
          <w:szCs w:val="24"/>
        </w:rPr>
        <w:t>Religion and ethnicity: minorities and social change in the metropolis</w:t>
      </w:r>
      <w:r>
        <w:rPr>
          <w:i/>
          <w:sz w:val="24"/>
          <w:szCs w:val="24"/>
        </w:rPr>
        <w:t xml:space="preserve">, </w:t>
      </w:r>
      <w:r w:rsidRPr="00123EF2">
        <w:rPr>
          <w:sz w:val="24"/>
          <w:szCs w:val="24"/>
        </w:rPr>
        <w:t>Kampen</w:t>
      </w:r>
      <w:r>
        <w:rPr>
          <w:sz w:val="24"/>
          <w:szCs w:val="24"/>
        </w:rPr>
        <w:t xml:space="preserve">, </w:t>
      </w:r>
      <w:r w:rsidRPr="00123EF2">
        <w:rPr>
          <w:sz w:val="24"/>
          <w:szCs w:val="24"/>
        </w:rPr>
        <w:t xml:space="preserve">Kok Pharos, </w:t>
      </w:r>
      <w:r>
        <w:rPr>
          <w:sz w:val="24"/>
          <w:szCs w:val="24"/>
        </w:rPr>
        <w:t xml:space="preserve">pp. </w:t>
      </w:r>
      <w:r w:rsidRPr="00123EF2">
        <w:rPr>
          <w:sz w:val="24"/>
          <w:szCs w:val="24"/>
        </w:rPr>
        <w:t>27–42</w:t>
      </w:r>
      <w:r>
        <w:rPr>
          <w:sz w:val="24"/>
          <w:szCs w:val="24"/>
        </w:rPr>
        <w:t>.</w:t>
      </w:r>
    </w:p>
  </w:endnote>
  <w:endnote w:id="12">
    <w:p w14:paraId="368488A0" w14:textId="5097D704" w:rsidR="00427F53" w:rsidRPr="00C90F39" w:rsidRDefault="00427F53" w:rsidP="000564DB">
      <w:pPr>
        <w:pStyle w:val="EndnoteText"/>
        <w:spacing w:after="120"/>
        <w:rPr>
          <w:sz w:val="24"/>
          <w:szCs w:val="24"/>
          <w:lang w:val="en-GB"/>
        </w:rPr>
      </w:pPr>
      <w:r w:rsidRPr="00123EF2">
        <w:rPr>
          <w:rStyle w:val="EndnoteReference"/>
          <w:sz w:val="24"/>
          <w:szCs w:val="24"/>
        </w:rPr>
        <w:endnoteRef/>
      </w:r>
      <w:r w:rsidRPr="00123EF2">
        <w:rPr>
          <w:sz w:val="24"/>
          <w:szCs w:val="24"/>
        </w:rPr>
        <w:t xml:space="preserve"> Andrew Rogers and Richard Gale </w:t>
      </w:r>
      <w:r w:rsidRPr="00123EF2">
        <w:rPr>
          <w:i/>
          <w:sz w:val="24"/>
          <w:szCs w:val="24"/>
        </w:rPr>
        <w:t xml:space="preserve">Faith Groups and the Planning System. </w:t>
      </w:r>
      <w:r w:rsidRPr="00123EF2">
        <w:rPr>
          <w:sz w:val="24"/>
          <w:szCs w:val="24"/>
        </w:rPr>
        <w:t xml:space="preserve">AHRC Faith and Place Network Policy Briefing.  </w:t>
      </w:r>
      <w:hyperlink r:id="rId5" w:history="1">
        <w:r w:rsidRPr="00123EF2">
          <w:rPr>
            <w:rStyle w:val="Hyperlink"/>
            <w:sz w:val="24"/>
            <w:szCs w:val="24"/>
          </w:rPr>
          <w:t>https://faithandplacenetwork.files.wordpress.com/2015/10/hum021015ar-policy-briefing-dbl1.pdf</w:t>
        </w:r>
      </w:hyperlink>
      <w:r w:rsidRPr="00123EF2">
        <w:rPr>
          <w:sz w:val="24"/>
          <w:szCs w:val="24"/>
        </w:rPr>
        <w:t xml:space="preserve"> (</w:t>
      </w:r>
      <w:r w:rsidRPr="007A562B">
        <w:rPr>
          <w:sz w:val="24"/>
          <w:szCs w:val="24"/>
        </w:rPr>
        <w:t xml:space="preserve">accessed 1st May 2017); </w:t>
      </w:r>
      <w:r>
        <w:rPr>
          <w:sz w:val="24"/>
          <w:szCs w:val="24"/>
        </w:rPr>
        <w:t>s</w:t>
      </w:r>
      <w:r w:rsidRPr="007A562B">
        <w:rPr>
          <w:sz w:val="24"/>
          <w:szCs w:val="24"/>
        </w:rPr>
        <w:t>ee also Claire Dwyer, David Gilbert and Nazneen Ahmed, ‘</w:t>
      </w:r>
      <w:r w:rsidRPr="007A562B">
        <w:rPr>
          <w:sz w:val="24"/>
          <w:szCs w:val="24"/>
          <w:lang w:val="en-GB"/>
        </w:rPr>
        <w:t xml:space="preserve">Building the sacred in suburbia: Improvisation, reinvention and </w:t>
      </w:r>
      <w:r w:rsidRPr="00C90F39">
        <w:rPr>
          <w:sz w:val="24"/>
          <w:szCs w:val="24"/>
          <w:lang w:val="en-GB"/>
        </w:rPr>
        <w:t>innovation’ </w:t>
      </w:r>
      <w:r w:rsidRPr="00C90F39">
        <w:rPr>
          <w:bCs/>
          <w:i/>
          <w:sz w:val="24"/>
          <w:szCs w:val="24"/>
          <w:lang w:val="en-GB"/>
        </w:rPr>
        <w:t>Built Environment</w:t>
      </w:r>
      <w:r w:rsidRPr="00C90F39">
        <w:rPr>
          <w:sz w:val="24"/>
          <w:szCs w:val="24"/>
          <w:lang w:val="en-GB"/>
        </w:rPr>
        <w:t>, vol 41, no. 4,</w:t>
      </w:r>
      <w:r>
        <w:rPr>
          <w:sz w:val="24"/>
          <w:szCs w:val="24"/>
          <w:lang w:val="en-GB"/>
        </w:rPr>
        <w:t xml:space="preserve"> </w:t>
      </w:r>
      <w:r w:rsidRPr="007A562B">
        <w:rPr>
          <w:sz w:val="24"/>
          <w:szCs w:val="24"/>
          <w:lang w:val="en-GB"/>
        </w:rPr>
        <w:t>pp. 477- 490.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Segoe UI">
    <w:altName w:val="Times New Roman Bold"/>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04AEE4" w14:textId="77777777" w:rsidR="00663F12" w:rsidRDefault="00663F12" w:rsidP="00B92B11">
      <w:r>
        <w:separator/>
      </w:r>
    </w:p>
  </w:footnote>
  <w:footnote w:type="continuationSeparator" w:id="0">
    <w:p w14:paraId="7F8DDCEF" w14:textId="77777777" w:rsidR="00663F12" w:rsidRDefault="00663F12" w:rsidP="00B92B11">
      <w:r>
        <w:continuationSeparator/>
      </w:r>
    </w:p>
  </w:footnote>
</w:footnote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wyer, Claire">
    <w15:presenceInfo w15:providerId="None" w15:userId="Dwyer, Clai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22C"/>
    <w:rsid w:val="00000A05"/>
    <w:rsid w:val="00003862"/>
    <w:rsid w:val="00007667"/>
    <w:rsid w:val="00010AD9"/>
    <w:rsid w:val="00012B97"/>
    <w:rsid w:val="0002256A"/>
    <w:rsid w:val="000252F0"/>
    <w:rsid w:val="00026786"/>
    <w:rsid w:val="0003272E"/>
    <w:rsid w:val="00033C34"/>
    <w:rsid w:val="000345EB"/>
    <w:rsid w:val="00035908"/>
    <w:rsid w:val="00036B0D"/>
    <w:rsid w:val="000428FD"/>
    <w:rsid w:val="00043496"/>
    <w:rsid w:val="00051297"/>
    <w:rsid w:val="000564DB"/>
    <w:rsid w:val="00056AF1"/>
    <w:rsid w:val="00060B7B"/>
    <w:rsid w:val="0006270E"/>
    <w:rsid w:val="000759DD"/>
    <w:rsid w:val="00077036"/>
    <w:rsid w:val="00080D49"/>
    <w:rsid w:val="0009048C"/>
    <w:rsid w:val="0009083F"/>
    <w:rsid w:val="0009194F"/>
    <w:rsid w:val="000A08D9"/>
    <w:rsid w:val="000B2AB8"/>
    <w:rsid w:val="000C0196"/>
    <w:rsid w:val="000C3944"/>
    <w:rsid w:val="000C6F69"/>
    <w:rsid w:val="000D1817"/>
    <w:rsid w:val="000E2160"/>
    <w:rsid w:val="000E4E54"/>
    <w:rsid w:val="000F0472"/>
    <w:rsid w:val="000F0F25"/>
    <w:rsid w:val="000F3D20"/>
    <w:rsid w:val="000F5899"/>
    <w:rsid w:val="000F716D"/>
    <w:rsid w:val="001048FF"/>
    <w:rsid w:val="00112FFA"/>
    <w:rsid w:val="00116253"/>
    <w:rsid w:val="00120256"/>
    <w:rsid w:val="00120B53"/>
    <w:rsid w:val="00122610"/>
    <w:rsid w:val="00123D13"/>
    <w:rsid w:val="00123EF2"/>
    <w:rsid w:val="001312B7"/>
    <w:rsid w:val="00132246"/>
    <w:rsid w:val="001351E2"/>
    <w:rsid w:val="00135A12"/>
    <w:rsid w:val="00136A11"/>
    <w:rsid w:val="001370E5"/>
    <w:rsid w:val="00143B46"/>
    <w:rsid w:val="00146589"/>
    <w:rsid w:val="001614E9"/>
    <w:rsid w:val="001670C9"/>
    <w:rsid w:val="00171169"/>
    <w:rsid w:val="00177BD8"/>
    <w:rsid w:val="00190873"/>
    <w:rsid w:val="00190CF0"/>
    <w:rsid w:val="001918D8"/>
    <w:rsid w:val="00194626"/>
    <w:rsid w:val="00194631"/>
    <w:rsid w:val="00195CEB"/>
    <w:rsid w:val="00196CC1"/>
    <w:rsid w:val="001A37EF"/>
    <w:rsid w:val="001A3A6D"/>
    <w:rsid w:val="001A6EEE"/>
    <w:rsid w:val="001A7BFD"/>
    <w:rsid w:val="001B2DC5"/>
    <w:rsid w:val="001B5D6D"/>
    <w:rsid w:val="001B6660"/>
    <w:rsid w:val="001B6C70"/>
    <w:rsid w:val="001B7A61"/>
    <w:rsid w:val="001C238D"/>
    <w:rsid w:val="001C2F43"/>
    <w:rsid w:val="001C3F20"/>
    <w:rsid w:val="001D0E8B"/>
    <w:rsid w:val="001D1953"/>
    <w:rsid w:val="001D21C0"/>
    <w:rsid w:val="001E2852"/>
    <w:rsid w:val="001E51A2"/>
    <w:rsid w:val="001F54DC"/>
    <w:rsid w:val="001F6782"/>
    <w:rsid w:val="0020176F"/>
    <w:rsid w:val="002017C6"/>
    <w:rsid w:val="0020185C"/>
    <w:rsid w:val="00202C74"/>
    <w:rsid w:val="00206A8E"/>
    <w:rsid w:val="002119BC"/>
    <w:rsid w:val="00212F4A"/>
    <w:rsid w:val="00216C0D"/>
    <w:rsid w:val="002172DB"/>
    <w:rsid w:val="00224CF4"/>
    <w:rsid w:val="002262EA"/>
    <w:rsid w:val="00227F4E"/>
    <w:rsid w:val="00237E46"/>
    <w:rsid w:val="002404E5"/>
    <w:rsid w:val="00240889"/>
    <w:rsid w:val="00240948"/>
    <w:rsid w:val="0024122C"/>
    <w:rsid w:val="00246AE4"/>
    <w:rsid w:val="00253546"/>
    <w:rsid w:val="00256BA8"/>
    <w:rsid w:val="002612C0"/>
    <w:rsid w:val="00261593"/>
    <w:rsid w:val="00267E3E"/>
    <w:rsid w:val="002708BF"/>
    <w:rsid w:val="0027122A"/>
    <w:rsid w:val="0027142E"/>
    <w:rsid w:val="00275B8D"/>
    <w:rsid w:val="0027642A"/>
    <w:rsid w:val="00290285"/>
    <w:rsid w:val="002940E8"/>
    <w:rsid w:val="0029416F"/>
    <w:rsid w:val="0029579F"/>
    <w:rsid w:val="00296F4C"/>
    <w:rsid w:val="002A1659"/>
    <w:rsid w:val="002A2A2D"/>
    <w:rsid w:val="002B0E68"/>
    <w:rsid w:val="002B1B34"/>
    <w:rsid w:val="002B34B0"/>
    <w:rsid w:val="002B5806"/>
    <w:rsid w:val="002B6A24"/>
    <w:rsid w:val="002C6576"/>
    <w:rsid w:val="002D3B0C"/>
    <w:rsid w:val="002D5629"/>
    <w:rsid w:val="002E042E"/>
    <w:rsid w:val="002E0900"/>
    <w:rsid w:val="002F3D6E"/>
    <w:rsid w:val="002F4FB0"/>
    <w:rsid w:val="003062FF"/>
    <w:rsid w:val="00311F00"/>
    <w:rsid w:val="0032039D"/>
    <w:rsid w:val="00320822"/>
    <w:rsid w:val="00323619"/>
    <w:rsid w:val="003439DA"/>
    <w:rsid w:val="00350DFE"/>
    <w:rsid w:val="00352CDC"/>
    <w:rsid w:val="003578CA"/>
    <w:rsid w:val="0036115F"/>
    <w:rsid w:val="00362439"/>
    <w:rsid w:val="00365641"/>
    <w:rsid w:val="00372722"/>
    <w:rsid w:val="00372B96"/>
    <w:rsid w:val="00375736"/>
    <w:rsid w:val="00376AED"/>
    <w:rsid w:val="0038016C"/>
    <w:rsid w:val="003852B5"/>
    <w:rsid w:val="00393F09"/>
    <w:rsid w:val="00393FD4"/>
    <w:rsid w:val="00396B57"/>
    <w:rsid w:val="00396BE9"/>
    <w:rsid w:val="0039722B"/>
    <w:rsid w:val="003A253B"/>
    <w:rsid w:val="003A2F11"/>
    <w:rsid w:val="003A5A11"/>
    <w:rsid w:val="003A5E5A"/>
    <w:rsid w:val="003B3A77"/>
    <w:rsid w:val="003B3E6D"/>
    <w:rsid w:val="003B6BFA"/>
    <w:rsid w:val="003C1C5E"/>
    <w:rsid w:val="003C4471"/>
    <w:rsid w:val="003C4B00"/>
    <w:rsid w:val="003D0777"/>
    <w:rsid w:val="003D10FC"/>
    <w:rsid w:val="003D2384"/>
    <w:rsid w:val="003D2D4E"/>
    <w:rsid w:val="003D6A79"/>
    <w:rsid w:val="003E4ECA"/>
    <w:rsid w:val="003E57F2"/>
    <w:rsid w:val="003E5963"/>
    <w:rsid w:val="003F29C8"/>
    <w:rsid w:val="003F550B"/>
    <w:rsid w:val="003F5EAD"/>
    <w:rsid w:val="0040158D"/>
    <w:rsid w:val="00401C69"/>
    <w:rsid w:val="00402BC3"/>
    <w:rsid w:val="00403157"/>
    <w:rsid w:val="00404E91"/>
    <w:rsid w:val="00407FBB"/>
    <w:rsid w:val="004215A1"/>
    <w:rsid w:val="00423637"/>
    <w:rsid w:val="00424F1D"/>
    <w:rsid w:val="00427BC4"/>
    <w:rsid w:val="00427F53"/>
    <w:rsid w:val="00434F50"/>
    <w:rsid w:val="00444D9E"/>
    <w:rsid w:val="00445C1A"/>
    <w:rsid w:val="004465A0"/>
    <w:rsid w:val="0045172A"/>
    <w:rsid w:val="0045212D"/>
    <w:rsid w:val="00455557"/>
    <w:rsid w:val="00460CF9"/>
    <w:rsid w:val="00471595"/>
    <w:rsid w:val="004736CB"/>
    <w:rsid w:val="00474A27"/>
    <w:rsid w:val="004762E6"/>
    <w:rsid w:val="004765D0"/>
    <w:rsid w:val="00481D32"/>
    <w:rsid w:val="004871AE"/>
    <w:rsid w:val="00490771"/>
    <w:rsid w:val="00490BB8"/>
    <w:rsid w:val="00491874"/>
    <w:rsid w:val="00495DC6"/>
    <w:rsid w:val="004A4B93"/>
    <w:rsid w:val="004B3150"/>
    <w:rsid w:val="004B354A"/>
    <w:rsid w:val="004B47BE"/>
    <w:rsid w:val="004C02BE"/>
    <w:rsid w:val="004C0F15"/>
    <w:rsid w:val="004C3075"/>
    <w:rsid w:val="004C414D"/>
    <w:rsid w:val="004C58EF"/>
    <w:rsid w:val="004C6ED9"/>
    <w:rsid w:val="004D2F39"/>
    <w:rsid w:val="004D3D92"/>
    <w:rsid w:val="004E22E0"/>
    <w:rsid w:val="004E2BC3"/>
    <w:rsid w:val="004E5041"/>
    <w:rsid w:val="004E66E7"/>
    <w:rsid w:val="004F362F"/>
    <w:rsid w:val="004F4333"/>
    <w:rsid w:val="0050018A"/>
    <w:rsid w:val="00500CE4"/>
    <w:rsid w:val="00502464"/>
    <w:rsid w:val="005025F5"/>
    <w:rsid w:val="005145E6"/>
    <w:rsid w:val="00515887"/>
    <w:rsid w:val="00532349"/>
    <w:rsid w:val="00532529"/>
    <w:rsid w:val="00532C75"/>
    <w:rsid w:val="005332A9"/>
    <w:rsid w:val="00544FAC"/>
    <w:rsid w:val="00556265"/>
    <w:rsid w:val="00556C5A"/>
    <w:rsid w:val="00563BA4"/>
    <w:rsid w:val="00570BDE"/>
    <w:rsid w:val="0057221E"/>
    <w:rsid w:val="0057267F"/>
    <w:rsid w:val="0057287E"/>
    <w:rsid w:val="00573220"/>
    <w:rsid w:val="00576218"/>
    <w:rsid w:val="00576CD0"/>
    <w:rsid w:val="005831D5"/>
    <w:rsid w:val="00587E7B"/>
    <w:rsid w:val="005A0D7A"/>
    <w:rsid w:val="005A1B36"/>
    <w:rsid w:val="005A24A2"/>
    <w:rsid w:val="005A263A"/>
    <w:rsid w:val="005A322B"/>
    <w:rsid w:val="005C2D72"/>
    <w:rsid w:val="005C5C56"/>
    <w:rsid w:val="005C6E45"/>
    <w:rsid w:val="005D1CD4"/>
    <w:rsid w:val="005D4B61"/>
    <w:rsid w:val="005F14EE"/>
    <w:rsid w:val="005F4B4E"/>
    <w:rsid w:val="005F6736"/>
    <w:rsid w:val="005F6E72"/>
    <w:rsid w:val="005F7FA1"/>
    <w:rsid w:val="0060003C"/>
    <w:rsid w:val="00607451"/>
    <w:rsid w:val="00616473"/>
    <w:rsid w:val="00626EE6"/>
    <w:rsid w:val="006302FA"/>
    <w:rsid w:val="00631235"/>
    <w:rsid w:val="0063159A"/>
    <w:rsid w:val="006342B1"/>
    <w:rsid w:val="00634554"/>
    <w:rsid w:val="00640B08"/>
    <w:rsid w:val="00641546"/>
    <w:rsid w:val="00641DA2"/>
    <w:rsid w:val="006421D9"/>
    <w:rsid w:val="00644AF7"/>
    <w:rsid w:val="006457AA"/>
    <w:rsid w:val="00647C6B"/>
    <w:rsid w:val="00653002"/>
    <w:rsid w:val="00654C86"/>
    <w:rsid w:val="006553F6"/>
    <w:rsid w:val="00655A3A"/>
    <w:rsid w:val="00661101"/>
    <w:rsid w:val="00661102"/>
    <w:rsid w:val="00663F12"/>
    <w:rsid w:val="00672D4F"/>
    <w:rsid w:val="00674B29"/>
    <w:rsid w:val="00676D6F"/>
    <w:rsid w:val="00682A19"/>
    <w:rsid w:val="00695DD8"/>
    <w:rsid w:val="00696B92"/>
    <w:rsid w:val="006A21F9"/>
    <w:rsid w:val="006B399B"/>
    <w:rsid w:val="006B3ED8"/>
    <w:rsid w:val="006B7C63"/>
    <w:rsid w:val="006B7DAE"/>
    <w:rsid w:val="006C397C"/>
    <w:rsid w:val="006C444F"/>
    <w:rsid w:val="006C5128"/>
    <w:rsid w:val="006C7A2A"/>
    <w:rsid w:val="006D177E"/>
    <w:rsid w:val="006D3B7F"/>
    <w:rsid w:val="006D4BDF"/>
    <w:rsid w:val="006D56ED"/>
    <w:rsid w:val="006D613A"/>
    <w:rsid w:val="006D7732"/>
    <w:rsid w:val="006E02D3"/>
    <w:rsid w:val="006E3632"/>
    <w:rsid w:val="006E4A7D"/>
    <w:rsid w:val="006F0A12"/>
    <w:rsid w:val="006F38DF"/>
    <w:rsid w:val="00702E70"/>
    <w:rsid w:val="00706070"/>
    <w:rsid w:val="0070636C"/>
    <w:rsid w:val="007067DD"/>
    <w:rsid w:val="007116AF"/>
    <w:rsid w:val="0071628E"/>
    <w:rsid w:val="00722F89"/>
    <w:rsid w:val="0072353E"/>
    <w:rsid w:val="00723BAA"/>
    <w:rsid w:val="0074218D"/>
    <w:rsid w:val="007429BD"/>
    <w:rsid w:val="00742C14"/>
    <w:rsid w:val="007431C7"/>
    <w:rsid w:val="00744243"/>
    <w:rsid w:val="00744F1B"/>
    <w:rsid w:val="007551C9"/>
    <w:rsid w:val="007570EE"/>
    <w:rsid w:val="00765BAA"/>
    <w:rsid w:val="00766A5F"/>
    <w:rsid w:val="007676F1"/>
    <w:rsid w:val="00774AA3"/>
    <w:rsid w:val="00777B55"/>
    <w:rsid w:val="0078048A"/>
    <w:rsid w:val="0078402B"/>
    <w:rsid w:val="00792015"/>
    <w:rsid w:val="00795AE5"/>
    <w:rsid w:val="0079666A"/>
    <w:rsid w:val="00797F4E"/>
    <w:rsid w:val="007A409F"/>
    <w:rsid w:val="007A562B"/>
    <w:rsid w:val="007A60B5"/>
    <w:rsid w:val="007B0BE3"/>
    <w:rsid w:val="007B1781"/>
    <w:rsid w:val="007B4886"/>
    <w:rsid w:val="007C040C"/>
    <w:rsid w:val="007C62C5"/>
    <w:rsid w:val="007C7547"/>
    <w:rsid w:val="007C77AB"/>
    <w:rsid w:val="007E30AD"/>
    <w:rsid w:val="007F266B"/>
    <w:rsid w:val="007F2ABB"/>
    <w:rsid w:val="00801DCB"/>
    <w:rsid w:val="00804E53"/>
    <w:rsid w:val="00810EA2"/>
    <w:rsid w:val="00815EC8"/>
    <w:rsid w:val="00824CE3"/>
    <w:rsid w:val="00824F25"/>
    <w:rsid w:val="00825AB6"/>
    <w:rsid w:val="00826D7E"/>
    <w:rsid w:val="00845F04"/>
    <w:rsid w:val="008528C3"/>
    <w:rsid w:val="0085429C"/>
    <w:rsid w:val="00854D55"/>
    <w:rsid w:val="008556C7"/>
    <w:rsid w:val="0085626B"/>
    <w:rsid w:val="008634CA"/>
    <w:rsid w:val="008722D9"/>
    <w:rsid w:val="0087638A"/>
    <w:rsid w:val="00877AFA"/>
    <w:rsid w:val="00883521"/>
    <w:rsid w:val="00884F0B"/>
    <w:rsid w:val="00886543"/>
    <w:rsid w:val="00886C1A"/>
    <w:rsid w:val="00892BFE"/>
    <w:rsid w:val="00894A59"/>
    <w:rsid w:val="008A0CFD"/>
    <w:rsid w:val="008A121C"/>
    <w:rsid w:val="008A2B83"/>
    <w:rsid w:val="008A79CE"/>
    <w:rsid w:val="008B1860"/>
    <w:rsid w:val="008B4C6A"/>
    <w:rsid w:val="008B5434"/>
    <w:rsid w:val="008C057D"/>
    <w:rsid w:val="008C1E98"/>
    <w:rsid w:val="008C4C8E"/>
    <w:rsid w:val="008D1838"/>
    <w:rsid w:val="008D32FB"/>
    <w:rsid w:val="008D547D"/>
    <w:rsid w:val="008E571B"/>
    <w:rsid w:val="008F2782"/>
    <w:rsid w:val="008F4782"/>
    <w:rsid w:val="008F659D"/>
    <w:rsid w:val="00904A9C"/>
    <w:rsid w:val="00905391"/>
    <w:rsid w:val="00906067"/>
    <w:rsid w:val="00906EE3"/>
    <w:rsid w:val="00907C35"/>
    <w:rsid w:val="00915774"/>
    <w:rsid w:val="00920CD5"/>
    <w:rsid w:val="00920D3F"/>
    <w:rsid w:val="009232D6"/>
    <w:rsid w:val="0092348D"/>
    <w:rsid w:val="00923C37"/>
    <w:rsid w:val="009245DC"/>
    <w:rsid w:val="00926EAB"/>
    <w:rsid w:val="00931969"/>
    <w:rsid w:val="009324D7"/>
    <w:rsid w:val="00934166"/>
    <w:rsid w:val="00935199"/>
    <w:rsid w:val="009351AF"/>
    <w:rsid w:val="00940345"/>
    <w:rsid w:val="009416B0"/>
    <w:rsid w:val="0094253E"/>
    <w:rsid w:val="009444DE"/>
    <w:rsid w:val="00946E66"/>
    <w:rsid w:val="00947387"/>
    <w:rsid w:val="00953B8C"/>
    <w:rsid w:val="00955359"/>
    <w:rsid w:val="00957ACF"/>
    <w:rsid w:val="0096209D"/>
    <w:rsid w:val="00962172"/>
    <w:rsid w:val="00962AB0"/>
    <w:rsid w:val="0097161A"/>
    <w:rsid w:val="00971FBD"/>
    <w:rsid w:val="009741AA"/>
    <w:rsid w:val="00974790"/>
    <w:rsid w:val="00975076"/>
    <w:rsid w:val="009768FC"/>
    <w:rsid w:val="00984F76"/>
    <w:rsid w:val="00985BD7"/>
    <w:rsid w:val="00987C4C"/>
    <w:rsid w:val="009925A1"/>
    <w:rsid w:val="00995476"/>
    <w:rsid w:val="00995C50"/>
    <w:rsid w:val="00996AEC"/>
    <w:rsid w:val="009A40EC"/>
    <w:rsid w:val="009A4DA9"/>
    <w:rsid w:val="009B6D57"/>
    <w:rsid w:val="009C3C79"/>
    <w:rsid w:val="009C3E25"/>
    <w:rsid w:val="009D55AB"/>
    <w:rsid w:val="009E08B0"/>
    <w:rsid w:val="009E2B52"/>
    <w:rsid w:val="009F0EE8"/>
    <w:rsid w:val="00A0404F"/>
    <w:rsid w:val="00A04839"/>
    <w:rsid w:val="00A04CC3"/>
    <w:rsid w:val="00A05206"/>
    <w:rsid w:val="00A06A71"/>
    <w:rsid w:val="00A07592"/>
    <w:rsid w:val="00A07A51"/>
    <w:rsid w:val="00A11369"/>
    <w:rsid w:val="00A11AF2"/>
    <w:rsid w:val="00A124C1"/>
    <w:rsid w:val="00A2205C"/>
    <w:rsid w:val="00A22578"/>
    <w:rsid w:val="00A234CE"/>
    <w:rsid w:val="00A24E5A"/>
    <w:rsid w:val="00A2576E"/>
    <w:rsid w:val="00A40750"/>
    <w:rsid w:val="00A435DA"/>
    <w:rsid w:val="00A45082"/>
    <w:rsid w:val="00A511F4"/>
    <w:rsid w:val="00A517F1"/>
    <w:rsid w:val="00A53051"/>
    <w:rsid w:val="00A53623"/>
    <w:rsid w:val="00A54AF1"/>
    <w:rsid w:val="00A56D83"/>
    <w:rsid w:val="00A6062E"/>
    <w:rsid w:val="00A60B12"/>
    <w:rsid w:val="00A643BD"/>
    <w:rsid w:val="00A649AC"/>
    <w:rsid w:val="00A66290"/>
    <w:rsid w:val="00A675AE"/>
    <w:rsid w:val="00A67F7F"/>
    <w:rsid w:val="00A750FE"/>
    <w:rsid w:val="00A825F3"/>
    <w:rsid w:val="00A82F12"/>
    <w:rsid w:val="00A86097"/>
    <w:rsid w:val="00A87C8E"/>
    <w:rsid w:val="00AA0BA9"/>
    <w:rsid w:val="00AA2FC1"/>
    <w:rsid w:val="00AB510F"/>
    <w:rsid w:val="00AB5F16"/>
    <w:rsid w:val="00AB68C9"/>
    <w:rsid w:val="00AB78B1"/>
    <w:rsid w:val="00AC1BF7"/>
    <w:rsid w:val="00AC6C3D"/>
    <w:rsid w:val="00AD091F"/>
    <w:rsid w:val="00AD27A6"/>
    <w:rsid w:val="00AE2DBA"/>
    <w:rsid w:val="00AF1FBE"/>
    <w:rsid w:val="00B052E1"/>
    <w:rsid w:val="00B105DD"/>
    <w:rsid w:val="00B10799"/>
    <w:rsid w:val="00B12D80"/>
    <w:rsid w:val="00B1463A"/>
    <w:rsid w:val="00B156EE"/>
    <w:rsid w:val="00B17C78"/>
    <w:rsid w:val="00B23FAC"/>
    <w:rsid w:val="00B35124"/>
    <w:rsid w:val="00B36003"/>
    <w:rsid w:val="00B37EBB"/>
    <w:rsid w:val="00B4302E"/>
    <w:rsid w:val="00B439BF"/>
    <w:rsid w:val="00B44D8A"/>
    <w:rsid w:val="00B47130"/>
    <w:rsid w:val="00B47A14"/>
    <w:rsid w:val="00B50DD6"/>
    <w:rsid w:val="00B67169"/>
    <w:rsid w:val="00B70E27"/>
    <w:rsid w:val="00B73CCE"/>
    <w:rsid w:val="00B75933"/>
    <w:rsid w:val="00B91755"/>
    <w:rsid w:val="00B92B11"/>
    <w:rsid w:val="00B94378"/>
    <w:rsid w:val="00B97302"/>
    <w:rsid w:val="00B9740F"/>
    <w:rsid w:val="00BA0D9C"/>
    <w:rsid w:val="00BA2C9F"/>
    <w:rsid w:val="00BA3E0E"/>
    <w:rsid w:val="00BA7C32"/>
    <w:rsid w:val="00BA7C59"/>
    <w:rsid w:val="00BB409E"/>
    <w:rsid w:val="00BC4630"/>
    <w:rsid w:val="00BC4CDD"/>
    <w:rsid w:val="00BD4156"/>
    <w:rsid w:val="00BE0C53"/>
    <w:rsid w:val="00BE51B3"/>
    <w:rsid w:val="00BE6045"/>
    <w:rsid w:val="00C058B9"/>
    <w:rsid w:val="00C235B0"/>
    <w:rsid w:val="00C30B85"/>
    <w:rsid w:val="00C3134E"/>
    <w:rsid w:val="00C349B9"/>
    <w:rsid w:val="00C376FC"/>
    <w:rsid w:val="00C40D48"/>
    <w:rsid w:val="00C412C2"/>
    <w:rsid w:val="00C4170F"/>
    <w:rsid w:val="00C4203E"/>
    <w:rsid w:val="00C44937"/>
    <w:rsid w:val="00C46310"/>
    <w:rsid w:val="00C4744C"/>
    <w:rsid w:val="00C53BAC"/>
    <w:rsid w:val="00C57FCC"/>
    <w:rsid w:val="00C6197E"/>
    <w:rsid w:val="00C63549"/>
    <w:rsid w:val="00C668C8"/>
    <w:rsid w:val="00C733B6"/>
    <w:rsid w:val="00C7430E"/>
    <w:rsid w:val="00C76170"/>
    <w:rsid w:val="00C77024"/>
    <w:rsid w:val="00C81FE3"/>
    <w:rsid w:val="00C87242"/>
    <w:rsid w:val="00C90F39"/>
    <w:rsid w:val="00C92CB3"/>
    <w:rsid w:val="00C960BC"/>
    <w:rsid w:val="00CA2817"/>
    <w:rsid w:val="00CA56DA"/>
    <w:rsid w:val="00CA6395"/>
    <w:rsid w:val="00CA7A20"/>
    <w:rsid w:val="00CB148C"/>
    <w:rsid w:val="00CB65E9"/>
    <w:rsid w:val="00CC0D3B"/>
    <w:rsid w:val="00CE0271"/>
    <w:rsid w:val="00CE329A"/>
    <w:rsid w:val="00CE453D"/>
    <w:rsid w:val="00CE47CF"/>
    <w:rsid w:val="00CF0A81"/>
    <w:rsid w:val="00CF7899"/>
    <w:rsid w:val="00D04E77"/>
    <w:rsid w:val="00D116F8"/>
    <w:rsid w:val="00D15005"/>
    <w:rsid w:val="00D24FB7"/>
    <w:rsid w:val="00D2519B"/>
    <w:rsid w:val="00D32313"/>
    <w:rsid w:val="00D40089"/>
    <w:rsid w:val="00D403BE"/>
    <w:rsid w:val="00D460D9"/>
    <w:rsid w:val="00D5037B"/>
    <w:rsid w:val="00D535E9"/>
    <w:rsid w:val="00D54F46"/>
    <w:rsid w:val="00D55AB0"/>
    <w:rsid w:val="00D57F64"/>
    <w:rsid w:val="00D62564"/>
    <w:rsid w:val="00D736C1"/>
    <w:rsid w:val="00D82820"/>
    <w:rsid w:val="00D82C62"/>
    <w:rsid w:val="00D8772D"/>
    <w:rsid w:val="00D910FD"/>
    <w:rsid w:val="00D9350F"/>
    <w:rsid w:val="00D95677"/>
    <w:rsid w:val="00DA042D"/>
    <w:rsid w:val="00DB732E"/>
    <w:rsid w:val="00DB7351"/>
    <w:rsid w:val="00DD4906"/>
    <w:rsid w:val="00DD52F7"/>
    <w:rsid w:val="00DD6E38"/>
    <w:rsid w:val="00DE050F"/>
    <w:rsid w:val="00DE21B4"/>
    <w:rsid w:val="00DE3FFB"/>
    <w:rsid w:val="00DF0656"/>
    <w:rsid w:val="00DF2B21"/>
    <w:rsid w:val="00DF4271"/>
    <w:rsid w:val="00E00091"/>
    <w:rsid w:val="00E0414C"/>
    <w:rsid w:val="00E05685"/>
    <w:rsid w:val="00E10CBD"/>
    <w:rsid w:val="00E11F29"/>
    <w:rsid w:val="00E168BC"/>
    <w:rsid w:val="00E22198"/>
    <w:rsid w:val="00E327DD"/>
    <w:rsid w:val="00E44DC2"/>
    <w:rsid w:val="00E45360"/>
    <w:rsid w:val="00E52373"/>
    <w:rsid w:val="00E5306A"/>
    <w:rsid w:val="00E64A7B"/>
    <w:rsid w:val="00E778EF"/>
    <w:rsid w:val="00E82AC2"/>
    <w:rsid w:val="00E851B6"/>
    <w:rsid w:val="00E90322"/>
    <w:rsid w:val="00E91813"/>
    <w:rsid w:val="00E9514F"/>
    <w:rsid w:val="00E968FF"/>
    <w:rsid w:val="00EA5066"/>
    <w:rsid w:val="00EA60E0"/>
    <w:rsid w:val="00EB37E5"/>
    <w:rsid w:val="00EC21DE"/>
    <w:rsid w:val="00EC26CB"/>
    <w:rsid w:val="00EC44F3"/>
    <w:rsid w:val="00ED1FE4"/>
    <w:rsid w:val="00ED5724"/>
    <w:rsid w:val="00EE51BC"/>
    <w:rsid w:val="00EE563D"/>
    <w:rsid w:val="00EE5E51"/>
    <w:rsid w:val="00EF06A9"/>
    <w:rsid w:val="00EF17A2"/>
    <w:rsid w:val="00EF1EE3"/>
    <w:rsid w:val="00EF4CB4"/>
    <w:rsid w:val="00EF5E25"/>
    <w:rsid w:val="00EF632E"/>
    <w:rsid w:val="00F01570"/>
    <w:rsid w:val="00F14315"/>
    <w:rsid w:val="00F16093"/>
    <w:rsid w:val="00F229B7"/>
    <w:rsid w:val="00F23510"/>
    <w:rsid w:val="00F27137"/>
    <w:rsid w:val="00F30461"/>
    <w:rsid w:val="00F3104E"/>
    <w:rsid w:val="00F33237"/>
    <w:rsid w:val="00F365C4"/>
    <w:rsid w:val="00F41A30"/>
    <w:rsid w:val="00F47118"/>
    <w:rsid w:val="00F50115"/>
    <w:rsid w:val="00F52777"/>
    <w:rsid w:val="00F52C1C"/>
    <w:rsid w:val="00F53912"/>
    <w:rsid w:val="00F63D6D"/>
    <w:rsid w:val="00F6421D"/>
    <w:rsid w:val="00F64C97"/>
    <w:rsid w:val="00F65D3B"/>
    <w:rsid w:val="00F668BD"/>
    <w:rsid w:val="00F70AED"/>
    <w:rsid w:val="00F73837"/>
    <w:rsid w:val="00F73A4D"/>
    <w:rsid w:val="00F8272F"/>
    <w:rsid w:val="00F861A1"/>
    <w:rsid w:val="00F87F2C"/>
    <w:rsid w:val="00F9743B"/>
    <w:rsid w:val="00FA3170"/>
    <w:rsid w:val="00FA3D36"/>
    <w:rsid w:val="00FB2761"/>
    <w:rsid w:val="00FB3E80"/>
    <w:rsid w:val="00FB6F68"/>
    <w:rsid w:val="00FB7C65"/>
    <w:rsid w:val="00FB7F12"/>
    <w:rsid w:val="00FC309E"/>
    <w:rsid w:val="00FC70E6"/>
    <w:rsid w:val="00FD6476"/>
    <w:rsid w:val="00FE1676"/>
    <w:rsid w:val="00FE53C5"/>
    <w:rsid w:val="00FE5403"/>
    <w:rsid w:val="00FE5AE0"/>
    <w:rsid w:val="00FF0EDD"/>
    <w:rsid w:val="00FF1975"/>
    <w:rsid w:val="00FF519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E27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20D3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B92B11"/>
    <w:rPr>
      <w:sz w:val="20"/>
      <w:szCs w:val="20"/>
    </w:rPr>
  </w:style>
  <w:style w:type="character" w:customStyle="1" w:styleId="EndnoteTextChar">
    <w:name w:val="Endnote Text Char"/>
    <w:basedOn w:val="DefaultParagraphFont"/>
    <w:link w:val="EndnoteText"/>
    <w:uiPriority w:val="99"/>
    <w:rsid w:val="00B92B11"/>
    <w:rPr>
      <w:sz w:val="20"/>
      <w:szCs w:val="20"/>
    </w:rPr>
  </w:style>
  <w:style w:type="character" w:styleId="EndnoteReference">
    <w:name w:val="endnote reference"/>
    <w:basedOn w:val="DefaultParagraphFont"/>
    <w:uiPriority w:val="99"/>
    <w:unhideWhenUsed/>
    <w:rsid w:val="00B92B11"/>
    <w:rPr>
      <w:vertAlign w:val="superscript"/>
    </w:rPr>
  </w:style>
  <w:style w:type="paragraph" w:customStyle="1" w:styleId="Default">
    <w:name w:val="Default"/>
    <w:rsid w:val="006E3632"/>
    <w:pPr>
      <w:widowControl w:val="0"/>
      <w:autoSpaceDE w:val="0"/>
      <w:autoSpaceDN w:val="0"/>
      <w:adjustRightInd w:val="0"/>
    </w:pPr>
    <w:rPr>
      <w:rFonts w:ascii="Calibri" w:hAnsi="Calibri" w:cs="Calibri"/>
      <w:color w:val="000000"/>
    </w:rPr>
  </w:style>
  <w:style w:type="character" w:customStyle="1" w:styleId="Heading1Char">
    <w:name w:val="Heading 1 Char"/>
    <w:basedOn w:val="DefaultParagraphFont"/>
    <w:link w:val="Heading1"/>
    <w:uiPriority w:val="9"/>
    <w:rsid w:val="00920D3F"/>
    <w:rPr>
      <w:rFonts w:asciiTheme="majorHAnsi" w:eastAsiaTheme="majorEastAsia" w:hAnsiTheme="majorHAnsi" w:cstheme="majorBidi"/>
      <w:b/>
      <w:bCs/>
      <w:color w:val="345A8A" w:themeColor="accent1" w:themeShade="B5"/>
      <w:sz w:val="32"/>
      <w:szCs w:val="32"/>
    </w:rPr>
  </w:style>
  <w:style w:type="paragraph" w:styleId="FootnoteText">
    <w:name w:val="footnote text"/>
    <w:basedOn w:val="Normal"/>
    <w:link w:val="FootnoteTextChar"/>
    <w:uiPriority w:val="99"/>
    <w:unhideWhenUsed/>
    <w:rsid w:val="00D82C62"/>
  </w:style>
  <w:style w:type="character" w:customStyle="1" w:styleId="FootnoteTextChar">
    <w:name w:val="Footnote Text Char"/>
    <w:basedOn w:val="DefaultParagraphFont"/>
    <w:link w:val="FootnoteText"/>
    <w:uiPriority w:val="99"/>
    <w:rsid w:val="00D82C62"/>
  </w:style>
  <w:style w:type="character" w:styleId="FootnoteReference">
    <w:name w:val="footnote reference"/>
    <w:basedOn w:val="DefaultParagraphFont"/>
    <w:uiPriority w:val="99"/>
    <w:unhideWhenUsed/>
    <w:rsid w:val="00D82C62"/>
    <w:rPr>
      <w:vertAlign w:val="superscript"/>
    </w:rPr>
  </w:style>
  <w:style w:type="character" w:styleId="Hyperlink">
    <w:name w:val="Hyperlink"/>
    <w:basedOn w:val="DefaultParagraphFont"/>
    <w:uiPriority w:val="99"/>
    <w:unhideWhenUsed/>
    <w:rsid w:val="00634554"/>
    <w:rPr>
      <w:color w:val="0000FF" w:themeColor="hyperlink"/>
      <w:u w:val="single"/>
    </w:rPr>
  </w:style>
  <w:style w:type="character" w:styleId="CommentReference">
    <w:name w:val="annotation reference"/>
    <w:basedOn w:val="DefaultParagraphFont"/>
    <w:uiPriority w:val="99"/>
    <w:semiHidden/>
    <w:unhideWhenUsed/>
    <w:rsid w:val="004C02BE"/>
    <w:rPr>
      <w:sz w:val="16"/>
      <w:szCs w:val="16"/>
    </w:rPr>
  </w:style>
  <w:style w:type="paragraph" w:styleId="CommentText">
    <w:name w:val="annotation text"/>
    <w:basedOn w:val="Normal"/>
    <w:link w:val="CommentTextChar"/>
    <w:uiPriority w:val="99"/>
    <w:semiHidden/>
    <w:unhideWhenUsed/>
    <w:rsid w:val="004C02BE"/>
    <w:rPr>
      <w:sz w:val="20"/>
      <w:szCs w:val="20"/>
    </w:rPr>
  </w:style>
  <w:style w:type="character" w:customStyle="1" w:styleId="CommentTextChar">
    <w:name w:val="Comment Text Char"/>
    <w:basedOn w:val="DefaultParagraphFont"/>
    <w:link w:val="CommentText"/>
    <w:uiPriority w:val="99"/>
    <w:semiHidden/>
    <w:rsid w:val="004C02BE"/>
    <w:rPr>
      <w:sz w:val="20"/>
      <w:szCs w:val="20"/>
    </w:rPr>
  </w:style>
  <w:style w:type="paragraph" w:styleId="CommentSubject">
    <w:name w:val="annotation subject"/>
    <w:basedOn w:val="CommentText"/>
    <w:next w:val="CommentText"/>
    <w:link w:val="CommentSubjectChar"/>
    <w:uiPriority w:val="99"/>
    <w:semiHidden/>
    <w:unhideWhenUsed/>
    <w:rsid w:val="004C02BE"/>
    <w:rPr>
      <w:b/>
      <w:bCs/>
    </w:rPr>
  </w:style>
  <w:style w:type="character" w:customStyle="1" w:styleId="CommentSubjectChar">
    <w:name w:val="Comment Subject Char"/>
    <w:basedOn w:val="CommentTextChar"/>
    <w:link w:val="CommentSubject"/>
    <w:uiPriority w:val="99"/>
    <w:semiHidden/>
    <w:rsid w:val="004C02BE"/>
    <w:rPr>
      <w:b/>
      <w:bCs/>
      <w:sz w:val="20"/>
      <w:szCs w:val="20"/>
    </w:rPr>
  </w:style>
  <w:style w:type="paragraph" w:styleId="BalloonText">
    <w:name w:val="Balloon Text"/>
    <w:basedOn w:val="Normal"/>
    <w:link w:val="BalloonTextChar"/>
    <w:uiPriority w:val="99"/>
    <w:semiHidden/>
    <w:unhideWhenUsed/>
    <w:rsid w:val="004C02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02BE"/>
    <w:rPr>
      <w:rFonts w:ascii="Segoe UI" w:hAnsi="Segoe UI" w:cs="Segoe UI"/>
      <w:sz w:val="18"/>
      <w:szCs w:val="18"/>
    </w:rPr>
  </w:style>
  <w:style w:type="character" w:styleId="FollowedHyperlink">
    <w:name w:val="FollowedHyperlink"/>
    <w:basedOn w:val="DefaultParagraphFont"/>
    <w:uiPriority w:val="99"/>
    <w:semiHidden/>
    <w:unhideWhenUsed/>
    <w:rsid w:val="004B47B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20D3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B92B11"/>
    <w:rPr>
      <w:sz w:val="20"/>
      <w:szCs w:val="20"/>
    </w:rPr>
  </w:style>
  <w:style w:type="character" w:customStyle="1" w:styleId="EndnoteTextChar">
    <w:name w:val="Endnote Text Char"/>
    <w:basedOn w:val="DefaultParagraphFont"/>
    <w:link w:val="EndnoteText"/>
    <w:uiPriority w:val="99"/>
    <w:rsid w:val="00B92B11"/>
    <w:rPr>
      <w:sz w:val="20"/>
      <w:szCs w:val="20"/>
    </w:rPr>
  </w:style>
  <w:style w:type="character" w:styleId="EndnoteReference">
    <w:name w:val="endnote reference"/>
    <w:basedOn w:val="DefaultParagraphFont"/>
    <w:uiPriority w:val="99"/>
    <w:unhideWhenUsed/>
    <w:rsid w:val="00B92B11"/>
    <w:rPr>
      <w:vertAlign w:val="superscript"/>
    </w:rPr>
  </w:style>
  <w:style w:type="paragraph" w:customStyle="1" w:styleId="Default">
    <w:name w:val="Default"/>
    <w:rsid w:val="006E3632"/>
    <w:pPr>
      <w:widowControl w:val="0"/>
      <w:autoSpaceDE w:val="0"/>
      <w:autoSpaceDN w:val="0"/>
      <w:adjustRightInd w:val="0"/>
    </w:pPr>
    <w:rPr>
      <w:rFonts w:ascii="Calibri" w:hAnsi="Calibri" w:cs="Calibri"/>
      <w:color w:val="000000"/>
    </w:rPr>
  </w:style>
  <w:style w:type="character" w:customStyle="1" w:styleId="Heading1Char">
    <w:name w:val="Heading 1 Char"/>
    <w:basedOn w:val="DefaultParagraphFont"/>
    <w:link w:val="Heading1"/>
    <w:uiPriority w:val="9"/>
    <w:rsid w:val="00920D3F"/>
    <w:rPr>
      <w:rFonts w:asciiTheme="majorHAnsi" w:eastAsiaTheme="majorEastAsia" w:hAnsiTheme="majorHAnsi" w:cstheme="majorBidi"/>
      <w:b/>
      <w:bCs/>
      <w:color w:val="345A8A" w:themeColor="accent1" w:themeShade="B5"/>
      <w:sz w:val="32"/>
      <w:szCs w:val="32"/>
    </w:rPr>
  </w:style>
  <w:style w:type="paragraph" w:styleId="FootnoteText">
    <w:name w:val="footnote text"/>
    <w:basedOn w:val="Normal"/>
    <w:link w:val="FootnoteTextChar"/>
    <w:uiPriority w:val="99"/>
    <w:unhideWhenUsed/>
    <w:rsid w:val="00D82C62"/>
  </w:style>
  <w:style w:type="character" w:customStyle="1" w:styleId="FootnoteTextChar">
    <w:name w:val="Footnote Text Char"/>
    <w:basedOn w:val="DefaultParagraphFont"/>
    <w:link w:val="FootnoteText"/>
    <w:uiPriority w:val="99"/>
    <w:rsid w:val="00D82C62"/>
  </w:style>
  <w:style w:type="character" w:styleId="FootnoteReference">
    <w:name w:val="footnote reference"/>
    <w:basedOn w:val="DefaultParagraphFont"/>
    <w:uiPriority w:val="99"/>
    <w:unhideWhenUsed/>
    <w:rsid w:val="00D82C62"/>
    <w:rPr>
      <w:vertAlign w:val="superscript"/>
    </w:rPr>
  </w:style>
  <w:style w:type="character" w:styleId="Hyperlink">
    <w:name w:val="Hyperlink"/>
    <w:basedOn w:val="DefaultParagraphFont"/>
    <w:uiPriority w:val="99"/>
    <w:unhideWhenUsed/>
    <w:rsid w:val="00634554"/>
    <w:rPr>
      <w:color w:val="0000FF" w:themeColor="hyperlink"/>
      <w:u w:val="single"/>
    </w:rPr>
  </w:style>
  <w:style w:type="character" w:styleId="CommentReference">
    <w:name w:val="annotation reference"/>
    <w:basedOn w:val="DefaultParagraphFont"/>
    <w:uiPriority w:val="99"/>
    <w:semiHidden/>
    <w:unhideWhenUsed/>
    <w:rsid w:val="004C02BE"/>
    <w:rPr>
      <w:sz w:val="16"/>
      <w:szCs w:val="16"/>
    </w:rPr>
  </w:style>
  <w:style w:type="paragraph" w:styleId="CommentText">
    <w:name w:val="annotation text"/>
    <w:basedOn w:val="Normal"/>
    <w:link w:val="CommentTextChar"/>
    <w:uiPriority w:val="99"/>
    <w:semiHidden/>
    <w:unhideWhenUsed/>
    <w:rsid w:val="004C02BE"/>
    <w:rPr>
      <w:sz w:val="20"/>
      <w:szCs w:val="20"/>
    </w:rPr>
  </w:style>
  <w:style w:type="character" w:customStyle="1" w:styleId="CommentTextChar">
    <w:name w:val="Comment Text Char"/>
    <w:basedOn w:val="DefaultParagraphFont"/>
    <w:link w:val="CommentText"/>
    <w:uiPriority w:val="99"/>
    <w:semiHidden/>
    <w:rsid w:val="004C02BE"/>
    <w:rPr>
      <w:sz w:val="20"/>
      <w:szCs w:val="20"/>
    </w:rPr>
  </w:style>
  <w:style w:type="paragraph" w:styleId="CommentSubject">
    <w:name w:val="annotation subject"/>
    <w:basedOn w:val="CommentText"/>
    <w:next w:val="CommentText"/>
    <w:link w:val="CommentSubjectChar"/>
    <w:uiPriority w:val="99"/>
    <w:semiHidden/>
    <w:unhideWhenUsed/>
    <w:rsid w:val="004C02BE"/>
    <w:rPr>
      <w:b/>
      <w:bCs/>
    </w:rPr>
  </w:style>
  <w:style w:type="character" w:customStyle="1" w:styleId="CommentSubjectChar">
    <w:name w:val="Comment Subject Char"/>
    <w:basedOn w:val="CommentTextChar"/>
    <w:link w:val="CommentSubject"/>
    <w:uiPriority w:val="99"/>
    <w:semiHidden/>
    <w:rsid w:val="004C02BE"/>
    <w:rPr>
      <w:b/>
      <w:bCs/>
      <w:sz w:val="20"/>
      <w:szCs w:val="20"/>
    </w:rPr>
  </w:style>
  <w:style w:type="paragraph" w:styleId="BalloonText">
    <w:name w:val="Balloon Text"/>
    <w:basedOn w:val="Normal"/>
    <w:link w:val="BalloonTextChar"/>
    <w:uiPriority w:val="99"/>
    <w:semiHidden/>
    <w:unhideWhenUsed/>
    <w:rsid w:val="004C02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02BE"/>
    <w:rPr>
      <w:rFonts w:ascii="Segoe UI" w:hAnsi="Segoe UI" w:cs="Segoe UI"/>
      <w:sz w:val="18"/>
      <w:szCs w:val="18"/>
    </w:rPr>
  </w:style>
  <w:style w:type="character" w:styleId="FollowedHyperlink">
    <w:name w:val="FollowedHyperlink"/>
    <w:basedOn w:val="DefaultParagraphFont"/>
    <w:uiPriority w:val="99"/>
    <w:semiHidden/>
    <w:unhideWhenUsed/>
    <w:rsid w:val="004B47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68">
      <w:bodyDiv w:val="1"/>
      <w:marLeft w:val="0"/>
      <w:marRight w:val="0"/>
      <w:marTop w:val="0"/>
      <w:marBottom w:val="0"/>
      <w:divBdr>
        <w:top w:val="none" w:sz="0" w:space="0" w:color="auto"/>
        <w:left w:val="none" w:sz="0" w:space="0" w:color="auto"/>
        <w:bottom w:val="none" w:sz="0" w:space="0" w:color="auto"/>
        <w:right w:val="none" w:sz="0" w:space="0" w:color="auto"/>
      </w:divBdr>
    </w:div>
    <w:div w:id="43599341">
      <w:bodyDiv w:val="1"/>
      <w:marLeft w:val="0"/>
      <w:marRight w:val="0"/>
      <w:marTop w:val="0"/>
      <w:marBottom w:val="0"/>
      <w:divBdr>
        <w:top w:val="none" w:sz="0" w:space="0" w:color="auto"/>
        <w:left w:val="none" w:sz="0" w:space="0" w:color="auto"/>
        <w:bottom w:val="none" w:sz="0" w:space="0" w:color="auto"/>
        <w:right w:val="none" w:sz="0" w:space="0" w:color="auto"/>
      </w:divBdr>
    </w:div>
    <w:div w:id="123695505">
      <w:bodyDiv w:val="1"/>
      <w:marLeft w:val="0"/>
      <w:marRight w:val="0"/>
      <w:marTop w:val="0"/>
      <w:marBottom w:val="0"/>
      <w:divBdr>
        <w:top w:val="none" w:sz="0" w:space="0" w:color="auto"/>
        <w:left w:val="none" w:sz="0" w:space="0" w:color="auto"/>
        <w:bottom w:val="none" w:sz="0" w:space="0" w:color="auto"/>
        <w:right w:val="none" w:sz="0" w:space="0" w:color="auto"/>
      </w:divBdr>
    </w:div>
    <w:div w:id="369956950">
      <w:bodyDiv w:val="1"/>
      <w:marLeft w:val="0"/>
      <w:marRight w:val="0"/>
      <w:marTop w:val="0"/>
      <w:marBottom w:val="0"/>
      <w:divBdr>
        <w:top w:val="none" w:sz="0" w:space="0" w:color="auto"/>
        <w:left w:val="none" w:sz="0" w:space="0" w:color="auto"/>
        <w:bottom w:val="none" w:sz="0" w:space="0" w:color="auto"/>
        <w:right w:val="none" w:sz="0" w:space="0" w:color="auto"/>
      </w:divBdr>
    </w:div>
    <w:div w:id="454719437">
      <w:bodyDiv w:val="1"/>
      <w:marLeft w:val="0"/>
      <w:marRight w:val="0"/>
      <w:marTop w:val="0"/>
      <w:marBottom w:val="0"/>
      <w:divBdr>
        <w:top w:val="none" w:sz="0" w:space="0" w:color="auto"/>
        <w:left w:val="none" w:sz="0" w:space="0" w:color="auto"/>
        <w:bottom w:val="none" w:sz="0" w:space="0" w:color="auto"/>
        <w:right w:val="none" w:sz="0" w:space="0" w:color="auto"/>
      </w:divBdr>
    </w:div>
    <w:div w:id="548228211">
      <w:bodyDiv w:val="1"/>
      <w:marLeft w:val="0"/>
      <w:marRight w:val="0"/>
      <w:marTop w:val="0"/>
      <w:marBottom w:val="0"/>
      <w:divBdr>
        <w:top w:val="none" w:sz="0" w:space="0" w:color="auto"/>
        <w:left w:val="none" w:sz="0" w:space="0" w:color="auto"/>
        <w:bottom w:val="none" w:sz="0" w:space="0" w:color="auto"/>
        <w:right w:val="none" w:sz="0" w:space="0" w:color="auto"/>
      </w:divBdr>
    </w:div>
    <w:div w:id="634062930">
      <w:bodyDiv w:val="1"/>
      <w:marLeft w:val="0"/>
      <w:marRight w:val="0"/>
      <w:marTop w:val="0"/>
      <w:marBottom w:val="0"/>
      <w:divBdr>
        <w:top w:val="none" w:sz="0" w:space="0" w:color="auto"/>
        <w:left w:val="none" w:sz="0" w:space="0" w:color="auto"/>
        <w:bottom w:val="none" w:sz="0" w:space="0" w:color="auto"/>
        <w:right w:val="none" w:sz="0" w:space="0" w:color="auto"/>
      </w:divBdr>
    </w:div>
    <w:div w:id="654846638">
      <w:bodyDiv w:val="1"/>
      <w:marLeft w:val="0"/>
      <w:marRight w:val="0"/>
      <w:marTop w:val="0"/>
      <w:marBottom w:val="0"/>
      <w:divBdr>
        <w:top w:val="none" w:sz="0" w:space="0" w:color="auto"/>
        <w:left w:val="none" w:sz="0" w:space="0" w:color="auto"/>
        <w:bottom w:val="none" w:sz="0" w:space="0" w:color="auto"/>
        <w:right w:val="none" w:sz="0" w:space="0" w:color="auto"/>
      </w:divBdr>
    </w:div>
    <w:div w:id="731586012">
      <w:bodyDiv w:val="1"/>
      <w:marLeft w:val="0"/>
      <w:marRight w:val="0"/>
      <w:marTop w:val="0"/>
      <w:marBottom w:val="0"/>
      <w:divBdr>
        <w:top w:val="none" w:sz="0" w:space="0" w:color="auto"/>
        <w:left w:val="none" w:sz="0" w:space="0" w:color="auto"/>
        <w:bottom w:val="none" w:sz="0" w:space="0" w:color="auto"/>
        <w:right w:val="none" w:sz="0" w:space="0" w:color="auto"/>
      </w:divBdr>
    </w:div>
    <w:div w:id="817764819">
      <w:bodyDiv w:val="1"/>
      <w:marLeft w:val="0"/>
      <w:marRight w:val="0"/>
      <w:marTop w:val="0"/>
      <w:marBottom w:val="0"/>
      <w:divBdr>
        <w:top w:val="none" w:sz="0" w:space="0" w:color="auto"/>
        <w:left w:val="none" w:sz="0" w:space="0" w:color="auto"/>
        <w:bottom w:val="none" w:sz="0" w:space="0" w:color="auto"/>
        <w:right w:val="none" w:sz="0" w:space="0" w:color="auto"/>
      </w:divBdr>
    </w:div>
    <w:div w:id="817847388">
      <w:bodyDiv w:val="1"/>
      <w:marLeft w:val="0"/>
      <w:marRight w:val="0"/>
      <w:marTop w:val="0"/>
      <w:marBottom w:val="0"/>
      <w:divBdr>
        <w:top w:val="none" w:sz="0" w:space="0" w:color="auto"/>
        <w:left w:val="none" w:sz="0" w:space="0" w:color="auto"/>
        <w:bottom w:val="none" w:sz="0" w:space="0" w:color="auto"/>
        <w:right w:val="none" w:sz="0" w:space="0" w:color="auto"/>
      </w:divBdr>
    </w:div>
    <w:div w:id="851840788">
      <w:bodyDiv w:val="1"/>
      <w:marLeft w:val="0"/>
      <w:marRight w:val="0"/>
      <w:marTop w:val="0"/>
      <w:marBottom w:val="0"/>
      <w:divBdr>
        <w:top w:val="none" w:sz="0" w:space="0" w:color="auto"/>
        <w:left w:val="none" w:sz="0" w:space="0" w:color="auto"/>
        <w:bottom w:val="none" w:sz="0" w:space="0" w:color="auto"/>
        <w:right w:val="none" w:sz="0" w:space="0" w:color="auto"/>
      </w:divBdr>
    </w:div>
    <w:div w:id="969436020">
      <w:bodyDiv w:val="1"/>
      <w:marLeft w:val="0"/>
      <w:marRight w:val="0"/>
      <w:marTop w:val="0"/>
      <w:marBottom w:val="0"/>
      <w:divBdr>
        <w:top w:val="none" w:sz="0" w:space="0" w:color="auto"/>
        <w:left w:val="none" w:sz="0" w:space="0" w:color="auto"/>
        <w:bottom w:val="none" w:sz="0" w:space="0" w:color="auto"/>
        <w:right w:val="none" w:sz="0" w:space="0" w:color="auto"/>
      </w:divBdr>
    </w:div>
    <w:div w:id="976178870">
      <w:bodyDiv w:val="1"/>
      <w:marLeft w:val="0"/>
      <w:marRight w:val="0"/>
      <w:marTop w:val="0"/>
      <w:marBottom w:val="0"/>
      <w:divBdr>
        <w:top w:val="none" w:sz="0" w:space="0" w:color="auto"/>
        <w:left w:val="none" w:sz="0" w:space="0" w:color="auto"/>
        <w:bottom w:val="none" w:sz="0" w:space="0" w:color="auto"/>
        <w:right w:val="none" w:sz="0" w:space="0" w:color="auto"/>
      </w:divBdr>
    </w:div>
    <w:div w:id="1216815590">
      <w:bodyDiv w:val="1"/>
      <w:marLeft w:val="0"/>
      <w:marRight w:val="0"/>
      <w:marTop w:val="0"/>
      <w:marBottom w:val="0"/>
      <w:divBdr>
        <w:top w:val="none" w:sz="0" w:space="0" w:color="auto"/>
        <w:left w:val="none" w:sz="0" w:space="0" w:color="auto"/>
        <w:bottom w:val="none" w:sz="0" w:space="0" w:color="auto"/>
        <w:right w:val="none" w:sz="0" w:space="0" w:color="auto"/>
      </w:divBdr>
    </w:div>
    <w:div w:id="1403941080">
      <w:bodyDiv w:val="1"/>
      <w:marLeft w:val="0"/>
      <w:marRight w:val="0"/>
      <w:marTop w:val="0"/>
      <w:marBottom w:val="0"/>
      <w:divBdr>
        <w:top w:val="none" w:sz="0" w:space="0" w:color="auto"/>
        <w:left w:val="none" w:sz="0" w:space="0" w:color="auto"/>
        <w:bottom w:val="none" w:sz="0" w:space="0" w:color="auto"/>
        <w:right w:val="none" w:sz="0" w:space="0" w:color="auto"/>
      </w:divBdr>
    </w:div>
    <w:div w:id="1608928979">
      <w:bodyDiv w:val="1"/>
      <w:marLeft w:val="0"/>
      <w:marRight w:val="0"/>
      <w:marTop w:val="0"/>
      <w:marBottom w:val="0"/>
      <w:divBdr>
        <w:top w:val="none" w:sz="0" w:space="0" w:color="auto"/>
        <w:left w:val="none" w:sz="0" w:space="0" w:color="auto"/>
        <w:bottom w:val="none" w:sz="0" w:space="0" w:color="auto"/>
        <w:right w:val="none" w:sz="0" w:space="0" w:color="auto"/>
      </w:divBdr>
    </w:div>
    <w:div w:id="1609049180">
      <w:bodyDiv w:val="1"/>
      <w:marLeft w:val="0"/>
      <w:marRight w:val="0"/>
      <w:marTop w:val="0"/>
      <w:marBottom w:val="0"/>
      <w:divBdr>
        <w:top w:val="none" w:sz="0" w:space="0" w:color="auto"/>
        <w:left w:val="none" w:sz="0" w:space="0" w:color="auto"/>
        <w:bottom w:val="none" w:sz="0" w:space="0" w:color="auto"/>
        <w:right w:val="none" w:sz="0" w:space="0" w:color="auto"/>
      </w:divBdr>
    </w:div>
    <w:div w:id="1832796659">
      <w:bodyDiv w:val="1"/>
      <w:marLeft w:val="0"/>
      <w:marRight w:val="0"/>
      <w:marTop w:val="0"/>
      <w:marBottom w:val="0"/>
      <w:divBdr>
        <w:top w:val="none" w:sz="0" w:space="0" w:color="auto"/>
        <w:left w:val="none" w:sz="0" w:space="0" w:color="auto"/>
        <w:bottom w:val="none" w:sz="0" w:space="0" w:color="auto"/>
        <w:right w:val="none" w:sz="0" w:space="0" w:color="auto"/>
      </w:divBdr>
    </w:div>
    <w:div w:id="1856335699">
      <w:bodyDiv w:val="1"/>
      <w:marLeft w:val="0"/>
      <w:marRight w:val="0"/>
      <w:marTop w:val="0"/>
      <w:marBottom w:val="0"/>
      <w:divBdr>
        <w:top w:val="none" w:sz="0" w:space="0" w:color="auto"/>
        <w:left w:val="none" w:sz="0" w:space="0" w:color="auto"/>
        <w:bottom w:val="none" w:sz="0" w:space="0" w:color="auto"/>
        <w:right w:val="none" w:sz="0" w:space="0" w:color="auto"/>
      </w:divBdr>
    </w:div>
    <w:div w:id="1893269715">
      <w:bodyDiv w:val="1"/>
      <w:marLeft w:val="0"/>
      <w:marRight w:val="0"/>
      <w:marTop w:val="0"/>
      <w:marBottom w:val="0"/>
      <w:divBdr>
        <w:top w:val="none" w:sz="0" w:space="0" w:color="auto"/>
        <w:left w:val="none" w:sz="0" w:space="0" w:color="auto"/>
        <w:bottom w:val="none" w:sz="0" w:space="0" w:color="auto"/>
        <w:right w:val="none" w:sz="0" w:space="0" w:color="auto"/>
      </w:divBdr>
    </w:div>
    <w:div w:id="2052876429">
      <w:bodyDiv w:val="1"/>
      <w:marLeft w:val="0"/>
      <w:marRight w:val="0"/>
      <w:marTop w:val="0"/>
      <w:marBottom w:val="0"/>
      <w:divBdr>
        <w:top w:val="none" w:sz="0" w:space="0" w:color="auto"/>
        <w:left w:val="none" w:sz="0" w:space="0" w:color="auto"/>
        <w:bottom w:val="none" w:sz="0" w:space="0" w:color="auto"/>
        <w:right w:val="none" w:sz="0" w:space="0" w:color="auto"/>
      </w:divBdr>
      <w:divsChild>
        <w:div w:id="1584299940">
          <w:marLeft w:val="0"/>
          <w:marRight w:val="0"/>
          <w:marTop w:val="0"/>
          <w:marBottom w:val="0"/>
          <w:divBdr>
            <w:top w:val="none" w:sz="0" w:space="0" w:color="auto"/>
            <w:left w:val="none" w:sz="0" w:space="0" w:color="auto"/>
            <w:bottom w:val="none" w:sz="0" w:space="0" w:color="auto"/>
            <w:right w:val="none" w:sz="0" w:space="0" w:color="auto"/>
          </w:divBdr>
        </w:div>
        <w:div w:id="1593737144">
          <w:marLeft w:val="0"/>
          <w:marRight w:val="0"/>
          <w:marTop w:val="0"/>
          <w:marBottom w:val="0"/>
          <w:divBdr>
            <w:top w:val="none" w:sz="0" w:space="0" w:color="auto"/>
            <w:left w:val="none" w:sz="0" w:space="0" w:color="auto"/>
            <w:bottom w:val="none" w:sz="0" w:space="0" w:color="auto"/>
            <w:right w:val="none" w:sz="0" w:space="0" w:color="auto"/>
          </w:divBdr>
        </w:div>
        <w:div w:id="1370760479">
          <w:marLeft w:val="0"/>
          <w:marRight w:val="0"/>
          <w:marTop w:val="0"/>
          <w:marBottom w:val="0"/>
          <w:divBdr>
            <w:top w:val="none" w:sz="0" w:space="0" w:color="auto"/>
            <w:left w:val="none" w:sz="0" w:space="0" w:color="auto"/>
            <w:bottom w:val="none" w:sz="0" w:space="0" w:color="auto"/>
            <w:right w:val="none" w:sz="0" w:space="0" w:color="auto"/>
          </w:divBdr>
        </w:div>
        <w:div w:id="410396642">
          <w:marLeft w:val="0"/>
          <w:marRight w:val="0"/>
          <w:marTop w:val="0"/>
          <w:marBottom w:val="0"/>
          <w:divBdr>
            <w:top w:val="none" w:sz="0" w:space="0" w:color="auto"/>
            <w:left w:val="none" w:sz="0" w:space="0" w:color="auto"/>
            <w:bottom w:val="none" w:sz="0" w:space="0" w:color="auto"/>
            <w:right w:val="none" w:sz="0" w:space="0" w:color="auto"/>
          </w:divBdr>
        </w:div>
        <w:div w:id="485584323">
          <w:marLeft w:val="0"/>
          <w:marRight w:val="0"/>
          <w:marTop w:val="0"/>
          <w:marBottom w:val="0"/>
          <w:divBdr>
            <w:top w:val="none" w:sz="0" w:space="0" w:color="auto"/>
            <w:left w:val="none" w:sz="0" w:space="0" w:color="auto"/>
            <w:bottom w:val="none" w:sz="0" w:space="0" w:color="auto"/>
            <w:right w:val="none" w:sz="0" w:space="0" w:color="auto"/>
          </w:divBdr>
        </w:div>
        <w:div w:id="1996108053">
          <w:marLeft w:val="0"/>
          <w:marRight w:val="0"/>
          <w:marTop w:val="0"/>
          <w:marBottom w:val="0"/>
          <w:divBdr>
            <w:top w:val="none" w:sz="0" w:space="0" w:color="auto"/>
            <w:left w:val="none" w:sz="0" w:space="0" w:color="auto"/>
            <w:bottom w:val="none" w:sz="0" w:space="0" w:color="auto"/>
            <w:right w:val="none" w:sz="0" w:space="0" w:color="auto"/>
          </w:divBdr>
        </w:div>
        <w:div w:id="90902657">
          <w:marLeft w:val="0"/>
          <w:marRight w:val="0"/>
          <w:marTop w:val="0"/>
          <w:marBottom w:val="0"/>
          <w:divBdr>
            <w:top w:val="none" w:sz="0" w:space="0" w:color="auto"/>
            <w:left w:val="none" w:sz="0" w:space="0" w:color="auto"/>
            <w:bottom w:val="none" w:sz="0" w:space="0" w:color="auto"/>
            <w:right w:val="none" w:sz="0" w:space="0" w:color="auto"/>
          </w:divBdr>
        </w:div>
        <w:div w:id="977033838">
          <w:marLeft w:val="0"/>
          <w:marRight w:val="0"/>
          <w:marTop w:val="0"/>
          <w:marBottom w:val="0"/>
          <w:divBdr>
            <w:top w:val="none" w:sz="0" w:space="0" w:color="auto"/>
            <w:left w:val="none" w:sz="0" w:space="0" w:color="auto"/>
            <w:bottom w:val="none" w:sz="0" w:space="0" w:color="auto"/>
            <w:right w:val="none" w:sz="0" w:space="0" w:color="auto"/>
          </w:divBdr>
        </w:div>
        <w:div w:id="1108621514">
          <w:marLeft w:val="0"/>
          <w:marRight w:val="0"/>
          <w:marTop w:val="0"/>
          <w:marBottom w:val="0"/>
          <w:divBdr>
            <w:top w:val="none" w:sz="0" w:space="0" w:color="auto"/>
            <w:left w:val="none" w:sz="0" w:space="0" w:color="auto"/>
            <w:bottom w:val="none" w:sz="0" w:space="0" w:color="auto"/>
            <w:right w:val="none" w:sz="0" w:space="0" w:color="auto"/>
          </w:divBdr>
        </w:div>
        <w:div w:id="1019891677">
          <w:marLeft w:val="0"/>
          <w:marRight w:val="0"/>
          <w:marTop w:val="0"/>
          <w:marBottom w:val="0"/>
          <w:divBdr>
            <w:top w:val="none" w:sz="0" w:space="0" w:color="auto"/>
            <w:left w:val="none" w:sz="0" w:space="0" w:color="auto"/>
            <w:bottom w:val="none" w:sz="0" w:space="0" w:color="auto"/>
            <w:right w:val="none" w:sz="0" w:space="0" w:color="auto"/>
          </w:divBdr>
        </w:div>
        <w:div w:id="1678576466">
          <w:marLeft w:val="0"/>
          <w:marRight w:val="0"/>
          <w:marTop w:val="0"/>
          <w:marBottom w:val="0"/>
          <w:divBdr>
            <w:top w:val="none" w:sz="0" w:space="0" w:color="auto"/>
            <w:left w:val="none" w:sz="0" w:space="0" w:color="auto"/>
            <w:bottom w:val="none" w:sz="0" w:space="0" w:color="auto"/>
            <w:right w:val="none" w:sz="0" w:space="0" w:color="auto"/>
          </w:divBdr>
        </w:div>
        <w:div w:id="1404526469">
          <w:marLeft w:val="0"/>
          <w:marRight w:val="0"/>
          <w:marTop w:val="0"/>
          <w:marBottom w:val="0"/>
          <w:divBdr>
            <w:top w:val="none" w:sz="0" w:space="0" w:color="auto"/>
            <w:left w:val="none" w:sz="0" w:space="0" w:color="auto"/>
            <w:bottom w:val="none" w:sz="0" w:space="0" w:color="auto"/>
            <w:right w:val="none" w:sz="0" w:space="0" w:color="auto"/>
          </w:divBdr>
        </w:div>
        <w:div w:id="25096559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0" Type="http://schemas.microsoft.com/office/2011/relationships/commentsExtended" Target="commentsExtended.xml"/><Relationship Id="rId11" Type="http://schemas.microsoft.com/office/2011/relationships/people" Target="people.xml"/><Relationship Id="rId1" Type="http://schemas.openxmlformats.org/officeDocument/2006/relationships/customXml" Target="../customXml/item1.xml"/><Relationship Id="rId2" Type="http://schemas.openxmlformats.org/officeDocument/2006/relationships/styles" Target="styles.xml"/></Relationships>
</file>

<file path=word/_rels/endnotes.xml.rels><?xml version="1.0" encoding="UTF-8" standalone="yes"?>
<Relationships xmlns="http://schemas.openxmlformats.org/package/2006/relationships"><Relationship Id="rId3" Type="http://schemas.openxmlformats.org/officeDocument/2006/relationships/hyperlink" Target="https://www.theguardian.com/commentisfree/2016/jul/08/black-flight-england-suburbs-ethnic-minorities-multiculturalism" TargetMode="External"/><Relationship Id="rId4" Type="http://schemas.openxmlformats.org/officeDocument/2006/relationships/hyperlink" Target="http://www.migrationobservatory.ox.ac.uk/resources/briefings/london-census-profile/" TargetMode="External"/><Relationship Id="rId5" Type="http://schemas.openxmlformats.org/officeDocument/2006/relationships/hyperlink" Target="https://faithandplacenetwork.files.wordpress.com/2015/10/hum021015ar-policy-briefing-dbl1.pdf" TargetMode="External"/><Relationship Id="rId1" Type="http://schemas.openxmlformats.org/officeDocument/2006/relationships/hyperlink" Target="https://makingsuburbanfaith.wordpress.com" TargetMode="External"/><Relationship Id="rId2" Type="http://schemas.openxmlformats.org/officeDocument/2006/relationships/hyperlink" Target="http://www.bbc.co.uk/news/uk-politics-387620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9AACDB-6756-C242-89FA-10878D70F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12</Pages>
  <Words>5047</Words>
  <Characters>28770</Characters>
  <Application>Microsoft Macintosh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Gilbert</dc:creator>
  <cp:keywords/>
  <dc:description/>
  <cp:lastModifiedBy>David Gilbert</cp:lastModifiedBy>
  <cp:revision>11</cp:revision>
  <dcterms:created xsi:type="dcterms:W3CDTF">2018-07-12T10:36:00Z</dcterms:created>
  <dcterms:modified xsi:type="dcterms:W3CDTF">2018-08-01T22:32:00Z</dcterms:modified>
</cp:coreProperties>
</file>