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F6259" w14:textId="77777777" w:rsidR="00305252" w:rsidRPr="00681454" w:rsidRDefault="00305252" w:rsidP="004D3080">
      <w:pPr>
        <w:spacing w:line="360" w:lineRule="auto"/>
        <w:contextualSpacing/>
        <w:jc w:val="both"/>
        <w:rPr>
          <w:rFonts w:cs="Times New Roman"/>
          <w:sz w:val="22"/>
          <w:szCs w:val="22"/>
        </w:rPr>
      </w:pPr>
      <w:bookmarkStart w:id="0" w:name="_GoBack"/>
      <w:bookmarkEnd w:id="0"/>
    </w:p>
    <w:p w14:paraId="53008DDB" w14:textId="77777777" w:rsidR="00931380" w:rsidRPr="00681454" w:rsidRDefault="00931380" w:rsidP="004D3080">
      <w:pPr>
        <w:spacing w:line="360" w:lineRule="auto"/>
        <w:contextualSpacing/>
        <w:jc w:val="both"/>
        <w:rPr>
          <w:rFonts w:cs="Times New Roman"/>
          <w:sz w:val="22"/>
          <w:szCs w:val="22"/>
        </w:rPr>
      </w:pPr>
    </w:p>
    <w:p w14:paraId="54F20786" w14:textId="77777777" w:rsidR="009C6C75" w:rsidRPr="00513BCB" w:rsidRDefault="009C6C75" w:rsidP="009C6C75">
      <w:pPr>
        <w:spacing w:line="360" w:lineRule="auto"/>
        <w:contextualSpacing/>
        <w:jc w:val="center"/>
        <w:outlineLvl w:val="0"/>
        <w:rPr>
          <w:b/>
          <w:sz w:val="22"/>
          <w:szCs w:val="22"/>
        </w:rPr>
      </w:pPr>
      <w:r w:rsidRPr="00513BCB">
        <w:rPr>
          <w:b/>
          <w:sz w:val="22"/>
          <w:szCs w:val="22"/>
        </w:rPr>
        <w:t>Secrecy in Births, Identity Rights, Care and Belonging</w:t>
      </w:r>
    </w:p>
    <w:p w14:paraId="641779BE" w14:textId="5F416ED1" w:rsidR="009C6C75" w:rsidRPr="00513BCB" w:rsidRDefault="009C6C75" w:rsidP="009C6C75">
      <w:pPr>
        <w:spacing w:line="360" w:lineRule="auto"/>
        <w:contextualSpacing/>
        <w:jc w:val="center"/>
        <w:outlineLvl w:val="0"/>
        <w:rPr>
          <w:b/>
          <w:sz w:val="22"/>
          <w:szCs w:val="22"/>
        </w:rPr>
      </w:pPr>
      <w:r w:rsidRPr="00513BCB">
        <w:rPr>
          <w:b/>
          <w:sz w:val="22"/>
          <w:szCs w:val="22"/>
        </w:rPr>
        <w:t>Jill Marshall</w:t>
      </w:r>
      <w:r>
        <w:rPr>
          <w:rStyle w:val="FootnoteReference"/>
          <w:b/>
          <w:sz w:val="22"/>
          <w:szCs w:val="22"/>
        </w:rPr>
        <w:footnoteReference w:customMarkFollows="1" w:id="1"/>
        <w:t>*</w:t>
      </w:r>
    </w:p>
    <w:p w14:paraId="02C44F07" w14:textId="77777777" w:rsidR="00F9644B" w:rsidRPr="00513BCB" w:rsidRDefault="00F9644B" w:rsidP="004D3080">
      <w:pPr>
        <w:pStyle w:val="Title"/>
        <w:spacing w:line="360" w:lineRule="auto"/>
        <w:jc w:val="both"/>
        <w:rPr>
          <w:rFonts w:asciiTheme="minorHAnsi" w:hAnsiTheme="minorHAnsi"/>
          <w:sz w:val="22"/>
          <w:szCs w:val="22"/>
        </w:rPr>
      </w:pPr>
    </w:p>
    <w:p w14:paraId="40186E39" w14:textId="77777777" w:rsidR="00F9644B" w:rsidRPr="00513BCB" w:rsidRDefault="00F9644B" w:rsidP="007C6A1D">
      <w:pPr>
        <w:spacing w:line="360" w:lineRule="auto"/>
        <w:contextualSpacing/>
        <w:jc w:val="both"/>
        <w:outlineLvl w:val="0"/>
        <w:rPr>
          <w:b/>
          <w:sz w:val="22"/>
          <w:szCs w:val="22"/>
        </w:rPr>
      </w:pPr>
      <w:r w:rsidRPr="00513BCB">
        <w:rPr>
          <w:b/>
          <w:sz w:val="22"/>
          <w:szCs w:val="22"/>
        </w:rPr>
        <w:t xml:space="preserve">Abstract </w:t>
      </w:r>
    </w:p>
    <w:p w14:paraId="61793595" w14:textId="2E1A6073" w:rsidR="002C7EB4" w:rsidRPr="00513BCB" w:rsidRDefault="00231DC5" w:rsidP="004D3080">
      <w:pPr>
        <w:widowControl w:val="0"/>
        <w:autoSpaceDE w:val="0"/>
        <w:autoSpaceDN w:val="0"/>
        <w:adjustRightInd w:val="0"/>
        <w:spacing w:line="360" w:lineRule="auto"/>
        <w:jc w:val="both"/>
        <w:rPr>
          <w:sz w:val="22"/>
          <w:szCs w:val="22"/>
        </w:rPr>
      </w:pPr>
      <w:r w:rsidRPr="00513BCB">
        <w:rPr>
          <w:sz w:val="22"/>
          <w:szCs w:val="22"/>
        </w:rPr>
        <w:t>Secrecy</w:t>
      </w:r>
      <w:r w:rsidR="0027396F" w:rsidRPr="00513BCB">
        <w:rPr>
          <w:sz w:val="22"/>
          <w:szCs w:val="22"/>
        </w:rPr>
        <w:t xml:space="preserve"> in </w:t>
      </w:r>
      <w:r w:rsidR="003D1334" w:rsidRPr="00513BCB">
        <w:rPr>
          <w:sz w:val="22"/>
          <w:szCs w:val="22"/>
        </w:rPr>
        <w:t xml:space="preserve">births </w:t>
      </w:r>
      <w:r w:rsidR="00F9644B" w:rsidRPr="00513BCB">
        <w:rPr>
          <w:sz w:val="22"/>
          <w:szCs w:val="22"/>
        </w:rPr>
        <w:t>is rare</w:t>
      </w:r>
      <w:r w:rsidR="008B694F" w:rsidRPr="00513BCB">
        <w:rPr>
          <w:sz w:val="22"/>
          <w:szCs w:val="22"/>
        </w:rPr>
        <w:t>. Yet</w:t>
      </w:r>
      <w:r w:rsidR="0027396F" w:rsidRPr="00513BCB">
        <w:rPr>
          <w:sz w:val="22"/>
          <w:szCs w:val="22"/>
        </w:rPr>
        <w:t xml:space="preserve"> </w:t>
      </w:r>
      <w:r w:rsidR="0079548D" w:rsidRPr="00513BCB">
        <w:rPr>
          <w:sz w:val="22"/>
          <w:szCs w:val="22"/>
        </w:rPr>
        <w:t>‘</w:t>
      </w:r>
      <w:r w:rsidR="008B694F" w:rsidRPr="00513BCB">
        <w:rPr>
          <w:sz w:val="22"/>
          <w:szCs w:val="22"/>
        </w:rPr>
        <w:t>b</w:t>
      </w:r>
      <w:r w:rsidRPr="00513BCB">
        <w:rPr>
          <w:sz w:val="22"/>
          <w:szCs w:val="22"/>
        </w:rPr>
        <w:t>aby boxes’ or</w:t>
      </w:r>
      <w:r w:rsidR="001427A1" w:rsidRPr="00513BCB">
        <w:rPr>
          <w:sz w:val="22"/>
          <w:szCs w:val="22"/>
        </w:rPr>
        <w:t xml:space="preserve"> hatches usually forming part of a hospital wall </w:t>
      </w:r>
      <w:r w:rsidR="003D1334" w:rsidRPr="00513BCB">
        <w:rPr>
          <w:sz w:val="22"/>
          <w:szCs w:val="22"/>
        </w:rPr>
        <w:t>to</w:t>
      </w:r>
      <w:r w:rsidR="001427A1" w:rsidRPr="00513BCB">
        <w:rPr>
          <w:sz w:val="22"/>
          <w:szCs w:val="22"/>
        </w:rPr>
        <w:t xml:space="preserve"> anonymou</w:t>
      </w:r>
      <w:r w:rsidRPr="00513BCB">
        <w:rPr>
          <w:sz w:val="22"/>
          <w:szCs w:val="22"/>
        </w:rPr>
        <w:t>sly deposit</w:t>
      </w:r>
      <w:r w:rsidR="003D1334" w:rsidRPr="00513BCB">
        <w:rPr>
          <w:sz w:val="22"/>
          <w:szCs w:val="22"/>
        </w:rPr>
        <w:t xml:space="preserve"> babies</w:t>
      </w:r>
      <w:r w:rsidRPr="00513BCB">
        <w:rPr>
          <w:sz w:val="22"/>
          <w:szCs w:val="22"/>
        </w:rPr>
        <w:t xml:space="preserve"> into incubators </w:t>
      </w:r>
      <w:r w:rsidR="001427A1" w:rsidRPr="00513BCB">
        <w:rPr>
          <w:sz w:val="22"/>
          <w:szCs w:val="22"/>
        </w:rPr>
        <w:t xml:space="preserve">now exist in many </w:t>
      </w:r>
      <w:r w:rsidRPr="00513BCB">
        <w:rPr>
          <w:sz w:val="22"/>
          <w:szCs w:val="22"/>
        </w:rPr>
        <w:t>EU</w:t>
      </w:r>
      <w:r w:rsidR="001427A1" w:rsidRPr="00513BCB">
        <w:rPr>
          <w:sz w:val="22"/>
          <w:szCs w:val="22"/>
        </w:rPr>
        <w:t xml:space="preserve"> countries</w:t>
      </w:r>
      <w:r w:rsidR="005F3F38" w:rsidRPr="00513BCB">
        <w:rPr>
          <w:sz w:val="22"/>
          <w:szCs w:val="22"/>
        </w:rPr>
        <w:t>,</w:t>
      </w:r>
      <w:r w:rsidR="001427A1" w:rsidRPr="00513BCB">
        <w:rPr>
          <w:sz w:val="22"/>
          <w:szCs w:val="22"/>
        </w:rPr>
        <w:t xml:space="preserve"> </w:t>
      </w:r>
      <w:r w:rsidR="00A146C9" w:rsidRPr="00513BCB">
        <w:rPr>
          <w:sz w:val="22"/>
          <w:szCs w:val="22"/>
        </w:rPr>
        <w:t>and</w:t>
      </w:r>
      <w:r w:rsidR="00A146C9" w:rsidRPr="00513BCB">
        <w:rPr>
          <w:rFonts w:cs="Times"/>
          <w:color w:val="1A1A1A"/>
          <w:sz w:val="22"/>
          <w:szCs w:val="22"/>
        </w:rPr>
        <w:t xml:space="preserve"> a</w:t>
      </w:r>
      <w:r w:rsidR="001427A1" w:rsidRPr="00513BCB">
        <w:rPr>
          <w:sz w:val="22"/>
          <w:szCs w:val="22"/>
        </w:rPr>
        <w:t xml:space="preserve">ll </w:t>
      </w:r>
      <w:r w:rsidRPr="00513BCB">
        <w:rPr>
          <w:sz w:val="22"/>
          <w:szCs w:val="22"/>
        </w:rPr>
        <w:t>US</w:t>
      </w:r>
      <w:r w:rsidR="00A146C9" w:rsidRPr="00513BCB">
        <w:rPr>
          <w:sz w:val="22"/>
          <w:szCs w:val="22"/>
        </w:rPr>
        <w:t xml:space="preserve"> </w:t>
      </w:r>
      <w:r w:rsidR="001427A1" w:rsidRPr="00513BCB">
        <w:rPr>
          <w:sz w:val="22"/>
          <w:szCs w:val="22"/>
        </w:rPr>
        <w:t>states have some form of ‘safe haven’ legislation for discreet births</w:t>
      </w:r>
      <w:r w:rsidR="00270B6F" w:rsidRPr="00513BCB">
        <w:rPr>
          <w:sz w:val="22"/>
          <w:szCs w:val="22"/>
        </w:rPr>
        <w:t>.</w:t>
      </w:r>
      <w:r w:rsidRPr="00513BCB">
        <w:rPr>
          <w:sz w:val="22"/>
          <w:szCs w:val="22"/>
        </w:rPr>
        <w:t xml:space="preserve"> The issue is not much considered legally but, when it is, it tends to be reduced to a</w:t>
      </w:r>
      <w:r w:rsidR="00270B6F" w:rsidRPr="00513BCB">
        <w:rPr>
          <w:sz w:val="22"/>
          <w:szCs w:val="22"/>
        </w:rPr>
        <w:t xml:space="preserve"> b</w:t>
      </w:r>
      <w:r w:rsidR="00A82EAA" w:rsidRPr="00513BCB">
        <w:rPr>
          <w:sz w:val="22"/>
          <w:szCs w:val="22"/>
        </w:rPr>
        <w:t>alancing of conflicting rights: o</w:t>
      </w:r>
      <w:r w:rsidR="00270B6F" w:rsidRPr="00513BCB">
        <w:rPr>
          <w:sz w:val="22"/>
          <w:szCs w:val="22"/>
        </w:rPr>
        <w:t>n the one hand</w:t>
      </w:r>
      <w:r w:rsidR="00A82EAA" w:rsidRPr="00513BCB">
        <w:rPr>
          <w:sz w:val="22"/>
          <w:szCs w:val="22"/>
        </w:rPr>
        <w:t>,</w:t>
      </w:r>
      <w:r w:rsidR="00270B6F" w:rsidRPr="00513BCB">
        <w:rPr>
          <w:sz w:val="22"/>
          <w:szCs w:val="22"/>
        </w:rPr>
        <w:t xml:space="preserve"> the </w:t>
      </w:r>
      <w:r w:rsidR="00C960FA" w:rsidRPr="00513BCB">
        <w:rPr>
          <w:sz w:val="22"/>
          <w:szCs w:val="22"/>
        </w:rPr>
        <w:t xml:space="preserve">birth giver’s </w:t>
      </w:r>
      <w:r w:rsidR="00270B6F" w:rsidRPr="00513BCB">
        <w:rPr>
          <w:sz w:val="22"/>
          <w:szCs w:val="22"/>
        </w:rPr>
        <w:t>right to confidentiality</w:t>
      </w:r>
      <w:r w:rsidR="00A82EAA" w:rsidRPr="00513BCB">
        <w:rPr>
          <w:rFonts w:cs="Times"/>
          <w:color w:val="1A1A1A"/>
          <w:sz w:val="22"/>
          <w:szCs w:val="22"/>
        </w:rPr>
        <w:t xml:space="preserve"> </w:t>
      </w:r>
      <w:r w:rsidR="00270B6F" w:rsidRPr="00513BCB">
        <w:rPr>
          <w:sz w:val="22"/>
          <w:szCs w:val="22"/>
        </w:rPr>
        <w:t xml:space="preserve">and, on the other, children’s rights, more specifically their rights to identity, with </w:t>
      </w:r>
      <w:r w:rsidR="008B694F" w:rsidRPr="00513BCB">
        <w:rPr>
          <w:sz w:val="22"/>
          <w:szCs w:val="22"/>
        </w:rPr>
        <w:t xml:space="preserve">priority </w:t>
      </w:r>
      <w:r w:rsidR="00270B6F" w:rsidRPr="00513BCB">
        <w:rPr>
          <w:sz w:val="22"/>
          <w:szCs w:val="22"/>
        </w:rPr>
        <w:t xml:space="preserve">given to what is in the child’s best interests. </w:t>
      </w:r>
    </w:p>
    <w:p w14:paraId="407F9FEB" w14:textId="77777777" w:rsidR="002C7EB4" w:rsidRPr="00513BCB" w:rsidRDefault="002C7EB4" w:rsidP="004D3080">
      <w:pPr>
        <w:widowControl w:val="0"/>
        <w:autoSpaceDE w:val="0"/>
        <w:autoSpaceDN w:val="0"/>
        <w:adjustRightInd w:val="0"/>
        <w:spacing w:line="360" w:lineRule="auto"/>
        <w:jc w:val="both"/>
        <w:rPr>
          <w:sz w:val="22"/>
          <w:szCs w:val="22"/>
        </w:rPr>
      </w:pPr>
    </w:p>
    <w:p w14:paraId="1792945F" w14:textId="6A2812BC" w:rsidR="00270B6F" w:rsidRPr="00513BCB" w:rsidRDefault="008B694F" w:rsidP="004D3080">
      <w:pPr>
        <w:widowControl w:val="0"/>
        <w:autoSpaceDE w:val="0"/>
        <w:autoSpaceDN w:val="0"/>
        <w:adjustRightInd w:val="0"/>
        <w:spacing w:line="360" w:lineRule="auto"/>
        <w:jc w:val="both"/>
        <w:rPr>
          <w:sz w:val="22"/>
          <w:szCs w:val="22"/>
        </w:rPr>
      </w:pPr>
      <w:r w:rsidRPr="00513BCB">
        <w:rPr>
          <w:sz w:val="22"/>
          <w:szCs w:val="22"/>
        </w:rPr>
        <w:t xml:space="preserve">This article considers secrecy in births in the context of </w:t>
      </w:r>
      <w:r w:rsidR="00641322" w:rsidRPr="00513BCB">
        <w:rPr>
          <w:sz w:val="22"/>
          <w:szCs w:val="22"/>
        </w:rPr>
        <w:t xml:space="preserve">a </w:t>
      </w:r>
      <w:r w:rsidRPr="00513BCB">
        <w:rPr>
          <w:sz w:val="22"/>
          <w:szCs w:val="22"/>
        </w:rPr>
        <w:t xml:space="preserve">world where motherhood continues to be constructed as ‘natural’. </w:t>
      </w:r>
      <w:r w:rsidR="00C960FA" w:rsidRPr="00513BCB">
        <w:rPr>
          <w:sz w:val="22"/>
          <w:szCs w:val="22"/>
        </w:rPr>
        <w:t>I</w:t>
      </w:r>
      <w:r w:rsidR="002C7EB4" w:rsidRPr="00513BCB">
        <w:rPr>
          <w:sz w:val="22"/>
          <w:szCs w:val="22"/>
        </w:rPr>
        <w:t xml:space="preserve">t </w:t>
      </w:r>
      <w:r w:rsidRPr="00513BCB">
        <w:rPr>
          <w:sz w:val="22"/>
          <w:szCs w:val="22"/>
        </w:rPr>
        <w:t>is increasingly assumed to be in a</w:t>
      </w:r>
      <w:r w:rsidR="00270B6F" w:rsidRPr="00513BCB">
        <w:rPr>
          <w:sz w:val="22"/>
          <w:szCs w:val="22"/>
        </w:rPr>
        <w:t xml:space="preserve"> child’s best interests</w:t>
      </w:r>
      <w:r w:rsidR="00A82EAA" w:rsidRPr="00513BCB">
        <w:rPr>
          <w:sz w:val="22"/>
          <w:szCs w:val="22"/>
        </w:rPr>
        <w:t xml:space="preserve"> </w:t>
      </w:r>
      <w:r w:rsidRPr="00513BCB">
        <w:rPr>
          <w:sz w:val="22"/>
          <w:szCs w:val="22"/>
        </w:rPr>
        <w:t xml:space="preserve">to have knowledge of their exact </w:t>
      </w:r>
      <w:r w:rsidR="005E33A0" w:rsidRPr="00513BCB">
        <w:rPr>
          <w:sz w:val="22"/>
          <w:szCs w:val="22"/>
        </w:rPr>
        <w:t>genetic biological origins, favouring full openness and transparency</w:t>
      </w:r>
      <w:r w:rsidRPr="00513BCB">
        <w:rPr>
          <w:sz w:val="22"/>
          <w:szCs w:val="22"/>
        </w:rPr>
        <w:t xml:space="preserve">. </w:t>
      </w:r>
      <w:r w:rsidR="00641322" w:rsidRPr="00513BCB">
        <w:rPr>
          <w:sz w:val="22"/>
          <w:szCs w:val="22"/>
        </w:rPr>
        <w:t xml:space="preserve">Secret </w:t>
      </w:r>
      <w:r w:rsidR="003D1334" w:rsidRPr="00513BCB">
        <w:rPr>
          <w:sz w:val="22"/>
          <w:szCs w:val="22"/>
        </w:rPr>
        <w:t>voluntary</w:t>
      </w:r>
      <w:r w:rsidR="002C7EB4" w:rsidRPr="00513BCB">
        <w:rPr>
          <w:sz w:val="22"/>
          <w:szCs w:val="22"/>
        </w:rPr>
        <w:t xml:space="preserve"> </w:t>
      </w:r>
      <w:r w:rsidR="00270B6F" w:rsidRPr="00513BCB">
        <w:rPr>
          <w:sz w:val="22"/>
          <w:szCs w:val="22"/>
        </w:rPr>
        <w:t>relinquish</w:t>
      </w:r>
      <w:r w:rsidR="003D1334" w:rsidRPr="00513BCB">
        <w:rPr>
          <w:sz w:val="22"/>
          <w:szCs w:val="22"/>
        </w:rPr>
        <w:t>ments of babies</w:t>
      </w:r>
      <w:r w:rsidR="00270B6F" w:rsidRPr="00513BCB">
        <w:rPr>
          <w:sz w:val="22"/>
          <w:szCs w:val="22"/>
        </w:rPr>
        <w:t xml:space="preserve"> in this context </w:t>
      </w:r>
      <w:r w:rsidR="00641322" w:rsidRPr="00513BCB">
        <w:rPr>
          <w:sz w:val="22"/>
          <w:szCs w:val="22"/>
        </w:rPr>
        <w:t xml:space="preserve">are </w:t>
      </w:r>
      <w:r w:rsidR="00270B6F" w:rsidRPr="00513BCB">
        <w:rPr>
          <w:sz w:val="22"/>
          <w:szCs w:val="22"/>
        </w:rPr>
        <w:t xml:space="preserve">therefore seen as </w:t>
      </w:r>
      <w:r w:rsidR="00A82EAA" w:rsidRPr="00513BCB">
        <w:rPr>
          <w:rFonts w:cs="Times"/>
          <w:sz w:val="22"/>
          <w:szCs w:val="22"/>
        </w:rPr>
        <w:t xml:space="preserve">‘unnatural’, morally reprehensible, </w:t>
      </w:r>
      <w:r w:rsidR="00641322" w:rsidRPr="00513BCB">
        <w:rPr>
          <w:rFonts w:cs="Times"/>
          <w:sz w:val="22"/>
          <w:szCs w:val="22"/>
        </w:rPr>
        <w:t>with</w:t>
      </w:r>
      <w:r w:rsidR="00270B6F" w:rsidRPr="00513BCB">
        <w:rPr>
          <w:rFonts w:cs="Times"/>
          <w:sz w:val="22"/>
          <w:szCs w:val="22"/>
        </w:rPr>
        <w:t xml:space="preserve"> corresponding legal restrictions</w:t>
      </w:r>
      <w:r w:rsidR="003D1334" w:rsidRPr="00513BCB">
        <w:rPr>
          <w:rFonts w:cs="Times"/>
          <w:sz w:val="22"/>
          <w:szCs w:val="22"/>
        </w:rPr>
        <w:t>.</w:t>
      </w:r>
      <w:r w:rsidR="00270B6F" w:rsidRPr="00513BCB">
        <w:rPr>
          <w:rFonts w:cs="Times"/>
          <w:sz w:val="22"/>
          <w:szCs w:val="22"/>
        </w:rPr>
        <w:t xml:space="preserve"> </w:t>
      </w:r>
    </w:p>
    <w:p w14:paraId="7E57DC29" w14:textId="77777777" w:rsidR="002E2CD7" w:rsidRPr="00513BCB" w:rsidRDefault="002E2CD7" w:rsidP="004D3080">
      <w:pPr>
        <w:widowControl w:val="0"/>
        <w:autoSpaceDE w:val="0"/>
        <w:autoSpaceDN w:val="0"/>
        <w:adjustRightInd w:val="0"/>
        <w:spacing w:line="360" w:lineRule="auto"/>
        <w:jc w:val="both"/>
        <w:rPr>
          <w:sz w:val="22"/>
          <w:szCs w:val="22"/>
        </w:rPr>
      </w:pPr>
    </w:p>
    <w:p w14:paraId="794B5190" w14:textId="3ED7402D" w:rsidR="001952EB" w:rsidRPr="00513BCB" w:rsidRDefault="00A82EAA" w:rsidP="004D3080">
      <w:pPr>
        <w:widowControl w:val="0"/>
        <w:autoSpaceDE w:val="0"/>
        <w:autoSpaceDN w:val="0"/>
        <w:adjustRightInd w:val="0"/>
        <w:spacing w:line="360" w:lineRule="auto"/>
        <w:jc w:val="both"/>
        <w:rPr>
          <w:sz w:val="22"/>
          <w:szCs w:val="22"/>
        </w:rPr>
      </w:pPr>
      <w:r w:rsidRPr="00513BCB">
        <w:rPr>
          <w:sz w:val="22"/>
          <w:szCs w:val="22"/>
        </w:rPr>
        <w:t xml:space="preserve">It is argued that </w:t>
      </w:r>
      <w:r w:rsidR="00BC14C3" w:rsidRPr="00513BCB">
        <w:rPr>
          <w:sz w:val="22"/>
          <w:szCs w:val="22"/>
        </w:rPr>
        <w:t>children’s rights to life and identity</w:t>
      </w:r>
      <w:r w:rsidR="001427A1" w:rsidRPr="00513BCB">
        <w:rPr>
          <w:sz w:val="22"/>
          <w:szCs w:val="22"/>
        </w:rPr>
        <w:t xml:space="preserve"> </w:t>
      </w:r>
      <w:r w:rsidRPr="00513BCB">
        <w:rPr>
          <w:sz w:val="22"/>
          <w:szCs w:val="22"/>
        </w:rPr>
        <w:t xml:space="preserve">are respected </w:t>
      </w:r>
      <w:r w:rsidR="001427A1" w:rsidRPr="00513BCB">
        <w:rPr>
          <w:sz w:val="22"/>
          <w:szCs w:val="22"/>
        </w:rPr>
        <w:t xml:space="preserve">by </w:t>
      </w:r>
      <w:r w:rsidR="00270B6F" w:rsidRPr="00513BCB">
        <w:rPr>
          <w:sz w:val="22"/>
          <w:szCs w:val="22"/>
        </w:rPr>
        <w:t>interpreting</w:t>
      </w:r>
      <w:r w:rsidR="001909FA" w:rsidRPr="00513BCB">
        <w:rPr>
          <w:sz w:val="22"/>
          <w:szCs w:val="22"/>
        </w:rPr>
        <w:t xml:space="preserve"> </w:t>
      </w:r>
      <w:r w:rsidR="00C960FA" w:rsidRPr="00513BCB">
        <w:rPr>
          <w:sz w:val="22"/>
          <w:szCs w:val="22"/>
        </w:rPr>
        <w:t>‘</w:t>
      </w:r>
      <w:r w:rsidR="001909FA" w:rsidRPr="00513BCB">
        <w:rPr>
          <w:sz w:val="22"/>
          <w:szCs w:val="22"/>
        </w:rPr>
        <w:t>identity</w:t>
      </w:r>
      <w:r w:rsidR="00C960FA" w:rsidRPr="00513BCB">
        <w:rPr>
          <w:sz w:val="22"/>
          <w:szCs w:val="22"/>
        </w:rPr>
        <w:t>’</w:t>
      </w:r>
      <w:r w:rsidR="00270B6F" w:rsidRPr="00513BCB">
        <w:rPr>
          <w:sz w:val="22"/>
          <w:szCs w:val="22"/>
        </w:rPr>
        <w:t xml:space="preserve"> </w:t>
      </w:r>
      <w:r w:rsidR="001F52C0" w:rsidRPr="00513BCB">
        <w:rPr>
          <w:rFonts w:cs="Times"/>
          <w:sz w:val="22"/>
          <w:szCs w:val="22"/>
        </w:rPr>
        <w:t xml:space="preserve">as </w:t>
      </w:r>
      <w:r w:rsidR="00BC14C3" w:rsidRPr="00513BCB">
        <w:rPr>
          <w:rFonts w:cs="Times"/>
          <w:sz w:val="22"/>
          <w:szCs w:val="22"/>
        </w:rPr>
        <w:t xml:space="preserve">socially </w:t>
      </w:r>
      <w:r w:rsidR="00857FB5" w:rsidRPr="00513BCB">
        <w:rPr>
          <w:rFonts w:cs="Times"/>
          <w:sz w:val="22"/>
          <w:szCs w:val="22"/>
        </w:rPr>
        <w:t>formed through living a life</w:t>
      </w:r>
      <w:r w:rsidR="00C960FA" w:rsidRPr="00513BCB">
        <w:rPr>
          <w:rFonts w:cs="Times"/>
          <w:sz w:val="22"/>
          <w:szCs w:val="22"/>
        </w:rPr>
        <w:t xml:space="preserve">, rather than </w:t>
      </w:r>
      <w:r w:rsidR="009A71D4" w:rsidRPr="00513BCB">
        <w:rPr>
          <w:rFonts w:cs="Times"/>
          <w:sz w:val="22"/>
          <w:szCs w:val="22"/>
        </w:rPr>
        <w:t>based on</w:t>
      </w:r>
      <w:r w:rsidR="001F52C0" w:rsidRPr="00513BCB">
        <w:rPr>
          <w:rFonts w:cs="Times"/>
          <w:sz w:val="22"/>
          <w:szCs w:val="22"/>
        </w:rPr>
        <w:t xml:space="preserve"> knowledge of </w:t>
      </w:r>
      <w:r w:rsidRPr="00513BCB">
        <w:rPr>
          <w:rFonts w:cs="Times"/>
          <w:sz w:val="22"/>
          <w:szCs w:val="22"/>
        </w:rPr>
        <w:t xml:space="preserve">biological origins. If this interpretation of </w:t>
      </w:r>
      <w:r w:rsidR="00C960FA" w:rsidRPr="00513BCB">
        <w:rPr>
          <w:rFonts w:cs="Times"/>
          <w:sz w:val="22"/>
          <w:szCs w:val="22"/>
        </w:rPr>
        <w:t xml:space="preserve">the </w:t>
      </w:r>
      <w:r w:rsidRPr="00513BCB">
        <w:rPr>
          <w:rFonts w:cs="Times"/>
          <w:sz w:val="22"/>
          <w:szCs w:val="22"/>
        </w:rPr>
        <w:t xml:space="preserve">right to identity </w:t>
      </w:r>
      <w:r w:rsidR="004E0861" w:rsidRPr="00513BCB">
        <w:rPr>
          <w:rFonts w:cs="Times"/>
          <w:sz w:val="22"/>
          <w:szCs w:val="22"/>
        </w:rPr>
        <w:t xml:space="preserve">were </w:t>
      </w:r>
      <w:r w:rsidRPr="00513BCB">
        <w:rPr>
          <w:rFonts w:cs="Times"/>
          <w:sz w:val="22"/>
          <w:szCs w:val="22"/>
        </w:rPr>
        <w:t>used</w:t>
      </w:r>
      <w:r w:rsidR="00BC14C3" w:rsidRPr="00513BCB">
        <w:rPr>
          <w:rFonts w:cs="Times"/>
          <w:sz w:val="22"/>
          <w:szCs w:val="22"/>
        </w:rPr>
        <w:t xml:space="preserve">, more energy could be infused into creating social </w:t>
      </w:r>
      <w:r w:rsidR="001952EB" w:rsidRPr="00513BCB">
        <w:rPr>
          <w:rFonts w:cs="Times"/>
          <w:sz w:val="22"/>
          <w:szCs w:val="22"/>
        </w:rPr>
        <w:t>circumstances of compassionate care and belonging</w:t>
      </w:r>
      <w:r w:rsidR="002E2CD7" w:rsidRPr="00513BCB">
        <w:rPr>
          <w:rFonts w:cs="Times"/>
          <w:sz w:val="22"/>
          <w:szCs w:val="22"/>
        </w:rPr>
        <w:t xml:space="preserve"> for all children</w:t>
      </w:r>
      <w:r w:rsidR="001909FA" w:rsidRPr="00513BCB">
        <w:rPr>
          <w:rFonts w:cs="Times"/>
          <w:sz w:val="22"/>
          <w:szCs w:val="22"/>
        </w:rPr>
        <w:t>. This could</w:t>
      </w:r>
      <w:r w:rsidR="00857FB5" w:rsidRPr="00513BCB">
        <w:rPr>
          <w:rFonts w:cs="Times"/>
          <w:sz w:val="22"/>
          <w:szCs w:val="22"/>
        </w:rPr>
        <w:t xml:space="preserve"> include </w:t>
      </w:r>
      <w:r w:rsidR="00C960FA" w:rsidRPr="00513BCB">
        <w:rPr>
          <w:rFonts w:cs="Times"/>
          <w:sz w:val="22"/>
          <w:szCs w:val="22"/>
        </w:rPr>
        <w:t xml:space="preserve">providing </w:t>
      </w:r>
      <w:r w:rsidR="00857FB5" w:rsidRPr="00513BCB">
        <w:rPr>
          <w:rFonts w:cs="Times"/>
          <w:sz w:val="22"/>
          <w:szCs w:val="22"/>
        </w:rPr>
        <w:t xml:space="preserve">as much safety </w:t>
      </w:r>
      <w:r w:rsidR="00BC14C3" w:rsidRPr="00513BCB">
        <w:rPr>
          <w:rFonts w:cs="Times"/>
          <w:sz w:val="22"/>
          <w:szCs w:val="22"/>
        </w:rPr>
        <w:t>as</w:t>
      </w:r>
      <w:r w:rsidR="00C960FA" w:rsidRPr="00513BCB">
        <w:rPr>
          <w:rFonts w:cs="Times"/>
          <w:sz w:val="22"/>
          <w:szCs w:val="22"/>
        </w:rPr>
        <w:t xml:space="preserve"> possible, as</w:t>
      </w:r>
      <w:r w:rsidR="00BC14C3" w:rsidRPr="00513BCB">
        <w:rPr>
          <w:rFonts w:cs="Times"/>
          <w:sz w:val="22"/>
          <w:szCs w:val="22"/>
        </w:rPr>
        <w:t xml:space="preserve"> soon as possible</w:t>
      </w:r>
      <w:r w:rsidR="00C960FA" w:rsidRPr="00513BCB">
        <w:rPr>
          <w:rFonts w:cs="Times"/>
          <w:sz w:val="22"/>
          <w:szCs w:val="22"/>
        </w:rPr>
        <w:t>,</w:t>
      </w:r>
      <w:r w:rsidR="00BC14C3" w:rsidRPr="00513BCB">
        <w:rPr>
          <w:rFonts w:cs="Times"/>
          <w:sz w:val="22"/>
          <w:szCs w:val="22"/>
        </w:rPr>
        <w:t xml:space="preserve"> after birth</w:t>
      </w:r>
      <w:r w:rsidR="001F52C0" w:rsidRPr="00513BCB">
        <w:rPr>
          <w:rFonts w:cs="Times"/>
          <w:sz w:val="22"/>
          <w:szCs w:val="22"/>
        </w:rPr>
        <w:t xml:space="preserve">; better provision for </w:t>
      </w:r>
      <w:r w:rsidRPr="00513BCB">
        <w:rPr>
          <w:rFonts w:cs="Times"/>
          <w:sz w:val="22"/>
          <w:szCs w:val="22"/>
        </w:rPr>
        <w:t xml:space="preserve">preserving </w:t>
      </w:r>
      <w:r w:rsidR="001F52C0" w:rsidRPr="00513BCB">
        <w:rPr>
          <w:rFonts w:cs="Times"/>
          <w:sz w:val="22"/>
          <w:szCs w:val="22"/>
        </w:rPr>
        <w:t>memory books</w:t>
      </w:r>
      <w:r w:rsidRPr="00513BCB">
        <w:rPr>
          <w:rFonts w:cs="Times"/>
          <w:sz w:val="22"/>
          <w:szCs w:val="22"/>
        </w:rPr>
        <w:t>,</w:t>
      </w:r>
      <w:r w:rsidR="001F52C0" w:rsidRPr="00513BCB">
        <w:rPr>
          <w:rFonts w:cs="Times"/>
          <w:sz w:val="22"/>
          <w:szCs w:val="22"/>
        </w:rPr>
        <w:t xml:space="preserve"> and a fresh </w:t>
      </w:r>
      <w:r w:rsidR="002C7DAD" w:rsidRPr="00513BCB">
        <w:rPr>
          <w:rFonts w:cs="Times"/>
          <w:sz w:val="22"/>
          <w:szCs w:val="22"/>
        </w:rPr>
        <w:t xml:space="preserve">approach to </w:t>
      </w:r>
      <w:r w:rsidR="003D1334" w:rsidRPr="00513BCB">
        <w:rPr>
          <w:rFonts w:cs="Times"/>
          <w:sz w:val="22"/>
          <w:szCs w:val="22"/>
        </w:rPr>
        <w:t>caring for</w:t>
      </w:r>
      <w:r w:rsidR="004E0861" w:rsidRPr="00513BCB">
        <w:rPr>
          <w:rFonts w:cs="Times"/>
          <w:sz w:val="22"/>
          <w:szCs w:val="22"/>
        </w:rPr>
        <w:t xml:space="preserve"> </w:t>
      </w:r>
      <w:r w:rsidR="001F52C0" w:rsidRPr="00513BCB">
        <w:rPr>
          <w:rFonts w:cs="Times"/>
          <w:sz w:val="22"/>
          <w:szCs w:val="22"/>
        </w:rPr>
        <w:t>children</w:t>
      </w:r>
      <w:r w:rsidR="002E2CD7" w:rsidRPr="00513BCB">
        <w:rPr>
          <w:rFonts w:cs="Times"/>
          <w:sz w:val="22"/>
          <w:szCs w:val="22"/>
        </w:rPr>
        <w:t xml:space="preserve"> </w:t>
      </w:r>
      <w:r w:rsidR="003D1334" w:rsidRPr="00513BCB">
        <w:rPr>
          <w:rFonts w:cs="Times"/>
          <w:sz w:val="22"/>
          <w:szCs w:val="22"/>
        </w:rPr>
        <w:t>in</w:t>
      </w:r>
      <w:r w:rsidR="002E2CD7" w:rsidRPr="00513BCB">
        <w:rPr>
          <w:rFonts w:cs="Times"/>
          <w:sz w:val="22"/>
          <w:szCs w:val="22"/>
        </w:rPr>
        <w:t xml:space="preserve"> </w:t>
      </w:r>
      <w:r w:rsidR="001F52C0" w:rsidRPr="00513BCB">
        <w:rPr>
          <w:rFonts w:cs="Times"/>
          <w:sz w:val="22"/>
          <w:szCs w:val="22"/>
        </w:rPr>
        <w:t>the care system</w:t>
      </w:r>
      <w:r w:rsidR="002E2CD7" w:rsidRPr="00513BCB">
        <w:rPr>
          <w:rFonts w:cs="Times"/>
          <w:sz w:val="22"/>
          <w:szCs w:val="22"/>
        </w:rPr>
        <w:t xml:space="preserve"> </w:t>
      </w:r>
      <w:r w:rsidR="00C960FA" w:rsidRPr="00513BCB">
        <w:rPr>
          <w:rFonts w:cs="Times"/>
          <w:sz w:val="22"/>
          <w:szCs w:val="22"/>
        </w:rPr>
        <w:t>following</w:t>
      </w:r>
      <w:r w:rsidR="002E2CD7" w:rsidRPr="00513BCB">
        <w:rPr>
          <w:rFonts w:cs="Times"/>
          <w:sz w:val="22"/>
          <w:szCs w:val="22"/>
        </w:rPr>
        <w:t xml:space="preserve"> anonymous births</w:t>
      </w:r>
      <w:r w:rsidR="001952EB" w:rsidRPr="00513BCB">
        <w:rPr>
          <w:rFonts w:cs="Times"/>
          <w:sz w:val="22"/>
          <w:szCs w:val="22"/>
        </w:rPr>
        <w:t>.</w:t>
      </w:r>
      <w:r w:rsidR="00857FB5" w:rsidRPr="00513BCB">
        <w:rPr>
          <w:rFonts w:cs="Times"/>
          <w:sz w:val="22"/>
          <w:szCs w:val="22"/>
        </w:rPr>
        <w:t xml:space="preserve"> </w:t>
      </w:r>
      <w:r w:rsidRPr="00513BCB">
        <w:rPr>
          <w:rFonts w:cs="Times"/>
          <w:sz w:val="22"/>
          <w:szCs w:val="22"/>
        </w:rPr>
        <w:lastRenderedPageBreak/>
        <w:t xml:space="preserve">Further, an attitude of care towards the birth giver will assist in enabling her to make more informed choices for herself to live a life in which she feels a sense of belonging. </w:t>
      </w:r>
    </w:p>
    <w:p w14:paraId="2EE32957" w14:textId="77777777" w:rsidR="00857FB5" w:rsidRPr="00513BCB" w:rsidRDefault="00857FB5" w:rsidP="004D3080">
      <w:pPr>
        <w:pStyle w:val="Title"/>
        <w:spacing w:line="360" w:lineRule="auto"/>
        <w:contextualSpacing/>
        <w:jc w:val="both"/>
        <w:rPr>
          <w:rFonts w:asciiTheme="minorHAnsi" w:hAnsiTheme="minorHAnsi" w:cs="Times"/>
          <w:b w:val="0"/>
          <w:sz w:val="22"/>
          <w:szCs w:val="22"/>
        </w:rPr>
      </w:pPr>
    </w:p>
    <w:p w14:paraId="2FD354B1" w14:textId="0C57E45C" w:rsidR="003F61C9" w:rsidRPr="00513BCB" w:rsidRDefault="003F61C9" w:rsidP="007C6A1D">
      <w:pPr>
        <w:pStyle w:val="Title"/>
        <w:spacing w:line="360" w:lineRule="auto"/>
        <w:contextualSpacing/>
        <w:jc w:val="both"/>
        <w:outlineLvl w:val="0"/>
        <w:rPr>
          <w:rFonts w:asciiTheme="minorHAnsi" w:hAnsiTheme="minorHAnsi"/>
          <w:sz w:val="22"/>
          <w:szCs w:val="22"/>
        </w:rPr>
      </w:pPr>
      <w:r w:rsidRPr="00513BCB">
        <w:rPr>
          <w:rFonts w:asciiTheme="minorHAnsi" w:hAnsiTheme="minorHAnsi"/>
          <w:sz w:val="22"/>
          <w:szCs w:val="22"/>
        </w:rPr>
        <w:t>Key Words</w:t>
      </w:r>
    </w:p>
    <w:p w14:paraId="5964D54E" w14:textId="55325666" w:rsidR="003F61C9" w:rsidRPr="00513BCB" w:rsidRDefault="001909FA" w:rsidP="004D3080">
      <w:pPr>
        <w:pStyle w:val="Title"/>
        <w:spacing w:line="360" w:lineRule="auto"/>
        <w:contextualSpacing/>
        <w:jc w:val="both"/>
        <w:rPr>
          <w:rFonts w:asciiTheme="minorHAnsi" w:hAnsiTheme="minorHAnsi"/>
          <w:b w:val="0"/>
          <w:i/>
          <w:sz w:val="22"/>
          <w:szCs w:val="22"/>
        </w:rPr>
      </w:pPr>
      <w:r w:rsidRPr="00513BCB">
        <w:rPr>
          <w:rFonts w:asciiTheme="minorHAnsi" w:hAnsiTheme="minorHAnsi"/>
          <w:b w:val="0"/>
          <w:i/>
          <w:sz w:val="22"/>
          <w:szCs w:val="22"/>
        </w:rPr>
        <w:t>Confidentiality</w:t>
      </w:r>
      <w:r w:rsidR="001D600C" w:rsidRPr="00513BCB">
        <w:rPr>
          <w:rFonts w:asciiTheme="minorHAnsi" w:hAnsiTheme="minorHAnsi"/>
          <w:b w:val="0"/>
          <w:i/>
          <w:sz w:val="22"/>
          <w:szCs w:val="22"/>
        </w:rPr>
        <w:t xml:space="preserve">, </w:t>
      </w:r>
      <w:r w:rsidR="00A82EAA" w:rsidRPr="00513BCB">
        <w:rPr>
          <w:rFonts w:asciiTheme="minorHAnsi" w:hAnsiTheme="minorHAnsi"/>
          <w:b w:val="0"/>
          <w:i/>
          <w:sz w:val="22"/>
          <w:szCs w:val="22"/>
        </w:rPr>
        <w:t xml:space="preserve">secrecy, </w:t>
      </w:r>
      <w:r w:rsidRPr="00513BCB">
        <w:rPr>
          <w:rFonts w:asciiTheme="minorHAnsi" w:hAnsiTheme="minorHAnsi"/>
          <w:b w:val="0"/>
          <w:i/>
          <w:sz w:val="22"/>
          <w:szCs w:val="22"/>
        </w:rPr>
        <w:t xml:space="preserve">pregnancy, </w:t>
      </w:r>
      <w:r w:rsidR="003F61C9" w:rsidRPr="00513BCB">
        <w:rPr>
          <w:rFonts w:asciiTheme="minorHAnsi" w:hAnsiTheme="minorHAnsi"/>
          <w:b w:val="0"/>
          <w:i/>
          <w:sz w:val="22"/>
          <w:szCs w:val="22"/>
        </w:rPr>
        <w:t xml:space="preserve">childbirth, </w:t>
      </w:r>
      <w:r w:rsidR="00A82EAA" w:rsidRPr="00513BCB">
        <w:rPr>
          <w:rFonts w:asciiTheme="minorHAnsi" w:hAnsiTheme="minorHAnsi"/>
          <w:b w:val="0"/>
          <w:i/>
          <w:sz w:val="22"/>
          <w:szCs w:val="22"/>
        </w:rPr>
        <w:t xml:space="preserve">motherhood, </w:t>
      </w:r>
      <w:r w:rsidR="003F61C9" w:rsidRPr="00513BCB">
        <w:rPr>
          <w:rFonts w:asciiTheme="minorHAnsi" w:hAnsiTheme="minorHAnsi"/>
          <w:b w:val="0"/>
          <w:i/>
          <w:sz w:val="22"/>
          <w:szCs w:val="22"/>
        </w:rPr>
        <w:t>care</w:t>
      </w:r>
      <w:r w:rsidR="00236CBC" w:rsidRPr="00513BCB">
        <w:rPr>
          <w:rFonts w:asciiTheme="minorHAnsi" w:hAnsiTheme="minorHAnsi"/>
          <w:b w:val="0"/>
          <w:i/>
          <w:sz w:val="22"/>
          <w:szCs w:val="22"/>
        </w:rPr>
        <w:t xml:space="preserve">, </w:t>
      </w:r>
      <w:r w:rsidR="001D600C" w:rsidRPr="00513BCB">
        <w:rPr>
          <w:rFonts w:asciiTheme="minorHAnsi" w:hAnsiTheme="minorHAnsi"/>
          <w:b w:val="0"/>
          <w:i/>
          <w:sz w:val="22"/>
          <w:szCs w:val="22"/>
        </w:rPr>
        <w:t xml:space="preserve">belonging, identity, </w:t>
      </w:r>
      <w:r w:rsidR="00236CBC" w:rsidRPr="00513BCB">
        <w:rPr>
          <w:rFonts w:asciiTheme="minorHAnsi" w:hAnsiTheme="minorHAnsi"/>
          <w:b w:val="0"/>
          <w:i/>
          <w:sz w:val="22"/>
          <w:szCs w:val="22"/>
        </w:rPr>
        <w:t>baby boxes</w:t>
      </w:r>
      <w:r w:rsidR="005C2402" w:rsidRPr="00513BCB">
        <w:rPr>
          <w:rFonts w:asciiTheme="minorHAnsi" w:hAnsiTheme="minorHAnsi"/>
          <w:b w:val="0"/>
          <w:i/>
          <w:sz w:val="22"/>
          <w:szCs w:val="22"/>
        </w:rPr>
        <w:t>, adoption</w:t>
      </w:r>
    </w:p>
    <w:p w14:paraId="3BEC5D99" w14:textId="77777777" w:rsidR="00F9644B" w:rsidRPr="00513BCB" w:rsidRDefault="00F9644B" w:rsidP="004D3080">
      <w:pPr>
        <w:pStyle w:val="Title"/>
        <w:spacing w:line="360" w:lineRule="auto"/>
        <w:contextualSpacing/>
        <w:jc w:val="both"/>
        <w:rPr>
          <w:rFonts w:asciiTheme="minorHAnsi" w:hAnsiTheme="minorHAnsi"/>
          <w:b w:val="0"/>
          <w:sz w:val="22"/>
          <w:szCs w:val="22"/>
        </w:rPr>
      </w:pPr>
    </w:p>
    <w:p w14:paraId="320DD958" w14:textId="07296039" w:rsidR="00F16724" w:rsidRPr="00513BCB" w:rsidRDefault="005A275D" w:rsidP="007C6A1D">
      <w:pPr>
        <w:widowControl w:val="0"/>
        <w:autoSpaceDE w:val="0"/>
        <w:autoSpaceDN w:val="0"/>
        <w:adjustRightInd w:val="0"/>
        <w:spacing w:line="360" w:lineRule="auto"/>
        <w:jc w:val="both"/>
        <w:outlineLvl w:val="0"/>
        <w:rPr>
          <w:rFonts w:cs="Times"/>
          <w:b/>
          <w:color w:val="1A1A1A"/>
          <w:sz w:val="22"/>
          <w:szCs w:val="22"/>
        </w:rPr>
      </w:pPr>
      <w:r w:rsidRPr="00513BCB">
        <w:rPr>
          <w:rFonts w:cs="Times"/>
          <w:b/>
          <w:color w:val="4B4B4B"/>
          <w:sz w:val="22"/>
          <w:szCs w:val="22"/>
        </w:rPr>
        <w:t>Introduction</w:t>
      </w:r>
    </w:p>
    <w:p w14:paraId="691CA71F" w14:textId="689A6074" w:rsidR="004E0861" w:rsidRPr="00513BCB" w:rsidRDefault="002A4EB9" w:rsidP="004D3080">
      <w:pPr>
        <w:widowControl w:val="0"/>
        <w:autoSpaceDE w:val="0"/>
        <w:autoSpaceDN w:val="0"/>
        <w:adjustRightInd w:val="0"/>
        <w:spacing w:line="360" w:lineRule="auto"/>
        <w:jc w:val="both"/>
        <w:rPr>
          <w:rFonts w:cs="Times"/>
          <w:sz w:val="22"/>
          <w:szCs w:val="22"/>
        </w:rPr>
      </w:pPr>
      <w:r w:rsidRPr="00513BCB">
        <w:rPr>
          <w:sz w:val="22"/>
          <w:szCs w:val="22"/>
        </w:rPr>
        <w:t>This</w:t>
      </w:r>
      <w:r w:rsidR="00C65F6A" w:rsidRPr="00513BCB">
        <w:rPr>
          <w:rFonts w:cs="Times"/>
          <w:color w:val="1A1A1A"/>
          <w:sz w:val="22"/>
          <w:szCs w:val="22"/>
        </w:rPr>
        <w:t xml:space="preserve"> article </w:t>
      </w:r>
      <w:r w:rsidR="009632E8" w:rsidRPr="00513BCB">
        <w:rPr>
          <w:sz w:val="22"/>
          <w:szCs w:val="22"/>
        </w:rPr>
        <w:t xml:space="preserve">considers </w:t>
      </w:r>
      <w:r w:rsidRPr="00513BCB">
        <w:rPr>
          <w:sz w:val="22"/>
          <w:szCs w:val="22"/>
        </w:rPr>
        <w:t>secrecy in</w:t>
      </w:r>
      <w:r w:rsidR="009632E8" w:rsidRPr="00513BCB">
        <w:rPr>
          <w:sz w:val="22"/>
          <w:szCs w:val="22"/>
        </w:rPr>
        <w:t xml:space="preserve"> births</w:t>
      </w:r>
      <w:r w:rsidR="0003051A" w:rsidRPr="00513BCB">
        <w:rPr>
          <w:sz w:val="22"/>
          <w:szCs w:val="22"/>
        </w:rPr>
        <w:t xml:space="preserve"> </w:t>
      </w:r>
      <w:r w:rsidR="009632E8" w:rsidRPr="00513BCB">
        <w:rPr>
          <w:sz w:val="22"/>
          <w:szCs w:val="22"/>
        </w:rPr>
        <w:t>i</w:t>
      </w:r>
      <w:r w:rsidR="0003051A" w:rsidRPr="00513BCB">
        <w:rPr>
          <w:sz w:val="22"/>
          <w:szCs w:val="22"/>
        </w:rPr>
        <w:t xml:space="preserve">n the context of </w:t>
      </w:r>
      <w:r w:rsidR="00C0268F" w:rsidRPr="00513BCB">
        <w:rPr>
          <w:sz w:val="22"/>
          <w:szCs w:val="22"/>
        </w:rPr>
        <w:t xml:space="preserve">a </w:t>
      </w:r>
      <w:r w:rsidR="0003051A" w:rsidRPr="00513BCB">
        <w:rPr>
          <w:sz w:val="22"/>
          <w:szCs w:val="22"/>
        </w:rPr>
        <w:t>world</w:t>
      </w:r>
      <w:r w:rsidR="003D1334" w:rsidRPr="00513BCB">
        <w:rPr>
          <w:sz w:val="22"/>
          <w:szCs w:val="22"/>
        </w:rPr>
        <w:t xml:space="preserve"> where </w:t>
      </w:r>
      <w:r w:rsidR="009632E8" w:rsidRPr="00513BCB">
        <w:rPr>
          <w:sz w:val="22"/>
          <w:szCs w:val="22"/>
        </w:rPr>
        <w:t>motherhood continues to be constructed as natural by reference to female child</w:t>
      </w:r>
      <w:r w:rsidR="002C7DAD" w:rsidRPr="00513BCB">
        <w:rPr>
          <w:sz w:val="22"/>
          <w:szCs w:val="22"/>
        </w:rPr>
        <w:t xml:space="preserve"> </w:t>
      </w:r>
      <w:r w:rsidR="009632E8" w:rsidRPr="00513BCB">
        <w:rPr>
          <w:sz w:val="22"/>
          <w:szCs w:val="22"/>
        </w:rPr>
        <w:t>bearing</w:t>
      </w:r>
      <w:r w:rsidR="002C7EB4" w:rsidRPr="00513BCB">
        <w:rPr>
          <w:sz w:val="22"/>
          <w:szCs w:val="22"/>
        </w:rPr>
        <w:t xml:space="preserve"> </w:t>
      </w:r>
      <w:r w:rsidR="009632E8" w:rsidRPr="00513BCB">
        <w:rPr>
          <w:sz w:val="22"/>
          <w:szCs w:val="22"/>
        </w:rPr>
        <w:t xml:space="preserve">and birthing capacity. </w:t>
      </w:r>
      <w:r w:rsidR="00517270" w:rsidRPr="00513BCB">
        <w:rPr>
          <w:sz w:val="22"/>
          <w:szCs w:val="22"/>
        </w:rPr>
        <w:t>Child r</w:t>
      </w:r>
      <w:r w:rsidR="009632E8" w:rsidRPr="00513BCB">
        <w:rPr>
          <w:sz w:val="22"/>
          <w:szCs w:val="22"/>
        </w:rPr>
        <w:t>earing and social mothering</w:t>
      </w:r>
      <w:r w:rsidR="002C7DAD" w:rsidRPr="00513BCB">
        <w:rPr>
          <w:sz w:val="22"/>
          <w:szCs w:val="22"/>
        </w:rPr>
        <w:t xml:space="preserve"> </w:t>
      </w:r>
      <w:r w:rsidR="009632E8" w:rsidRPr="00513BCB">
        <w:rPr>
          <w:sz w:val="22"/>
          <w:szCs w:val="22"/>
        </w:rPr>
        <w:t xml:space="preserve">are perceived as automatically </w:t>
      </w:r>
      <w:r w:rsidR="00517270" w:rsidRPr="00513BCB">
        <w:rPr>
          <w:sz w:val="22"/>
          <w:szCs w:val="22"/>
        </w:rPr>
        <w:t xml:space="preserve">and </w:t>
      </w:r>
      <w:r w:rsidR="009632E8" w:rsidRPr="00513BCB">
        <w:rPr>
          <w:sz w:val="22"/>
          <w:szCs w:val="22"/>
        </w:rPr>
        <w:t>‘naturally’ following from that. At the same time, there has been a changing view of what is in a child’s best interests</w:t>
      </w:r>
      <w:r w:rsidR="00517270" w:rsidRPr="00513BCB">
        <w:rPr>
          <w:sz w:val="22"/>
          <w:szCs w:val="22"/>
        </w:rPr>
        <w:t xml:space="preserve">, which </w:t>
      </w:r>
      <w:r w:rsidR="005B30CB" w:rsidRPr="00513BCB">
        <w:rPr>
          <w:sz w:val="22"/>
          <w:szCs w:val="22"/>
        </w:rPr>
        <w:t>risks</w:t>
      </w:r>
      <w:r w:rsidR="009632E8" w:rsidRPr="00513BCB">
        <w:rPr>
          <w:sz w:val="22"/>
          <w:szCs w:val="22"/>
        </w:rPr>
        <w:t xml:space="preserve"> </w:t>
      </w:r>
      <w:r w:rsidR="003D1334" w:rsidRPr="00513BCB">
        <w:rPr>
          <w:sz w:val="22"/>
          <w:szCs w:val="22"/>
        </w:rPr>
        <w:t>emphasising</w:t>
      </w:r>
      <w:r w:rsidR="001102BA" w:rsidRPr="00513BCB">
        <w:rPr>
          <w:sz w:val="22"/>
          <w:szCs w:val="22"/>
        </w:rPr>
        <w:t xml:space="preserve"> the</w:t>
      </w:r>
      <w:r w:rsidR="009632E8" w:rsidRPr="00513BCB">
        <w:rPr>
          <w:sz w:val="22"/>
          <w:szCs w:val="22"/>
        </w:rPr>
        <w:t xml:space="preserve"> right to </w:t>
      </w:r>
      <w:r w:rsidR="001102BA" w:rsidRPr="00513BCB">
        <w:rPr>
          <w:sz w:val="22"/>
          <w:szCs w:val="22"/>
        </w:rPr>
        <w:t xml:space="preserve">identity and reducing it to </w:t>
      </w:r>
      <w:r w:rsidR="009632E8" w:rsidRPr="00513BCB">
        <w:rPr>
          <w:sz w:val="22"/>
          <w:szCs w:val="22"/>
        </w:rPr>
        <w:t>know</w:t>
      </w:r>
      <w:r w:rsidR="001102BA" w:rsidRPr="00513BCB">
        <w:rPr>
          <w:sz w:val="22"/>
          <w:szCs w:val="22"/>
        </w:rPr>
        <w:t>ledge of one’s</w:t>
      </w:r>
      <w:r w:rsidR="00D561FA" w:rsidRPr="00513BCB">
        <w:rPr>
          <w:sz w:val="22"/>
          <w:szCs w:val="22"/>
        </w:rPr>
        <w:t xml:space="preserve"> exact</w:t>
      </w:r>
      <w:r w:rsidR="009632E8" w:rsidRPr="00513BCB">
        <w:rPr>
          <w:sz w:val="22"/>
          <w:szCs w:val="22"/>
        </w:rPr>
        <w:t xml:space="preserve"> genetic biological origins</w:t>
      </w:r>
      <w:r w:rsidR="00517270" w:rsidRPr="00513BCB">
        <w:rPr>
          <w:sz w:val="22"/>
          <w:szCs w:val="22"/>
        </w:rPr>
        <w:t xml:space="preserve"> (</w:t>
      </w:r>
      <w:r w:rsidR="009632E8" w:rsidRPr="00513BCB">
        <w:rPr>
          <w:sz w:val="22"/>
          <w:szCs w:val="22"/>
        </w:rPr>
        <w:t>particularly of one’s birth giver</w:t>
      </w:r>
      <w:r w:rsidR="00517270" w:rsidRPr="00513BCB">
        <w:rPr>
          <w:sz w:val="22"/>
          <w:szCs w:val="22"/>
        </w:rPr>
        <w:t>)</w:t>
      </w:r>
      <w:r w:rsidR="009632E8" w:rsidRPr="00513BCB">
        <w:rPr>
          <w:sz w:val="22"/>
          <w:szCs w:val="22"/>
        </w:rPr>
        <w:t xml:space="preserve"> </w:t>
      </w:r>
      <w:r w:rsidR="009632E8" w:rsidRPr="00513BCB">
        <w:rPr>
          <w:i/>
          <w:sz w:val="22"/>
          <w:szCs w:val="22"/>
        </w:rPr>
        <w:t xml:space="preserve">and </w:t>
      </w:r>
      <w:r w:rsidR="00517270" w:rsidRPr="00513BCB">
        <w:rPr>
          <w:sz w:val="22"/>
          <w:szCs w:val="22"/>
        </w:rPr>
        <w:t xml:space="preserve">the right </w:t>
      </w:r>
      <w:r w:rsidR="009632E8" w:rsidRPr="00513BCB">
        <w:rPr>
          <w:sz w:val="22"/>
          <w:szCs w:val="22"/>
        </w:rPr>
        <w:t xml:space="preserve">to be brought up by </w:t>
      </w:r>
      <w:r w:rsidR="001102BA" w:rsidRPr="00513BCB">
        <w:rPr>
          <w:sz w:val="22"/>
          <w:szCs w:val="22"/>
        </w:rPr>
        <w:t xml:space="preserve">one’s </w:t>
      </w:r>
      <w:r w:rsidR="009632E8" w:rsidRPr="00513BCB">
        <w:rPr>
          <w:sz w:val="22"/>
          <w:szCs w:val="22"/>
        </w:rPr>
        <w:t>biological family.</w:t>
      </w:r>
      <w:r w:rsidR="003D1334" w:rsidRPr="00513BCB">
        <w:rPr>
          <w:rStyle w:val="FootnoteReference"/>
          <w:sz w:val="22"/>
          <w:szCs w:val="22"/>
        </w:rPr>
        <w:t xml:space="preserve"> </w:t>
      </w:r>
      <w:r w:rsidR="003D1334" w:rsidRPr="00513BCB">
        <w:rPr>
          <w:rStyle w:val="FootnoteReference"/>
          <w:sz w:val="22"/>
          <w:szCs w:val="22"/>
        </w:rPr>
        <w:footnoteReference w:id="2"/>
      </w:r>
      <w:r w:rsidR="003D1334" w:rsidRPr="00513BCB">
        <w:rPr>
          <w:sz w:val="22"/>
          <w:szCs w:val="22"/>
        </w:rPr>
        <w:t xml:space="preserve"> </w:t>
      </w:r>
      <w:r w:rsidR="009632E8" w:rsidRPr="00513BCB">
        <w:rPr>
          <w:sz w:val="22"/>
          <w:szCs w:val="22"/>
        </w:rPr>
        <w:t xml:space="preserve"> </w:t>
      </w:r>
      <w:r w:rsidR="00C0268F" w:rsidRPr="00513BCB">
        <w:rPr>
          <w:sz w:val="22"/>
          <w:szCs w:val="22"/>
        </w:rPr>
        <w:t>Secretly r</w:t>
      </w:r>
      <w:r w:rsidR="0003051A" w:rsidRPr="00513BCB">
        <w:rPr>
          <w:sz w:val="22"/>
          <w:szCs w:val="22"/>
        </w:rPr>
        <w:t xml:space="preserve">elinquishing </w:t>
      </w:r>
      <w:r w:rsidR="00517270" w:rsidRPr="00513BCB">
        <w:rPr>
          <w:sz w:val="22"/>
          <w:szCs w:val="22"/>
        </w:rPr>
        <w:t xml:space="preserve">a child </w:t>
      </w:r>
      <w:r w:rsidR="0003051A" w:rsidRPr="00513BCB">
        <w:rPr>
          <w:sz w:val="22"/>
          <w:szCs w:val="22"/>
        </w:rPr>
        <w:t xml:space="preserve">in this context is seen as </w:t>
      </w:r>
      <w:r w:rsidR="00642C24" w:rsidRPr="00513BCB">
        <w:rPr>
          <w:rFonts w:cs="Times"/>
          <w:sz w:val="22"/>
          <w:szCs w:val="22"/>
        </w:rPr>
        <w:t>‘unnatural’</w:t>
      </w:r>
      <w:r w:rsidR="00517270" w:rsidRPr="00513BCB">
        <w:rPr>
          <w:rFonts w:cs="Times"/>
          <w:sz w:val="22"/>
          <w:szCs w:val="22"/>
        </w:rPr>
        <w:t>,</w:t>
      </w:r>
      <w:r w:rsidR="00012135" w:rsidRPr="00513BCB">
        <w:rPr>
          <w:rFonts w:cs="Times"/>
          <w:sz w:val="22"/>
          <w:szCs w:val="22"/>
        </w:rPr>
        <w:t xml:space="preserve"> with corresponding legal restrictions</w:t>
      </w:r>
      <w:r w:rsidR="001102BA" w:rsidRPr="00513BCB">
        <w:rPr>
          <w:rFonts w:cs="Times"/>
          <w:sz w:val="22"/>
          <w:szCs w:val="22"/>
        </w:rPr>
        <w:t xml:space="preserve"> and judgements </w:t>
      </w:r>
      <w:r w:rsidR="003D1334" w:rsidRPr="00513BCB">
        <w:rPr>
          <w:rFonts w:cs="Times"/>
          <w:sz w:val="22"/>
          <w:szCs w:val="22"/>
        </w:rPr>
        <w:t xml:space="preserve">made </w:t>
      </w:r>
      <w:r w:rsidR="001102BA" w:rsidRPr="00513BCB">
        <w:rPr>
          <w:rFonts w:cs="Times"/>
          <w:sz w:val="22"/>
          <w:szCs w:val="22"/>
        </w:rPr>
        <w:t xml:space="preserve">against </w:t>
      </w:r>
      <w:r w:rsidR="00517270" w:rsidRPr="00513BCB">
        <w:rPr>
          <w:rFonts w:cs="Times"/>
          <w:sz w:val="22"/>
          <w:szCs w:val="22"/>
        </w:rPr>
        <w:t xml:space="preserve">these </w:t>
      </w:r>
      <w:r w:rsidR="001102BA" w:rsidRPr="00513BCB">
        <w:rPr>
          <w:rFonts w:cs="Times"/>
          <w:sz w:val="22"/>
          <w:szCs w:val="22"/>
        </w:rPr>
        <w:t>women</w:t>
      </w:r>
      <w:r w:rsidR="00012135" w:rsidRPr="00513BCB">
        <w:rPr>
          <w:rFonts w:cs="Times"/>
          <w:sz w:val="22"/>
          <w:szCs w:val="22"/>
        </w:rPr>
        <w:t>.</w:t>
      </w:r>
      <w:r w:rsidR="00C65F6A" w:rsidRPr="00513BCB">
        <w:rPr>
          <w:rFonts w:cs="Times"/>
          <w:sz w:val="22"/>
          <w:szCs w:val="22"/>
        </w:rPr>
        <w:t xml:space="preserve"> </w:t>
      </w:r>
      <w:r w:rsidR="00F16724" w:rsidRPr="00513BCB">
        <w:rPr>
          <w:rFonts w:cs="Times"/>
          <w:sz w:val="22"/>
          <w:szCs w:val="22"/>
        </w:rPr>
        <w:t xml:space="preserve"> </w:t>
      </w:r>
    </w:p>
    <w:p w14:paraId="1E96AB25" w14:textId="77777777" w:rsidR="004E0861" w:rsidRPr="00513BCB" w:rsidRDefault="004E0861" w:rsidP="004D3080">
      <w:pPr>
        <w:widowControl w:val="0"/>
        <w:autoSpaceDE w:val="0"/>
        <w:autoSpaceDN w:val="0"/>
        <w:adjustRightInd w:val="0"/>
        <w:spacing w:line="360" w:lineRule="auto"/>
        <w:jc w:val="both"/>
        <w:rPr>
          <w:rFonts w:cs="Times"/>
          <w:sz w:val="22"/>
          <w:szCs w:val="22"/>
        </w:rPr>
      </w:pPr>
    </w:p>
    <w:p w14:paraId="421414C3" w14:textId="5A9B4246" w:rsidR="003A3224" w:rsidRPr="00513BCB" w:rsidRDefault="00642C24" w:rsidP="004D3080">
      <w:pPr>
        <w:widowControl w:val="0"/>
        <w:autoSpaceDE w:val="0"/>
        <w:autoSpaceDN w:val="0"/>
        <w:adjustRightInd w:val="0"/>
        <w:spacing w:line="360" w:lineRule="auto"/>
        <w:jc w:val="both"/>
        <w:rPr>
          <w:rFonts w:cs="Times"/>
          <w:sz w:val="22"/>
          <w:szCs w:val="22"/>
        </w:rPr>
      </w:pPr>
      <w:r w:rsidRPr="00513BCB">
        <w:rPr>
          <w:sz w:val="22"/>
          <w:szCs w:val="22"/>
        </w:rPr>
        <w:t>Part 1</w:t>
      </w:r>
      <w:r w:rsidR="00B91C52" w:rsidRPr="00513BCB">
        <w:rPr>
          <w:sz w:val="22"/>
          <w:szCs w:val="22"/>
        </w:rPr>
        <w:t xml:space="preserve"> examines</w:t>
      </w:r>
      <w:r w:rsidR="00000764" w:rsidRPr="00513BCB">
        <w:rPr>
          <w:sz w:val="22"/>
          <w:szCs w:val="22"/>
        </w:rPr>
        <w:t xml:space="preserve"> </w:t>
      </w:r>
      <w:r w:rsidR="00C65F6A" w:rsidRPr="00513BCB">
        <w:rPr>
          <w:sz w:val="22"/>
          <w:szCs w:val="22"/>
        </w:rPr>
        <w:t>the</w:t>
      </w:r>
      <w:r w:rsidR="00B91C52" w:rsidRPr="00513BCB">
        <w:rPr>
          <w:sz w:val="22"/>
          <w:szCs w:val="22"/>
        </w:rPr>
        <w:t xml:space="preserve"> legal </w:t>
      </w:r>
      <w:r w:rsidR="002A4EB9" w:rsidRPr="00513BCB">
        <w:rPr>
          <w:sz w:val="22"/>
          <w:szCs w:val="22"/>
        </w:rPr>
        <w:t>treatment of secrecy</w:t>
      </w:r>
      <w:r w:rsidR="00B91C52" w:rsidRPr="00513BCB">
        <w:rPr>
          <w:sz w:val="22"/>
          <w:szCs w:val="22"/>
        </w:rPr>
        <w:t xml:space="preserve"> in births</w:t>
      </w:r>
      <w:r w:rsidR="003E30B3" w:rsidRPr="00513BCB">
        <w:rPr>
          <w:sz w:val="22"/>
          <w:szCs w:val="22"/>
        </w:rPr>
        <w:t>,</w:t>
      </w:r>
      <w:r w:rsidR="0011727B" w:rsidRPr="00513BCB">
        <w:rPr>
          <w:sz w:val="22"/>
          <w:szCs w:val="22"/>
        </w:rPr>
        <w:t xml:space="preserve"> including some recent case law developments in England and Wales</w:t>
      </w:r>
      <w:r w:rsidR="0011727B" w:rsidRPr="00513BCB">
        <w:rPr>
          <w:rFonts w:cs="Times"/>
          <w:color w:val="1A1A1A"/>
          <w:sz w:val="22"/>
          <w:szCs w:val="22"/>
        </w:rPr>
        <w:t>.</w:t>
      </w:r>
      <w:r w:rsidR="0011727B" w:rsidRPr="00513BCB">
        <w:rPr>
          <w:sz w:val="22"/>
          <w:szCs w:val="22"/>
        </w:rPr>
        <w:t xml:space="preserve"> It </w:t>
      </w:r>
      <w:r w:rsidR="003D1334" w:rsidRPr="00513BCB">
        <w:rPr>
          <w:sz w:val="22"/>
          <w:szCs w:val="22"/>
        </w:rPr>
        <w:t xml:space="preserve">then </w:t>
      </w:r>
      <w:r w:rsidR="002C7EB4" w:rsidRPr="00513BCB">
        <w:rPr>
          <w:sz w:val="22"/>
          <w:szCs w:val="22"/>
        </w:rPr>
        <w:t>explores how</w:t>
      </w:r>
      <w:r w:rsidR="00B91C52" w:rsidRPr="00513BCB">
        <w:rPr>
          <w:sz w:val="22"/>
          <w:szCs w:val="22"/>
        </w:rPr>
        <w:t xml:space="preserve"> these issues are handled in some different jurisdictions</w:t>
      </w:r>
      <w:r w:rsidR="0011727B" w:rsidRPr="00513BCB">
        <w:rPr>
          <w:sz w:val="22"/>
          <w:szCs w:val="22"/>
        </w:rPr>
        <w:t>.</w:t>
      </w:r>
    </w:p>
    <w:p w14:paraId="59A5D73E" w14:textId="77777777" w:rsidR="003A3224" w:rsidRPr="00513BCB" w:rsidRDefault="003A3224" w:rsidP="004D3080">
      <w:pPr>
        <w:widowControl w:val="0"/>
        <w:autoSpaceDE w:val="0"/>
        <w:autoSpaceDN w:val="0"/>
        <w:adjustRightInd w:val="0"/>
        <w:spacing w:line="360" w:lineRule="auto"/>
        <w:jc w:val="both"/>
        <w:rPr>
          <w:sz w:val="22"/>
          <w:szCs w:val="22"/>
        </w:rPr>
      </w:pPr>
    </w:p>
    <w:p w14:paraId="0B7A979F" w14:textId="6741EFC6" w:rsidR="001102BA" w:rsidRPr="00513BCB" w:rsidRDefault="003E30B3" w:rsidP="004D3080">
      <w:pPr>
        <w:pStyle w:val="BodyText"/>
        <w:spacing w:line="360" w:lineRule="auto"/>
        <w:rPr>
          <w:rFonts w:asciiTheme="minorHAnsi" w:hAnsiTheme="minorHAnsi" w:cs="Times"/>
          <w:sz w:val="22"/>
          <w:szCs w:val="22"/>
        </w:rPr>
      </w:pPr>
      <w:r w:rsidRPr="00513BCB">
        <w:rPr>
          <w:rFonts w:asciiTheme="minorHAnsi" w:hAnsiTheme="minorHAnsi" w:cs="Times"/>
          <w:sz w:val="22"/>
          <w:szCs w:val="22"/>
        </w:rPr>
        <w:t xml:space="preserve">The precise meaning of a </w:t>
      </w:r>
      <w:r w:rsidR="00983731" w:rsidRPr="00513BCB">
        <w:rPr>
          <w:rFonts w:asciiTheme="minorHAnsi" w:hAnsiTheme="minorHAnsi" w:cs="Times"/>
          <w:sz w:val="22"/>
          <w:szCs w:val="22"/>
        </w:rPr>
        <w:t>right to identity</w:t>
      </w:r>
      <w:r w:rsidRPr="00513BCB">
        <w:rPr>
          <w:rFonts w:asciiTheme="minorHAnsi" w:hAnsiTheme="minorHAnsi" w:cs="Times"/>
          <w:sz w:val="22"/>
          <w:szCs w:val="22"/>
        </w:rPr>
        <w:t xml:space="preserve"> </w:t>
      </w:r>
      <w:r w:rsidR="00983731" w:rsidRPr="00513BCB">
        <w:rPr>
          <w:rFonts w:asciiTheme="minorHAnsi" w:hAnsiTheme="minorHAnsi" w:cs="Times"/>
          <w:sz w:val="22"/>
          <w:szCs w:val="22"/>
        </w:rPr>
        <w:t>is, in my view, problematic</w:t>
      </w:r>
      <w:r w:rsidRPr="00513BCB">
        <w:rPr>
          <w:rFonts w:asciiTheme="minorHAnsi" w:hAnsiTheme="minorHAnsi" w:cs="Times"/>
          <w:sz w:val="22"/>
          <w:szCs w:val="22"/>
        </w:rPr>
        <w:t>.</w:t>
      </w:r>
      <w:r w:rsidR="003D1334" w:rsidRPr="00513BCB">
        <w:rPr>
          <w:rStyle w:val="FootnoteReference"/>
          <w:rFonts w:asciiTheme="minorHAnsi" w:hAnsiTheme="minorHAnsi" w:cs="Times"/>
          <w:sz w:val="22"/>
          <w:szCs w:val="22"/>
        </w:rPr>
        <w:t xml:space="preserve"> </w:t>
      </w:r>
      <w:r w:rsidRPr="00513BCB">
        <w:rPr>
          <w:rFonts w:asciiTheme="minorHAnsi" w:hAnsiTheme="minorHAnsi" w:cs="Times"/>
          <w:sz w:val="22"/>
          <w:szCs w:val="22"/>
        </w:rPr>
        <w:t>I</w:t>
      </w:r>
      <w:r w:rsidR="00983731" w:rsidRPr="00513BCB">
        <w:rPr>
          <w:rFonts w:asciiTheme="minorHAnsi" w:hAnsiTheme="minorHAnsi" w:cs="Times"/>
          <w:sz w:val="22"/>
          <w:szCs w:val="22"/>
        </w:rPr>
        <w:t xml:space="preserve">n Part </w:t>
      </w:r>
      <w:r w:rsidR="00642C24" w:rsidRPr="00513BCB">
        <w:rPr>
          <w:rFonts w:asciiTheme="minorHAnsi" w:hAnsiTheme="minorHAnsi" w:cs="Times"/>
          <w:sz w:val="22"/>
          <w:szCs w:val="22"/>
        </w:rPr>
        <w:t>2</w:t>
      </w:r>
      <w:r w:rsidR="00983731" w:rsidRPr="00513BCB">
        <w:rPr>
          <w:rFonts w:asciiTheme="minorHAnsi" w:hAnsiTheme="minorHAnsi" w:cs="Times"/>
          <w:sz w:val="22"/>
          <w:szCs w:val="22"/>
        </w:rPr>
        <w:t xml:space="preserve">, I </w:t>
      </w:r>
      <w:r w:rsidR="003A3224" w:rsidRPr="00513BCB">
        <w:rPr>
          <w:rFonts w:asciiTheme="minorHAnsi" w:hAnsiTheme="minorHAnsi"/>
          <w:sz w:val="22"/>
          <w:szCs w:val="22"/>
        </w:rPr>
        <w:t xml:space="preserve">set out </w:t>
      </w:r>
      <w:r w:rsidR="00012135" w:rsidRPr="00513BCB">
        <w:rPr>
          <w:rFonts w:asciiTheme="minorHAnsi" w:hAnsiTheme="minorHAnsi"/>
          <w:sz w:val="22"/>
          <w:szCs w:val="22"/>
        </w:rPr>
        <w:t>how this right</w:t>
      </w:r>
      <w:r w:rsidR="00527C0C" w:rsidRPr="00513BCB">
        <w:rPr>
          <w:rFonts w:asciiTheme="minorHAnsi" w:hAnsiTheme="minorHAnsi"/>
          <w:sz w:val="22"/>
          <w:szCs w:val="22"/>
        </w:rPr>
        <w:t>,</w:t>
      </w:r>
      <w:r w:rsidR="00012135" w:rsidRPr="00513BCB">
        <w:rPr>
          <w:rFonts w:asciiTheme="minorHAnsi" w:hAnsiTheme="minorHAnsi"/>
          <w:sz w:val="22"/>
          <w:szCs w:val="22"/>
        </w:rPr>
        <w:t xml:space="preserve"> as </w:t>
      </w:r>
      <w:r w:rsidR="001102BA" w:rsidRPr="00513BCB">
        <w:rPr>
          <w:rFonts w:asciiTheme="minorHAnsi" w:hAnsiTheme="minorHAnsi"/>
          <w:sz w:val="22"/>
          <w:szCs w:val="22"/>
        </w:rPr>
        <w:t>a</w:t>
      </w:r>
      <w:r w:rsidR="00012135" w:rsidRPr="00513BCB">
        <w:rPr>
          <w:rFonts w:asciiTheme="minorHAnsi" w:hAnsiTheme="minorHAnsi"/>
          <w:sz w:val="22"/>
          <w:szCs w:val="22"/>
        </w:rPr>
        <w:t xml:space="preserve"> child</w:t>
      </w:r>
      <w:r w:rsidR="00527C0C" w:rsidRPr="00513BCB">
        <w:rPr>
          <w:rFonts w:asciiTheme="minorHAnsi" w:hAnsiTheme="minorHAnsi"/>
          <w:sz w:val="22"/>
          <w:szCs w:val="22"/>
        </w:rPr>
        <w:t>ren</w:t>
      </w:r>
      <w:r w:rsidR="00012135" w:rsidRPr="00513BCB">
        <w:rPr>
          <w:rFonts w:asciiTheme="minorHAnsi" w:hAnsiTheme="minorHAnsi"/>
          <w:sz w:val="22"/>
          <w:szCs w:val="22"/>
        </w:rPr>
        <w:t>’s right</w:t>
      </w:r>
      <w:r w:rsidR="00527C0C" w:rsidRPr="00513BCB">
        <w:rPr>
          <w:rFonts w:asciiTheme="minorHAnsi" w:hAnsiTheme="minorHAnsi"/>
          <w:sz w:val="22"/>
          <w:szCs w:val="22"/>
        </w:rPr>
        <w:t>,</w:t>
      </w:r>
      <w:r w:rsidR="00012135" w:rsidRPr="00513BCB">
        <w:rPr>
          <w:rFonts w:asciiTheme="minorHAnsi" w:hAnsiTheme="minorHAnsi"/>
          <w:sz w:val="22"/>
          <w:szCs w:val="22"/>
        </w:rPr>
        <w:t xml:space="preserve"> has been interpreted </w:t>
      </w:r>
      <w:r w:rsidR="003A3224" w:rsidRPr="00513BCB">
        <w:rPr>
          <w:rFonts w:asciiTheme="minorHAnsi" w:hAnsiTheme="minorHAnsi"/>
          <w:sz w:val="22"/>
          <w:szCs w:val="22"/>
        </w:rPr>
        <w:t xml:space="preserve">in </w:t>
      </w:r>
      <w:r w:rsidR="004E0861" w:rsidRPr="00513BCB">
        <w:rPr>
          <w:rFonts w:asciiTheme="minorHAnsi" w:hAnsiTheme="minorHAnsi"/>
          <w:sz w:val="22"/>
          <w:szCs w:val="22"/>
        </w:rPr>
        <w:t>i</w:t>
      </w:r>
      <w:r w:rsidR="003A3224" w:rsidRPr="00513BCB">
        <w:rPr>
          <w:rFonts w:asciiTheme="minorHAnsi" w:hAnsiTheme="minorHAnsi"/>
          <w:sz w:val="22"/>
          <w:szCs w:val="22"/>
        </w:rPr>
        <w:t xml:space="preserve">nternational human rights law, </w:t>
      </w:r>
      <w:r w:rsidR="001102BA" w:rsidRPr="00513BCB">
        <w:rPr>
          <w:rFonts w:asciiTheme="minorHAnsi" w:hAnsiTheme="minorHAnsi"/>
          <w:sz w:val="22"/>
          <w:szCs w:val="22"/>
        </w:rPr>
        <w:t>and discuss as</w:t>
      </w:r>
      <w:r w:rsidR="001102BA" w:rsidRPr="00513BCB">
        <w:rPr>
          <w:rFonts w:asciiTheme="minorHAnsi" w:hAnsiTheme="minorHAnsi"/>
          <w:sz w:val="22"/>
          <w:szCs w:val="22"/>
        </w:rPr>
        <w:lastRenderedPageBreak/>
        <w:t xml:space="preserve">pects of the </w:t>
      </w:r>
      <w:r w:rsidR="003A3224" w:rsidRPr="00513BCB">
        <w:rPr>
          <w:rFonts w:asciiTheme="minorHAnsi" w:hAnsiTheme="minorHAnsi"/>
          <w:sz w:val="22"/>
          <w:szCs w:val="22"/>
        </w:rPr>
        <w:t xml:space="preserve">UN </w:t>
      </w:r>
      <w:r w:rsidR="006F3E28" w:rsidRPr="00513BCB">
        <w:rPr>
          <w:rFonts w:asciiTheme="minorHAnsi" w:hAnsiTheme="minorHAnsi"/>
          <w:sz w:val="22"/>
          <w:szCs w:val="22"/>
        </w:rPr>
        <w:t>Convention on the Rights of the Child</w:t>
      </w:r>
      <w:r w:rsidR="00012135" w:rsidRPr="00513BCB">
        <w:rPr>
          <w:rFonts w:asciiTheme="minorHAnsi" w:hAnsiTheme="minorHAnsi"/>
          <w:sz w:val="22"/>
          <w:szCs w:val="22"/>
        </w:rPr>
        <w:t xml:space="preserve"> (CRC)</w:t>
      </w:r>
      <w:r w:rsidR="001102BA" w:rsidRPr="00513BCB">
        <w:rPr>
          <w:rFonts w:asciiTheme="minorHAnsi" w:hAnsiTheme="minorHAnsi"/>
          <w:sz w:val="22"/>
          <w:szCs w:val="22"/>
        </w:rPr>
        <w:t xml:space="preserve"> and related Committee reports and comments</w:t>
      </w:r>
      <w:r w:rsidRPr="00513BCB">
        <w:rPr>
          <w:rFonts w:asciiTheme="minorHAnsi" w:hAnsiTheme="minorHAnsi"/>
          <w:sz w:val="22"/>
          <w:szCs w:val="22"/>
        </w:rPr>
        <w:t>.</w:t>
      </w:r>
      <w:r w:rsidR="00D561FA" w:rsidRPr="00513BCB">
        <w:rPr>
          <w:rStyle w:val="FootnoteReference"/>
          <w:rFonts w:asciiTheme="minorHAnsi" w:hAnsiTheme="minorHAnsi"/>
          <w:sz w:val="22"/>
          <w:szCs w:val="22"/>
        </w:rPr>
        <w:footnoteReference w:id="3"/>
      </w:r>
      <w:r w:rsidR="003A3224" w:rsidRPr="00513BCB">
        <w:rPr>
          <w:rFonts w:asciiTheme="minorHAnsi" w:hAnsiTheme="minorHAnsi" w:cs="Times"/>
          <w:sz w:val="22"/>
          <w:szCs w:val="22"/>
        </w:rPr>
        <w:t xml:space="preserve"> </w:t>
      </w:r>
      <w:r w:rsidR="00CD48B8" w:rsidRPr="00513BCB">
        <w:rPr>
          <w:rFonts w:asciiTheme="minorHAnsi" w:hAnsiTheme="minorHAnsi" w:cs="Times"/>
          <w:sz w:val="22"/>
          <w:szCs w:val="22"/>
        </w:rPr>
        <w:t>The European Convention on Human Rights (ECHR)</w:t>
      </w:r>
      <w:r w:rsidR="00A54DFF" w:rsidRPr="00513BCB">
        <w:rPr>
          <w:rFonts w:asciiTheme="minorHAnsi" w:hAnsiTheme="minorHAnsi" w:cs="Times"/>
          <w:sz w:val="22"/>
          <w:szCs w:val="22"/>
        </w:rPr>
        <w:t xml:space="preserve"> </w:t>
      </w:r>
      <w:r w:rsidR="00D561FA" w:rsidRPr="00513BCB">
        <w:rPr>
          <w:rFonts w:asciiTheme="minorHAnsi" w:hAnsiTheme="minorHAnsi" w:cs="Times"/>
          <w:sz w:val="22"/>
          <w:szCs w:val="22"/>
        </w:rPr>
        <w:t xml:space="preserve">Article 8’s right to respect </w:t>
      </w:r>
      <w:r w:rsidR="00517270" w:rsidRPr="00513BCB">
        <w:rPr>
          <w:rFonts w:asciiTheme="minorHAnsi" w:hAnsiTheme="minorHAnsi" w:cs="Times"/>
          <w:sz w:val="22"/>
          <w:szCs w:val="22"/>
        </w:rPr>
        <w:t xml:space="preserve">for </w:t>
      </w:r>
      <w:r w:rsidR="00D561FA" w:rsidRPr="00513BCB">
        <w:rPr>
          <w:rFonts w:asciiTheme="minorHAnsi" w:hAnsiTheme="minorHAnsi" w:cs="Times"/>
          <w:sz w:val="22"/>
          <w:szCs w:val="22"/>
        </w:rPr>
        <w:t xml:space="preserve">one’s private life </w:t>
      </w:r>
      <w:r w:rsidR="003D1334" w:rsidRPr="00513BCB">
        <w:rPr>
          <w:rFonts w:asciiTheme="minorHAnsi" w:hAnsiTheme="minorHAnsi" w:cs="Times"/>
          <w:sz w:val="22"/>
          <w:szCs w:val="22"/>
        </w:rPr>
        <w:t>now provides</w:t>
      </w:r>
      <w:r w:rsidR="00D561FA" w:rsidRPr="00513BCB">
        <w:rPr>
          <w:rFonts w:asciiTheme="minorHAnsi" w:hAnsiTheme="minorHAnsi" w:cs="Times"/>
          <w:sz w:val="22"/>
          <w:szCs w:val="22"/>
        </w:rPr>
        <w:t xml:space="preserve"> a right to ‘identity’</w:t>
      </w:r>
      <w:r w:rsidR="00983731" w:rsidRPr="00513BCB">
        <w:rPr>
          <w:rFonts w:asciiTheme="minorHAnsi" w:hAnsiTheme="minorHAnsi" w:cs="Times"/>
          <w:sz w:val="22"/>
          <w:szCs w:val="22"/>
        </w:rPr>
        <w:t xml:space="preserve"> </w:t>
      </w:r>
      <w:r w:rsidR="00012135" w:rsidRPr="00513BCB">
        <w:rPr>
          <w:rFonts w:asciiTheme="minorHAnsi" w:hAnsiTheme="minorHAnsi" w:cs="Times"/>
          <w:sz w:val="22"/>
          <w:szCs w:val="22"/>
        </w:rPr>
        <w:t>through interpretation</w:t>
      </w:r>
      <w:r w:rsidR="00A54DFF" w:rsidRPr="00513BCB">
        <w:rPr>
          <w:rFonts w:asciiTheme="minorHAnsi" w:hAnsiTheme="minorHAnsi" w:cs="Times"/>
          <w:sz w:val="22"/>
          <w:szCs w:val="22"/>
        </w:rPr>
        <w:t xml:space="preserve"> by the Europ</w:t>
      </w:r>
      <w:r w:rsidR="00012135" w:rsidRPr="00513BCB">
        <w:rPr>
          <w:rFonts w:asciiTheme="minorHAnsi" w:hAnsiTheme="minorHAnsi" w:cs="Times"/>
          <w:sz w:val="22"/>
          <w:szCs w:val="22"/>
        </w:rPr>
        <w:t>ean Court of Human Rights (ECtHR)</w:t>
      </w:r>
      <w:r w:rsidR="00517270" w:rsidRPr="00513BCB">
        <w:rPr>
          <w:rFonts w:asciiTheme="minorHAnsi" w:hAnsiTheme="minorHAnsi" w:cs="Times"/>
          <w:sz w:val="22"/>
          <w:szCs w:val="22"/>
        </w:rPr>
        <w:t>. T</w:t>
      </w:r>
      <w:r w:rsidR="003D1334" w:rsidRPr="00513BCB">
        <w:rPr>
          <w:rFonts w:asciiTheme="minorHAnsi" w:hAnsiTheme="minorHAnsi" w:cs="Times"/>
          <w:sz w:val="22"/>
          <w:szCs w:val="22"/>
        </w:rPr>
        <w:t>he</w:t>
      </w:r>
      <w:r w:rsidR="00012135" w:rsidRPr="00513BCB">
        <w:rPr>
          <w:rFonts w:asciiTheme="minorHAnsi" w:hAnsiTheme="minorHAnsi" w:cs="Times"/>
          <w:sz w:val="22"/>
          <w:szCs w:val="22"/>
        </w:rPr>
        <w:t xml:space="preserve"> Court</w:t>
      </w:r>
      <w:r w:rsidR="003D1334" w:rsidRPr="00513BCB">
        <w:rPr>
          <w:rFonts w:asciiTheme="minorHAnsi" w:hAnsiTheme="minorHAnsi" w:cs="Times"/>
          <w:sz w:val="22"/>
          <w:szCs w:val="22"/>
        </w:rPr>
        <w:t>’s</w:t>
      </w:r>
      <w:r w:rsidR="00012135" w:rsidRPr="00513BCB">
        <w:rPr>
          <w:rFonts w:asciiTheme="minorHAnsi" w:hAnsiTheme="minorHAnsi" w:cs="Times"/>
          <w:sz w:val="22"/>
          <w:szCs w:val="22"/>
        </w:rPr>
        <w:t xml:space="preserve"> interpret</w:t>
      </w:r>
      <w:r w:rsidR="003D1334" w:rsidRPr="00513BCB">
        <w:rPr>
          <w:rFonts w:asciiTheme="minorHAnsi" w:hAnsiTheme="minorHAnsi" w:cs="Times"/>
          <w:sz w:val="22"/>
          <w:szCs w:val="22"/>
        </w:rPr>
        <w:t>ations</w:t>
      </w:r>
      <w:r w:rsidR="00012135" w:rsidRPr="00513BCB">
        <w:rPr>
          <w:rFonts w:asciiTheme="minorHAnsi" w:hAnsiTheme="minorHAnsi" w:cs="Times"/>
          <w:sz w:val="22"/>
          <w:szCs w:val="22"/>
        </w:rPr>
        <w:t xml:space="preserve"> va</w:t>
      </w:r>
      <w:r w:rsidR="003D1334" w:rsidRPr="00513BCB">
        <w:rPr>
          <w:rFonts w:asciiTheme="minorHAnsi" w:hAnsiTheme="minorHAnsi" w:cs="Times"/>
          <w:sz w:val="22"/>
          <w:szCs w:val="22"/>
        </w:rPr>
        <w:t>ry</w:t>
      </w:r>
      <w:r w:rsidR="00012135" w:rsidRPr="00513BCB">
        <w:rPr>
          <w:rFonts w:asciiTheme="minorHAnsi" w:hAnsiTheme="minorHAnsi" w:cs="Times"/>
          <w:sz w:val="22"/>
          <w:szCs w:val="22"/>
        </w:rPr>
        <w:t xml:space="preserve"> and can </w:t>
      </w:r>
      <w:r w:rsidRPr="00513BCB">
        <w:rPr>
          <w:rFonts w:asciiTheme="minorHAnsi" w:hAnsiTheme="minorHAnsi" w:cs="Times"/>
          <w:sz w:val="22"/>
          <w:szCs w:val="22"/>
        </w:rPr>
        <w:t xml:space="preserve">be </w:t>
      </w:r>
      <w:r w:rsidR="00012135" w:rsidRPr="00513BCB">
        <w:rPr>
          <w:rFonts w:asciiTheme="minorHAnsi" w:hAnsiTheme="minorHAnsi" w:cs="Times"/>
          <w:sz w:val="22"/>
          <w:szCs w:val="22"/>
        </w:rPr>
        <w:t>contrast</w:t>
      </w:r>
      <w:r w:rsidRPr="00513BCB">
        <w:rPr>
          <w:rFonts w:asciiTheme="minorHAnsi" w:hAnsiTheme="minorHAnsi" w:cs="Times"/>
          <w:sz w:val="22"/>
          <w:szCs w:val="22"/>
        </w:rPr>
        <w:t>ed</w:t>
      </w:r>
      <w:r w:rsidR="00012135" w:rsidRPr="00513BCB">
        <w:rPr>
          <w:rFonts w:asciiTheme="minorHAnsi" w:hAnsiTheme="minorHAnsi" w:cs="Times"/>
          <w:sz w:val="22"/>
          <w:szCs w:val="22"/>
        </w:rPr>
        <w:t xml:space="preserve"> with the CRC approach.</w:t>
      </w:r>
      <w:r w:rsidR="00A54DFF" w:rsidRPr="00513BCB">
        <w:rPr>
          <w:rStyle w:val="FootnoteReference"/>
          <w:rFonts w:asciiTheme="minorHAnsi" w:hAnsiTheme="minorHAnsi" w:cs="Times"/>
          <w:sz w:val="22"/>
          <w:szCs w:val="22"/>
        </w:rPr>
        <w:footnoteReference w:id="4"/>
      </w:r>
      <w:r w:rsidR="00F16724" w:rsidRPr="00513BCB">
        <w:rPr>
          <w:rFonts w:asciiTheme="minorHAnsi" w:hAnsiTheme="minorHAnsi" w:cs="Times"/>
          <w:sz w:val="22"/>
          <w:szCs w:val="22"/>
        </w:rPr>
        <w:t xml:space="preserve"> </w:t>
      </w:r>
    </w:p>
    <w:p w14:paraId="13D8308A" w14:textId="77777777" w:rsidR="001102BA" w:rsidRPr="00513BCB" w:rsidRDefault="001102BA" w:rsidP="004D3080">
      <w:pPr>
        <w:pStyle w:val="BodyText"/>
        <w:spacing w:line="360" w:lineRule="auto"/>
        <w:rPr>
          <w:rFonts w:asciiTheme="minorHAnsi" w:hAnsiTheme="minorHAnsi" w:cs="Times"/>
          <w:sz w:val="22"/>
          <w:szCs w:val="22"/>
        </w:rPr>
      </w:pPr>
    </w:p>
    <w:p w14:paraId="34254EC5" w14:textId="440A3966" w:rsidR="00F16724" w:rsidRPr="00513BCB" w:rsidRDefault="002C7DAD" w:rsidP="004D3080">
      <w:pPr>
        <w:pStyle w:val="BodyText"/>
        <w:spacing w:line="360" w:lineRule="auto"/>
        <w:rPr>
          <w:sz w:val="22"/>
          <w:szCs w:val="22"/>
        </w:rPr>
      </w:pPr>
      <w:r w:rsidRPr="00513BCB">
        <w:rPr>
          <w:sz w:val="22"/>
          <w:szCs w:val="22"/>
        </w:rPr>
        <w:t>Attitudes towards openness and full disclosure in many areas of life,</w:t>
      </w:r>
      <w:r w:rsidR="00C67A86" w:rsidRPr="00513BCB">
        <w:rPr>
          <w:rStyle w:val="FootnoteReference"/>
          <w:rFonts w:cs="Times"/>
          <w:color w:val="1A1A1A"/>
          <w:sz w:val="22"/>
          <w:szCs w:val="22"/>
        </w:rPr>
        <w:footnoteReference w:id="5"/>
      </w:r>
      <w:r w:rsidR="00C67A86" w:rsidRPr="00513BCB">
        <w:rPr>
          <w:sz w:val="22"/>
          <w:szCs w:val="22"/>
        </w:rPr>
        <w:t xml:space="preserve"> </w:t>
      </w:r>
      <w:r w:rsidRPr="00513BCB">
        <w:rPr>
          <w:sz w:val="22"/>
          <w:szCs w:val="22"/>
        </w:rPr>
        <w:t xml:space="preserve">including family </w:t>
      </w:r>
      <w:r w:rsidR="00567DA0" w:rsidRPr="00513BCB">
        <w:rPr>
          <w:sz w:val="22"/>
          <w:szCs w:val="22"/>
        </w:rPr>
        <w:t>history</w:t>
      </w:r>
      <w:r w:rsidR="00E630ED" w:rsidRPr="00513BCB">
        <w:rPr>
          <w:sz w:val="22"/>
          <w:szCs w:val="22"/>
        </w:rPr>
        <w:t>,</w:t>
      </w:r>
      <w:r w:rsidR="00567DA0" w:rsidRPr="00513BCB">
        <w:rPr>
          <w:sz w:val="22"/>
          <w:szCs w:val="22"/>
        </w:rPr>
        <w:t xml:space="preserve"> adoption</w:t>
      </w:r>
      <w:r w:rsidR="00E630ED" w:rsidRPr="00513BCB">
        <w:rPr>
          <w:sz w:val="22"/>
          <w:szCs w:val="22"/>
        </w:rPr>
        <w:t xml:space="preserve"> and gamete donation</w:t>
      </w:r>
      <w:r w:rsidR="00567DA0" w:rsidRPr="00513BCB">
        <w:rPr>
          <w:sz w:val="22"/>
          <w:szCs w:val="22"/>
        </w:rPr>
        <w:t xml:space="preserve"> </w:t>
      </w:r>
      <w:r w:rsidRPr="00513BCB">
        <w:rPr>
          <w:sz w:val="22"/>
          <w:szCs w:val="22"/>
        </w:rPr>
        <w:t>have radically shifted in recent decades.</w:t>
      </w:r>
      <w:r w:rsidRPr="00513BCB">
        <w:rPr>
          <w:sz w:val="22"/>
          <w:szCs w:val="22"/>
          <w:vertAlign w:val="superscript"/>
        </w:rPr>
        <w:footnoteReference w:id="6"/>
      </w:r>
      <w:r w:rsidR="00517270" w:rsidRPr="00513BCB">
        <w:rPr>
          <w:sz w:val="22"/>
          <w:szCs w:val="22"/>
        </w:rPr>
        <w:t xml:space="preserve"> For example, e</w:t>
      </w:r>
      <w:r w:rsidRPr="00513BCB">
        <w:rPr>
          <w:sz w:val="22"/>
          <w:szCs w:val="22"/>
        </w:rPr>
        <w:t xml:space="preserve">motive language used in parliamentary debates </w:t>
      </w:r>
      <w:r w:rsidR="00517270" w:rsidRPr="00513BCB">
        <w:rPr>
          <w:sz w:val="22"/>
          <w:szCs w:val="22"/>
        </w:rPr>
        <w:t xml:space="preserve">in 2004 </w:t>
      </w:r>
      <w:r w:rsidRPr="00513BCB">
        <w:rPr>
          <w:sz w:val="22"/>
          <w:szCs w:val="22"/>
        </w:rPr>
        <w:t>on legislation</w:t>
      </w:r>
      <w:r w:rsidR="00E630ED" w:rsidRPr="00513BCB">
        <w:rPr>
          <w:sz w:val="22"/>
          <w:szCs w:val="22"/>
        </w:rPr>
        <w:t xml:space="preserve"> </w:t>
      </w:r>
      <w:r w:rsidR="00C67A86" w:rsidRPr="00513BCB">
        <w:rPr>
          <w:sz w:val="22"/>
          <w:szCs w:val="22"/>
        </w:rPr>
        <w:t xml:space="preserve">removing anonymity in </w:t>
      </w:r>
      <w:r w:rsidR="00517270" w:rsidRPr="00513BCB">
        <w:rPr>
          <w:sz w:val="22"/>
          <w:szCs w:val="22"/>
        </w:rPr>
        <w:t xml:space="preserve">gamete </w:t>
      </w:r>
      <w:r w:rsidR="00E630ED" w:rsidRPr="00513BCB">
        <w:rPr>
          <w:sz w:val="22"/>
          <w:szCs w:val="22"/>
        </w:rPr>
        <w:t>donation</w:t>
      </w:r>
      <w:r w:rsidR="00517270" w:rsidRPr="00513BCB">
        <w:rPr>
          <w:sz w:val="22"/>
          <w:szCs w:val="22"/>
        </w:rPr>
        <w:t xml:space="preserve"> (discussed </w:t>
      </w:r>
      <w:r w:rsidR="00E630ED" w:rsidRPr="00513BCB">
        <w:rPr>
          <w:sz w:val="22"/>
          <w:szCs w:val="22"/>
        </w:rPr>
        <w:t>in Part 2</w:t>
      </w:r>
      <w:r w:rsidR="00517270" w:rsidRPr="00513BCB">
        <w:rPr>
          <w:sz w:val="22"/>
          <w:szCs w:val="22"/>
        </w:rPr>
        <w:t>)</w:t>
      </w:r>
      <w:r w:rsidR="00E630ED" w:rsidRPr="00513BCB">
        <w:rPr>
          <w:sz w:val="22"/>
          <w:szCs w:val="22"/>
        </w:rPr>
        <w:t xml:space="preserve">, </w:t>
      </w:r>
      <w:r w:rsidRPr="00513BCB">
        <w:rPr>
          <w:sz w:val="22"/>
          <w:szCs w:val="22"/>
        </w:rPr>
        <w:t>suggest</w:t>
      </w:r>
      <w:r w:rsidR="00517270" w:rsidRPr="00513BCB">
        <w:rPr>
          <w:sz w:val="22"/>
          <w:szCs w:val="22"/>
        </w:rPr>
        <w:t>ed</w:t>
      </w:r>
      <w:r w:rsidRPr="00513BCB">
        <w:rPr>
          <w:sz w:val="22"/>
          <w:szCs w:val="22"/>
        </w:rPr>
        <w:t xml:space="preserve"> that </w:t>
      </w:r>
      <w:r w:rsidR="00517270" w:rsidRPr="00513BCB">
        <w:rPr>
          <w:sz w:val="22"/>
          <w:szCs w:val="22"/>
        </w:rPr>
        <w:t xml:space="preserve">the resulting </w:t>
      </w:r>
      <w:r w:rsidRPr="00513BCB">
        <w:rPr>
          <w:sz w:val="22"/>
          <w:szCs w:val="22"/>
        </w:rPr>
        <w:t xml:space="preserve">children may suffer </w:t>
      </w:r>
      <w:r w:rsidR="00567DA0" w:rsidRPr="00513BCB">
        <w:rPr>
          <w:sz w:val="22"/>
          <w:szCs w:val="22"/>
        </w:rPr>
        <w:t>‘</w:t>
      </w:r>
      <w:r w:rsidRPr="00513BCB">
        <w:rPr>
          <w:sz w:val="22"/>
          <w:szCs w:val="22"/>
        </w:rPr>
        <w:t>genealogical bewilderment</w:t>
      </w:r>
      <w:r w:rsidR="00567DA0" w:rsidRPr="00513BCB">
        <w:rPr>
          <w:sz w:val="22"/>
          <w:szCs w:val="22"/>
        </w:rPr>
        <w:t>’</w:t>
      </w:r>
      <w:r w:rsidRPr="00513BCB">
        <w:rPr>
          <w:sz w:val="22"/>
          <w:szCs w:val="22"/>
        </w:rPr>
        <w:t xml:space="preserve"> </w:t>
      </w:r>
      <w:r w:rsidR="00E630ED" w:rsidRPr="00513BCB">
        <w:rPr>
          <w:sz w:val="22"/>
          <w:szCs w:val="22"/>
        </w:rPr>
        <w:t xml:space="preserve">if </w:t>
      </w:r>
      <w:r w:rsidR="00517270" w:rsidRPr="00513BCB">
        <w:rPr>
          <w:sz w:val="22"/>
          <w:szCs w:val="22"/>
        </w:rPr>
        <w:t xml:space="preserve">donation were </w:t>
      </w:r>
      <w:r w:rsidR="00E630ED" w:rsidRPr="00513BCB">
        <w:rPr>
          <w:sz w:val="22"/>
          <w:szCs w:val="22"/>
        </w:rPr>
        <w:t xml:space="preserve">anonymous, with the </w:t>
      </w:r>
      <w:r w:rsidRPr="00513BCB">
        <w:rPr>
          <w:sz w:val="22"/>
          <w:szCs w:val="22"/>
        </w:rPr>
        <w:t xml:space="preserve">right to identity </w:t>
      </w:r>
      <w:r w:rsidR="00E630ED" w:rsidRPr="00513BCB">
        <w:rPr>
          <w:sz w:val="22"/>
          <w:szCs w:val="22"/>
        </w:rPr>
        <w:t>being described as</w:t>
      </w:r>
      <w:r w:rsidRPr="00513BCB">
        <w:rPr>
          <w:sz w:val="22"/>
          <w:szCs w:val="22"/>
        </w:rPr>
        <w:t xml:space="preserve"> </w:t>
      </w:r>
      <w:r w:rsidR="00E630ED" w:rsidRPr="00513BCB">
        <w:rPr>
          <w:sz w:val="22"/>
          <w:szCs w:val="22"/>
        </w:rPr>
        <w:t>‘</w:t>
      </w:r>
      <w:r w:rsidRPr="00513BCB">
        <w:rPr>
          <w:sz w:val="22"/>
          <w:szCs w:val="22"/>
        </w:rPr>
        <w:t>a right not to be deceived about one’s true origins</w:t>
      </w:r>
      <w:r w:rsidR="00517270" w:rsidRPr="00513BCB">
        <w:rPr>
          <w:sz w:val="22"/>
          <w:szCs w:val="22"/>
        </w:rPr>
        <w:t>’</w:t>
      </w:r>
      <w:r w:rsidRPr="00513BCB">
        <w:rPr>
          <w:sz w:val="22"/>
          <w:szCs w:val="22"/>
        </w:rPr>
        <w:t>.</w:t>
      </w:r>
      <w:r w:rsidRPr="00513BCB">
        <w:rPr>
          <w:sz w:val="22"/>
          <w:szCs w:val="22"/>
          <w:vertAlign w:val="superscript"/>
        </w:rPr>
        <w:footnoteReference w:id="7"/>
      </w:r>
      <w:r w:rsidRPr="00513BCB">
        <w:rPr>
          <w:sz w:val="22"/>
          <w:szCs w:val="22"/>
          <w:vertAlign w:val="superscript"/>
        </w:rPr>
        <w:t xml:space="preserve">   </w:t>
      </w:r>
      <w:r w:rsidR="00BE15DF" w:rsidRPr="00513BCB">
        <w:rPr>
          <w:rFonts w:cs="Times"/>
          <w:sz w:val="22"/>
          <w:szCs w:val="22"/>
        </w:rPr>
        <w:t xml:space="preserve">I </w:t>
      </w:r>
      <w:r w:rsidR="003B2671" w:rsidRPr="00513BCB">
        <w:rPr>
          <w:sz w:val="22"/>
          <w:szCs w:val="22"/>
        </w:rPr>
        <w:t>question the idea that being completely open and transparent about things that happened pre-birth are in a child’s best interests and consistent with his or her welfare when his or her birth giver does not want this revealed</w:t>
      </w:r>
      <w:r w:rsidR="00F16724" w:rsidRPr="00513BCB">
        <w:rPr>
          <w:sz w:val="22"/>
          <w:szCs w:val="22"/>
        </w:rPr>
        <w:t>.</w:t>
      </w:r>
      <w:r w:rsidR="00F16724" w:rsidRPr="00513BCB">
        <w:rPr>
          <w:rFonts w:cs="Times"/>
          <w:sz w:val="22"/>
          <w:szCs w:val="22"/>
        </w:rPr>
        <w:t xml:space="preserve"> </w:t>
      </w:r>
      <w:r w:rsidR="00DC224E" w:rsidRPr="00513BCB">
        <w:rPr>
          <w:rFonts w:cs="Times"/>
          <w:sz w:val="22"/>
          <w:szCs w:val="22"/>
        </w:rPr>
        <w:t xml:space="preserve">If attempts to define identity, </w:t>
      </w:r>
      <w:r w:rsidR="00517270" w:rsidRPr="00513BCB">
        <w:rPr>
          <w:rFonts w:cs="Times"/>
          <w:sz w:val="22"/>
          <w:szCs w:val="22"/>
        </w:rPr>
        <w:t xml:space="preserve">including </w:t>
      </w:r>
      <w:r w:rsidR="00DC224E" w:rsidRPr="00513BCB">
        <w:rPr>
          <w:rFonts w:cs="Times"/>
          <w:sz w:val="22"/>
          <w:szCs w:val="22"/>
        </w:rPr>
        <w:t>newborn children’s</w:t>
      </w:r>
      <w:r w:rsidR="004E0861" w:rsidRPr="00513BCB">
        <w:rPr>
          <w:rFonts w:cs="Times"/>
          <w:sz w:val="22"/>
          <w:szCs w:val="22"/>
        </w:rPr>
        <w:t xml:space="preserve"> identity</w:t>
      </w:r>
      <w:r w:rsidR="00DC224E" w:rsidRPr="00513BCB">
        <w:rPr>
          <w:rFonts w:cs="Times"/>
          <w:sz w:val="22"/>
          <w:szCs w:val="22"/>
        </w:rPr>
        <w:t>, acknowledge</w:t>
      </w:r>
      <w:r w:rsidR="00517270" w:rsidRPr="00513BCB">
        <w:rPr>
          <w:rFonts w:cs="Times"/>
          <w:sz w:val="22"/>
          <w:szCs w:val="22"/>
        </w:rPr>
        <w:t>d</w:t>
      </w:r>
      <w:r w:rsidR="00DC224E" w:rsidRPr="00513BCB">
        <w:rPr>
          <w:rFonts w:cs="Times"/>
          <w:sz w:val="22"/>
          <w:szCs w:val="22"/>
        </w:rPr>
        <w:t xml:space="preserve"> </w:t>
      </w:r>
      <w:r w:rsidR="00517270" w:rsidRPr="00513BCB">
        <w:rPr>
          <w:rFonts w:cs="Times"/>
          <w:sz w:val="22"/>
          <w:szCs w:val="22"/>
        </w:rPr>
        <w:t xml:space="preserve">the concept’s </w:t>
      </w:r>
      <w:r w:rsidR="00DC224E" w:rsidRPr="00513BCB">
        <w:rPr>
          <w:rFonts w:cs="Times"/>
          <w:sz w:val="22"/>
          <w:szCs w:val="22"/>
        </w:rPr>
        <w:t>fluidity</w:t>
      </w:r>
      <w:r w:rsidR="00517270" w:rsidRPr="00513BCB">
        <w:rPr>
          <w:rFonts w:cs="Times"/>
          <w:sz w:val="22"/>
          <w:szCs w:val="22"/>
        </w:rPr>
        <w:t xml:space="preserve"> </w:t>
      </w:r>
      <w:r w:rsidR="003E30B3" w:rsidRPr="00513BCB">
        <w:rPr>
          <w:rFonts w:cs="Times"/>
          <w:sz w:val="22"/>
          <w:szCs w:val="22"/>
        </w:rPr>
        <w:t>–</w:t>
      </w:r>
      <w:r w:rsidR="00DC224E" w:rsidRPr="00513BCB">
        <w:rPr>
          <w:rFonts w:cs="Times"/>
          <w:sz w:val="22"/>
          <w:szCs w:val="22"/>
        </w:rPr>
        <w:t xml:space="preserve"> </w:t>
      </w:r>
      <w:r w:rsidR="004E0861" w:rsidRPr="00513BCB">
        <w:rPr>
          <w:rFonts w:cs="Times"/>
          <w:sz w:val="22"/>
          <w:szCs w:val="22"/>
        </w:rPr>
        <w:t xml:space="preserve">i.e. </w:t>
      </w:r>
      <w:r w:rsidR="00DC224E" w:rsidRPr="00513BCB">
        <w:rPr>
          <w:rFonts w:cs="Times"/>
          <w:sz w:val="22"/>
          <w:szCs w:val="22"/>
        </w:rPr>
        <w:t>as socially formed through living a life</w:t>
      </w:r>
      <w:r w:rsidR="00C67A86" w:rsidRPr="00513BCB">
        <w:rPr>
          <w:rFonts w:cs="Times"/>
          <w:sz w:val="22"/>
          <w:szCs w:val="22"/>
        </w:rPr>
        <w:t xml:space="preserve"> </w:t>
      </w:r>
      <w:r w:rsidR="003E30B3" w:rsidRPr="00513BCB">
        <w:rPr>
          <w:rFonts w:cs="Times"/>
          <w:sz w:val="22"/>
          <w:szCs w:val="22"/>
        </w:rPr>
        <w:t xml:space="preserve">– </w:t>
      </w:r>
      <w:r w:rsidR="00DC224E" w:rsidRPr="00513BCB">
        <w:rPr>
          <w:rFonts w:cs="Times"/>
          <w:sz w:val="22"/>
          <w:szCs w:val="22"/>
        </w:rPr>
        <w:t xml:space="preserve">more energy could be infused into creating social circumstances of compassionate care and belonging for </w:t>
      </w:r>
      <w:r w:rsidR="00DC224E" w:rsidRPr="00513BCB">
        <w:rPr>
          <w:rFonts w:cs="Times"/>
          <w:i/>
          <w:sz w:val="22"/>
          <w:szCs w:val="22"/>
        </w:rPr>
        <w:t>all</w:t>
      </w:r>
      <w:r w:rsidR="00DC224E" w:rsidRPr="00513BCB">
        <w:rPr>
          <w:rFonts w:cs="Times"/>
          <w:sz w:val="22"/>
          <w:szCs w:val="22"/>
        </w:rPr>
        <w:t xml:space="preserve"> children</w:t>
      </w:r>
      <w:r w:rsidR="00A54DFF" w:rsidRPr="00513BCB">
        <w:rPr>
          <w:rFonts w:cs="Times"/>
          <w:sz w:val="22"/>
          <w:szCs w:val="22"/>
        </w:rPr>
        <w:t xml:space="preserve"> on a more equal basis</w:t>
      </w:r>
      <w:r w:rsidR="00C67A86" w:rsidRPr="00513BCB">
        <w:rPr>
          <w:rFonts w:cs="Times"/>
          <w:sz w:val="22"/>
          <w:szCs w:val="22"/>
        </w:rPr>
        <w:t xml:space="preserve"> and also provide more care for the birth giver: </w:t>
      </w:r>
      <w:r w:rsidR="00517270" w:rsidRPr="00513BCB">
        <w:rPr>
          <w:rFonts w:cs="Times"/>
          <w:sz w:val="22"/>
          <w:szCs w:val="22"/>
        </w:rPr>
        <w:t xml:space="preserve">the case for this </w:t>
      </w:r>
      <w:r w:rsidR="00C67A86" w:rsidRPr="00513BCB">
        <w:rPr>
          <w:rFonts w:cs="Times"/>
          <w:sz w:val="22"/>
          <w:szCs w:val="22"/>
        </w:rPr>
        <w:t xml:space="preserve">is argued in </w:t>
      </w:r>
      <w:r w:rsidR="00192BB0" w:rsidRPr="00513BCB">
        <w:rPr>
          <w:rFonts w:asciiTheme="minorHAnsi" w:hAnsiTheme="minorHAnsi"/>
          <w:sz w:val="22"/>
          <w:szCs w:val="22"/>
        </w:rPr>
        <w:t>Part 3</w:t>
      </w:r>
      <w:r w:rsidR="000D6FB7" w:rsidRPr="00513BCB">
        <w:rPr>
          <w:rFonts w:asciiTheme="minorHAnsi" w:hAnsiTheme="minorHAnsi"/>
          <w:sz w:val="22"/>
          <w:szCs w:val="22"/>
        </w:rPr>
        <w:t>.</w:t>
      </w:r>
      <w:r w:rsidR="00F16724" w:rsidRPr="00513BCB">
        <w:rPr>
          <w:rFonts w:asciiTheme="minorHAnsi" w:hAnsiTheme="minorHAnsi"/>
          <w:sz w:val="22"/>
          <w:szCs w:val="22"/>
        </w:rPr>
        <w:t xml:space="preserve"> </w:t>
      </w:r>
    </w:p>
    <w:p w14:paraId="5F0A689E" w14:textId="77777777" w:rsidR="00CD48B8" w:rsidRPr="00513BCB" w:rsidRDefault="00CD48B8" w:rsidP="004D3080">
      <w:pPr>
        <w:widowControl w:val="0"/>
        <w:autoSpaceDE w:val="0"/>
        <w:autoSpaceDN w:val="0"/>
        <w:adjustRightInd w:val="0"/>
        <w:spacing w:line="360" w:lineRule="auto"/>
        <w:jc w:val="both"/>
        <w:rPr>
          <w:rFonts w:cs="Times"/>
          <w:sz w:val="22"/>
          <w:szCs w:val="22"/>
        </w:rPr>
      </w:pPr>
    </w:p>
    <w:p w14:paraId="0FB657D7" w14:textId="0EA2602B" w:rsidR="00F16724" w:rsidRPr="00513BCB" w:rsidRDefault="00517270" w:rsidP="004D3080">
      <w:pPr>
        <w:spacing w:line="360" w:lineRule="auto"/>
        <w:jc w:val="both"/>
        <w:rPr>
          <w:sz w:val="22"/>
          <w:szCs w:val="22"/>
        </w:rPr>
      </w:pPr>
      <w:r w:rsidRPr="00513BCB">
        <w:rPr>
          <w:rFonts w:cs="Times"/>
          <w:color w:val="1A1A1A"/>
          <w:sz w:val="22"/>
          <w:szCs w:val="22"/>
        </w:rPr>
        <w:t>I use the term ‘birth giver’ to refer to a girl or woman who has given birth, f</w:t>
      </w:r>
      <w:r w:rsidR="003B2671" w:rsidRPr="00513BCB">
        <w:rPr>
          <w:rFonts w:cs="Times"/>
          <w:color w:val="1A1A1A"/>
          <w:sz w:val="22"/>
          <w:szCs w:val="22"/>
        </w:rPr>
        <w:t xml:space="preserve">ollowing earlier analysis by Katherine O’Donovan </w:t>
      </w:r>
      <w:r w:rsidRPr="00513BCB">
        <w:rPr>
          <w:rFonts w:cs="Times"/>
          <w:color w:val="1A1A1A"/>
          <w:sz w:val="22"/>
          <w:szCs w:val="22"/>
        </w:rPr>
        <w:t xml:space="preserve">and me </w:t>
      </w:r>
      <w:r w:rsidR="003B2671" w:rsidRPr="00513BCB">
        <w:rPr>
          <w:rFonts w:cs="Times"/>
          <w:color w:val="1A1A1A"/>
          <w:sz w:val="22"/>
          <w:szCs w:val="22"/>
        </w:rPr>
        <w:t>advocating a conceptual separation between the one who gives birth and the mother</w:t>
      </w:r>
      <w:r w:rsidR="00F16724" w:rsidRPr="00513BCB">
        <w:rPr>
          <w:rFonts w:cs="Times"/>
          <w:color w:val="1A1A1A"/>
          <w:sz w:val="22"/>
          <w:szCs w:val="22"/>
        </w:rPr>
        <w:t>.</w:t>
      </w:r>
      <w:r w:rsidR="00F16724" w:rsidRPr="00513BCB">
        <w:rPr>
          <w:rStyle w:val="FootnoteReference"/>
          <w:rFonts w:cs="Times"/>
          <w:color w:val="1A1A1A"/>
          <w:sz w:val="22"/>
          <w:szCs w:val="22"/>
        </w:rPr>
        <w:footnoteReference w:id="8"/>
      </w:r>
      <w:r w:rsidR="00F16724" w:rsidRPr="00513BCB">
        <w:rPr>
          <w:rFonts w:cs="Times"/>
          <w:color w:val="1A1A1A"/>
          <w:sz w:val="22"/>
          <w:szCs w:val="22"/>
        </w:rPr>
        <w:t xml:space="preserve"> </w:t>
      </w:r>
      <w:r w:rsidR="001A6230" w:rsidRPr="00513BCB">
        <w:rPr>
          <w:rFonts w:cs="Times"/>
          <w:color w:val="1A1A1A"/>
          <w:sz w:val="22"/>
          <w:szCs w:val="22"/>
        </w:rPr>
        <w:t xml:space="preserve">Adopting </w:t>
      </w:r>
      <w:r w:rsidR="00F16724" w:rsidRPr="00513BCB">
        <w:rPr>
          <w:rFonts w:cs="Times"/>
          <w:color w:val="1A1A1A"/>
          <w:sz w:val="22"/>
          <w:szCs w:val="22"/>
        </w:rPr>
        <w:t xml:space="preserve">this conceptual separation </w:t>
      </w:r>
      <w:r w:rsidR="006E5E6C" w:rsidRPr="00513BCB">
        <w:t>changes the terms in which the debate is conducted in an important way</w:t>
      </w:r>
      <w:r w:rsidR="00F16724" w:rsidRPr="00513BCB">
        <w:rPr>
          <w:rFonts w:cs="Times"/>
          <w:color w:val="1A1A1A"/>
          <w:sz w:val="22"/>
          <w:szCs w:val="22"/>
        </w:rPr>
        <w:t xml:space="preserve">. </w:t>
      </w:r>
      <w:r w:rsidR="002A4EB9" w:rsidRPr="00513BCB">
        <w:rPr>
          <w:sz w:val="22"/>
          <w:szCs w:val="22"/>
        </w:rPr>
        <w:t>To paraphrase Jennifer Nedelsky, m</w:t>
      </w:r>
      <w:r w:rsidR="00F16724" w:rsidRPr="00513BCB">
        <w:rPr>
          <w:sz w:val="22"/>
          <w:szCs w:val="22"/>
        </w:rPr>
        <w:t>uch of the impetus for feminist politics arises from women claiming the space to choose who and what they are, to refuse to be defined or dictated by notions of what society means by ‘woman’</w:t>
      </w:r>
      <w:r w:rsidR="00567DA0" w:rsidRPr="00513BCB">
        <w:rPr>
          <w:rStyle w:val="FootnoteReference"/>
          <w:sz w:val="22"/>
          <w:szCs w:val="22"/>
        </w:rPr>
        <w:footnoteReference w:id="9"/>
      </w:r>
      <w:r w:rsidR="00567DA0" w:rsidRPr="00513BCB">
        <w:rPr>
          <w:sz w:val="22"/>
          <w:szCs w:val="22"/>
        </w:rPr>
        <w:t xml:space="preserve"> </w:t>
      </w:r>
      <w:r w:rsidR="00F16724" w:rsidRPr="00513BCB">
        <w:rPr>
          <w:sz w:val="22"/>
          <w:szCs w:val="22"/>
        </w:rPr>
        <w:t xml:space="preserve"> and</w:t>
      </w:r>
      <w:r w:rsidR="00567DA0" w:rsidRPr="00513BCB">
        <w:rPr>
          <w:sz w:val="22"/>
          <w:szCs w:val="22"/>
        </w:rPr>
        <w:t xml:space="preserve"> </w:t>
      </w:r>
      <w:r w:rsidR="00F16724" w:rsidRPr="00513BCB">
        <w:rPr>
          <w:sz w:val="22"/>
          <w:szCs w:val="22"/>
        </w:rPr>
        <w:t xml:space="preserve">motherhood. But </w:t>
      </w:r>
      <w:r w:rsidR="001A6230" w:rsidRPr="00513BCB">
        <w:rPr>
          <w:sz w:val="22"/>
          <w:szCs w:val="22"/>
        </w:rPr>
        <w:t>some</w:t>
      </w:r>
      <w:r w:rsidR="00F16724" w:rsidRPr="00513BCB">
        <w:rPr>
          <w:sz w:val="22"/>
          <w:szCs w:val="22"/>
        </w:rPr>
        <w:t xml:space="preserve"> areas of life seem difficult to discuss in terms of </w:t>
      </w:r>
      <w:r w:rsidR="003B2671" w:rsidRPr="00513BCB">
        <w:rPr>
          <w:sz w:val="22"/>
          <w:szCs w:val="22"/>
        </w:rPr>
        <w:t>‘</w:t>
      </w:r>
      <w:r w:rsidR="00F16724" w:rsidRPr="00513BCB">
        <w:rPr>
          <w:sz w:val="22"/>
          <w:szCs w:val="22"/>
        </w:rPr>
        <w:t>choice</w:t>
      </w:r>
      <w:r w:rsidR="003B2671" w:rsidRPr="00513BCB">
        <w:rPr>
          <w:sz w:val="22"/>
          <w:szCs w:val="22"/>
        </w:rPr>
        <w:t>’</w:t>
      </w:r>
      <w:r w:rsidR="00F16724" w:rsidRPr="00513BCB">
        <w:rPr>
          <w:sz w:val="22"/>
          <w:szCs w:val="22"/>
        </w:rPr>
        <w:t xml:space="preserve">. </w:t>
      </w:r>
      <w:r w:rsidR="001A6230" w:rsidRPr="00513BCB">
        <w:rPr>
          <w:sz w:val="22"/>
          <w:szCs w:val="22"/>
        </w:rPr>
        <w:t>As we discussed in our earlier work, p</w:t>
      </w:r>
      <w:r w:rsidR="00F16724" w:rsidRPr="00513BCB">
        <w:rPr>
          <w:sz w:val="22"/>
          <w:szCs w:val="22"/>
        </w:rPr>
        <w:t xml:space="preserve">regnancy, motherhood and childcare have </w:t>
      </w:r>
      <w:r w:rsidR="001A6230" w:rsidRPr="00513BCB">
        <w:rPr>
          <w:sz w:val="22"/>
          <w:szCs w:val="22"/>
        </w:rPr>
        <w:t xml:space="preserve">been </w:t>
      </w:r>
      <w:r w:rsidR="00F16724" w:rsidRPr="00513BCB">
        <w:rPr>
          <w:sz w:val="22"/>
          <w:szCs w:val="22"/>
        </w:rPr>
        <w:t>approache</w:t>
      </w:r>
      <w:r w:rsidR="001A6230" w:rsidRPr="00513BCB">
        <w:rPr>
          <w:sz w:val="22"/>
          <w:szCs w:val="22"/>
        </w:rPr>
        <w:t>d in various ways</w:t>
      </w:r>
      <w:r w:rsidR="00F16724" w:rsidRPr="00513BCB">
        <w:rPr>
          <w:sz w:val="22"/>
          <w:szCs w:val="22"/>
        </w:rPr>
        <w:t xml:space="preserve"> in feminist work: first, as natural phenomen</w:t>
      </w:r>
      <w:r w:rsidR="004E0861" w:rsidRPr="00513BCB">
        <w:rPr>
          <w:sz w:val="22"/>
          <w:szCs w:val="22"/>
        </w:rPr>
        <w:t>a</w:t>
      </w:r>
      <w:r w:rsidR="00F16724" w:rsidRPr="00513BCB">
        <w:rPr>
          <w:sz w:val="22"/>
          <w:szCs w:val="22"/>
        </w:rPr>
        <w:t xml:space="preserve"> to be overcome;</w:t>
      </w:r>
      <w:r w:rsidR="00F16724" w:rsidRPr="00513BCB">
        <w:rPr>
          <w:rStyle w:val="FootnoteReference"/>
          <w:sz w:val="22"/>
          <w:szCs w:val="22"/>
        </w:rPr>
        <w:t xml:space="preserve"> </w:t>
      </w:r>
      <w:r w:rsidR="00F16724" w:rsidRPr="00513BCB">
        <w:rPr>
          <w:rStyle w:val="FootnoteReference"/>
          <w:sz w:val="22"/>
          <w:szCs w:val="22"/>
        </w:rPr>
        <w:footnoteReference w:id="10"/>
      </w:r>
      <w:r w:rsidR="00F16724" w:rsidRPr="00513BCB">
        <w:rPr>
          <w:sz w:val="22"/>
          <w:szCs w:val="22"/>
        </w:rPr>
        <w:t xml:space="preserve"> secondly, as natural phenomen</w:t>
      </w:r>
      <w:r w:rsidR="004E0861" w:rsidRPr="00513BCB">
        <w:rPr>
          <w:sz w:val="22"/>
          <w:szCs w:val="22"/>
        </w:rPr>
        <w:t xml:space="preserve">a </w:t>
      </w:r>
      <w:r w:rsidR="00F16724" w:rsidRPr="00513BCB">
        <w:rPr>
          <w:sz w:val="22"/>
          <w:szCs w:val="22"/>
        </w:rPr>
        <w:t>to be celebrated but sometimes only when reconstructed, as</w:t>
      </w:r>
      <w:r w:rsidR="002A4EB9" w:rsidRPr="00513BCB">
        <w:rPr>
          <w:sz w:val="22"/>
          <w:szCs w:val="22"/>
        </w:rPr>
        <w:t xml:space="preserve"> Adrienne Rich describes it, </w:t>
      </w:r>
      <w:r w:rsidR="004E0861" w:rsidRPr="00513BCB">
        <w:rPr>
          <w:sz w:val="22"/>
          <w:szCs w:val="22"/>
        </w:rPr>
        <w:t xml:space="preserve">to </w:t>
      </w:r>
      <w:r w:rsidR="00F16724" w:rsidRPr="00513BCB">
        <w:rPr>
          <w:sz w:val="22"/>
          <w:szCs w:val="22"/>
        </w:rPr>
        <w:t>release ‘the creation and sustenance of life into the same realm of decision, struggle, surprise, imagination and conscious intelligence as any other difficult but freely chosen work’;</w:t>
      </w:r>
      <w:r w:rsidR="00F16724" w:rsidRPr="00513BCB">
        <w:rPr>
          <w:rStyle w:val="FootnoteReference"/>
          <w:sz w:val="22"/>
          <w:szCs w:val="22"/>
        </w:rPr>
        <w:footnoteReference w:id="11"/>
      </w:r>
      <w:r w:rsidR="00F16724" w:rsidRPr="00513BCB">
        <w:rPr>
          <w:sz w:val="22"/>
          <w:szCs w:val="22"/>
        </w:rPr>
        <w:t xml:space="preserve"> and thirdly, an institutional issue of who does what in terms of childcare.</w:t>
      </w:r>
      <w:r w:rsidR="00F16724" w:rsidRPr="00513BCB">
        <w:rPr>
          <w:rStyle w:val="FootnoteReference"/>
          <w:sz w:val="22"/>
          <w:szCs w:val="22"/>
        </w:rPr>
        <w:footnoteReference w:id="12"/>
      </w:r>
      <w:r w:rsidR="00F16724" w:rsidRPr="00513BCB">
        <w:rPr>
          <w:sz w:val="22"/>
          <w:szCs w:val="22"/>
        </w:rPr>
        <w:t xml:space="preserve"> </w:t>
      </w:r>
      <w:r w:rsidR="002A4EB9" w:rsidRPr="00513BCB">
        <w:rPr>
          <w:sz w:val="22"/>
          <w:szCs w:val="22"/>
        </w:rPr>
        <w:t>Yet, in that literature</w:t>
      </w:r>
      <w:r w:rsidR="00F16724" w:rsidRPr="00513BCB">
        <w:rPr>
          <w:sz w:val="22"/>
          <w:szCs w:val="22"/>
        </w:rPr>
        <w:t xml:space="preserve">, distinctions are not made between pregnancy and childbirth in the way we sought to do and </w:t>
      </w:r>
      <w:r w:rsidR="002A4EB9" w:rsidRPr="00513BCB">
        <w:rPr>
          <w:sz w:val="22"/>
          <w:szCs w:val="22"/>
        </w:rPr>
        <w:t xml:space="preserve">which </w:t>
      </w:r>
      <w:r w:rsidR="001F3A5F" w:rsidRPr="00513BCB">
        <w:rPr>
          <w:sz w:val="22"/>
          <w:szCs w:val="22"/>
        </w:rPr>
        <w:t xml:space="preserve">I </w:t>
      </w:r>
      <w:r w:rsidR="00F16724" w:rsidRPr="00513BCB">
        <w:rPr>
          <w:sz w:val="22"/>
          <w:szCs w:val="22"/>
        </w:rPr>
        <w:t>continue</w:t>
      </w:r>
      <w:r w:rsidR="002A4EB9" w:rsidRPr="00513BCB">
        <w:rPr>
          <w:sz w:val="22"/>
          <w:szCs w:val="22"/>
        </w:rPr>
        <w:t xml:space="preserve"> in this article</w:t>
      </w:r>
      <w:r w:rsidR="00F16724" w:rsidRPr="00513BCB">
        <w:rPr>
          <w:sz w:val="22"/>
          <w:szCs w:val="22"/>
        </w:rPr>
        <w:t xml:space="preserve">. </w:t>
      </w:r>
      <w:r w:rsidR="00567DA0" w:rsidRPr="00513BCB">
        <w:rPr>
          <w:rStyle w:val="FootnoteReference"/>
          <w:sz w:val="22"/>
          <w:szCs w:val="22"/>
        </w:rPr>
        <w:footnoteReference w:id="13"/>
      </w:r>
    </w:p>
    <w:p w14:paraId="61549797" w14:textId="77777777" w:rsidR="00F16724" w:rsidRPr="00513BCB" w:rsidRDefault="00F16724" w:rsidP="004D3080">
      <w:pPr>
        <w:spacing w:line="360" w:lineRule="auto"/>
        <w:jc w:val="both"/>
        <w:rPr>
          <w:sz w:val="22"/>
          <w:szCs w:val="22"/>
        </w:rPr>
      </w:pPr>
    </w:p>
    <w:p w14:paraId="05485673" w14:textId="420C3472" w:rsidR="00F16724" w:rsidRPr="00513BCB" w:rsidRDefault="00F16724" w:rsidP="004D3080">
      <w:pPr>
        <w:spacing w:line="360" w:lineRule="auto"/>
        <w:jc w:val="both"/>
        <w:rPr>
          <w:rFonts w:cs="Times New Roman"/>
          <w:sz w:val="22"/>
          <w:szCs w:val="22"/>
        </w:rPr>
      </w:pPr>
      <w:r w:rsidRPr="00513BCB">
        <w:rPr>
          <w:sz w:val="22"/>
          <w:szCs w:val="22"/>
        </w:rPr>
        <w:lastRenderedPageBreak/>
        <w:t>Any choice is made in a social context and there have certainly been</w:t>
      </w:r>
      <w:r w:rsidR="002A4EB9" w:rsidRPr="00513BCB">
        <w:rPr>
          <w:sz w:val="22"/>
          <w:szCs w:val="22"/>
        </w:rPr>
        <w:t xml:space="preserve"> progressive</w:t>
      </w:r>
      <w:r w:rsidRPr="00513BCB">
        <w:rPr>
          <w:sz w:val="22"/>
          <w:szCs w:val="22"/>
        </w:rPr>
        <w:t xml:space="preserve"> </w:t>
      </w:r>
      <w:r w:rsidRPr="00513BCB">
        <w:rPr>
          <w:rFonts w:cs="Times New Roman"/>
          <w:sz w:val="22"/>
          <w:szCs w:val="22"/>
        </w:rPr>
        <w:t>changes to attitudes to parenting, and in some sense ‘mothering’, particularly given reproductive technological developments</w:t>
      </w:r>
      <w:r w:rsidR="001A6230" w:rsidRPr="00513BCB">
        <w:rPr>
          <w:rFonts w:cs="Times New Roman"/>
          <w:sz w:val="22"/>
          <w:szCs w:val="22"/>
        </w:rPr>
        <w:t>, apparently prompting</w:t>
      </w:r>
      <w:r w:rsidRPr="00513BCB">
        <w:rPr>
          <w:rFonts w:cs="Times New Roman"/>
          <w:sz w:val="22"/>
          <w:szCs w:val="22"/>
        </w:rPr>
        <w:t xml:space="preserve"> more acceptance of a variety of family structures and birthing choices, including surrogacy arrangements. </w:t>
      </w:r>
      <w:r w:rsidR="005E33A0" w:rsidRPr="00513BCB">
        <w:rPr>
          <w:rFonts w:cs="Times New Roman"/>
          <w:sz w:val="22"/>
          <w:szCs w:val="22"/>
        </w:rPr>
        <w:t>At the same time</w:t>
      </w:r>
      <w:r w:rsidR="002A4EB9" w:rsidRPr="00513BCB">
        <w:rPr>
          <w:rFonts w:cs="Times New Roman"/>
          <w:sz w:val="22"/>
          <w:szCs w:val="22"/>
        </w:rPr>
        <w:t>, t</w:t>
      </w:r>
      <w:r w:rsidRPr="00513BCB">
        <w:rPr>
          <w:rFonts w:cs="Times New Roman"/>
          <w:sz w:val="22"/>
          <w:szCs w:val="22"/>
        </w:rPr>
        <w:t>here has been increas</w:t>
      </w:r>
      <w:r w:rsidR="001A6230" w:rsidRPr="00513BCB">
        <w:rPr>
          <w:rFonts w:cs="Times New Roman"/>
          <w:sz w:val="22"/>
          <w:szCs w:val="22"/>
        </w:rPr>
        <w:t>ed</w:t>
      </w:r>
      <w:r w:rsidRPr="00513BCB">
        <w:rPr>
          <w:rFonts w:cs="Times New Roman"/>
          <w:sz w:val="22"/>
          <w:szCs w:val="22"/>
        </w:rPr>
        <w:t xml:space="preserve"> monitoring of standards of behavio</w:t>
      </w:r>
      <w:r w:rsidR="005E33A0" w:rsidRPr="00513BCB">
        <w:rPr>
          <w:rFonts w:cs="Times New Roman"/>
          <w:sz w:val="22"/>
          <w:szCs w:val="22"/>
        </w:rPr>
        <w:t>u</w:t>
      </w:r>
      <w:r w:rsidRPr="00513BCB">
        <w:rPr>
          <w:rFonts w:cs="Times New Roman"/>
          <w:sz w:val="22"/>
          <w:szCs w:val="22"/>
        </w:rPr>
        <w:t>r of pregnant women and birth givers.</w:t>
      </w:r>
      <w:r w:rsidRPr="00513BCB">
        <w:rPr>
          <w:rStyle w:val="FootnoteReference"/>
          <w:rFonts w:cs="Times New Roman"/>
          <w:sz w:val="22"/>
          <w:szCs w:val="22"/>
        </w:rPr>
        <w:footnoteReference w:id="14"/>
      </w:r>
      <w:r w:rsidRPr="00513BCB">
        <w:rPr>
          <w:rFonts w:cs="Times New Roman"/>
          <w:sz w:val="22"/>
          <w:szCs w:val="22"/>
        </w:rPr>
        <w:t xml:space="preserve"> As I </w:t>
      </w:r>
      <w:r w:rsidR="001A6230" w:rsidRPr="00513BCB">
        <w:rPr>
          <w:rFonts w:cs="Times New Roman"/>
          <w:sz w:val="22"/>
          <w:szCs w:val="22"/>
        </w:rPr>
        <w:t>seek to make clear</w:t>
      </w:r>
      <w:r w:rsidRPr="00513BCB">
        <w:rPr>
          <w:rFonts w:cs="Times New Roman"/>
          <w:sz w:val="22"/>
          <w:szCs w:val="22"/>
        </w:rPr>
        <w:t xml:space="preserve"> throughout this article, a pregnant girl or woman’s health </w:t>
      </w:r>
      <w:r w:rsidR="00192BB0" w:rsidRPr="00513BCB">
        <w:rPr>
          <w:rFonts w:cs="Times New Roman"/>
          <w:sz w:val="22"/>
          <w:szCs w:val="22"/>
        </w:rPr>
        <w:t>needs to be a legal concern</w:t>
      </w:r>
      <w:r w:rsidR="001A6230" w:rsidRPr="00513BCB">
        <w:rPr>
          <w:rFonts w:cs="Times New Roman"/>
          <w:sz w:val="22"/>
          <w:szCs w:val="22"/>
        </w:rPr>
        <w:t>,</w:t>
      </w:r>
      <w:r w:rsidR="00192BB0" w:rsidRPr="00513BCB">
        <w:rPr>
          <w:rFonts w:cs="Times New Roman"/>
          <w:sz w:val="22"/>
          <w:szCs w:val="22"/>
        </w:rPr>
        <w:t xml:space="preserve"> </w:t>
      </w:r>
      <w:r w:rsidRPr="00513BCB">
        <w:rPr>
          <w:rFonts w:cs="Times New Roman"/>
          <w:sz w:val="22"/>
          <w:szCs w:val="22"/>
        </w:rPr>
        <w:t xml:space="preserve">but </w:t>
      </w:r>
      <w:r w:rsidR="00192BB0" w:rsidRPr="00513BCB">
        <w:rPr>
          <w:rFonts w:cs="Times New Roman"/>
          <w:sz w:val="22"/>
          <w:szCs w:val="22"/>
        </w:rPr>
        <w:t xml:space="preserve">not through </w:t>
      </w:r>
      <w:r w:rsidR="002A4EB9" w:rsidRPr="00513BCB">
        <w:rPr>
          <w:rFonts w:cs="Times New Roman"/>
          <w:sz w:val="22"/>
          <w:szCs w:val="22"/>
        </w:rPr>
        <w:t xml:space="preserve">policies of </w:t>
      </w:r>
      <w:r w:rsidRPr="00513BCB">
        <w:rPr>
          <w:rFonts w:cs="Times New Roman"/>
          <w:sz w:val="22"/>
          <w:szCs w:val="22"/>
        </w:rPr>
        <w:t xml:space="preserve">surveillance </w:t>
      </w:r>
      <w:r w:rsidR="002A4EB9" w:rsidRPr="00513BCB">
        <w:rPr>
          <w:rFonts w:cs="Times New Roman"/>
          <w:sz w:val="22"/>
          <w:szCs w:val="22"/>
        </w:rPr>
        <w:t xml:space="preserve">and </w:t>
      </w:r>
      <w:r w:rsidR="005E33A0" w:rsidRPr="00513BCB">
        <w:rPr>
          <w:rFonts w:cs="Times New Roman"/>
          <w:sz w:val="22"/>
          <w:szCs w:val="22"/>
        </w:rPr>
        <w:t xml:space="preserve">further </w:t>
      </w:r>
      <w:r w:rsidR="002A4EB9" w:rsidRPr="00513BCB">
        <w:rPr>
          <w:rFonts w:cs="Times New Roman"/>
          <w:sz w:val="22"/>
          <w:szCs w:val="22"/>
        </w:rPr>
        <w:t xml:space="preserve">policing </w:t>
      </w:r>
      <w:r w:rsidRPr="00513BCB">
        <w:rPr>
          <w:rFonts w:cs="Times New Roman"/>
          <w:sz w:val="22"/>
          <w:szCs w:val="22"/>
        </w:rPr>
        <w:t xml:space="preserve">of female behaviour. </w:t>
      </w:r>
    </w:p>
    <w:p w14:paraId="710DED5D" w14:textId="77777777" w:rsidR="00F16724" w:rsidRPr="00513BCB" w:rsidRDefault="00F16724" w:rsidP="004D3080">
      <w:pPr>
        <w:spacing w:line="360" w:lineRule="auto"/>
        <w:jc w:val="both"/>
        <w:rPr>
          <w:sz w:val="22"/>
          <w:szCs w:val="22"/>
        </w:rPr>
      </w:pPr>
    </w:p>
    <w:p w14:paraId="4A1E721D" w14:textId="4E54AF12" w:rsidR="00192BB0" w:rsidRPr="00513BCB" w:rsidRDefault="00F16724" w:rsidP="004D3080">
      <w:pPr>
        <w:spacing w:line="360" w:lineRule="auto"/>
        <w:jc w:val="both"/>
        <w:rPr>
          <w:sz w:val="22"/>
          <w:szCs w:val="22"/>
        </w:rPr>
      </w:pPr>
      <w:r w:rsidRPr="00513BCB">
        <w:rPr>
          <w:sz w:val="22"/>
          <w:szCs w:val="22"/>
        </w:rPr>
        <w:t xml:space="preserve">I turn now to focus on the legal regulation of options for girls and women who seek </w:t>
      </w:r>
      <w:r w:rsidR="002A4EB9" w:rsidRPr="00513BCB">
        <w:rPr>
          <w:sz w:val="22"/>
          <w:szCs w:val="22"/>
        </w:rPr>
        <w:t>secrecy</w:t>
      </w:r>
      <w:r w:rsidRPr="00513BCB">
        <w:rPr>
          <w:sz w:val="22"/>
          <w:szCs w:val="22"/>
        </w:rPr>
        <w:t xml:space="preserve"> </w:t>
      </w:r>
      <w:r w:rsidR="002A4EB9" w:rsidRPr="00513BCB">
        <w:rPr>
          <w:sz w:val="22"/>
          <w:szCs w:val="22"/>
        </w:rPr>
        <w:t xml:space="preserve">during pregnancy and </w:t>
      </w:r>
      <w:r w:rsidRPr="00513BCB">
        <w:rPr>
          <w:sz w:val="22"/>
          <w:szCs w:val="22"/>
        </w:rPr>
        <w:t>birth</w:t>
      </w:r>
      <w:r w:rsidR="00192BB0" w:rsidRPr="00513BCB">
        <w:rPr>
          <w:sz w:val="22"/>
          <w:szCs w:val="22"/>
        </w:rPr>
        <w:t xml:space="preserve">. </w:t>
      </w:r>
      <w:r w:rsidRPr="00513BCB">
        <w:rPr>
          <w:sz w:val="22"/>
          <w:szCs w:val="22"/>
        </w:rPr>
        <w:t xml:space="preserve"> </w:t>
      </w:r>
    </w:p>
    <w:p w14:paraId="39DC09D0" w14:textId="77777777" w:rsidR="00F16724" w:rsidRPr="00513BCB" w:rsidRDefault="00F16724" w:rsidP="004D3080">
      <w:pPr>
        <w:spacing w:line="360" w:lineRule="auto"/>
        <w:jc w:val="both"/>
        <w:rPr>
          <w:sz w:val="22"/>
          <w:szCs w:val="22"/>
        </w:rPr>
      </w:pPr>
    </w:p>
    <w:p w14:paraId="3177453F" w14:textId="0BF2EF29" w:rsidR="00DC224E" w:rsidRPr="00513BCB" w:rsidRDefault="00DC224E" w:rsidP="004D3080">
      <w:pPr>
        <w:widowControl w:val="0"/>
        <w:autoSpaceDE w:val="0"/>
        <w:autoSpaceDN w:val="0"/>
        <w:adjustRightInd w:val="0"/>
        <w:spacing w:line="360" w:lineRule="auto"/>
        <w:jc w:val="both"/>
        <w:rPr>
          <w:b/>
          <w:sz w:val="22"/>
          <w:szCs w:val="22"/>
        </w:rPr>
      </w:pPr>
      <w:r w:rsidRPr="00513BCB">
        <w:rPr>
          <w:b/>
          <w:sz w:val="22"/>
          <w:szCs w:val="22"/>
        </w:rPr>
        <w:t xml:space="preserve">Part </w:t>
      </w:r>
      <w:r w:rsidR="00AE5FB3" w:rsidRPr="00513BCB">
        <w:rPr>
          <w:b/>
          <w:sz w:val="22"/>
          <w:szCs w:val="22"/>
        </w:rPr>
        <w:t>1</w:t>
      </w:r>
      <w:r w:rsidR="00F52F9D" w:rsidRPr="00513BCB">
        <w:rPr>
          <w:b/>
          <w:sz w:val="22"/>
          <w:szCs w:val="22"/>
        </w:rPr>
        <w:t xml:space="preserve">: </w:t>
      </w:r>
      <w:r w:rsidRPr="00513BCB">
        <w:rPr>
          <w:b/>
          <w:sz w:val="22"/>
          <w:szCs w:val="22"/>
        </w:rPr>
        <w:t>The Legal Regulation of Abandonment, Anonymity and Voluntary</w:t>
      </w:r>
      <w:r w:rsidR="00A07F45" w:rsidRPr="00513BCB">
        <w:rPr>
          <w:b/>
          <w:sz w:val="22"/>
          <w:szCs w:val="22"/>
        </w:rPr>
        <w:t xml:space="preserve"> </w:t>
      </w:r>
      <w:r w:rsidRPr="00513BCB">
        <w:rPr>
          <w:b/>
          <w:sz w:val="22"/>
          <w:szCs w:val="22"/>
        </w:rPr>
        <w:t>Relinquishment</w:t>
      </w:r>
    </w:p>
    <w:p w14:paraId="16F0D6AC" w14:textId="599329FC" w:rsidR="00AE7508" w:rsidRPr="00513BCB" w:rsidRDefault="00192BB0" w:rsidP="004D3080">
      <w:pPr>
        <w:pStyle w:val="BodyText"/>
        <w:spacing w:line="360" w:lineRule="auto"/>
        <w:rPr>
          <w:rFonts w:asciiTheme="minorHAnsi" w:hAnsiTheme="minorHAnsi"/>
          <w:sz w:val="22"/>
          <w:szCs w:val="22"/>
        </w:rPr>
      </w:pPr>
      <w:r w:rsidRPr="00513BCB">
        <w:rPr>
          <w:rFonts w:asciiTheme="minorHAnsi" w:hAnsiTheme="minorHAnsi"/>
          <w:color w:val="000000" w:themeColor="text1"/>
          <w:sz w:val="22"/>
          <w:szCs w:val="22"/>
        </w:rPr>
        <w:t>After evaluating certain aspects of the legal position in England and Wales, I contrast this with</w:t>
      </w:r>
      <w:r w:rsidR="00AE7508" w:rsidRPr="00513BCB">
        <w:rPr>
          <w:rFonts w:asciiTheme="minorHAnsi" w:hAnsiTheme="minorHAnsi" w:cs="Times"/>
          <w:color w:val="1A1A1A"/>
          <w:sz w:val="22"/>
          <w:szCs w:val="22"/>
        </w:rPr>
        <w:t xml:space="preserve"> </w:t>
      </w:r>
      <w:r w:rsidR="004D3080" w:rsidRPr="00513BCB">
        <w:rPr>
          <w:rFonts w:asciiTheme="minorHAnsi" w:hAnsiTheme="minorHAnsi" w:cs="Times"/>
          <w:color w:val="1A1A1A"/>
          <w:sz w:val="22"/>
          <w:szCs w:val="22"/>
        </w:rPr>
        <w:t xml:space="preserve">the growing use of baby boxes and </w:t>
      </w:r>
      <w:r w:rsidR="00AE7508" w:rsidRPr="00513BCB">
        <w:rPr>
          <w:rFonts w:asciiTheme="minorHAnsi" w:hAnsiTheme="minorHAnsi" w:cs="Times"/>
          <w:color w:val="1A1A1A"/>
          <w:sz w:val="22"/>
          <w:szCs w:val="22"/>
        </w:rPr>
        <w:t>legal responses to anonymity or concealment in France</w:t>
      </w:r>
      <w:r w:rsidR="004D3080" w:rsidRPr="00513BCB">
        <w:rPr>
          <w:rFonts w:asciiTheme="minorHAnsi" w:hAnsiTheme="minorHAnsi" w:cs="Times"/>
          <w:color w:val="1A1A1A"/>
          <w:sz w:val="22"/>
          <w:szCs w:val="22"/>
        </w:rPr>
        <w:t xml:space="preserve"> and</w:t>
      </w:r>
      <w:r w:rsidR="00AE7508" w:rsidRPr="00513BCB">
        <w:rPr>
          <w:rFonts w:asciiTheme="minorHAnsi" w:hAnsiTheme="minorHAnsi" w:cs="Times"/>
          <w:color w:val="1A1A1A"/>
          <w:sz w:val="22"/>
          <w:szCs w:val="22"/>
        </w:rPr>
        <w:t xml:space="preserve"> some other EU jurisdictions</w:t>
      </w:r>
      <w:r w:rsidR="004D3080" w:rsidRPr="00513BCB">
        <w:rPr>
          <w:rFonts w:asciiTheme="minorHAnsi" w:hAnsiTheme="minorHAnsi" w:cs="Times"/>
          <w:color w:val="1A1A1A"/>
          <w:sz w:val="22"/>
          <w:szCs w:val="22"/>
        </w:rPr>
        <w:t xml:space="preserve"> that</w:t>
      </w:r>
      <w:r w:rsidR="00AE7508" w:rsidRPr="00513BCB">
        <w:rPr>
          <w:rFonts w:asciiTheme="minorHAnsi" w:hAnsiTheme="minorHAnsi" w:cs="Times"/>
          <w:color w:val="1A1A1A"/>
          <w:sz w:val="22"/>
          <w:szCs w:val="22"/>
        </w:rPr>
        <w:t xml:space="preserve"> legally permit</w:t>
      </w:r>
      <w:r w:rsidR="001F3A5F" w:rsidRPr="00513BCB">
        <w:rPr>
          <w:rFonts w:asciiTheme="minorHAnsi" w:hAnsiTheme="minorHAnsi" w:cs="Times"/>
          <w:color w:val="1A1A1A"/>
          <w:sz w:val="22"/>
          <w:szCs w:val="22"/>
        </w:rPr>
        <w:t xml:space="preserve"> </w:t>
      </w:r>
      <w:r w:rsidR="00AE7508" w:rsidRPr="00513BCB">
        <w:rPr>
          <w:rFonts w:asciiTheme="minorHAnsi" w:hAnsiTheme="minorHAnsi" w:cs="Times"/>
          <w:color w:val="1A1A1A"/>
          <w:sz w:val="22"/>
          <w:szCs w:val="22"/>
        </w:rPr>
        <w:t>anonymous births.</w:t>
      </w:r>
      <w:r w:rsidR="00AE7508" w:rsidRPr="00513BCB">
        <w:rPr>
          <w:rStyle w:val="FootnoteReference"/>
          <w:rFonts w:asciiTheme="minorHAnsi" w:hAnsiTheme="minorHAnsi"/>
          <w:sz w:val="22"/>
          <w:szCs w:val="22"/>
        </w:rPr>
        <w:footnoteReference w:id="15"/>
      </w:r>
      <w:r w:rsidR="00AE7508" w:rsidRPr="00513BCB">
        <w:rPr>
          <w:rFonts w:asciiTheme="minorHAnsi" w:hAnsiTheme="minorHAnsi"/>
          <w:sz w:val="22"/>
          <w:szCs w:val="22"/>
        </w:rPr>
        <w:t xml:space="preserve"> </w:t>
      </w:r>
      <w:r w:rsidR="001F3A5F" w:rsidRPr="00513BCB">
        <w:rPr>
          <w:rFonts w:asciiTheme="minorHAnsi" w:hAnsiTheme="minorHAnsi"/>
          <w:sz w:val="22"/>
          <w:szCs w:val="22"/>
        </w:rPr>
        <w:t>Parties are</w:t>
      </w:r>
      <w:r w:rsidR="00AE7508" w:rsidRPr="00513BCB">
        <w:rPr>
          <w:rFonts w:asciiTheme="minorHAnsi" w:hAnsiTheme="minorHAnsi"/>
          <w:sz w:val="22"/>
          <w:szCs w:val="22"/>
        </w:rPr>
        <w:t xml:space="preserve"> treated or classified within the legal systems </w:t>
      </w:r>
      <w:r w:rsidR="001F3A5F" w:rsidRPr="00513BCB">
        <w:rPr>
          <w:rFonts w:asciiTheme="minorHAnsi" w:hAnsiTheme="minorHAnsi"/>
          <w:sz w:val="22"/>
          <w:szCs w:val="22"/>
        </w:rPr>
        <w:t>in different ways</w:t>
      </w:r>
      <w:r w:rsidR="00AE7508" w:rsidRPr="00513BCB">
        <w:rPr>
          <w:rFonts w:asciiTheme="minorHAnsi" w:hAnsiTheme="minorHAnsi"/>
          <w:sz w:val="22"/>
          <w:szCs w:val="22"/>
        </w:rPr>
        <w:t xml:space="preserve">. </w:t>
      </w:r>
      <w:r w:rsidR="00567DA0" w:rsidRPr="00513BCB">
        <w:rPr>
          <w:rFonts w:asciiTheme="minorHAnsi" w:hAnsiTheme="minorHAnsi"/>
          <w:sz w:val="22"/>
          <w:szCs w:val="22"/>
        </w:rPr>
        <w:t>Sometimes, more</w:t>
      </w:r>
      <w:r w:rsidR="00AE7508" w:rsidRPr="00513BCB">
        <w:rPr>
          <w:rFonts w:asciiTheme="minorHAnsi" w:hAnsiTheme="minorHAnsi"/>
          <w:sz w:val="22"/>
          <w:szCs w:val="22"/>
        </w:rPr>
        <w:t xml:space="preserve"> sympath</w:t>
      </w:r>
      <w:r w:rsidRPr="00513BCB">
        <w:rPr>
          <w:rFonts w:asciiTheme="minorHAnsi" w:hAnsiTheme="minorHAnsi"/>
          <w:sz w:val="22"/>
          <w:szCs w:val="22"/>
        </w:rPr>
        <w:t>y</w:t>
      </w:r>
      <w:r w:rsidR="00567DA0" w:rsidRPr="00513BCB">
        <w:rPr>
          <w:rFonts w:asciiTheme="minorHAnsi" w:hAnsiTheme="minorHAnsi"/>
          <w:sz w:val="22"/>
          <w:szCs w:val="22"/>
        </w:rPr>
        <w:t xml:space="preserve"> is shown</w:t>
      </w:r>
      <w:r w:rsidRPr="00513BCB">
        <w:rPr>
          <w:rFonts w:asciiTheme="minorHAnsi" w:hAnsiTheme="minorHAnsi"/>
          <w:sz w:val="22"/>
          <w:szCs w:val="22"/>
        </w:rPr>
        <w:t xml:space="preserve"> towards</w:t>
      </w:r>
      <w:r w:rsidR="00AE7508" w:rsidRPr="00513BCB">
        <w:rPr>
          <w:rFonts w:asciiTheme="minorHAnsi" w:hAnsiTheme="minorHAnsi"/>
          <w:sz w:val="22"/>
          <w:szCs w:val="22"/>
        </w:rPr>
        <w:t xml:space="preserve"> </w:t>
      </w:r>
      <w:r w:rsidRPr="00513BCB">
        <w:rPr>
          <w:rFonts w:asciiTheme="minorHAnsi" w:hAnsiTheme="minorHAnsi"/>
          <w:sz w:val="22"/>
          <w:szCs w:val="22"/>
        </w:rPr>
        <w:t xml:space="preserve">the birth giver, </w:t>
      </w:r>
      <w:r w:rsidR="00567DA0" w:rsidRPr="00513BCB">
        <w:rPr>
          <w:rFonts w:asciiTheme="minorHAnsi" w:hAnsiTheme="minorHAnsi"/>
          <w:sz w:val="22"/>
          <w:szCs w:val="22"/>
        </w:rPr>
        <w:t xml:space="preserve">but </w:t>
      </w:r>
      <w:r w:rsidR="00AE7508" w:rsidRPr="00513BCB">
        <w:rPr>
          <w:rFonts w:asciiTheme="minorHAnsi" w:hAnsiTheme="minorHAnsi"/>
          <w:sz w:val="22"/>
          <w:szCs w:val="22"/>
        </w:rPr>
        <w:t>the position is generally presented as a conflict between</w:t>
      </w:r>
      <w:r w:rsidR="003B2671" w:rsidRPr="00513BCB">
        <w:rPr>
          <w:rFonts w:asciiTheme="minorHAnsi" w:hAnsiTheme="minorHAnsi"/>
          <w:sz w:val="22"/>
          <w:szCs w:val="22"/>
        </w:rPr>
        <w:t xml:space="preserve"> </w:t>
      </w:r>
      <w:r w:rsidR="00AE7508" w:rsidRPr="00513BCB">
        <w:rPr>
          <w:rFonts w:asciiTheme="minorHAnsi" w:hAnsiTheme="minorHAnsi"/>
          <w:sz w:val="22"/>
          <w:szCs w:val="22"/>
        </w:rPr>
        <w:t>children’s rights to identity</w:t>
      </w:r>
      <w:r w:rsidR="003B2671" w:rsidRPr="00513BCB">
        <w:rPr>
          <w:rFonts w:asciiTheme="minorHAnsi" w:hAnsiTheme="minorHAnsi"/>
          <w:sz w:val="22"/>
          <w:szCs w:val="22"/>
        </w:rPr>
        <w:t xml:space="preserve"> </w:t>
      </w:r>
      <w:r w:rsidR="004D3080" w:rsidRPr="00513BCB">
        <w:rPr>
          <w:rFonts w:asciiTheme="minorHAnsi" w:hAnsiTheme="minorHAnsi"/>
          <w:sz w:val="22"/>
          <w:szCs w:val="22"/>
        </w:rPr>
        <w:t xml:space="preserve">– </w:t>
      </w:r>
      <w:r w:rsidR="00567DA0" w:rsidRPr="00513BCB">
        <w:rPr>
          <w:rFonts w:asciiTheme="minorHAnsi" w:hAnsiTheme="minorHAnsi"/>
          <w:sz w:val="22"/>
          <w:szCs w:val="22"/>
        </w:rPr>
        <w:t>as an important part of</w:t>
      </w:r>
      <w:r w:rsidR="00AE7508" w:rsidRPr="00513BCB">
        <w:rPr>
          <w:rFonts w:asciiTheme="minorHAnsi" w:hAnsiTheme="minorHAnsi"/>
          <w:sz w:val="22"/>
          <w:szCs w:val="22"/>
        </w:rPr>
        <w:t xml:space="preserve"> their best interests</w:t>
      </w:r>
      <w:r w:rsidR="003B2671" w:rsidRPr="00513BCB">
        <w:rPr>
          <w:rFonts w:asciiTheme="minorHAnsi" w:hAnsiTheme="minorHAnsi"/>
          <w:sz w:val="22"/>
          <w:szCs w:val="22"/>
        </w:rPr>
        <w:t xml:space="preserve"> </w:t>
      </w:r>
      <w:r w:rsidR="004D3080" w:rsidRPr="00513BCB">
        <w:rPr>
          <w:rFonts w:asciiTheme="minorHAnsi" w:hAnsiTheme="minorHAnsi"/>
          <w:sz w:val="22"/>
          <w:szCs w:val="22"/>
        </w:rPr>
        <w:t>–</w:t>
      </w:r>
      <w:r w:rsidR="00AE7508" w:rsidRPr="00513BCB">
        <w:rPr>
          <w:rFonts w:asciiTheme="minorHAnsi" w:hAnsiTheme="minorHAnsi"/>
          <w:sz w:val="22"/>
          <w:szCs w:val="22"/>
        </w:rPr>
        <w:t xml:space="preserve"> and women’s rights to confidentiality</w:t>
      </w:r>
      <w:r w:rsidR="0020010C" w:rsidRPr="00513BCB">
        <w:rPr>
          <w:rFonts w:asciiTheme="minorHAnsi" w:hAnsiTheme="minorHAnsi"/>
          <w:sz w:val="22"/>
          <w:szCs w:val="22"/>
        </w:rPr>
        <w:t>, sometimes coupled with a child’s and woman’s right to life and healthcare</w:t>
      </w:r>
      <w:r w:rsidR="00AE7508" w:rsidRPr="00513BCB">
        <w:rPr>
          <w:rFonts w:asciiTheme="minorHAnsi" w:hAnsiTheme="minorHAnsi"/>
          <w:sz w:val="22"/>
          <w:szCs w:val="22"/>
        </w:rPr>
        <w:t xml:space="preserve">. </w:t>
      </w:r>
      <w:r w:rsidR="003B2671" w:rsidRPr="00513BCB">
        <w:rPr>
          <w:rFonts w:asciiTheme="minorHAnsi" w:hAnsiTheme="minorHAnsi"/>
          <w:sz w:val="22"/>
          <w:szCs w:val="22"/>
        </w:rPr>
        <w:t>Children’s rights</w:t>
      </w:r>
      <w:r w:rsidR="00AE7508" w:rsidRPr="00513BCB">
        <w:rPr>
          <w:rFonts w:asciiTheme="minorHAnsi" w:hAnsiTheme="minorHAnsi"/>
          <w:sz w:val="22"/>
          <w:szCs w:val="22"/>
        </w:rPr>
        <w:t xml:space="preserve"> </w:t>
      </w:r>
      <w:r w:rsidR="00567DA0" w:rsidRPr="00513BCB">
        <w:rPr>
          <w:rFonts w:asciiTheme="minorHAnsi" w:hAnsiTheme="minorHAnsi"/>
          <w:sz w:val="22"/>
          <w:szCs w:val="22"/>
        </w:rPr>
        <w:t xml:space="preserve">increasingly </w:t>
      </w:r>
      <w:r w:rsidR="00AE7508" w:rsidRPr="00513BCB">
        <w:rPr>
          <w:rFonts w:asciiTheme="minorHAnsi" w:hAnsiTheme="minorHAnsi"/>
          <w:sz w:val="22"/>
          <w:szCs w:val="22"/>
        </w:rPr>
        <w:t>trump the latter</w:t>
      </w:r>
      <w:r w:rsidR="00567DA0" w:rsidRPr="00513BCB">
        <w:rPr>
          <w:rFonts w:asciiTheme="minorHAnsi" w:hAnsiTheme="minorHAnsi"/>
          <w:sz w:val="22"/>
          <w:szCs w:val="22"/>
        </w:rPr>
        <w:t>.</w:t>
      </w:r>
    </w:p>
    <w:p w14:paraId="7D716604" w14:textId="77777777" w:rsidR="009E4685" w:rsidRPr="00513BCB" w:rsidRDefault="009E4685" w:rsidP="004D3080">
      <w:pPr>
        <w:spacing w:line="360" w:lineRule="auto"/>
        <w:jc w:val="both"/>
        <w:rPr>
          <w:sz w:val="22"/>
          <w:szCs w:val="22"/>
        </w:rPr>
      </w:pPr>
    </w:p>
    <w:p w14:paraId="2140A7BF" w14:textId="6073706C" w:rsidR="00B55FBF" w:rsidRPr="00513BCB" w:rsidRDefault="00B55FBF" w:rsidP="007C6A1D">
      <w:pPr>
        <w:widowControl w:val="0"/>
        <w:autoSpaceDE w:val="0"/>
        <w:autoSpaceDN w:val="0"/>
        <w:adjustRightInd w:val="0"/>
        <w:spacing w:line="360" w:lineRule="auto"/>
        <w:jc w:val="both"/>
        <w:outlineLvl w:val="0"/>
        <w:rPr>
          <w:rFonts w:cs="Times New Roman"/>
          <w:b/>
          <w:i/>
          <w:sz w:val="22"/>
          <w:szCs w:val="22"/>
        </w:rPr>
      </w:pPr>
      <w:r w:rsidRPr="00513BCB">
        <w:rPr>
          <w:rFonts w:cs="Times New Roman"/>
          <w:b/>
          <w:i/>
          <w:sz w:val="22"/>
          <w:szCs w:val="22"/>
        </w:rPr>
        <w:t>England and Wales</w:t>
      </w:r>
      <w:r w:rsidR="00A2662D" w:rsidRPr="00513BCB">
        <w:rPr>
          <w:rFonts w:cs="Times New Roman"/>
          <w:b/>
          <w:i/>
          <w:sz w:val="22"/>
          <w:szCs w:val="22"/>
        </w:rPr>
        <w:t>: ‘Abandonment’, Care Proceedings and Ad</w:t>
      </w:r>
      <w:r w:rsidR="009E4685" w:rsidRPr="00513BCB">
        <w:rPr>
          <w:rFonts w:cs="Times New Roman"/>
          <w:b/>
          <w:i/>
          <w:sz w:val="22"/>
          <w:szCs w:val="22"/>
        </w:rPr>
        <w:t>option</w:t>
      </w:r>
    </w:p>
    <w:p w14:paraId="143BE317" w14:textId="04A588D3" w:rsidR="001D5025" w:rsidRPr="00513BCB" w:rsidRDefault="00352D44" w:rsidP="004D3080">
      <w:pPr>
        <w:spacing w:line="360" w:lineRule="auto"/>
        <w:jc w:val="both"/>
        <w:rPr>
          <w:rFonts w:cs="Times"/>
          <w:color w:val="1A1A1A"/>
          <w:sz w:val="22"/>
          <w:szCs w:val="22"/>
        </w:rPr>
      </w:pPr>
      <w:r w:rsidRPr="00513BCB">
        <w:rPr>
          <w:rFonts w:cs="Times New Roman"/>
          <w:sz w:val="22"/>
          <w:szCs w:val="22"/>
        </w:rPr>
        <w:lastRenderedPageBreak/>
        <w:t xml:space="preserve">In England and Wales, it </w:t>
      </w:r>
      <w:r w:rsidR="00A07F45" w:rsidRPr="00513BCB">
        <w:rPr>
          <w:rFonts w:cs="Times"/>
          <w:color w:val="1A1A1A"/>
          <w:sz w:val="22"/>
          <w:szCs w:val="22"/>
        </w:rPr>
        <w:t>is not possible legally to give birth anonymously.</w:t>
      </w:r>
      <w:r w:rsidR="009F4D3D" w:rsidRPr="00513BCB">
        <w:rPr>
          <w:rStyle w:val="FootnoteReference"/>
          <w:rFonts w:cs="Times"/>
          <w:color w:val="1A1A1A"/>
          <w:sz w:val="22"/>
          <w:szCs w:val="22"/>
        </w:rPr>
        <w:footnoteReference w:id="16"/>
      </w:r>
      <w:r w:rsidR="00A07F45" w:rsidRPr="00513BCB">
        <w:rPr>
          <w:rFonts w:cs="Times"/>
          <w:color w:val="1A1A1A"/>
          <w:sz w:val="22"/>
          <w:szCs w:val="22"/>
        </w:rPr>
        <w:t xml:space="preserve"> </w:t>
      </w:r>
      <w:r w:rsidR="00192BB0" w:rsidRPr="00513BCB">
        <w:rPr>
          <w:rFonts w:cs="Times"/>
          <w:color w:val="1A1A1A"/>
          <w:sz w:val="22"/>
          <w:szCs w:val="22"/>
        </w:rPr>
        <w:t xml:space="preserve">Secret births </w:t>
      </w:r>
      <w:r w:rsidR="004D3080" w:rsidRPr="00513BCB">
        <w:rPr>
          <w:rFonts w:cs="Times"/>
          <w:color w:val="1A1A1A"/>
          <w:sz w:val="22"/>
          <w:szCs w:val="22"/>
        </w:rPr>
        <w:t xml:space="preserve">entail </w:t>
      </w:r>
      <w:r w:rsidR="00192BB0" w:rsidRPr="00513BCB">
        <w:rPr>
          <w:rFonts w:cs="Times"/>
          <w:color w:val="1A1A1A"/>
          <w:sz w:val="22"/>
          <w:szCs w:val="22"/>
        </w:rPr>
        <w:t>either illegal ‘abandonment’, or legally permissibl</w:t>
      </w:r>
      <w:r w:rsidR="00E40C55" w:rsidRPr="00513BCB">
        <w:rPr>
          <w:rFonts w:cs="Times"/>
          <w:color w:val="1A1A1A"/>
          <w:sz w:val="22"/>
          <w:szCs w:val="22"/>
        </w:rPr>
        <w:t>e ‘concealment’ where</w:t>
      </w:r>
      <w:r w:rsidR="004D3080" w:rsidRPr="00513BCB">
        <w:rPr>
          <w:rFonts w:cs="Times"/>
          <w:color w:val="1A1A1A"/>
          <w:sz w:val="22"/>
          <w:szCs w:val="22"/>
        </w:rPr>
        <w:t xml:space="preserve"> – aside from the authorities who need to know –</w:t>
      </w:r>
      <w:r w:rsidR="00E40C55" w:rsidRPr="00513BCB">
        <w:rPr>
          <w:rFonts w:cs="Times"/>
          <w:color w:val="1A1A1A"/>
          <w:sz w:val="22"/>
          <w:szCs w:val="22"/>
        </w:rPr>
        <w:t xml:space="preserve"> the birth </w:t>
      </w:r>
      <w:r w:rsidR="00192BB0" w:rsidRPr="00513BCB">
        <w:rPr>
          <w:rFonts w:cs="Times"/>
          <w:color w:val="1A1A1A"/>
          <w:sz w:val="22"/>
          <w:szCs w:val="22"/>
        </w:rPr>
        <w:t xml:space="preserve">giver tells no one or </w:t>
      </w:r>
      <w:r w:rsidR="004D3080" w:rsidRPr="00513BCB">
        <w:rPr>
          <w:rFonts w:cs="Times"/>
          <w:color w:val="1A1A1A"/>
          <w:sz w:val="22"/>
          <w:szCs w:val="22"/>
        </w:rPr>
        <w:t xml:space="preserve">only a </w:t>
      </w:r>
      <w:r w:rsidR="00192BB0" w:rsidRPr="00513BCB">
        <w:rPr>
          <w:rFonts w:cs="Times"/>
          <w:color w:val="1A1A1A"/>
          <w:sz w:val="22"/>
          <w:szCs w:val="22"/>
        </w:rPr>
        <w:t xml:space="preserve">limited </w:t>
      </w:r>
      <w:r w:rsidR="004D3080" w:rsidRPr="00513BCB">
        <w:rPr>
          <w:rFonts w:cs="Times"/>
          <w:color w:val="1A1A1A"/>
          <w:sz w:val="22"/>
          <w:szCs w:val="22"/>
        </w:rPr>
        <w:t xml:space="preserve">number of </w:t>
      </w:r>
      <w:r w:rsidR="00192BB0" w:rsidRPr="00513BCB">
        <w:rPr>
          <w:rFonts w:cs="Times"/>
          <w:color w:val="1A1A1A"/>
          <w:sz w:val="22"/>
          <w:szCs w:val="22"/>
        </w:rPr>
        <w:t>people</w:t>
      </w:r>
      <w:r w:rsidR="003B2671" w:rsidRPr="00513BCB">
        <w:rPr>
          <w:rFonts w:cs="Times"/>
          <w:color w:val="1A1A1A"/>
          <w:sz w:val="22"/>
          <w:szCs w:val="22"/>
        </w:rPr>
        <w:t xml:space="preserve">, </w:t>
      </w:r>
      <w:r w:rsidR="00192BB0" w:rsidRPr="00513BCB">
        <w:rPr>
          <w:rFonts w:cs="Times"/>
          <w:color w:val="1A1A1A"/>
          <w:sz w:val="22"/>
          <w:szCs w:val="22"/>
        </w:rPr>
        <w:t>and v</w:t>
      </w:r>
      <w:r w:rsidR="00E40C55" w:rsidRPr="00513BCB">
        <w:rPr>
          <w:rFonts w:cs="Times"/>
          <w:color w:val="1A1A1A"/>
          <w:sz w:val="22"/>
          <w:szCs w:val="22"/>
        </w:rPr>
        <w:t>oluntarily relinquishes the new</w:t>
      </w:r>
      <w:r w:rsidR="00192BB0" w:rsidRPr="00513BCB">
        <w:rPr>
          <w:rFonts w:cs="Times"/>
          <w:color w:val="1A1A1A"/>
          <w:sz w:val="22"/>
          <w:szCs w:val="22"/>
        </w:rPr>
        <w:t>born into care proceedings and adoption</w:t>
      </w:r>
      <w:r w:rsidR="001D5025" w:rsidRPr="00513BCB">
        <w:rPr>
          <w:rFonts w:cs="Times"/>
          <w:color w:val="1A1A1A"/>
          <w:sz w:val="22"/>
          <w:szCs w:val="22"/>
        </w:rPr>
        <w:t>.</w:t>
      </w:r>
      <w:r w:rsidR="001F3A5F" w:rsidRPr="00513BCB">
        <w:rPr>
          <w:rFonts w:cs="Times"/>
          <w:color w:val="1A1A1A"/>
          <w:sz w:val="22"/>
          <w:szCs w:val="22"/>
        </w:rPr>
        <w:t xml:space="preserve"> </w:t>
      </w:r>
      <w:r w:rsidR="001D5025" w:rsidRPr="00513BCB">
        <w:rPr>
          <w:rFonts w:cs="Times"/>
          <w:color w:val="1A1A1A"/>
          <w:sz w:val="22"/>
          <w:szCs w:val="22"/>
        </w:rPr>
        <w:t>The child’s birth must be registered with the birth giver named as mother.</w:t>
      </w:r>
      <w:r w:rsidR="001D5025" w:rsidRPr="00513BCB">
        <w:rPr>
          <w:rStyle w:val="FootnoteReference"/>
          <w:rFonts w:cs="Times"/>
          <w:color w:val="1A1A1A"/>
          <w:sz w:val="22"/>
          <w:szCs w:val="22"/>
        </w:rPr>
        <w:footnoteReference w:id="17"/>
      </w:r>
      <w:r w:rsidR="001D5025" w:rsidRPr="00513BCB">
        <w:rPr>
          <w:rFonts w:cs="Times"/>
          <w:color w:val="1A1A1A"/>
          <w:sz w:val="22"/>
          <w:szCs w:val="22"/>
        </w:rPr>
        <w:t xml:space="preserve"> The relevant local authority </w:t>
      </w:r>
      <w:r w:rsidR="003B2671" w:rsidRPr="00513BCB">
        <w:rPr>
          <w:rFonts w:cs="Times"/>
          <w:color w:val="1A1A1A"/>
          <w:sz w:val="22"/>
          <w:szCs w:val="22"/>
        </w:rPr>
        <w:t>will</w:t>
      </w:r>
      <w:r w:rsidR="001D5025" w:rsidRPr="00513BCB">
        <w:rPr>
          <w:rFonts w:cs="Times"/>
          <w:color w:val="1A1A1A"/>
          <w:sz w:val="22"/>
          <w:szCs w:val="22"/>
        </w:rPr>
        <w:t xml:space="preserve"> seek care placements and subsequent adoption, </w:t>
      </w:r>
      <w:r w:rsidR="003B2671" w:rsidRPr="00513BCB">
        <w:rPr>
          <w:rFonts w:cs="Times"/>
          <w:color w:val="1A1A1A"/>
          <w:sz w:val="22"/>
          <w:szCs w:val="22"/>
        </w:rPr>
        <w:t>where</w:t>
      </w:r>
      <w:r w:rsidR="001D5025" w:rsidRPr="00513BCB">
        <w:rPr>
          <w:rFonts w:cs="Times"/>
          <w:color w:val="1A1A1A"/>
          <w:sz w:val="22"/>
          <w:szCs w:val="22"/>
        </w:rPr>
        <w:t xml:space="preserve">  ‘the paramount consideration of the court or adoption agency must be the child’s welfare, throughout his life’.</w:t>
      </w:r>
      <w:r w:rsidR="001D5025" w:rsidRPr="00513BCB">
        <w:rPr>
          <w:rStyle w:val="FootnoteReference"/>
          <w:rFonts w:cs="Times"/>
          <w:color w:val="1A1A1A"/>
          <w:sz w:val="22"/>
          <w:szCs w:val="22"/>
        </w:rPr>
        <w:footnoteReference w:id="18"/>
      </w:r>
      <w:r w:rsidR="001D5025" w:rsidRPr="00513BCB">
        <w:rPr>
          <w:rFonts w:cs="Times"/>
          <w:color w:val="1A1A1A"/>
          <w:sz w:val="22"/>
          <w:szCs w:val="22"/>
        </w:rPr>
        <w:t xml:space="preserve"> </w:t>
      </w:r>
    </w:p>
    <w:p w14:paraId="588397CF" w14:textId="77777777" w:rsidR="001D5025" w:rsidRPr="00513BCB" w:rsidRDefault="001D5025" w:rsidP="004D3080">
      <w:pPr>
        <w:spacing w:line="360" w:lineRule="auto"/>
        <w:jc w:val="both"/>
        <w:rPr>
          <w:rFonts w:cs="Times"/>
          <w:color w:val="1A1A1A"/>
          <w:sz w:val="22"/>
          <w:szCs w:val="22"/>
        </w:rPr>
      </w:pPr>
    </w:p>
    <w:p w14:paraId="23C2C1B6" w14:textId="58BF529E" w:rsidR="009E4685" w:rsidRPr="00513BCB" w:rsidRDefault="004D3080" w:rsidP="004D3080">
      <w:pPr>
        <w:widowControl w:val="0"/>
        <w:autoSpaceDE w:val="0"/>
        <w:autoSpaceDN w:val="0"/>
        <w:adjustRightInd w:val="0"/>
        <w:spacing w:line="360" w:lineRule="auto"/>
        <w:jc w:val="both"/>
        <w:rPr>
          <w:rFonts w:cs="Times"/>
          <w:color w:val="1A1A1A"/>
          <w:sz w:val="22"/>
          <w:szCs w:val="22"/>
        </w:rPr>
      </w:pPr>
      <w:r w:rsidRPr="00513BCB">
        <w:rPr>
          <w:rFonts w:cs="Times"/>
          <w:color w:val="1A1A1A"/>
          <w:sz w:val="22"/>
          <w:szCs w:val="22"/>
        </w:rPr>
        <w:t>C</w:t>
      </w:r>
      <w:r w:rsidR="00A07F45" w:rsidRPr="00513BCB">
        <w:rPr>
          <w:rFonts w:cs="Times"/>
          <w:color w:val="1A1A1A"/>
          <w:sz w:val="22"/>
          <w:szCs w:val="22"/>
        </w:rPr>
        <w:t xml:space="preserve">ases are </w:t>
      </w:r>
      <w:r w:rsidRPr="00513BCB">
        <w:rPr>
          <w:rFonts w:cs="Times"/>
          <w:color w:val="1A1A1A"/>
          <w:sz w:val="22"/>
          <w:szCs w:val="22"/>
        </w:rPr>
        <w:t xml:space="preserve">occasionally </w:t>
      </w:r>
      <w:r w:rsidR="00A07F45" w:rsidRPr="00513BCB">
        <w:rPr>
          <w:rFonts w:cs="Times"/>
          <w:color w:val="1A1A1A"/>
          <w:sz w:val="22"/>
          <w:szCs w:val="22"/>
        </w:rPr>
        <w:t xml:space="preserve">reported in the press of babies being found in public </w:t>
      </w:r>
      <w:r w:rsidR="001F3A5F" w:rsidRPr="00513BCB">
        <w:rPr>
          <w:rFonts w:cs="Times"/>
          <w:color w:val="1A1A1A"/>
          <w:sz w:val="22"/>
          <w:szCs w:val="22"/>
        </w:rPr>
        <w:t>places</w:t>
      </w:r>
      <w:r w:rsidR="00A07F45" w:rsidRPr="00513BCB">
        <w:rPr>
          <w:rFonts w:cs="Times"/>
          <w:color w:val="1A1A1A"/>
          <w:sz w:val="22"/>
          <w:szCs w:val="22"/>
        </w:rPr>
        <w:t xml:space="preserve">. </w:t>
      </w:r>
      <w:r w:rsidRPr="00513BCB">
        <w:rPr>
          <w:rFonts w:cs="Times"/>
          <w:color w:val="1A1A1A"/>
          <w:sz w:val="22"/>
          <w:szCs w:val="22"/>
        </w:rPr>
        <w:t>But s</w:t>
      </w:r>
      <w:r w:rsidR="00A07F45" w:rsidRPr="00513BCB">
        <w:rPr>
          <w:rFonts w:cs="Times"/>
          <w:color w:val="1A1A1A"/>
          <w:sz w:val="22"/>
          <w:szCs w:val="22"/>
        </w:rPr>
        <w:t>tatistically, these</w:t>
      </w:r>
      <w:r w:rsidRPr="00513BCB">
        <w:rPr>
          <w:rFonts w:cs="Times"/>
          <w:color w:val="1A1A1A"/>
          <w:sz w:val="22"/>
          <w:szCs w:val="22"/>
        </w:rPr>
        <w:t xml:space="preserve"> cases</w:t>
      </w:r>
      <w:r w:rsidR="00A07F45" w:rsidRPr="00513BCB">
        <w:rPr>
          <w:rFonts w:cs="Times"/>
          <w:color w:val="1A1A1A"/>
          <w:sz w:val="22"/>
          <w:szCs w:val="22"/>
        </w:rPr>
        <w:t xml:space="preserve"> </w:t>
      </w:r>
      <w:r w:rsidR="003B2193" w:rsidRPr="00513BCB">
        <w:rPr>
          <w:rFonts w:cs="Times"/>
          <w:color w:val="1A1A1A"/>
          <w:sz w:val="22"/>
          <w:szCs w:val="22"/>
        </w:rPr>
        <w:t xml:space="preserve">now appear to be </w:t>
      </w:r>
      <w:r w:rsidR="00A07F45" w:rsidRPr="00513BCB">
        <w:rPr>
          <w:rFonts w:cs="Times"/>
          <w:color w:val="1A1A1A"/>
          <w:sz w:val="22"/>
          <w:szCs w:val="22"/>
        </w:rPr>
        <w:t xml:space="preserve">extremely rare. The Office for National Statistics (ONS) notes that few details are known about abandoned children and they are not included in any birth statistics. However, since 1977, </w:t>
      </w:r>
      <w:r w:rsidR="00A07F45" w:rsidRPr="00513BCB">
        <w:rPr>
          <w:rFonts w:cs="Arial"/>
          <w:sz w:val="22"/>
          <w:szCs w:val="22"/>
        </w:rPr>
        <w:t>these infants have been included in the Abandoned Children Register. In their 2015 report, the ONS’s entries show four abandoned babies recorded in 2005, three in 2006, none in 2007 or 2008, one in 2009, three in 2010, one in 2011 and none in 2012, 2013, or 2014.</w:t>
      </w:r>
      <w:r w:rsidR="00A07F45" w:rsidRPr="00513BCB">
        <w:rPr>
          <w:rStyle w:val="FootnoteReference"/>
          <w:rFonts w:cs="Arial"/>
          <w:sz w:val="22"/>
          <w:szCs w:val="22"/>
        </w:rPr>
        <w:footnoteReference w:id="19"/>
      </w:r>
      <w:r w:rsidR="00A409F2" w:rsidRPr="00513BCB">
        <w:rPr>
          <w:rFonts w:cs="Arial"/>
          <w:sz w:val="22"/>
          <w:szCs w:val="22"/>
        </w:rPr>
        <w:t xml:space="preserve"> </w:t>
      </w:r>
      <w:r w:rsidR="003E30B3" w:rsidRPr="00513BCB">
        <w:rPr>
          <w:rFonts w:cs="Arial"/>
          <w:sz w:val="22"/>
          <w:szCs w:val="22"/>
        </w:rPr>
        <w:t>However</w:t>
      </w:r>
      <w:r w:rsidR="00A409F2" w:rsidRPr="00513BCB">
        <w:rPr>
          <w:rFonts w:cs="Arial"/>
          <w:sz w:val="22"/>
          <w:szCs w:val="22"/>
        </w:rPr>
        <w:t>, this register only includes children whose parents are never found.</w:t>
      </w:r>
      <w:r w:rsidR="00A409F2" w:rsidRPr="00513BCB">
        <w:rPr>
          <w:rStyle w:val="FootnoteReference"/>
          <w:rFonts w:cs="Arial"/>
          <w:sz w:val="22"/>
          <w:szCs w:val="22"/>
        </w:rPr>
        <w:footnoteReference w:id="20"/>
      </w:r>
    </w:p>
    <w:p w14:paraId="15FB1F3D" w14:textId="77777777" w:rsidR="000779FC" w:rsidRPr="00513BCB" w:rsidRDefault="000779FC" w:rsidP="004D3080">
      <w:pPr>
        <w:widowControl w:val="0"/>
        <w:autoSpaceDE w:val="0"/>
        <w:autoSpaceDN w:val="0"/>
        <w:adjustRightInd w:val="0"/>
        <w:spacing w:line="360" w:lineRule="auto"/>
        <w:jc w:val="both"/>
        <w:rPr>
          <w:sz w:val="22"/>
          <w:szCs w:val="22"/>
        </w:rPr>
      </w:pPr>
    </w:p>
    <w:p w14:paraId="30D39C2A" w14:textId="06500C85" w:rsidR="00111156" w:rsidRPr="00513BCB" w:rsidRDefault="009F4D3D" w:rsidP="004D3080">
      <w:pPr>
        <w:spacing w:line="360" w:lineRule="auto"/>
        <w:jc w:val="both"/>
        <w:rPr>
          <w:sz w:val="22"/>
          <w:szCs w:val="22"/>
        </w:rPr>
      </w:pPr>
      <w:r w:rsidRPr="00513BCB">
        <w:rPr>
          <w:sz w:val="22"/>
          <w:szCs w:val="22"/>
        </w:rPr>
        <w:t>The</w:t>
      </w:r>
      <w:r w:rsidR="001D5365" w:rsidRPr="00513BCB">
        <w:rPr>
          <w:sz w:val="22"/>
          <w:szCs w:val="22"/>
        </w:rPr>
        <w:t xml:space="preserve"> rate of child abandonment in the UK </w:t>
      </w:r>
      <w:r w:rsidRPr="00513BCB">
        <w:rPr>
          <w:sz w:val="22"/>
          <w:szCs w:val="22"/>
        </w:rPr>
        <w:t xml:space="preserve">has been described by a recent empirical European project (the Child Abandonment Project) </w:t>
      </w:r>
      <w:r w:rsidR="001D5365" w:rsidRPr="00513BCB">
        <w:rPr>
          <w:sz w:val="22"/>
          <w:szCs w:val="22"/>
        </w:rPr>
        <w:t xml:space="preserve">as very low in comparison to other EU countries. </w:t>
      </w:r>
      <w:r w:rsidR="00A2662D" w:rsidRPr="00513BCB">
        <w:rPr>
          <w:sz w:val="22"/>
          <w:szCs w:val="22"/>
        </w:rPr>
        <w:t>T</w:t>
      </w:r>
      <w:r w:rsidRPr="00513BCB">
        <w:rPr>
          <w:sz w:val="22"/>
          <w:szCs w:val="22"/>
        </w:rPr>
        <w:t xml:space="preserve">his is </w:t>
      </w:r>
      <w:r w:rsidR="00A2662D" w:rsidRPr="00513BCB">
        <w:rPr>
          <w:sz w:val="22"/>
          <w:szCs w:val="22"/>
        </w:rPr>
        <w:t>attribute</w:t>
      </w:r>
      <w:r w:rsidRPr="00513BCB">
        <w:rPr>
          <w:sz w:val="22"/>
          <w:szCs w:val="22"/>
        </w:rPr>
        <w:t xml:space="preserve">d to </w:t>
      </w:r>
      <w:r w:rsidR="00A2662D" w:rsidRPr="00513BCB">
        <w:rPr>
          <w:sz w:val="22"/>
          <w:szCs w:val="22"/>
        </w:rPr>
        <w:t>good access to family planning advice</w:t>
      </w:r>
      <w:r w:rsidR="00567DA0" w:rsidRPr="00513BCB">
        <w:rPr>
          <w:sz w:val="22"/>
          <w:szCs w:val="22"/>
        </w:rPr>
        <w:t xml:space="preserve">, </w:t>
      </w:r>
      <w:r w:rsidR="00A2662D" w:rsidRPr="00513BCB">
        <w:rPr>
          <w:sz w:val="22"/>
          <w:szCs w:val="22"/>
        </w:rPr>
        <w:t>including</w:t>
      </w:r>
      <w:r w:rsidR="00E24F4D" w:rsidRPr="00513BCB">
        <w:rPr>
          <w:sz w:val="22"/>
          <w:szCs w:val="22"/>
        </w:rPr>
        <w:t xml:space="preserve"> by</w:t>
      </w:r>
      <w:r w:rsidR="00A2662D" w:rsidRPr="00513BCB">
        <w:rPr>
          <w:sz w:val="22"/>
          <w:szCs w:val="22"/>
        </w:rPr>
        <w:t xml:space="preserve"> young people</w:t>
      </w:r>
      <w:r w:rsidR="00841897" w:rsidRPr="00513BCB">
        <w:rPr>
          <w:sz w:val="22"/>
          <w:szCs w:val="22"/>
        </w:rPr>
        <w:t>,</w:t>
      </w:r>
      <w:r w:rsidR="00A2662D" w:rsidRPr="00513BCB">
        <w:rPr>
          <w:sz w:val="22"/>
          <w:szCs w:val="22"/>
        </w:rPr>
        <w:t xml:space="preserve"> the availability of abortion, generally good hospital provision and a comprehensive welfare system. The </w:t>
      </w:r>
      <w:r w:rsidRPr="00513BCB">
        <w:rPr>
          <w:sz w:val="22"/>
          <w:szCs w:val="22"/>
        </w:rPr>
        <w:t xml:space="preserve">Child </w:t>
      </w:r>
      <w:r w:rsidR="00A2662D" w:rsidRPr="00513BCB">
        <w:rPr>
          <w:sz w:val="22"/>
          <w:szCs w:val="22"/>
        </w:rPr>
        <w:t>Abandonment Project notes,</w:t>
      </w:r>
      <w:r w:rsidR="00F52F9D" w:rsidRPr="00513BCB">
        <w:rPr>
          <w:sz w:val="22"/>
          <w:szCs w:val="22"/>
        </w:rPr>
        <w:t xml:space="preserve"> from a personal communication between</w:t>
      </w:r>
      <w:r w:rsidRPr="00513BCB">
        <w:rPr>
          <w:sz w:val="22"/>
          <w:szCs w:val="22"/>
        </w:rPr>
        <w:t xml:space="preserve"> it and</w:t>
      </w:r>
      <w:r w:rsidR="00283E73" w:rsidRPr="00513BCB">
        <w:rPr>
          <w:sz w:val="22"/>
          <w:szCs w:val="22"/>
        </w:rPr>
        <w:t xml:space="preserve"> the British Association for Adoption and Fostering (</w:t>
      </w:r>
      <w:r w:rsidR="00F52F9D" w:rsidRPr="00513BCB">
        <w:rPr>
          <w:sz w:val="22"/>
          <w:szCs w:val="22"/>
        </w:rPr>
        <w:t>BAAF</w:t>
      </w:r>
      <w:r w:rsidR="00283E73" w:rsidRPr="00513BCB">
        <w:rPr>
          <w:sz w:val="22"/>
          <w:szCs w:val="22"/>
        </w:rPr>
        <w:t>)</w:t>
      </w:r>
      <w:r w:rsidR="00F52F9D" w:rsidRPr="00513BCB">
        <w:rPr>
          <w:sz w:val="22"/>
          <w:szCs w:val="22"/>
        </w:rPr>
        <w:t xml:space="preserve"> from 2011, that </w:t>
      </w:r>
      <w:r w:rsidR="00E24F4D" w:rsidRPr="00513BCB">
        <w:rPr>
          <w:sz w:val="22"/>
          <w:szCs w:val="22"/>
        </w:rPr>
        <w:t>given the</w:t>
      </w:r>
      <w:r w:rsidR="00F52F9D" w:rsidRPr="00513BCB">
        <w:rPr>
          <w:sz w:val="22"/>
          <w:szCs w:val="22"/>
        </w:rPr>
        <w:t xml:space="preserve"> different support services available</w:t>
      </w:r>
      <w:r w:rsidR="00E24F4D" w:rsidRPr="00513BCB">
        <w:rPr>
          <w:sz w:val="22"/>
          <w:szCs w:val="22"/>
        </w:rPr>
        <w:t>,</w:t>
      </w:r>
      <w:r w:rsidR="00154E60" w:rsidRPr="00513BCB">
        <w:rPr>
          <w:sz w:val="22"/>
          <w:szCs w:val="22"/>
        </w:rPr>
        <w:t xml:space="preserve"> British</w:t>
      </w:r>
      <w:r w:rsidR="00E24F4D" w:rsidRPr="00513BCB">
        <w:rPr>
          <w:sz w:val="22"/>
          <w:szCs w:val="22"/>
        </w:rPr>
        <w:t xml:space="preserve"> </w:t>
      </w:r>
      <w:r w:rsidR="00F52F9D" w:rsidRPr="00513BCB">
        <w:rPr>
          <w:sz w:val="22"/>
          <w:szCs w:val="22"/>
        </w:rPr>
        <w:t xml:space="preserve">parents ‘do </w:t>
      </w:r>
      <w:r w:rsidR="00F52F9D" w:rsidRPr="00513BCB">
        <w:rPr>
          <w:sz w:val="22"/>
          <w:szCs w:val="22"/>
        </w:rPr>
        <w:lastRenderedPageBreak/>
        <w:t>not need to abandon their children</w:t>
      </w:r>
      <w:r w:rsidR="00E40C55" w:rsidRPr="00513BCB">
        <w:rPr>
          <w:sz w:val="22"/>
          <w:szCs w:val="22"/>
        </w:rPr>
        <w:t>.</w:t>
      </w:r>
      <w:r w:rsidR="00F52F9D" w:rsidRPr="00513BCB">
        <w:rPr>
          <w:sz w:val="22"/>
          <w:szCs w:val="22"/>
        </w:rPr>
        <w:t>’</w:t>
      </w:r>
      <w:r w:rsidR="00BD4792" w:rsidRPr="00513BCB">
        <w:rPr>
          <w:rStyle w:val="FootnoteReference"/>
          <w:sz w:val="22"/>
          <w:szCs w:val="22"/>
        </w:rPr>
        <w:footnoteReference w:id="21"/>
      </w:r>
      <w:r w:rsidR="00BD4792" w:rsidRPr="00513BCB">
        <w:rPr>
          <w:sz w:val="22"/>
          <w:szCs w:val="22"/>
        </w:rPr>
        <w:t xml:space="preserve"> </w:t>
      </w:r>
      <w:r w:rsidR="00F52F9D" w:rsidRPr="00513BCB">
        <w:rPr>
          <w:sz w:val="22"/>
          <w:szCs w:val="22"/>
        </w:rPr>
        <w:t xml:space="preserve"> </w:t>
      </w:r>
      <w:r w:rsidRPr="00513BCB">
        <w:rPr>
          <w:sz w:val="22"/>
          <w:szCs w:val="22"/>
        </w:rPr>
        <w:t>It</w:t>
      </w:r>
      <w:r w:rsidR="00942463" w:rsidRPr="00513BCB">
        <w:rPr>
          <w:sz w:val="22"/>
          <w:szCs w:val="22"/>
        </w:rPr>
        <w:t xml:space="preserve"> conclude</w:t>
      </w:r>
      <w:r w:rsidR="00A2662D" w:rsidRPr="00513BCB">
        <w:rPr>
          <w:sz w:val="22"/>
          <w:szCs w:val="22"/>
        </w:rPr>
        <w:t>s</w:t>
      </w:r>
      <w:r w:rsidR="00942463" w:rsidRPr="00513BCB">
        <w:rPr>
          <w:sz w:val="22"/>
          <w:szCs w:val="22"/>
        </w:rPr>
        <w:t xml:space="preserve"> that there are no direct services or organisations work</w:t>
      </w:r>
      <w:r w:rsidR="00DB4F42" w:rsidRPr="00513BCB">
        <w:rPr>
          <w:sz w:val="22"/>
          <w:szCs w:val="22"/>
        </w:rPr>
        <w:t>ing</w:t>
      </w:r>
      <w:r w:rsidR="00942463" w:rsidRPr="00513BCB">
        <w:rPr>
          <w:sz w:val="22"/>
          <w:szCs w:val="22"/>
        </w:rPr>
        <w:t xml:space="preserve"> specifically with parents who choose to relinquish children in </w:t>
      </w:r>
      <w:r w:rsidR="00667ACC" w:rsidRPr="00513BCB">
        <w:rPr>
          <w:sz w:val="22"/>
          <w:szCs w:val="22"/>
        </w:rPr>
        <w:t>the UK</w:t>
      </w:r>
      <w:r w:rsidR="00942463" w:rsidRPr="00513BCB">
        <w:rPr>
          <w:sz w:val="22"/>
          <w:szCs w:val="22"/>
        </w:rPr>
        <w:t xml:space="preserve">. </w:t>
      </w:r>
      <w:r w:rsidR="00A2662D" w:rsidRPr="00513BCB">
        <w:rPr>
          <w:sz w:val="22"/>
          <w:szCs w:val="22"/>
        </w:rPr>
        <w:t>T</w:t>
      </w:r>
      <w:r w:rsidR="00F52F9D" w:rsidRPr="00513BCB">
        <w:rPr>
          <w:sz w:val="22"/>
          <w:szCs w:val="22"/>
        </w:rPr>
        <w:t>his</w:t>
      </w:r>
      <w:r w:rsidR="00A2662D" w:rsidRPr="00513BCB">
        <w:rPr>
          <w:sz w:val="22"/>
          <w:szCs w:val="22"/>
        </w:rPr>
        <w:t xml:space="preserve"> is contrasted</w:t>
      </w:r>
      <w:r w:rsidR="00F52F9D" w:rsidRPr="00513BCB">
        <w:rPr>
          <w:sz w:val="22"/>
          <w:szCs w:val="22"/>
        </w:rPr>
        <w:t xml:space="preserve"> to the situation 40 years ago</w:t>
      </w:r>
      <w:r w:rsidR="00841897" w:rsidRPr="00513BCB">
        <w:rPr>
          <w:sz w:val="22"/>
          <w:szCs w:val="22"/>
        </w:rPr>
        <w:t>,</w:t>
      </w:r>
      <w:r w:rsidR="00F52F9D" w:rsidRPr="00513BCB">
        <w:rPr>
          <w:sz w:val="22"/>
          <w:szCs w:val="22"/>
        </w:rPr>
        <w:t xml:space="preserve"> ‘when social stigma towards infants born out of wedlock, and poor living conditions meant that more infants were placed for adoption</w:t>
      </w:r>
      <w:r w:rsidR="003E30B3" w:rsidRPr="00513BCB">
        <w:rPr>
          <w:sz w:val="22"/>
          <w:szCs w:val="22"/>
        </w:rPr>
        <w:t>’</w:t>
      </w:r>
      <w:r w:rsidR="00F52F9D" w:rsidRPr="00513BCB">
        <w:rPr>
          <w:sz w:val="22"/>
          <w:szCs w:val="22"/>
        </w:rPr>
        <w:t>.</w:t>
      </w:r>
      <w:r w:rsidR="00F52F9D" w:rsidRPr="00513BCB">
        <w:rPr>
          <w:rStyle w:val="FootnoteReference"/>
          <w:sz w:val="22"/>
          <w:szCs w:val="22"/>
        </w:rPr>
        <w:footnoteReference w:id="22"/>
      </w:r>
      <w:r w:rsidR="00F52F9D" w:rsidRPr="00513BCB">
        <w:rPr>
          <w:sz w:val="22"/>
          <w:szCs w:val="22"/>
        </w:rPr>
        <w:t xml:space="preserve"> </w:t>
      </w:r>
      <w:r w:rsidRPr="00513BCB">
        <w:rPr>
          <w:sz w:val="22"/>
          <w:szCs w:val="22"/>
        </w:rPr>
        <w:t>These changing conditions are questioned in Part 3.</w:t>
      </w:r>
    </w:p>
    <w:p w14:paraId="38B58D38" w14:textId="77777777" w:rsidR="00111156" w:rsidRPr="00513BCB" w:rsidRDefault="00111156" w:rsidP="004D3080">
      <w:pPr>
        <w:spacing w:line="360" w:lineRule="auto"/>
        <w:jc w:val="both"/>
        <w:rPr>
          <w:sz w:val="22"/>
          <w:szCs w:val="22"/>
        </w:rPr>
      </w:pPr>
    </w:p>
    <w:p w14:paraId="21D5466B" w14:textId="7183DD2F" w:rsidR="008E4410" w:rsidRPr="00513BCB" w:rsidRDefault="00A2662D" w:rsidP="004D3080">
      <w:pPr>
        <w:spacing w:line="360" w:lineRule="auto"/>
        <w:jc w:val="both"/>
        <w:rPr>
          <w:rFonts w:cs="Times"/>
          <w:color w:val="1A1A1A"/>
          <w:sz w:val="22"/>
          <w:szCs w:val="22"/>
        </w:rPr>
      </w:pPr>
      <w:r w:rsidRPr="00513BCB">
        <w:rPr>
          <w:rFonts w:cs="Times"/>
          <w:color w:val="1A1A1A"/>
          <w:sz w:val="22"/>
          <w:szCs w:val="22"/>
        </w:rPr>
        <w:t>Voluntary relinquishment more generally has been described as the traditional type of adoption case.</w:t>
      </w:r>
      <w:r w:rsidRPr="00513BCB">
        <w:rPr>
          <w:rStyle w:val="FootnoteReference"/>
          <w:rFonts w:cs="Times"/>
          <w:color w:val="1A1A1A"/>
          <w:sz w:val="22"/>
          <w:szCs w:val="22"/>
        </w:rPr>
        <w:footnoteReference w:id="23"/>
      </w:r>
      <w:r w:rsidRPr="00513BCB">
        <w:rPr>
          <w:rFonts w:cs="Times"/>
          <w:color w:val="1A1A1A"/>
          <w:sz w:val="22"/>
          <w:szCs w:val="22"/>
        </w:rPr>
        <w:t xml:space="preserve"> </w:t>
      </w:r>
      <w:r w:rsidR="00111156" w:rsidRPr="00513BCB">
        <w:rPr>
          <w:rFonts w:cs="Times"/>
          <w:color w:val="1A1A1A"/>
          <w:sz w:val="22"/>
          <w:szCs w:val="22"/>
        </w:rPr>
        <w:t xml:space="preserve"> As </w:t>
      </w:r>
      <w:r w:rsidRPr="00513BCB">
        <w:rPr>
          <w:rFonts w:cs="Times"/>
          <w:color w:val="1A1A1A"/>
          <w:sz w:val="22"/>
          <w:szCs w:val="22"/>
        </w:rPr>
        <w:t xml:space="preserve">Munby LJ has pointed out: ‘[a] combination of dramatic changes in the 1960s – the ready availability of the contraceptive pill, the legalization of abortion, the relaxation of the divorce laws and a sea-change in society’s attitude to illegitimacy – led </w:t>
      </w:r>
      <w:r w:rsidRPr="00513BCB">
        <w:rPr>
          <w:rFonts w:cs="Times"/>
          <w:sz w:val="22"/>
          <w:szCs w:val="22"/>
        </w:rPr>
        <w:t>to</w:t>
      </w:r>
      <w:r w:rsidRPr="00513BCB">
        <w:rPr>
          <w:rFonts w:cs="Times"/>
          <w:color w:val="1A1A1A"/>
          <w:sz w:val="22"/>
          <w:szCs w:val="22"/>
        </w:rPr>
        <w:t xml:space="preserve"> dramatic reduction in the number of adoptions of the traditional type…’</w:t>
      </w:r>
      <w:r w:rsidR="00151527" w:rsidRPr="00513BCB">
        <w:rPr>
          <w:rFonts w:cs="Times"/>
          <w:color w:val="1A1A1A"/>
          <w:sz w:val="22"/>
          <w:szCs w:val="22"/>
        </w:rPr>
        <w:t>.</w:t>
      </w:r>
      <w:r w:rsidRPr="00513BCB">
        <w:rPr>
          <w:rStyle w:val="FootnoteReference"/>
          <w:rFonts w:cs="Times"/>
          <w:color w:val="1A1A1A"/>
          <w:sz w:val="22"/>
          <w:szCs w:val="22"/>
        </w:rPr>
        <w:footnoteReference w:id="24"/>
      </w:r>
      <w:r w:rsidRPr="00513BCB">
        <w:rPr>
          <w:rFonts w:cs="Times"/>
          <w:color w:val="1A1A1A"/>
          <w:sz w:val="22"/>
          <w:szCs w:val="22"/>
        </w:rPr>
        <w:t xml:space="preserve"> Lord Wilson has highlighted that this social change is reflected in the dramatic reduction in adoption orders: ‘In 1968, 25,000 adoption orders were made</w:t>
      </w:r>
      <w:r w:rsidR="001D5025" w:rsidRPr="00513BCB">
        <w:rPr>
          <w:rFonts w:cs="Times"/>
          <w:color w:val="1A1A1A"/>
          <w:sz w:val="22"/>
          <w:szCs w:val="22"/>
        </w:rPr>
        <w:t>…</w:t>
      </w:r>
      <w:r w:rsidR="001161BB" w:rsidRPr="00513BCB">
        <w:rPr>
          <w:rFonts w:cs="Times"/>
          <w:color w:val="1A1A1A"/>
          <w:sz w:val="22"/>
          <w:szCs w:val="22"/>
        </w:rPr>
        <w:t xml:space="preserve"> </w:t>
      </w:r>
      <w:r w:rsidRPr="00513BCB">
        <w:rPr>
          <w:rFonts w:cs="Times"/>
          <w:color w:val="1A1A1A"/>
          <w:sz w:val="22"/>
          <w:szCs w:val="22"/>
        </w:rPr>
        <w:t xml:space="preserve">[In 2013]…only 5,000 </w:t>
      </w:r>
      <w:r w:rsidR="00E24F4D" w:rsidRPr="00513BCB">
        <w:rPr>
          <w:rFonts w:cs="Times"/>
          <w:color w:val="1A1A1A"/>
          <w:sz w:val="22"/>
          <w:szCs w:val="22"/>
        </w:rPr>
        <w:t>..</w:t>
      </w:r>
      <w:r w:rsidRPr="00513BCB">
        <w:rPr>
          <w:rFonts w:cs="Times"/>
          <w:color w:val="1A1A1A"/>
          <w:sz w:val="22"/>
          <w:szCs w:val="22"/>
        </w:rPr>
        <w:t>. What has happened? The answer is that the use made of adoption in our society has entirely changed.’</w:t>
      </w:r>
      <w:r w:rsidRPr="00513BCB">
        <w:rPr>
          <w:rStyle w:val="FootnoteReference"/>
          <w:rFonts w:cs="Times"/>
          <w:color w:val="1A1A1A"/>
          <w:sz w:val="22"/>
          <w:szCs w:val="22"/>
        </w:rPr>
        <w:footnoteReference w:id="25"/>
      </w:r>
      <w:r w:rsidRPr="00513BCB">
        <w:rPr>
          <w:rFonts w:cs="Times"/>
          <w:color w:val="1A1A1A"/>
          <w:sz w:val="22"/>
          <w:szCs w:val="22"/>
        </w:rPr>
        <w:t xml:space="preserve"> </w:t>
      </w:r>
    </w:p>
    <w:p w14:paraId="7B90DC17" w14:textId="77777777" w:rsidR="008E4410" w:rsidRPr="00513BCB" w:rsidRDefault="008E4410" w:rsidP="004D3080">
      <w:pPr>
        <w:spacing w:line="360" w:lineRule="auto"/>
        <w:jc w:val="both"/>
        <w:rPr>
          <w:rFonts w:cs="Times"/>
          <w:color w:val="1A1A1A"/>
          <w:sz w:val="22"/>
          <w:szCs w:val="22"/>
        </w:rPr>
      </w:pPr>
    </w:p>
    <w:p w14:paraId="58AE4261" w14:textId="78CB26FA" w:rsidR="00207EC7" w:rsidRPr="00513BCB" w:rsidRDefault="00617A3B" w:rsidP="004D3080">
      <w:pPr>
        <w:spacing w:line="360" w:lineRule="auto"/>
        <w:jc w:val="both"/>
        <w:rPr>
          <w:rFonts w:cs="Times"/>
          <w:color w:val="1A1A1A"/>
          <w:sz w:val="22"/>
          <w:szCs w:val="22"/>
        </w:rPr>
      </w:pPr>
      <w:r w:rsidRPr="00513BCB">
        <w:rPr>
          <w:rFonts w:cs="Times"/>
          <w:color w:val="1A1A1A"/>
          <w:sz w:val="22"/>
          <w:szCs w:val="22"/>
        </w:rPr>
        <w:lastRenderedPageBreak/>
        <w:t>It was</w:t>
      </w:r>
      <w:r w:rsidR="001D5365" w:rsidRPr="00513BCB">
        <w:rPr>
          <w:rFonts w:cs="Times"/>
          <w:color w:val="1A1A1A"/>
          <w:sz w:val="22"/>
          <w:szCs w:val="22"/>
        </w:rPr>
        <w:t xml:space="preserve"> noted in 2001 that n</w:t>
      </w:r>
      <w:r w:rsidR="001D5365" w:rsidRPr="00513BCB">
        <w:rPr>
          <w:sz w:val="22"/>
          <w:szCs w:val="22"/>
        </w:rPr>
        <w:t xml:space="preserve">o statistics exist as to how many girls and women conceal </w:t>
      </w:r>
      <w:r w:rsidR="001D5025" w:rsidRPr="00513BCB">
        <w:rPr>
          <w:sz w:val="22"/>
          <w:szCs w:val="22"/>
        </w:rPr>
        <w:t xml:space="preserve">their pregnancies </w:t>
      </w:r>
      <w:r w:rsidR="001D5365" w:rsidRPr="00513BCB">
        <w:rPr>
          <w:sz w:val="22"/>
          <w:szCs w:val="22"/>
        </w:rPr>
        <w:t>and give birth in</w:t>
      </w:r>
      <w:r w:rsidR="001D5025" w:rsidRPr="00513BCB">
        <w:rPr>
          <w:sz w:val="22"/>
          <w:szCs w:val="22"/>
        </w:rPr>
        <w:t xml:space="preserve"> </w:t>
      </w:r>
      <w:r w:rsidR="001D5365" w:rsidRPr="00513BCB">
        <w:rPr>
          <w:sz w:val="22"/>
          <w:szCs w:val="22"/>
        </w:rPr>
        <w:t>hospital without their family and or the biological father</w:t>
      </w:r>
      <w:r w:rsidR="001161BB" w:rsidRPr="00513BCB">
        <w:rPr>
          <w:rStyle w:val="FootnoteReference"/>
          <w:sz w:val="22"/>
          <w:szCs w:val="22"/>
        </w:rPr>
        <w:footnoteReference w:id="26"/>
      </w:r>
      <w:r w:rsidR="001D5365" w:rsidRPr="00513BCB">
        <w:rPr>
          <w:sz w:val="22"/>
          <w:szCs w:val="22"/>
        </w:rPr>
        <w:t xml:space="preserve"> knowin</w:t>
      </w:r>
      <w:r w:rsidR="008E4410" w:rsidRPr="00513BCB">
        <w:rPr>
          <w:sz w:val="22"/>
          <w:szCs w:val="22"/>
        </w:rPr>
        <w:t>g.</w:t>
      </w:r>
      <w:r w:rsidR="001D5365" w:rsidRPr="00513BCB">
        <w:rPr>
          <w:rStyle w:val="FootnoteReference"/>
          <w:sz w:val="22"/>
          <w:szCs w:val="22"/>
        </w:rPr>
        <w:footnoteReference w:id="27"/>
      </w:r>
      <w:r w:rsidR="00CA1E31" w:rsidRPr="00513BCB">
        <w:rPr>
          <w:rFonts w:cs="Times"/>
          <w:color w:val="1A1A1A"/>
          <w:sz w:val="22"/>
          <w:szCs w:val="22"/>
        </w:rPr>
        <w:t xml:space="preserve"> </w:t>
      </w:r>
      <w:r w:rsidR="001D5365" w:rsidRPr="00513BCB">
        <w:rPr>
          <w:rFonts w:cs="Times"/>
          <w:color w:val="1A1A1A"/>
          <w:sz w:val="22"/>
          <w:szCs w:val="22"/>
        </w:rPr>
        <w:t xml:space="preserve">The situation varies </w:t>
      </w:r>
      <w:r w:rsidRPr="00513BCB">
        <w:rPr>
          <w:rFonts w:cs="Times"/>
          <w:color w:val="1A1A1A"/>
          <w:sz w:val="22"/>
          <w:szCs w:val="22"/>
        </w:rPr>
        <w:t>depending on whether</w:t>
      </w:r>
      <w:r w:rsidR="001D5365" w:rsidRPr="00513BCB">
        <w:rPr>
          <w:rFonts w:cs="Times"/>
          <w:color w:val="1A1A1A"/>
          <w:sz w:val="22"/>
          <w:szCs w:val="22"/>
        </w:rPr>
        <w:t xml:space="preserve"> the concealment has been from everyone</w:t>
      </w:r>
      <w:r w:rsidR="00841897" w:rsidRPr="00513BCB">
        <w:rPr>
          <w:rFonts w:cs="Times"/>
          <w:color w:val="1A1A1A"/>
          <w:sz w:val="22"/>
          <w:szCs w:val="22"/>
        </w:rPr>
        <w:t xml:space="preserve">, </w:t>
      </w:r>
      <w:r w:rsidR="001D5365" w:rsidRPr="00513BCB">
        <w:rPr>
          <w:rFonts w:cs="Times"/>
          <w:color w:val="1A1A1A"/>
          <w:sz w:val="22"/>
          <w:szCs w:val="22"/>
        </w:rPr>
        <w:t xml:space="preserve">from the </w:t>
      </w:r>
      <w:r w:rsidR="00CA1E31" w:rsidRPr="00513BCB">
        <w:rPr>
          <w:rFonts w:cs="Times"/>
          <w:color w:val="1A1A1A"/>
          <w:sz w:val="22"/>
          <w:szCs w:val="22"/>
        </w:rPr>
        <w:t>father,</w:t>
      </w:r>
      <w:r w:rsidR="001D5365" w:rsidRPr="00513BCB">
        <w:rPr>
          <w:rStyle w:val="FootnoteReference"/>
          <w:rFonts w:cs="Times"/>
          <w:color w:val="1A1A1A"/>
          <w:sz w:val="22"/>
          <w:szCs w:val="22"/>
        </w:rPr>
        <w:footnoteReference w:id="28"/>
      </w:r>
      <w:r w:rsidR="001D5365" w:rsidRPr="00513BCB">
        <w:rPr>
          <w:rFonts w:cs="Times"/>
          <w:color w:val="1A1A1A"/>
          <w:sz w:val="22"/>
          <w:szCs w:val="22"/>
        </w:rPr>
        <w:t xml:space="preserve"> </w:t>
      </w:r>
      <w:r w:rsidR="00CA1E31" w:rsidRPr="00513BCB">
        <w:rPr>
          <w:rFonts w:cs="Times"/>
          <w:color w:val="1A1A1A"/>
          <w:sz w:val="22"/>
          <w:szCs w:val="22"/>
        </w:rPr>
        <w:t>the birth giver’s</w:t>
      </w:r>
      <w:r w:rsidR="001D5365" w:rsidRPr="00513BCB">
        <w:rPr>
          <w:rFonts w:cs="Times"/>
          <w:color w:val="1A1A1A"/>
          <w:sz w:val="22"/>
          <w:szCs w:val="22"/>
        </w:rPr>
        <w:t xml:space="preserve"> or the father’s wider family. </w:t>
      </w:r>
      <w:r w:rsidR="00111156" w:rsidRPr="00513BCB">
        <w:rPr>
          <w:rFonts w:cs="Times New Roman"/>
          <w:bCs/>
          <w:sz w:val="22"/>
          <w:szCs w:val="22"/>
        </w:rPr>
        <w:t>O</w:t>
      </w:r>
      <w:r w:rsidR="00A43583" w:rsidRPr="00513BCB">
        <w:rPr>
          <w:rFonts w:cs="Times New Roman"/>
          <w:bCs/>
          <w:sz w:val="22"/>
          <w:szCs w:val="22"/>
        </w:rPr>
        <w:t>n adoption, th</w:t>
      </w:r>
      <w:r w:rsidR="00841897" w:rsidRPr="00513BCB">
        <w:rPr>
          <w:rFonts w:cs="Times New Roman"/>
          <w:bCs/>
          <w:sz w:val="22"/>
          <w:szCs w:val="22"/>
        </w:rPr>
        <w:t>e new</w:t>
      </w:r>
      <w:r w:rsidR="00A43583" w:rsidRPr="00513BCB">
        <w:rPr>
          <w:rFonts w:cs="Times New Roman"/>
          <w:bCs/>
          <w:sz w:val="22"/>
          <w:szCs w:val="22"/>
        </w:rPr>
        <w:t xml:space="preserve"> social family legally replaces the biological family. </w:t>
      </w:r>
      <w:r w:rsidR="001161BB" w:rsidRPr="00513BCB">
        <w:rPr>
          <w:rFonts w:cs="Times New Roman"/>
          <w:bCs/>
          <w:sz w:val="22"/>
          <w:szCs w:val="22"/>
        </w:rPr>
        <w:t xml:space="preserve">Where the father’s identity is unknown, </w:t>
      </w:r>
      <w:r w:rsidR="00A43583" w:rsidRPr="00513BCB">
        <w:rPr>
          <w:sz w:val="22"/>
          <w:szCs w:val="22"/>
        </w:rPr>
        <w:t xml:space="preserve">local authorities </w:t>
      </w:r>
      <w:r w:rsidR="001161BB" w:rsidRPr="00513BCB">
        <w:rPr>
          <w:sz w:val="22"/>
          <w:szCs w:val="22"/>
        </w:rPr>
        <w:t xml:space="preserve">sometimes </w:t>
      </w:r>
      <w:r w:rsidR="00A43583" w:rsidRPr="00513BCB">
        <w:rPr>
          <w:sz w:val="22"/>
          <w:szCs w:val="22"/>
        </w:rPr>
        <w:t xml:space="preserve">apply for </w:t>
      </w:r>
      <w:r w:rsidR="003F0B20" w:rsidRPr="00513BCB">
        <w:rPr>
          <w:sz w:val="22"/>
          <w:szCs w:val="22"/>
        </w:rPr>
        <w:t xml:space="preserve">court </w:t>
      </w:r>
      <w:r w:rsidR="00A43583" w:rsidRPr="00513BCB">
        <w:rPr>
          <w:sz w:val="22"/>
          <w:szCs w:val="22"/>
        </w:rPr>
        <w:t>order</w:t>
      </w:r>
      <w:r w:rsidR="001161BB" w:rsidRPr="00513BCB">
        <w:rPr>
          <w:sz w:val="22"/>
          <w:szCs w:val="22"/>
        </w:rPr>
        <w:t>s</w:t>
      </w:r>
      <w:r w:rsidR="003F0B20" w:rsidRPr="00513BCB">
        <w:rPr>
          <w:sz w:val="22"/>
          <w:szCs w:val="22"/>
        </w:rPr>
        <w:t xml:space="preserve"> </w:t>
      </w:r>
      <w:r w:rsidR="001161BB" w:rsidRPr="00513BCB">
        <w:rPr>
          <w:sz w:val="22"/>
          <w:szCs w:val="22"/>
        </w:rPr>
        <w:t>to confirm</w:t>
      </w:r>
      <w:r w:rsidR="003F0B20" w:rsidRPr="00513BCB">
        <w:rPr>
          <w:sz w:val="22"/>
          <w:szCs w:val="22"/>
        </w:rPr>
        <w:t xml:space="preserve"> </w:t>
      </w:r>
      <w:r w:rsidR="00A43583" w:rsidRPr="00513BCB">
        <w:rPr>
          <w:sz w:val="22"/>
          <w:szCs w:val="22"/>
        </w:rPr>
        <w:t xml:space="preserve">whether they have a duty to make further </w:t>
      </w:r>
      <w:r w:rsidR="008E4410" w:rsidRPr="00513BCB">
        <w:rPr>
          <w:sz w:val="22"/>
          <w:szCs w:val="22"/>
        </w:rPr>
        <w:t>e</w:t>
      </w:r>
      <w:r w:rsidR="00A43583" w:rsidRPr="00513BCB">
        <w:rPr>
          <w:sz w:val="22"/>
          <w:szCs w:val="22"/>
        </w:rPr>
        <w:t xml:space="preserve">nquiries regarding the identity of the father and or </w:t>
      </w:r>
      <w:r w:rsidRPr="00513BCB">
        <w:rPr>
          <w:sz w:val="22"/>
          <w:szCs w:val="22"/>
        </w:rPr>
        <w:t>the newborn child’s wider biological family</w:t>
      </w:r>
      <w:r w:rsidR="00A43583" w:rsidRPr="00513BCB">
        <w:rPr>
          <w:sz w:val="22"/>
          <w:szCs w:val="22"/>
        </w:rPr>
        <w:t xml:space="preserve">.  </w:t>
      </w:r>
      <w:r w:rsidR="000779FC" w:rsidRPr="00513BCB">
        <w:rPr>
          <w:sz w:val="22"/>
          <w:szCs w:val="22"/>
        </w:rPr>
        <w:t xml:space="preserve">The reason for </w:t>
      </w:r>
      <w:r w:rsidR="00F011E2" w:rsidRPr="00513BCB">
        <w:rPr>
          <w:sz w:val="22"/>
          <w:szCs w:val="22"/>
        </w:rPr>
        <w:t xml:space="preserve">seeking such orders </w:t>
      </w:r>
      <w:r w:rsidR="000779FC" w:rsidRPr="00513BCB">
        <w:rPr>
          <w:sz w:val="22"/>
          <w:szCs w:val="22"/>
        </w:rPr>
        <w:t>seems</w:t>
      </w:r>
      <w:r w:rsidRPr="00513BCB">
        <w:rPr>
          <w:sz w:val="22"/>
          <w:szCs w:val="22"/>
        </w:rPr>
        <w:t xml:space="preserve"> to be connected to potential placement </w:t>
      </w:r>
      <w:r w:rsidR="000779FC" w:rsidRPr="00513BCB">
        <w:rPr>
          <w:sz w:val="22"/>
          <w:szCs w:val="22"/>
        </w:rPr>
        <w:t>with blood relatives</w:t>
      </w:r>
      <w:r w:rsidR="00050EB4" w:rsidRPr="00513BCB">
        <w:rPr>
          <w:sz w:val="22"/>
          <w:szCs w:val="22"/>
        </w:rPr>
        <w:t xml:space="preserve"> and noti</w:t>
      </w:r>
      <w:r w:rsidR="003E313D" w:rsidRPr="00513BCB">
        <w:rPr>
          <w:sz w:val="22"/>
          <w:szCs w:val="22"/>
        </w:rPr>
        <w:t>ons of kinship</w:t>
      </w:r>
      <w:r w:rsidR="001161BB" w:rsidRPr="00513BCB">
        <w:rPr>
          <w:sz w:val="22"/>
          <w:szCs w:val="22"/>
        </w:rPr>
        <w:t xml:space="preserve">. But it is not clear why </w:t>
      </w:r>
      <w:r w:rsidR="00E24F4D" w:rsidRPr="00513BCB">
        <w:rPr>
          <w:sz w:val="22"/>
          <w:szCs w:val="22"/>
        </w:rPr>
        <w:t xml:space="preserve">local authorities </w:t>
      </w:r>
      <w:r w:rsidR="001161BB" w:rsidRPr="00513BCB">
        <w:rPr>
          <w:sz w:val="22"/>
          <w:szCs w:val="22"/>
        </w:rPr>
        <w:t xml:space="preserve">seek orders about </w:t>
      </w:r>
      <w:r w:rsidR="000779FC" w:rsidRPr="00513BCB">
        <w:rPr>
          <w:sz w:val="22"/>
          <w:szCs w:val="22"/>
        </w:rPr>
        <w:t xml:space="preserve">such </w:t>
      </w:r>
      <w:r w:rsidR="00AC28B9" w:rsidRPr="00513BCB">
        <w:rPr>
          <w:sz w:val="22"/>
          <w:szCs w:val="22"/>
        </w:rPr>
        <w:t>e</w:t>
      </w:r>
      <w:r w:rsidR="000779FC" w:rsidRPr="00513BCB">
        <w:rPr>
          <w:sz w:val="22"/>
          <w:szCs w:val="22"/>
        </w:rPr>
        <w:t xml:space="preserve">nquiries when the </w:t>
      </w:r>
      <w:r w:rsidR="00111156" w:rsidRPr="00513BCB">
        <w:rPr>
          <w:sz w:val="22"/>
          <w:szCs w:val="22"/>
        </w:rPr>
        <w:t>birth giver</w:t>
      </w:r>
      <w:r w:rsidR="001161BB" w:rsidRPr="00513BCB">
        <w:rPr>
          <w:sz w:val="22"/>
          <w:szCs w:val="22"/>
        </w:rPr>
        <w:t xml:space="preserve"> (</w:t>
      </w:r>
      <w:r w:rsidR="000779FC" w:rsidRPr="00513BCB">
        <w:rPr>
          <w:sz w:val="22"/>
          <w:szCs w:val="22"/>
        </w:rPr>
        <w:t>and often also the father</w:t>
      </w:r>
      <w:r w:rsidR="001161BB" w:rsidRPr="00513BCB">
        <w:rPr>
          <w:sz w:val="22"/>
          <w:szCs w:val="22"/>
        </w:rPr>
        <w:t>)</w:t>
      </w:r>
      <w:r w:rsidR="000779FC" w:rsidRPr="00513BCB">
        <w:rPr>
          <w:sz w:val="22"/>
          <w:szCs w:val="22"/>
        </w:rPr>
        <w:t xml:space="preserve"> does not want the wider family to be informed of the child’s existence. </w:t>
      </w:r>
    </w:p>
    <w:p w14:paraId="283CAD7E" w14:textId="77777777" w:rsidR="00050EB4" w:rsidRPr="00513BCB" w:rsidRDefault="00050EB4" w:rsidP="004D3080">
      <w:pPr>
        <w:pStyle w:val="BodyText"/>
        <w:spacing w:line="360" w:lineRule="auto"/>
        <w:rPr>
          <w:rFonts w:asciiTheme="minorHAnsi" w:hAnsiTheme="minorHAnsi"/>
          <w:sz w:val="22"/>
          <w:szCs w:val="22"/>
        </w:rPr>
      </w:pPr>
    </w:p>
    <w:p w14:paraId="19D97139" w14:textId="74A429DE" w:rsidR="000D3418" w:rsidRPr="00513BCB" w:rsidRDefault="000D3418" w:rsidP="004D3080">
      <w:pPr>
        <w:spacing w:line="360" w:lineRule="auto"/>
        <w:jc w:val="both"/>
        <w:rPr>
          <w:sz w:val="22"/>
          <w:szCs w:val="22"/>
        </w:rPr>
      </w:pPr>
      <w:r w:rsidRPr="00513BCB">
        <w:rPr>
          <w:sz w:val="22"/>
          <w:szCs w:val="22"/>
        </w:rPr>
        <w:t xml:space="preserve">There appears to be a </w:t>
      </w:r>
      <w:r w:rsidR="000F1BF0" w:rsidRPr="00513BCB">
        <w:rPr>
          <w:sz w:val="22"/>
          <w:szCs w:val="22"/>
        </w:rPr>
        <w:t xml:space="preserve">growing </w:t>
      </w:r>
      <w:r w:rsidR="00546A8C" w:rsidRPr="00513BCB">
        <w:rPr>
          <w:sz w:val="22"/>
          <w:szCs w:val="22"/>
        </w:rPr>
        <w:t>assumption</w:t>
      </w:r>
      <w:r w:rsidR="000F1BF0" w:rsidRPr="00513BCB">
        <w:rPr>
          <w:sz w:val="22"/>
          <w:szCs w:val="22"/>
        </w:rPr>
        <w:t xml:space="preserve"> that fathers, and wider family members</w:t>
      </w:r>
      <w:r w:rsidR="00111156" w:rsidRPr="00513BCB">
        <w:rPr>
          <w:sz w:val="22"/>
          <w:szCs w:val="22"/>
        </w:rPr>
        <w:t>,</w:t>
      </w:r>
      <w:r w:rsidR="000F1BF0" w:rsidRPr="00513BCB">
        <w:rPr>
          <w:sz w:val="22"/>
          <w:szCs w:val="22"/>
        </w:rPr>
        <w:t xml:space="preserve"> </w:t>
      </w:r>
      <w:r w:rsidRPr="00513BCB">
        <w:rPr>
          <w:sz w:val="22"/>
          <w:szCs w:val="22"/>
        </w:rPr>
        <w:t xml:space="preserve">ought to know </w:t>
      </w:r>
      <w:r w:rsidR="000F1BF0" w:rsidRPr="00513BCB">
        <w:rPr>
          <w:sz w:val="22"/>
          <w:szCs w:val="22"/>
        </w:rPr>
        <w:t xml:space="preserve">of the child’s existence. </w:t>
      </w:r>
      <w:r w:rsidRPr="00513BCB">
        <w:rPr>
          <w:sz w:val="22"/>
          <w:szCs w:val="22"/>
        </w:rPr>
        <w:t xml:space="preserve">But is this what the law says? </w:t>
      </w:r>
      <w:r w:rsidR="00546A8C" w:rsidRPr="00513BCB">
        <w:rPr>
          <w:sz w:val="22"/>
          <w:szCs w:val="22"/>
        </w:rPr>
        <w:t>The English cases are fact</w:t>
      </w:r>
      <w:r w:rsidR="00263ED2" w:rsidRPr="00513BCB">
        <w:rPr>
          <w:sz w:val="22"/>
          <w:szCs w:val="22"/>
        </w:rPr>
        <w:t>-</w:t>
      </w:r>
      <w:r w:rsidR="00546A8C" w:rsidRPr="00513BCB">
        <w:rPr>
          <w:sz w:val="22"/>
          <w:szCs w:val="22"/>
        </w:rPr>
        <w:t xml:space="preserve">dependent. </w:t>
      </w:r>
      <w:r w:rsidR="00617A3B" w:rsidRPr="00513BCB">
        <w:rPr>
          <w:sz w:val="22"/>
          <w:szCs w:val="22"/>
        </w:rPr>
        <w:t xml:space="preserve">Some cases point to a father’s right to know, based on </w:t>
      </w:r>
      <w:r w:rsidR="00497CF6" w:rsidRPr="00513BCB">
        <w:rPr>
          <w:sz w:val="22"/>
          <w:szCs w:val="22"/>
        </w:rPr>
        <w:t xml:space="preserve">any </w:t>
      </w:r>
      <w:r w:rsidR="00617A3B" w:rsidRPr="00513BCB">
        <w:rPr>
          <w:sz w:val="22"/>
          <w:szCs w:val="22"/>
        </w:rPr>
        <w:t xml:space="preserve">right to </w:t>
      </w:r>
      <w:r w:rsidR="00020860" w:rsidRPr="00513BCB">
        <w:rPr>
          <w:sz w:val="22"/>
          <w:szCs w:val="22"/>
        </w:rPr>
        <w:t xml:space="preserve">respect for </w:t>
      </w:r>
      <w:r w:rsidR="00617A3B" w:rsidRPr="00513BCB">
        <w:rPr>
          <w:sz w:val="22"/>
          <w:szCs w:val="22"/>
        </w:rPr>
        <w:t>family life</w:t>
      </w:r>
      <w:r w:rsidR="00497CF6" w:rsidRPr="00513BCB">
        <w:rPr>
          <w:sz w:val="22"/>
          <w:szCs w:val="22"/>
        </w:rPr>
        <w:t xml:space="preserve"> he </w:t>
      </w:r>
      <w:r w:rsidR="00497CF6" w:rsidRPr="00513BCB">
        <w:rPr>
          <w:i/>
          <w:sz w:val="22"/>
          <w:szCs w:val="22"/>
        </w:rPr>
        <w:t>may</w:t>
      </w:r>
      <w:r w:rsidR="00497CF6" w:rsidRPr="00513BCB">
        <w:rPr>
          <w:sz w:val="22"/>
          <w:szCs w:val="22"/>
        </w:rPr>
        <w:t xml:space="preserve"> have</w:t>
      </w:r>
      <w:r w:rsidR="00617A3B" w:rsidRPr="00513BCB">
        <w:rPr>
          <w:sz w:val="22"/>
          <w:szCs w:val="22"/>
        </w:rPr>
        <w:t xml:space="preserve"> under Article 8 of the ECHR. However, </w:t>
      </w:r>
      <w:r w:rsidR="000C1AC4" w:rsidRPr="00513BCB">
        <w:rPr>
          <w:sz w:val="22"/>
          <w:szCs w:val="22"/>
        </w:rPr>
        <w:t xml:space="preserve">the </w:t>
      </w:r>
      <w:r w:rsidR="006C4E5B" w:rsidRPr="00513BCB">
        <w:rPr>
          <w:sz w:val="22"/>
          <w:szCs w:val="22"/>
        </w:rPr>
        <w:t xml:space="preserve">existence of any such right </w:t>
      </w:r>
      <w:r w:rsidR="00617A3B" w:rsidRPr="00513BCB">
        <w:rPr>
          <w:sz w:val="22"/>
          <w:szCs w:val="22"/>
        </w:rPr>
        <w:t>has been disputed when the father does not know of the child’s existence</w:t>
      </w:r>
      <w:r w:rsidR="000C1AC4" w:rsidRPr="00513BCB">
        <w:rPr>
          <w:sz w:val="22"/>
          <w:szCs w:val="22"/>
        </w:rPr>
        <w:t xml:space="preserve"> and, in any event, this is a qualified right</w:t>
      </w:r>
      <w:r w:rsidR="00617A3B" w:rsidRPr="00513BCB">
        <w:rPr>
          <w:sz w:val="22"/>
          <w:szCs w:val="22"/>
        </w:rPr>
        <w:t>.</w:t>
      </w:r>
      <w:r w:rsidR="00617A3B" w:rsidRPr="00513BCB">
        <w:rPr>
          <w:rStyle w:val="FootnoteReference"/>
          <w:sz w:val="22"/>
          <w:szCs w:val="22"/>
        </w:rPr>
        <w:footnoteReference w:id="29"/>
      </w:r>
      <w:r w:rsidR="00617A3B" w:rsidRPr="00513BCB">
        <w:rPr>
          <w:sz w:val="22"/>
          <w:szCs w:val="22"/>
        </w:rPr>
        <w:t xml:space="preserve"> </w:t>
      </w:r>
      <w:r w:rsidR="001A06E5" w:rsidRPr="00513BCB">
        <w:rPr>
          <w:sz w:val="22"/>
          <w:szCs w:val="22"/>
        </w:rPr>
        <w:t>T</w:t>
      </w:r>
      <w:r w:rsidR="003F355A" w:rsidRPr="00513BCB">
        <w:rPr>
          <w:sz w:val="22"/>
          <w:szCs w:val="22"/>
        </w:rPr>
        <w:t xml:space="preserve">he ECtHR has deemed relevant to establishing </w:t>
      </w:r>
      <w:r w:rsidR="001A06E5" w:rsidRPr="00513BCB">
        <w:rPr>
          <w:sz w:val="22"/>
          <w:szCs w:val="22"/>
        </w:rPr>
        <w:t xml:space="preserve">‘family life’ for the purposes of </w:t>
      </w:r>
      <w:r w:rsidR="003F355A" w:rsidRPr="00513BCB">
        <w:rPr>
          <w:sz w:val="22"/>
          <w:szCs w:val="22"/>
        </w:rPr>
        <w:t>Article 8(1)</w:t>
      </w:r>
      <w:r w:rsidR="00853EB8" w:rsidRPr="00513BCB">
        <w:rPr>
          <w:sz w:val="22"/>
          <w:szCs w:val="22"/>
        </w:rPr>
        <w:t xml:space="preserve"> </w:t>
      </w:r>
      <w:r w:rsidR="001A06E5" w:rsidRPr="00513BCB">
        <w:rPr>
          <w:sz w:val="22"/>
          <w:szCs w:val="22"/>
        </w:rPr>
        <w:t xml:space="preserve">the fact </w:t>
      </w:r>
      <w:r w:rsidR="003F355A" w:rsidRPr="00513BCB">
        <w:rPr>
          <w:sz w:val="22"/>
          <w:szCs w:val="22"/>
        </w:rPr>
        <w:t>that the father tried to establish contact with children he knew existed but was prevented from doing so.</w:t>
      </w:r>
      <w:r w:rsidR="003F355A" w:rsidRPr="00513BCB">
        <w:rPr>
          <w:rStyle w:val="FootnoteReference"/>
          <w:sz w:val="22"/>
          <w:szCs w:val="22"/>
        </w:rPr>
        <w:footnoteReference w:id="30"/>
      </w:r>
      <w:r w:rsidR="003F355A" w:rsidRPr="00513BCB">
        <w:rPr>
          <w:sz w:val="22"/>
          <w:szCs w:val="22"/>
        </w:rPr>
        <w:t xml:space="preserve"> </w:t>
      </w:r>
      <w:r w:rsidR="000C1AC4" w:rsidRPr="00513BCB">
        <w:rPr>
          <w:sz w:val="22"/>
          <w:szCs w:val="22"/>
        </w:rPr>
        <w:t>E</w:t>
      </w:r>
      <w:r w:rsidR="003F355A" w:rsidRPr="00513BCB">
        <w:rPr>
          <w:sz w:val="22"/>
          <w:szCs w:val="22"/>
        </w:rPr>
        <w:t>ven if he has no family life</w:t>
      </w:r>
      <w:r w:rsidR="001A06E5" w:rsidRPr="00513BCB">
        <w:rPr>
          <w:sz w:val="22"/>
          <w:szCs w:val="22"/>
        </w:rPr>
        <w:t xml:space="preserve"> with the child</w:t>
      </w:r>
      <w:r w:rsidR="000C1AC4" w:rsidRPr="00513BCB">
        <w:rPr>
          <w:sz w:val="22"/>
          <w:szCs w:val="22"/>
        </w:rPr>
        <w:t>ren</w:t>
      </w:r>
      <w:r w:rsidR="001A06E5" w:rsidRPr="00513BCB">
        <w:rPr>
          <w:sz w:val="22"/>
          <w:szCs w:val="22"/>
        </w:rPr>
        <w:t xml:space="preserve"> to be protected by Art</w:t>
      </w:r>
      <w:r w:rsidR="00A03610" w:rsidRPr="00513BCB">
        <w:rPr>
          <w:sz w:val="22"/>
          <w:szCs w:val="22"/>
        </w:rPr>
        <w:t>icle</w:t>
      </w:r>
      <w:r w:rsidR="001A06E5" w:rsidRPr="00513BCB">
        <w:rPr>
          <w:sz w:val="22"/>
          <w:szCs w:val="22"/>
        </w:rPr>
        <w:t xml:space="preserve"> 8</w:t>
      </w:r>
      <w:r w:rsidR="000C1AC4" w:rsidRPr="00513BCB">
        <w:rPr>
          <w:sz w:val="22"/>
          <w:szCs w:val="22"/>
        </w:rPr>
        <w:t>, in these circumstances</w:t>
      </w:r>
      <w:r w:rsidR="003F355A" w:rsidRPr="00513BCB">
        <w:rPr>
          <w:sz w:val="22"/>
          <w:szCs w:val="22"/>
        </w:rPr>
        <w:t xml:space="preserve">, </w:t>
      </w:r>
      <w:r w:rsidR="001D5025" w:rsidRPr="00513BCB">
        <w:rPr>
          <w:sz w:val="22"/>
          <w:szCs w:val="22"/>
        </w:rPr>
        <w:t xml:space="preserve">the ECtHR </w:t>
      </w:r>
      <w:r w:rsidR="003F355A" w:rsidRPr="00513BCB">
        <w:rPr>
          <w:sz w:val="22"/>
          <w:szCs w:val="22"/>
        </w:rPr>
        <w:t xml:space="preserve">has said </w:t>
      </w:r>
      <w:r w:rsidR="001D5025" w:rsidRPr="00513BCB">
        <w:rPr>
          <w:sz w:val="22"/>
          <w:szCs w:val="22"/>
        </w:rPr>
        <w:t xml:space="preserve">he will have a </w:t>
      </w:r>
      <w:r w:rsidR="003F355A" w:rsidRPr="00513BCB">
        <w:rPr>
          <w:sz w:val="22"/>
          <w:szCs w:val="22"/>
        </w:rPr>
        <w:t xml:space="preserve">right to respect for his identity </w:t>
      </w:r>
      <w:r w:rsidR="00263ED2" w:rsidRPr="00513BCB">
        <w:rPr>
          <w:sz w:val="22"/>
          <w:szCs w:val="22"/>
        </w:rPr>
        <w:t xml:space="preserve">as an aspect of ‘private life’ </w:t>
      </w:r>
      <w:r w:rsidR="003F355A" w:rsidRPr="00513BCB">
        <w:rPr>
          <w:sz w:val="22"/>
          <w:szCs w:val="22"/>
        </w:rPr>
        <w:t>under the same provisio</w:t>
      </w:r>
      <w:r w:rsidR="000C1AC4" w:rsidRPr="00513BCB">
        <w:rPr>
          <w:sz w:val="22"/>
          <w:szCs w:val="22"/>
        </w:rPr>
        <w:t>n</w:t>
      </w:r>
      <w:r w:rsidR="001A06E5" w:rsidRPr="00513BCB">
        <w:rPr>
          <w:sz w:val="22"/>
          <w:szCs w:val="22"/>
        </w:rPr>
        <w:t>,</w:t>
      </w:r>
      <w:r w:rsidR="000C1AC4" w:rsidRPr="00513BCB">
        <w:rPr>
          <w:sz w:val="22"/>
          <w:szCs w:val="22"/>
        </w:rPr>
        <w:t xml:space="preserve"> </w:t>
      </w:r>
      <w:r w:rsidR="00A0629E" w:rsidRPr="00513BCB">
        <w:rPr>
          <w:sz w:val="22"/>
          <w:szCs w:val="22"/>
        </w:rPr>
        <w:t>and</w:t>
      </w:r>
      <w:r w:rsidR="00007752" w:rsidRPr="00513BCB">
        <w:rPr>
          <w:sz w:val="22"/>
          <w:szCs w:val="22"/>
        </w:rPr>
        <w:t xml:space="preserve"> this needs to be considered</w:t>
      </w:r>
      <w:r w:rsidR="00A0629E" w:rsidRPr="00513BCB">
        <w:rPr>
          <w:sz w:val="22"/>
          <w:szCs w:val="22"/>
        </w:rPr>
        <w:t xml:space="preserve"> in determining </w:t>
      </w:r>
      <w:r w:rsidR="000C1AC4" w:rsidRPr="00513BCB">
        <w:rPr>
          <w:sz w:val="22"/>
          <w:szCs w:val="22"/>
        </w:rPr>
        <w:t xml:space="preserve">whether he has a right to </w:t>
      </w:r>
      <w:r w:rsidR="00007752" w:rsidRPr="00513BCB">
        <w:rPr>
          <w:sz w:val="22"/>
          <w:szCs w:val="22"/>
        </w:rPr>
        <w:t xml:space="preserve">have contact </w:t>
      </w:r>
      <w:r w:rsidR="00007752" w:rsidRPr="00513BCB">
        <w:rPr>
          <w:sz w:val="22"/>
          <w:szCs w:val="22"/>
        </w:rPr>
        <w:lastRenderedPageBreak/>
        <w:t>with</w:t>
      </w:r>
      <w:r w:rsidR="000C1AC4" w:rsidRPr="00513BCB">
        <w:rPr>
          <w:sz w:val="22"/>
          <w:szCs w:val="22"/>
        </w:rPr>
        <w:t xml:space="preserve"> the children</w:t>
      </w:r>
      <w:r w:rsidR="00A0629E" w:rsidRPr="00513BCB">
        <w:rPr>
          <w:sz w:val="22"/>
          <w:szCs w:val="22"/>
        </w:rPr>
        <w:t>. However, this is when</w:t>
      </w:r>
      <w:r w:rsidR="001D5025" w:rsidRPr="00513BCB">
        <w:rPr>
          <w:sz w:val="22"/>
          <w:szCs w:val="22"/>
        </w:rPr>
        <w:t xml:space="preserve"> he is </w:t>
      </w:r>
      <w:r w:rsidR="001D5025" w:rsidRPr="00513BCB">
        <w:rPr>
          <w:i/>
          <w:sz w:val="22"/>
          <w:szCs w:val="22"/>
        </w:rPr>
        <w:t>aware</w:t>
      </w:r>
      <w:r w:rsidR="001D5025" w:rsidRPr="00513BCB">
        <w:rPr>
          <w:sz w:val="22"/>
          <w:szCs w:val="22"/>
        </w:rPr>
        <w:t xml:space="preserve"> of </w:t>
      </w:r>
      <w:r w:rsidR="000C1AC4" w:rsidRPr="00513BCB">
        <w:rPr>
          <w:sz w:val="22"/>
          <w:szCs w:val="22"/>
        </w:rPr>
        <w:t>their</w:t>
      </w:r>
      <w:r w:rsidR="001D5025" w:rsidRPr="00513BCB">
        <w:rPr>
          <w:sz w:val="22"/>
          <w:szCs w:val="22"/>
        </w:rPr>
        <w:t xml:space="preserve"> existence</w:t>
      </w:r>
      <w:r w:rsidR="003F355A" w:rsidRPr="00513BCB">
        <w:rPr>
          <w:sz w:val="22"/>
          <w:szCs w:val="22"/>
        </w:rPr>
        <w:t>.</w:t>
      </w:r>
      <w:r w:rsidR="003F355A" w:rsidRPr="00513BCB">
        <w:rPr>
          <w:rStyle w:val="FootnoteReference"/>
          <w:sz w:val="22"/>
          <w:szCs w:val="22"/>
        </w:rPr>
        <w:footnoteReference w:id="31"/>
      </w:r>
      <w:r w:rsidR="003F355A" w:rsidRPr="00513BCB">
        <w:rPr>
          <w:sz w:val="22"/>
          <w:szCs w:val="22"/>
        </w:rPr>
        <w:t xml:space="preserve"> </w:t>
      </w:r>
      <w:r w:rsidR="000F1BF0" w:rsidRPr="00513BCB">
        <w:rPr>
          <w:sz w:val="22"/>
          <w:szCs w:val="22"/>
        </w:rPr>
        <w:t>The</w:t>
      </w:r>
      <w:r w:rsidR="00EC774F" w:rsidRPr="00513BCB">
        <w:rPr>
          <w:sz w:val="22"/>
          <w:szCs w:val="22"/>
        </w:rPr>
        <w:t xml:space="preserve"> </w:t>
      </w:r>
      <w:r w:rsidR="003F355A" w:rsidRPr="00513BCB">
        <w:rPr>
          <w:sz w:val="22"/>
          <w:szCs w:val="22"/>
        </w:rPr>
        <w:t xml:space="preserve">English </w:t>
      </w:r>
      <w:r w:rsidR="00EC774F" w:rsidRPr="00513BCB">
        <w:rPr>
          <w:sz w:val="22"/>
          <w:szCs w:val="22"/>
        </w:rPr>
        <w:t>cases</w:t>
      </w:r>
      <w:r w:rsidR="00050EB4" w:rsidRPr="00513BCB">
        <w:rPr>
          <w:sz w:val="22"/>
          <w:szCs w:val="22"/>
        </w:rPr>
        <w:t xml:space="preserve"> show that significant factors favouring disclosure of the child’s existence </w:t>
      </w:r>
      <w:r w:rsidR="001A06E5" w:rsidRPr="00513BCB">
        <w:rPr>
          <w:sz w:val="22"/>
          <w:szCs w:val="22"/>
        </w:rPr>
        <w:t xml:space="preserve">to a father </w:t>
      </w:r>
      <w:r w:rsidR="00050EB4" w:rsidRPr="00513BCB">
        <w:rPr>
          <w:sz w:val="22"/>
          <w:szCs w:val="22"/>
        </w:rPr>
        <w:t>are that his relationship with the birth giver was of some duration, the couple cohabited in an established way,</w:t>
      </w:r>
      <w:r w:rsidR="00050EB4" w:rsidRPr="00513BCB">
        <w:rPr>
          <w:rStyle w:val="FootnoteReference"/>
          <w:sz w:val="22"/>
          <w:szCs w:val="22"/>
        </w:rPr>
        <w:t xml:space="preserve"> </w:t>
      </w:r>
      <w:r w:rsidR="00050EB4" w:rsidRPr="00513BCB">
        <w:rPr>
          <w:rStyle w:val="FootnoteReference"/>
          <w:sz w:val="22"/>
          <w:szCs w:val="22"/>
        </w:rPr>
        <w:footnoteReference w:id="32"/>
      </w:r>
      <w:r w:rsidR="00050EB4" w:rsidRPr="00513BCB">
        <w:rPr>
          <w:sz w:val="22"/>
          <w:szCs w:val="22"/>
        </w:rPr>
        <w:t xml:space="preserve"> and they have other children together.</w:t>
      </w:r>
      <w:r w:rsidR="00050EB4" w:rsidRPr="00513BCB">
        <w:rPr>
          <w:rStyle w:val="FootnoteReference"/>
          <w:sz w:val="22"/>
          <w:szCs w:val="22"/>
        </w:rPr>
        <w:footnoteReference w:id="33"/>
      </w:r>
      <w:r w:rsidR="00050EB4" w:rsidRPr="00513BCB">
        <w:rPr>
          <w:sz w:val="22"/>
          <w:szCs w:val="22"/>
        </w:rPr>
        <w:t xml:space="preserve"> If the father has parental responsibility, </w:t>
      </w:r>
      <w:r w:rsidR="0047131B" w:rsidRPr="00513BCB">
        <w:rPr>
          <w:sz w:val="22"/>
          <w:szCs w:val="22"/>
        </w:rPr>
        <w:t>Mostyn J</w:t>
      </w:r>
      <w:r w:rsidR="00263ED2" w:rsidRPr="00513BCB">
        <w:rPr>
          <w:sz w:val="22"/>
          <w:szCs w:val="22"/>
        </w:rPr>
        <w:t xml:space="preserve"> </w:t>
      </w:r>
      <w:r w:rsidR="00050EB4" w:rsidRPr="00513BCB">
        <w:rPr>
          <w:sz w:val="22"/>
          <w:szCs w:val="22"/>
        </w:rPr>
        <w:t>has stated that it is ‘…hard…to envisage an adoption process ever legitimately proceeding without the knowledge of, and consent being sought from, [him]’.</w:t>
      </w:r>
      <w:r w:rsidR="00050EB4" w:rsidRPr="00513BCB">
        <w:rPr>
          <w:rStyle w:val="FootnoteReference"/>
          <w:sz w:val="22"/>
          <w:szCs w:val="22"/>
        </w:rPr>
        <w:footnoteReference w:id="34"/>
      </w:r>
      <w:r w:rsidR="00050EB4" w:rsidRPr="00513BCB">
        <w:rPr>
          <w:sz w:val="22"/>
          <w:szCs w:val="22"/>
        </w:rPr>
        <w:t xml:space="preserve"> It is, though, still a possibility. </w:t>
      </w:r>
    </w:p>
    <w:p w14:paraId="3D53EE2B" w14:textId="77777777" w:rsidR="000D3418" w:rsidRPr="00513BCB" w:rsidRDefault="000D3418" w:rsidP="004D3080">
      <w:pPr>
        <w:spacing w:line="360" w:lineRule="auto"/>
        <w:jc w:val="both"/>
        <w:rPr>
          <w:sz w:val="22"/>
          <w:szCs w:val="22"/>
        </w:rPr>
      </w:pPr>
    </w:p>
    <w:p w14:paraId="26A0FA30" w14:textId="00B76B07" w:rsidR="009B3C0A" w:rsidRPr="00513BCB" w:rsidRDefault="00094A7A" w:rsidP="004D3080">
      <w:pPr>
        <w:spacing w:line="360" w:lineRule="auto"/>
        <w:jc w:val="both"/>
        <w:rPr>
          <w:sz w:val="22"/>
          <w:szCs w:val="22"/>
        </w:rPr>
      </w:pPr>
      <w:r w:rsidRPr="00513BCB">
        <w:rPr>
          <w:sz w:val="22"/>
          <w:szCs w:val="22"/>
        </w:rPr>
        <w:t xml:space="preserve">By contrast, </w:t>
      </w:r>
      <w:r w:rsidR="001A06E5" w:rsidRPr="00513BCB">
        <w:rPr>
          <w:sz w:val="22"/>
          <w:szCs w:val="22"/>
        </w:rPr>
        <w:t xml:space="preserve">English </w:t>
      </w:r>
      <w:r w:rsidRPr="00513BCB">
        <w:rPr>
          <w:sz w:val="22"/>
          <w:szCs w:val="22"/>
        </w:rPr>
        <w:t>c</w:t>
      </w:r>
      <w:r w:rsidR="00B93017" w:rsidRPr="00513BCB">
        <w:rPr>
          <w:sz w:val="22"/>
          <w:szCs w:val="22"/>
        </w:rPr>
        <w:t>ase law suggests that c</w:t>
      </w:r>
      <w:r w:rsidR="00050EB4" w:rsidRPr="00513BCB">
        <w:rPr>
          <w:sz w:val="22"/>
          <w:szCs w:val="22"/>
        </w:rPr>
        <w:t>ourts are unlikely to order disclosure where the child is conceived as a result of a one night sexual encounter, where the couple have never cohabited</w:t>
      </w:r>
      <w:r w:rsidR="00050EB4" w:rsidRPr="00513BCB">
        <w:rPr>
          <w:rStyle w:val="FootnoteReference"/>
          <w:sz w:val="22"/>
          <w:szCs w:val="22"/>
        </w:rPr>
        <w:footnoteReference w:id="35"/>
      </w:r>
      <w:r w:rsidR="00050EB4" w:rsidRPr="00513BCB">
        <w:rPr>
          <w:sz w:val="22"/>
          <w:szCs w:val="22"/>
        </w:rPr>
        <w:t xml:space="preserve"> and where the</w:t>
      </w:r>
      <w:r w:rsidR="00EC774F" w:rsidRPr="00513BCB">
        <w:rPr>
          <w:sz w:val="22"/>
          <w:szCs w:val="22"/>
        </w:rPr>
        <w:t xml:space="preserve"> child is conceived as a result of ‘violent rape</w:t>
      </w:r>
      <w:r w:rsidR="009B3C0A" w:rsidRPr="00513BCB">
        <w:rPr>
          <w:sz w:val="22"/>
          <w:szCs w:val="22"/>
        </w:rPr>
        <w:t>’</w:t>
      </w:r>
      <w:r w:rsidR="00EC774F" w:rsidRPr="00513BCB">
        <w:rPr>
          <w:sz w:val="22"/>
          <w:szCs w:val="22"/>
        </w:rPr>
        <w:t>.</w:t>
      </w:r>
      <w:r w:rsidR="00EC774F" w:rsidRPr="00513BCB">
        <w:rPr>
          <w:rStyle w:val="FootnoteReference"/>
          <w:sz w:val="22"/>
          <w:szCs w:val="22"/>
        </w:rPr>
        <w:footnoteReference w:id="36"/>
      </w:r>
      <w:r w:rsidR="00A31809" w:rsidRPr="00513BCB">
        <w:rPr>
          <w:sz w:val="22"/>
          <w:szCs w:val="22"/>
        </w:rPr>
        <w:t xml:space="preserve"> </w:t>
      </w:r>
      <w:r w:rsidR="009B3C0A" w:rsidRPr="00513BCB">
        <w:rPr>
          <w:sz w:val="22"/>
          <w:szCs w:val="22"/>
        </w:rPr>
        <w:t>In a case w</w:t>
      </w:r>
      <w:r w:rsidR="00E24F4D" w:rsidRPr="00513BCB">
        <w:rPr>
          <w:sz w:val="22"/>
          <w:szCs w:val="22"/>
        </w:rPr>
        <w:t xml:space="preserve">here </w:t>
      </w:r>
      <w:r w:rsidR="000D3418" w:rsidRPr="00513BCB">
        <w:rPr>
          <w:sz w:val="22"/>
          <w:szCs w:val="22"/>
        </w:rPr>
        <w:t xml:space="preserve">an unmarried </w:t>
      </w:r>
      <w:r w:rsidR="00546A8C" w:rsidRPr="00513BCB">
        <w:rPr>
          <w:sz w:val="22"/>
          <w:szCs w:val="22"/>
        </w:rPr>
        <w:t>17 year old Bangladeshi girl</w:t>
      </w:r>
      <w:r w:rsidR="009B3C0A" w:rsidRPr="00513BCB">
        <w:rPr>
          <w:sz w:val="22"/>
          <w:szCs w:val="22"/>
        </w:rPr>
        <w:t xml:space="preserve"> </w:t>
      </w:r>
      <w:r w:rsidR="001554CC" w:rsidRPr="00513BCB">
        <w:rPr>
          <w:sz w:val="22"/>
          <w:szCs w:val="22"/>
        </w:rPr>
        <w:t>gave birth</w:t>
      </w:r>
      <w:r w:rsidR="00E24F4D" w:rsidRPr="00513BCB">
        <w:rPr>
          <w:sz w:val="22"/>
          <w:szCs w:val="22"/>
        </w:rPr>
        <w:t xml:space="preserve"> and the</w:t>
      </w:r>
      <w:r w:rsidR="00546A8C" w:rsidRPr="00513BCB">
        <w:rPr>
          <w:sz w:val="22"/>
          <w:szCs w:val="22"/>
        </w:rPr>
        <w:t xml:space="preserve"> father</w:t>
      </w:r>
      <w:r w:rsidR="009B3C0A" w:rsidRPr="00513BCB">
        <w:rPr>
          <w:sz w:val="22"/>
          <w:szCs w:val="22"/>
        </w:rPr>
        <w:t xml:space="preserve">, </w:t>
      </w:r>
      <w:r w:rsidR="001D5025" w:rsidRPr="00513BCB">
        <w:rPr>
          <w:sz w:val="22"/>
          <w:szCs w:val="22"/>
        </w:rPr>
        <w:t>her</w:t>
      </w:r>
      <w:r w:rsidR="000D3418" w:rsidRPr="00513BCB">
        <w:rPr>
          <w:sz w:val="22"/>
          <w:szCs w:val="22"/>
        </w:rPr>
        <w:t xml:space="preserve"> brother-in-law</w:t>
      </w:r>
      <w:r w:rsidR="009B3C0A" w:rsidRPr="00513BCB">
        <w:rPr>
          <w:sz w:val="22"/>
          <w:szCs w:val="22"/>
        </w:rPr>
        <w:t>, was</w:t>
      </w:r>
      <w:r w:rsidR="00546A8C" w:rsidRPr="00513BCB">
        <w:rPr>
          <w:sz w:val="22"/>
          <w:szCs w:val="22"/>
        </w:rPr>
        <w:t xml:space="preserve"> unaware of the</w:t>
      </w:r>
      <w:r w:rsidR="000D3418" w:rsidRPr="00513BCB">
        <w:rPr>
          <w:sz w:val="22"/>
          <w:szCs w:val="22"/>
        </w:rPr>
        <w:t xml:space="preserve"> child</w:t>
      </w:r>
      <w:r w:rsidR="00546A8C" w:rsidRPr="00513BCB">
        <w:rPr>
          <w:sz w:val="22"/>
          <w:szCs w:val="22"/>
        </w:rPr>
        <w:t>’s existence</w:t>
      </w:r>
      <w:r w:rsidR="00E24F4D" w:rsidRPr="00513BCB">
        <w:rPr>
          <w:sz w:val="22"/>
          <w:szCs w:val="22"/>
        </w:rPr>
        <w:t>, it was ordered that the father not be informed</w:t>
      </w:r>
      <w:r w:rsidR="000D3418" w:rsidRPr="00513BCB">
        <w:rPr>
          <w:sz w:val="22"/>
          <w:szCs w:val="22"/>
        </w:rPr>
        <w:t>.</w:t>
      </w:r>
      <w:r w:rsidR="00E24F4D" w:rsidRPr="00513BCB">
        <w:rPr>
          <w:rStyle w:val="FootnoteReference"/>
          <w:sz w:val="22"/>
          <w:szCs w:val="22"/>
        </w:rPr>
        <w:t xml:space="preserve"> </w:t>
      </w:r>
      <w:r w:rsidR="00546A8C" w:rsidRPr="00513BCB">
        <w:rPr>
          <w:sz w:val="22"/>
          <w:szCs w:val="22"/>
        </w:rPr>
        <w:t>E</w:t>
      </w:r>
      <w:r w:rsidR="000D3418" w:rsidRPr="00513BCB">
        <w:rPr>
          <w:sz w:val="22"/>
          <w:szCs w:val="22"/>
        </w:rPr>
        <w:t xml:space="preserve">vidence </w:t>
      </w:r>
      <w:r w:rsidR="00546A8C" w:rsidRPr="00513BCB">
        <w:rPr>
          <w:sz w:val="22"/>
          <w:szCs w:val="22"/>
        </w:rPr>
        <w:t xml:space="preserve">showed </w:t>
      </w:r>
      <w:r w:rsidR="000D3418" w:rsidRPr="00513BCB">
        <w:rPr>
          <w:sz w:val="22"/>
          <w:szCs w:val="22"/>
        </w:rPr>
        <w:t>that</w:t>
      </w:r>
      <w:r w:rsidR="00546A8C" w:rsidRPr="00513BCB">
        <w:rPr>
          <w:sz w:val="22"/>
          <w:szCs w:val="22"/>
        </w:rPr>
        <w:t>,</w:t>
      </w:r>
      <w:r w:rsidR="000D3418" w:rsidRPr="00513BCB">
        <w:rPr>
          <w:sz w:val="22"/>
          <w:szCs w:val="22"/>
        </w:rPr>
        <w:t xml:space="preserve"> if the liaison </w:t>
      </w:r>
      <w:r w:rsidR="00841897" w:rsidRPr="00513BCB">
        <w:rPr>
          <w:sz w:val="22"/>
          <w:szCs w:val="22"/>
        </w:rPr>
        <w:t xml:space="preserve">were </w:t>
      </w:r>
      <w:r w:rsidR="000D3418" w:rsidRPr="00513BCB">
        <w:rPr>
          <w:sz w:val="22"/>
          <w:szCs w:val="22"/>
        </w:rPr>
        <w:t>known to</w:t>
      </w:r>
      <w:r w:rsidR="009B3C0A" w:rsidRPr="00513BCB">
        <w:rPr>
          <w:sz w:val="22"/>
          <w:szCs w:val="22"/>
        </w:rPr>
        <w:t xml:space="preserve"> ‘the community’</w:t>
      </w:r>
      <w:r w:rsidR="000D3418" w:rsidRPr="00513BCB">
        <w:rPr>
          <w:sz w:val="22"/>
          <w:szCs w:val="22"/>
        </w:rPr>
        <w:t>, as the court describe</w:t>
      </w:r>
      <w:r w:rsidR="003F0B20" w:rsidRPr="00513BCB">
        <w:rPr>
          <w:sz w:val="22"/>
          <w:szCs w:val="22"/>
        </w:rPr>
        <w:t>d</w:t>
      </w:r>
      <w:r w:rsidR="000D3418" w:rsidRPr="00513BCB">
        <w:rPr>
          <w:sz w:val="22"/>
          <w:szCs w:val="22"/>
        </w:rPr>
        <w:t xml:space="preserve"> it, the </w:t>
      </w:r>
      <w:r w:rsidR="00546A8C" w:rsidRPr="00513BCB">
        <w:rPr>
          <w:sz w:val="22"/>
          <w:szCs w:val="22"/>
        </w:rPr>
        <w:t>birth giver</w:t>
      </w:r>
      <w:r w:rsidR="000D3418" w:rsidRPr="00513BCB">
        <w:rPr>
          <w:sz w:val="22"/>
          <w:szCs w:val="22"/>
        </w:rPr>
        <w:t xml:space="preserve"> would face ostracism, the father </w:t>
      </w:r>
      <w:r w:rsidR="00546A8C" w:rsidRPr="00513BCB">
        <w:rPr>
          <w:sz w:val="22"/>
          <w:szCs w:val="22"/>
        </w:rPr>
        <w:t xml:space="preserve">and family </w:t>
      </w:r>
      <w:r w:rsidR="000D3418" w:rsidRPr="00513BCB">
        <w:rPr>
          <w:sz w:val="22"/>
          <w:szCs w:val="22"/>
        </w:rPr>
        <w:t xml:space="preserve">would be put under great strain, </w:t>
      </w:r>
      <w:r w:rsidRPr="00513BCB">
        <w:rPr>
          <w:sz w:val="22"/>
          <w:szCs w:val="22"/>
        </w:rPr>
        <w:t xml:space="preserve">and </w:t>
      </w:r>
      <w:r w:rsidR="000D3418" w:rsidRPr="00513BCB">
        <w:rPr>
          <w:sz w:val="22"/>
          <w:szCs w:val="22"/>
        </w:rPr>
        <w:t>the ‘overall effect would be catastrophic, with a real danger of very serious violence</w:t>
      </w:r>
      <w:r w:rsidR="009B3C0A" w:rsidRPr="00513BCB">
        <w:rPr>
          <w:sz w:val="22"/>
          <w:szCs w:val="22"/>
        </w:rPr>
        <w:t>’</w:t>
      </w:r>
      <w:r w:rsidR="001554CC" w:rsidRPr="00513BCB">
        <w:rPr>
          <w:sz w:val="22"/>
          <w:szCs w:val="22"/>
        </w:rPr>
        <w:t>.</w:t>
      </w:r>
      <w:r w:rsidR="00824204" w:rsidRPr="00513BCB">
        <w:rPr>
          <w:rStyle w:val="FootnoteReference"/>
          <w:sz w:val="22"/>
          <w:szCs w:val="22"/>
        </w:rPr>
        <w:footnoteReference w:id="37"/>
      </w:r>
      <w:r w:rsidR="00824204" w:rsidRPr="00513BCB">
        <w:rPr>
          <w:sz w:val="22"/>
          <w:szCs w:val="22"/>
        </w:rPr>
        <w:t xml:space="preserve"> </w:t>
      </w:r>
      <w:r w:rsidR="000D3418" w:rsidRPr="00513BCB">
        <w:rPr>
          <w:sz w:val="22"/>
          <w:szCs w:val="22"/>
        </w:rPr>
        <w:t>I</w:t>
      </w:r>
      <w:r w:rsidR="00EC774F" w:rsidRPr="00513BCB">
        <w:rPr>
          <w:sz w:val="22"/>
          <w:szCs w:val="22"/>
        </w:rPr>
        <w:t xml:space="preserve">n </w:t>
      </w:r>
      <w:r w:rsidR="009B3C0A" w:rsidRPr="00513BCB">
        <w:rPr>
          <w:sz w:val="22"/>
          <w:szCs w:val="22"/>
        </w:rPr>
        <w:t xml:space="preserve">a later case, </w:t>
      </w:r>
      <w:r w:rsidR="00EC774F" w:rsidRPr="00513BCB">
        <w:rPr>
          <w:i/>
          <w:sz w:val="22"/>
          <w:szCs w:val="22"/>
        </w:rPr>
        <w:t>Re S</w:t>
      </w:r>
      <w:r w:rsidR="00EC774F" w:rsidRPr="00513BCB">
        <w:rPr>
          <w:sz w:val="22"/>
          <w:szCs w:val="22"/>
        </w:rPr>
        <w:t>, Thorpe LJ stated ‘[t]here will undoubtedly be cases in which the court will exercise that discretion against joining a natural father. An extreme and obvious instance would be the mother whose conception was as a consequence of violent rape.’</w:t>
      </w:r>
      <w:r w:rsidR="000F1BF0" w:rsidRPr="00513BCB">
        <w:rPr>
          <w:rStyle w:val="FootnoteReference"/>
          <w:sz w:val="22"/>
          <w:szCs w:val="22"/>
        </w:rPr>
        <w:footnoteReference w:id="38"/>
      </w:r>
      <w:r w:rsidR="00874FD9" w:rsidRPr="00513BCB">
        <w:rPr>
          <w:sz w:val="22"/>
          <w:szCs w:val="22"/>
        </w:rPr>
        <w:t xml:space="preserve"> This </w:t>
      </w:r>
      <w:r w:rsidR="00546A8C" w:rsidRPr="00513BCB">
        <w:rPr>
          <w:sz w:val="22"/>
          <w:szCs w:val="22"/>
        </w:rPr>
        <w:t xml:space="preserve">jurisprudence </w:t>
      </w:r>
      <w:r w:rsidR="00874FD9" w:rsidRPr="00513BCB">
        <w:rPr>
          <w:sz w:val="22"/>
          <w:szCs w:val="22"/>
        </w:rPr>
        <w:t>indicate</w:t>
      </w:r>
      <w:r w:rsidR="00546A8C" w:rsidRPr="00513BCB">
        <w:rPr>
          <w:sz w:val="22"/>
          <w:szCs w:val="22"/>
        </w:rPr>
        <w:t>s that</w:t>
      </w:r>
      <w:r w:rsidR="00111156" w:rsidRPr="00513BCB">
        <w:rPr>
          <w:sz w:val="22"/>
          <w:szCs w:val="22"/>
        </w:rPr>
        <w:t xml:space="preserve"> </w:t>
      </w:r>
      <w:r w:rsidR="00546A8C" w:rsidRPr="00513BCB">
        <w:rPr>
          <w:sz w:val="22"/>
          <w:szCs w:val="22"/>
        </w:rPr>
        <w:t xml:space="preserve">the father has no right to know of the </w:t>
      </w:r>
      <w:r w:rsidR="00874FD9" w:rsidRPr="00513BCB">
        <w:rPr>
          <w:sz w:val="22"/>
          <w:szCs w:val="22"/>
        </w:rPr>
        <w:t>child’s existence</w:t>
      </w:r>
      <w:r w:rsidR="000C4434" w:rsidRPr="00513BCB">
        <w:rPr>
          <w:sz w:val="22"/>
          <w:szCs w:val="22"/>
        </w:rPr>
        <w:t xml:space="preserve"> or, if there is a right, it can be lawfully interfered with</w:t>
      </w:r>
      <w:r w:rsidR="00874FD9" w:rsidRPr="00513BCB">
        <w:rPr>
          <w:sz w:val="22"/>
          <w:szCs w:val="22"/>
        </w:rPr>
        <w:t xml:space="preserve">. </w:t>
      </w:r>
    </w:p>
    <w:p w14:paraId="0594E5D6" w14:textId="77777777" w:rsidR="009B3C0A" w:rsidRPr="00513BCB" w:rsidRDefault="009B3C0A" w:rsidP="004D3080">
      <w:pPr>
        <w:spacing w:line="360" w:lineRule="auto"/>
        <w:jc w:val="both"/>
        <w:rPr>
          <w:sz w:val="22"/>
          <w:szCs w:val="22"/>
        </w:rPr>
      </w:pPr>
    </w:p>
    <w:p w14:paraId="39193BFA" w14:textId="49E46519" w:rsidR="008C6164" w:rsidRPr="00513BCB" w:rsidRDefault="00B54B03" w:rsidP="004D3080">
      <w:pPr>
        <w:spacing w:line="360" w:lineRule="auto"/>
        <w:jc w:val="both"/>
        <w:rPr>
          <w:sz w:val="22"/>
          <w:szCs w:val="22"/>
        </w:rPr>
      </w:pPr>
      <w:r w:rsidRPr="00513BCB">
        <w:rPr>
          <w:sz w:val="22"/>
          <w:szCs w:val="22"/>
        </w:rPr>
        <w:lastRenderedPageBreak/>
        <w:t>Arden</w:t>
      </w:r>
      <w:r w:rsidR="000D3418" w:rsidRPr="00513BCB">
        <w:rPr>
          <w:sz w:val="22"/>
          <w:szCs w:val="22"/>
        </w:rPr>
        <w:t xml:space="preserve"> LJ</w:t>
      </w:r>
      <w:r w:rsidRPr="00513BCB">
        <w:rPr>
          <w:sz w:val="22"/>
          <w:szCs w:val="22"/>
        </w:rPr>
        <w:t xml:space="preserve"> </w:t>
      </w:r>
      <w:r w:rsidR="00841897" w:rsidRPr="00513BCB">
        <w:rPr>
          <w:sz w:val="22"/>
          <w:szCs w:val="22"/>
        </w:rPr>
        <w:t xml:space="preserve">in </w:t>
      </w:r>
      <w:r w:rsidRPr="00513BCB">
        <w:rPr>
          <w:sz w:val="22"/>
          <w:szCs w:val="22"/>
        </w:rPr>
        <w:t xml:space="preserve">the Court of Appeal in </w:t>
      </w:r>
      <w:r w:rsidRPr="00513BCB">
        <w:rPr>
          <w:i/>
          <w:sz w:val="22"/>
          <w:szCs w:val="22"/>
        </w:rPr>
        <w:t>Re C</w:t>
      </w:r>
      <w:r w:rsidRPr="00513BCB">
        <w:rPr>
          <w:sz w:val="22"/>
          <w:szCs w:val="22"/>
        </w:rPr>
        <w:t xml:space="preserve"> </w:t>
      </w:r>
      <w:r w:rsidR="009B3C0A" w:rsidRPr="00513BCB">
        <w:rPr>
          <w:sz w:val="22"/>
          <w:szCs w:val="22"/>
        </w:rPr>
        <w:t xml:space="preserve">applied this approach </w:t>
      </w:r>
      <w:r w:rsidR="001554CC" w:rsidRPr="00513BCB">
        <w:rPr>
          <w:sz w:val="22"/>
          <w:szCs w:val="22"/>
        </w:rPr>
        <w:t xml:space="preserve">beyond </w:t>
      </w:r>
      <w:r w:rsidR="009B3C0A" w:rsidRPr="00513BCB">
        <w:rPr>
          <w:sz w:val="22"/>
          <w:szCs w:val="22"/>
        </w:rPr>
        <w:t xml:space="preserve">the case of </w:t>
      </w:r>
      <w:r w:rsidR="001554CC" w:rsidRPr="00513BCB">
        <w:rPr>
          <w:sz w:val="22"/>
          <w:szCs w:val="22"/>
        </w:rPr>
        <w:t>a violent father</w:t>
      </w:r>
      <w:r w:rsidR="008E4410" w:rsidRPr="00513BCB">
        <w:rPr>
          <w:sz w:val="22"/>
          <w:szCs w:val="22"/>
        </w:rPr>
        <w:t>. She stated</w:t>
      </w:r>
      <w:r w:rsidRPr="00513BCB">
        <w:rPr>
          <w:sz w:val="22"/>
          <w:szCs w:val="22"/>
        </w:rPr>
        <w:t xml:space="preserve"> as </w:t>
      </w:r>
      <w:r w:rsidR="000D3418" w:rsidRPr="00513BCB">
        <w:rPr>
          <w:sz w:val="22"/>
          <w:szCs w:val="22"/>
        </w:rPr>
        <w:t>‘</w:t>
      </w:r>
      <w:r w:rsidRPr="00513BCB">
        <w:rPr>
          <w:sz w:val="22"/>
          <w:szCs w:val="22"/>
        </w:rPr>
        <w:t>self-evident</w:t>
      </w:r>
      <w:r w:rsidR="000D3418" w:rsidRPr="00513BCB">
        <w:rPr>
          <w:sz w:val="22"/>
          <w:szCs w:val="22"/>
        </w:rPr>
        <w:t>’</w:t>
      </w:r>
      <w:r w:rsidRPr="00513BCB">
        <w:rPr>
          <w:sz w:val="22"/>
          <w:szCs w:val="22"/>
        </w:rPr>
        <w:t xml:space="preserve"> that ‘it would be inappropriate to reveal the existence of a child </w:t>
      </w:r>
      <w:r w:rsidR="001554CC" w:rsidRPr="00513BCB">
        <w:rPr>
          <w:sz w:val="22"/>
          <w:szCs w:val="22"/>
        </w:rPr>
        <w:t>…</w:t>
      </w:r>
      <w:r w:rsidRPr="00513BCB">
        <w:rPr>
          <w:sz w:val="22"/>
          <w:szCs w:val="22"/>
        </w:rPr>
        <w:t xml:space="preserve"> to relatives who suffered from illnesses which would make it impossible for them to look after the child’.</w:t>
      </w:r>
      <w:r w:rsidRPr="00513BCB">
        <w:rPr>
          <w:rStyle w:val="FootnoteReference"/>
          <w:sz w:val="22"/>
          <w:szCs w:val="22"/>
        </w:rPr>
        <w:footnoteReference w:id="39"/>
      </w:r>
      <w:r w:rsidRPr="00513BCB">
        <w:rPr>
          <w:sz w:val="22"/>
          <w:szCs w:val="22"/>
        </w:rPr>
        <w:t xml:space="preserve">  Enquiries will not be in the child</w:t>
      </w:r>
      <w:r w:rsidR="00EA0C59" w:rsidRPr="00513BCB">
        <w:rPr>
          <w:sz w:val="22"/>
          <w:szCs w:val="22"/>
        </w:rPr>
        <w:t>’s interests</w:t>
      </w:r>
      <w:r w:rsidRPr="00513BCB">
        <w:rPr>
          <w:sz w:val="22"/>
          <w:szCs w:val="22"/>
        </w:rPr>
        <w:t xml:space="preserve"> simply because they will provide more information about the child’s background</w:t>
      </w:r>
      <w:r w:rsidR="00EA0C59" w:rsidRPr="00513BCB">
        <w:rPr>
          <w:sz w:val="22"/>
          <w:szCs w:val="22"/>
        </w:rPr>
        <w:t xml:space="preserve">. They </w:t>
      </w:r>
      <w:r w:rsidRPr="00513BCB">
        <w:rPr>
          <w:sz w:val="22"/>
          <w:szCs w:val="22"/>
        </w:rPr>
        <w:t xml:space="preserve">must genuinely further the prospect of finding a long-term carer for the child without delay. </w:t>
      </w:r>
      <w:r w:rsidR="00EA0C59" w:rsidRPr="00513BCB">
        <w:rPr>
          <w:sz w:val="22"/>
          <w:szCs w:val="22"/>
        </w:rPr>
        <w:t>E</w:t>
      </w:r>
      <w:r w:rsidRPr="00513BCB">
        <w:rPr>
          <w:sz w:val="22"/>
          <w:szCs w:val="22"/>
        </w:rPr>
        <w:t>mphasis</w:t>
      </w:r>
      <w:r w:rsidR="00EA0C59" w:rsidRPr="00513BCB">
        <w:rPr>
          <w:sz w:val="22"/>
          <w:szCs w:val="22"/>
        </w:rPr>
        <w:t xml:space="preserve"> lies</w:t>
      </w:r>
      <w:r w:rsidRPr="00513BCB">
        <w:rPr>
          <w:sz w:val="22"/>
          <w:szCs w:val="22"/>
        </w:rPr>
        <w:t xml:space="preserve"> on the need </w:t>
      </w:r>
      <w:r w:rsidR="00841897" w:rsidRPr="00513BCB">
        <w:rPr>
          <w:sz w:val="22"/>
          <w:szCs w:val="22"/>
        </w:rPr>
        <w:t xml:space="preserve">speedily </w:t>
      </w:r>
      <w:r w:rsidRPr="00513BCB">
        <w:rPr>
          <w:sz w:val="22"/>
          <w:szCs w:val="22"/>
        </w:rPr>
        <w:t>to fi</w:t>
      </w:r>
      <w:r w:rsidR="001554CC" w:rsidRPr="00513BCB">
        <w:rPr>
          <w:sz w:val="22"/>
          <w:szCs w:val="22"/>
        </w:rPr>
        <w:t>nd the child a permanent home</w:t>
      </w:r>
      <w:r w:rsidRPr="00513BCB">
        <w:rPr>
          <w:sz w:val="22"/>
          <w:szCs w:val="22"/>
        </w:rPr>
        <w:t>.</w:t>
      </w:r>
      <w:r w:rsidR="00EA0C59" w:rsidRPr="00513BCB">
        <w:rPr>
          <w:rStyle w:val="FootnoteReference"/>
          <w:sz w:val="22"/>
          <w:szCs w:val="22"/>
        </w:rPr>
        <w:t xml:space="preserve"> </w:t>
      </w:r>
      <w:r w:rsidR="00EA0C59" w:rsidRPr="00513BCB">
        <w:rPr>
          <w:rStyle w:val="FootnoteReference"/>
          <w:sz w:val="22"/>
          <w:szCs w:val="22"/>
        </w:rPr>
        <w:footnoteReference w:id="40"/>
      </w:r>
      <w:r w:rsidR="00EA0C59" w:rsidRPr="00513BCB">
        <w:rPr>
          <w:sz w:val="22"/>
          <w:szCs w:val="22"/>
        </w:rPr>
        <w:t xml:space="preserve"> </w:t>
      </w:r>
      <w:r w:rsidRPr="00513BCB">
        <w:rPr>
          <w:sz w:val="22"/>
          <w:szCs w:val="22"/>
        </w:rPr>
        <w:t xml:space="preserve"> There </w:t>
      </w:r>
      <w:r w:rsidR="001554CC" w:rsidRPr="00513BCB">
        <w:rPr>
          <w:sz w:val="22"/>
          <w:szCs w:val="22"/>
        </w:rPr>
        <w:t xml:space="preserve">was </w:t>
      </w:r>
      <w:r w:rsidR="009B3C0A" w:rsidRPr="00513BCB">
        <w:rPr>
          <w:sz w:val="22"/>
          <w:szCs w:val="22"/>
        </w:rPr>
        <w:t xml:space="preserve">said </w:t>
      </w:r>
      <w:r w:rsidR="001554CC" w:rsidRPr="00513BCB">
        <w:rPr>
          <w:sz w:val="22"/>
          <w:szCs w:val="22"/>
        </w:rPr>
        <w:t xml:space="preserve">to be </w:t>
      </w:r>
      <w:r w:rsidRPr="00513BCB">
        <w:rPr>
          <w:sz w:val="22"/>
          <w:szCs w:val="22"/>
        </w:rPr>
        <w:t>no policy or legislative preference for the ‘natural’ family in these factual circumstances.</w:t>
      </w:r>
      <w:r w:rsidRPr="00513BCB">
        <w:rPr>
          <w:rStyle w:val="FootnoteReference"/>
          <w:sz w:val="22"/>
          <w:szCs w:val="22"/>
        </w:rPr>
        <w:footnoteReference w:id="41"/>
      </w:r>
      <w:r w:rsidRPr="00513BCB">
        <w:rPr>
          <w:sz w:val="22"/>
          <w:szCs w:val="22"/>
        </w:rPr>
        <w:t xml:space="preserve"> Whilst </w:t>
      </w:r>
      <w:r w:rsidR="00824204" w:rsidRPr="00513BCB">
        <w:rPr>
          <w:sz w:val="22"/>
          <w:szCs w:val="22"/>
        </w:rPr>
        <w:t xml:space="preserve">mentioning that </w:t>
      </w:r>
      <w:r w:rsidRPr="00513BCB">
        <w:rPr>
          <w:sz w:val="22"/>
          <w:szCs w:val="22"/>
        </w:rPr>
        <w:t xml:space="preserve">there is an interest in the child retaining his or her identity, and </w:t>
      </w:r>
      <w:r w:rsidR="009B3C0A" w:rsidRPr="00513BCB">
        <w:rPr>
          <w:sz w:val="22"/>
          <w:szCs w:val="22"/>
        </w:rPr>
        <w:t xml:space="preserve">that </w:t>
      </w:r>
      <w:r w:rsidRPr="00513BCB">
        <w:rPr>
          <w:sz w:val="22"/>
          <w:szCs w:val="22"/>
        </w:rPr>
        <w:t>this is likely to be important in adulthood, the Court considered this as ‘only one factor in the balance that has to be struck</w:t>
      </w:r>
      <w:r w:rsidR="009B3C0A" w:rsidRPr="00513BCB">
        <w:rPr>
          <w:sz w:val="22"/>
          <w:szCs w:val="22"/>
        </w:rPr>
        <w:t>’</w:t>
      </w:r>
      <w:r w:rsidRPr="00513BCB">
        <w:rPr>
          <w:sz w:val="22"/>
          <w:szCs w:val="22"/>
        </w:rPr>
        <w:t>.</w:t>
      </w:r>
      <w:r w:rsidRPr="00513BCB">
        <w:rPr>
          <w:rStyle w:val="FootnoteReference"/>
          <w:sz w:val="22"/>
          <w:szCs w:val="22"/>
        </w:rPr>
        <w:footnoteReference w:id="42"/>
      </w:r>
      <w:r w:rsidRPr="00513BCB">
        <w:rPr>
          <w:sz w:val="22"/>
          <w:szCs w:val="22"/>
        </w:rPr>
        <w:t xml:space="preserve"> The Court was not convinced by arguments that there is now an expectation of disclosure and a societal shift in support of greater involvement of the father. The purpose of informing is for the child to be cared for, not for</w:t>
      </w:r>
      <w:r w:rsidR="00AC28B9" w:rsidRPr="00513BCB">
        <w:rPr>
          <w:sz w:val="22"/>
          <w:szCs w:val="22"/>
        </w:rPr>
        <w:t xml:space="preserve"> </w:t>
      </w:r>
      <w:r w:rsidR="001554CC" w:rsidRPr="00513BCB">
        <w:rPr>
          <w:sz w:val="22"/>
          <w:szCs w:val="22"/>
        </w:rPr>
        <w:t>any</w:t>
      </w:r>
      <w:r w:rsidRPr="00513BCB">
        <w:rPr>
          <w:sz w:val="22"/>
          <w:szCs w:val="22"/>
        </w:rPr>
        <w:t xml:space="preserve"> entitlement to know about the child’s existence or the child’s right to know exactly who his or her parents are.</w:t>
      </w:r>
      <w:r w:rsidRPr="00513BCB">
        <w:rPr>
          <w:rStyle w:val="FootnoteReference"/>
          <w:sz w:val="22"/>
          <w:szCs w:val="22"/>
        </w:rPr>
        <w:footnoteReference w:id="43"/>
      </w:r>
      <w:r w:rsidRPr="00513BCB">
        <w:rPr>
          <w:sz w:val="22"/>
          <w:szCs w:val="22"/>
        </w:rPr>
        <w:t xml:space="preserve"> </w:t>
      </w:r>
    </w:p>
    <w:p w14:paraId="41E237E3" w14:textId="77777777" w:rsidR="00EA0C59" w:rsidRPr="00513BCB" w:rsidRDefault="00EA0C59" w:rsidP="004D3080">
      <w:pPr>
        <w:spacing w:line="360" w:lineRule="auto"/>
        <w:jc w:val="both"/>
        <w:rPr>
          <w:sz w:val="22"/>
          <w:szCs w:val="22"/>
        </w:rPr>
      </w:pPr>
    </w:p>
    <w:p w14:paraId="69E7E9EA" w14:textId="5A075D4A" w:rsidR="00352D44" w:rsidRPr="00513BCB" w:rsidRDefault="005B2FA5" w:rsidP="004D3080">
      <w:pPr>
        <w:pStyle w:val="BodyText"/>
        <w:spacing w:line="360" w:lineRule="auto"/>
        <w:rPr>
          <w:rFonts w:asciiTheme="minorHAnsi" w:hAnsiTheme="minorHAnsi"/>
          <w:sz w:val="22"/>
          <w:szCs w:val="22"/>
        </w:rPr>
      </w:pPr>
      <w:r w:rsidRPr="00513BCB">
        <w:rPr>
          <w:rFonts w:asciiTheme="minorHAnsi" w:hAnsiTheme="minorHAnsi"/>
          <w:sz w:val="22"/>
          <w:szCs w:val="22"/>
        </w:rPr>
        <w:t xml:space="preserve">In </w:t>
      </w:r>
      <w:r w:rsidR="00824204" w:rsidRPr="00513BCB">
        <w:rPr>
          <w:rFonts w:asciiTheme="minorHAnsi" w:hAnsiTheme="minorHAnsi"/>
          <w:sz w:val="22"/>
          <w:szCs w:val="22"/>
        </w:rPr>
        <w:t xml:space="preserve">an </w:t>
      </w:r>
      <w:r w:rsidRPr="00513BCB">
        <w:rPr>
          <w:rFonts w:asciiTheme="minorHAnsi" w:hAnsiTheme="minorHAnsi"/>
          <w:sz w:val="22"/>
          <w:szCs w:val="22"/>
        </w:rPr>
        <w:t xml:space="preserve">earlier case, </w:t>
      </w:r>
      <w:r w:rsidR="00050EB4" w:rsidRPr="00513BCB">
        <w:rPr>
          <w:rFonts w:asciiTheme="minorHAnsi" w:hAnsiTheme="minorHAnsi"/>
          <w:sz w:val="22"/>
          <w:szCs w:val="22"/>
        </w:rPr>
        <w:t>Holman J</w:t>
      </w:r>
      <w:r w:rsidRPr="00513BCB">
        <w:rPr>
          <w:rFonts w:asciiTheme="minorHAnsi" w:hAnsiTheme="minorHAnsi"/>
          <w:sz w:val="22"/>
          <w:szCs w:val="22"/>
        </w:rPr>
        <w:t xml:space="preserve"> held</w:t>
      </w:r>
      <w:r w:rsidR="00050EB4" w:rsidRPr="00513BCB">
        <w:rPr>
          <w:rFonts w:asciiTheme="minorHAnsi" w:hAnsiTheme="minorHAnsi"/>
          <w:sz w:val="22"/>
          <w:szCs w:val="22"/>
        </w:rPr>
        <w:t xml:space="preserve"> that no notice ought to be given to the family against</w:t>
      </w:r>
      <w:r w:rsidR="008C6164" w:rsidRPr="00513BCB">
        <w:rPr>
          <w:rFonts w:asciiTheme="minorHAnsi" w:hAnsiTheme="minorHAnsi"/>
          <w:sz w:val="22"/>
          <w:szCs w:val="22"/>
        </w:rPr>
        <w:t xml:space="preserve"> the birth giver’s wishes</w:t>
      </w:r>
      <w:r w:rsidRPr="00513BCB">
        <w:rPr>
          <w:rFonts w:asciiTheme="minorHAnsi" w:hAnsiTheme="minorHAnsi"/>
          <w:sz w:val="22"/>
          <w:szCs w:val="22"/>
        </w:rPr>
        <w:t>,</w:t>
      </w:r>
      <w:r w:rsidR="008C6164" w:rsidRPr="00513BCB">
        <w:rPr>
          <w:rFonts w:asciiTheme="minorHAnsi" w:hAnsiTheme="minorHAnsi"/>
          <w:sz w:val="22"/>
          <w:szCs w:val="22"/>
        </w:rPr>
        <w:t xml:space="preserve"> </w:t>
      </w:r>
      <w:r w:rsidR="003F0B20" w:rsidRPr="00513BCB">
        <w:rPr>
          <w:rFonts w:asciiTheme="minorHAnsi" w:hAnsiTheme="minorHAnsi"/>
          <w:sz w:val="22"/>
          <w:szCs w:val="22"/>
        </w:rPr>
        <w:t xml:space="preserve">and </w:t>
      </w:r>
      <w:r w:rsidR="008C6164" w:rsidRPr="00513BCB">
        <w:rPr>
          <w:rFonts w:asciiTheme="minorHAnsi" w:hAnsiTheme="minorHAnsi"/>
          <w:sz w:val="22"/>
          <w:szCs w:val="22"/>
        </w:rPr>
        <w:t>warn</w:t>
      </w:r>
      <w:r w:rsidR="001554CC" w:rsidRPr="00513BCB">
        <w:rPr>
          <w:rFonts w:asciiTheme="minorHAnsi" w:hAnsiTheme="minorHAnsi"/>
          <w:sz w:val="22"/>
          <w:szCs w:val="22"/>
        </w:rPr>
        <w:t>ed</w:t>
      </w:r>
      <w:r w:rsidR="00EA0C59" w:rsidRPr="00513BCB">
        <w:rPr>
          <w:rFonts w:asciiTheme="minorHAnsi" w:hAnsiTheme="minorHAnsi"/>
          <w:sz w:val="22"/>
          <w:szCs w:val="22"/>
        </w:rPr>
        <w:t xml:space="preserve"> that: ‘[t]</w:t>
      </w:r>
      <w:r w:rsidR="00050EB4" w:rsidRPr="00513BCB">
        <w:rPr>
          <w:rFonts w:asciiTheme="minorHAnsi" w:hAnsiTheme="minorHAnsi"/>
          <w:sz w:val="22"/>
          <w:szCs w:val="22"/>
        </w:rPr>
        <w:t>here is…a strong social need, if it is lawful, to continue to enable some mothers…to make discreet, dignified and humane arrangements for the birth and subsequent adoption of their babies, without their families knowing anything about it…’</w:t>
      </w:r>
      <w:r w:rsidR="00050EB4" w:rsidRPr="00513BCB">
        <w:rPr>
          <w:rStyle w:val="FootnoteReference"/>
          <w:rFonts w:asciiTheme="minorHAnsi" w:hAnsiTheme="minorHAnsi"/>
          <w:sz w:val="22"/>
          <w:szCs w:val="22"/>
        </w:rPr>
        <w:footnoteReference w:id="44"/>
      </w:r>
      <w:r w:rsidR="00050EB4" w:rsidRPr="00513BCB">
        <w:rPr>
          <w:rFonts w:asciiTheme="minorHAnsi" w:hAnsiTheme="minorHAnsi"/>
          <w:sz w:val="22"/>
          <w:szCs w:val="22"/>
        </w:rPr>
        <w:t xml:space="preserve"> </w:t>
      </w:r>
      <w:r w:rsidR="00EA0C59" w:rsidRPr="00513BCB">
        <w:rPr>
          <w:rFonts w:asciiTheme="minorHAnsi" w:hAnsiTheme="minorHAnsi"/>
          <w:sz w:val="22"/>
          <w:szCs w:val="22"/>
        </w:rPr>
        <w:t>This</w:t>
      </w:r>
      <w:r w:rsidR="00050EB4" w:rsidRPr="00513BCB">
        <w:rPr>
          <w:rFonts w:asciiTheme="minorHAnsi" w:hAnsiTheme="minorHAnsi"/>
          <w:sz w:val="22"/>
          <w:szCs w:val="22"/>
        </w:rPr>
        <w:t xml:space="preserve"> judgment </w:t>
      </w:r>
      <w:r w:rsidRPr="00513BCB">
        <w:rPr>
          <w:rFonts w:asciiTheme="minorHAnsi" w:hAnsiTheme="minorHAnsi"/>
          <w:sz w:val="22"/>
          <w:szCs w:val="22"/>
        </w:rPr>
        <w:t xml:space="preserve">was </w:t>
      </w:r>
      <w:r w:rsidR="00050EB4" w:rsidRPr="00513BCB">
        <w:rPr>
          <w:rFonts w:asciiTheme="minorHAnsi" w:hAnsiTheme="minorHAnsi"/>
          <w:sz w:val="22"/>
          <w:szCs w:val="22"/>
        </w:rPr>
        <w:t>applauded by Munby J (as he then was) as demonstrating ‘much humanity and wisdom’.</w:t>
      </w:r>
      <w:r w:rsidR="00050EB4" w:rsidRPr="00513BCB">
        <w:rPr>
          <w:rStyle w:val="FootnoteReference"/>
          <w:rFonts w:asciiTheme="minorHAnsi" w:hAnsiTheme="minorHAnsi"/>
          <w:sz w:val="22"/>
          <w:szCs w:val="22"/>
        </w:rPr>
        <w:footnoteReference w:id="45"/>
      </w:r>
      <w:r w:rsidR="00050EB4" w:rsidRPr="00513BCB">
        <w:rPr>
          <w:rFonts w:asciiTheme="minorHAnsi" w:hAnsiTheme="minorHAnsi"/>
          <w:sz w:val="22"/>
          <w:szCs w:val="22"/>
        </w:rPr>
        <w:t xml:space="preserve"> </w:t>
      </w:r>
      <w:r w:rsidR="00EA0C59" w:rsidRPr="00513BCB">
        <w:rPr>
          <w:rFonts w:asciiTheme="minorHAnsi" w:hAnsiTheme="minorHAnsi"/>
          <w:sz w:val="22"/>
          <w:szCs w:val="22"/>
        </w:rPr>
        <w:t>He describe</w:t>
      </w:r>
      <w:r w:rsidRPr="00513BCB">
        <w:rPr>
          <w:rFonts w:asciiTheme="minorHAnsi" w:hAnsiTheme="minorHAnsi"/>
          <w:sz w:val="22"/>
          <w:szCs w:val="22"/>
        </w:rPr>
        <w:t>d</w:t>
      </w:r>
      <w:r w:rsidR="00EA0C59" w:rsidRPr="00513BCB">
        <w:rPr>
          <w:rFonts w:asciiTheme="minorHAnsi" w:hAnsiTheme="minorHAnsi"/>
          <w:sz w:val="22"/>
          <w:szCs w:val="22"/>
        </w:rPr>
        <w:t xml:space="preserve"> </w:t>
      </w:r>
      <w:r w:rsidR="001554CC" w:rsidRPr="00513BCB">
        <w:rPr>
          <w:rFonts w:asciiTheme="minorHAnsi" w:hAnsiTheme="minorHAnsi"/>
          <w:sz w:val="22"/>
          <w:szCs w:val="22"/>
        </w:rPr>
        <w:t>judges forc</w:t>
      </w:r>
      <w:r w:rsidR="00824204" w:rsidRPr="00513BCB">
        <w:rPr>
          <w:rFonts w:asciiTheme="minorHAnsi" w:hAnsiTheme="minorHAnsi"/>
          <w:sz w:val="22"/>
          <w:szCs w:val="22"/>
        </w:rPr>
        <w:t>ing</w:t>
      </w:r>
      <w:r w:rsidR="00050EB4" w:rsidRPr="00513BCB">
        <w:rPr>
          <w:rFonts w:asciiTheme="minorHAnsi" w:hAnsiTheme="minorHAnsi"/>
          <w:sz w:val="22"/>
          <w:szCs w:val="22"/>
        </w:rPr>
        <w:t xml:space="preserve"> </w:t>
      </w:r>
      <w:r w:rsidR="00AC28B9" w:rsidRPr="00513BCB">
        <w:rPr>
          <w:rFonts w:asciiTheme="minorHAnsi" w:hAnsiTheme="minorHAnsi"/>
          <w:sz w:val="22"/>
          <w:szCs w:val="22"/>
        </w:rPr>
        <w:t>birth</w:t>
      </w:r>
      <w:r w:rsidR="00824204" w:rsidRPr="00513BCB">
        <w:rPr>
          <w:rFonts w:asciiTheme="minorHAnsi" w:hAnsiTheme="minorHAnsi"/>
          <w:sz w:val="22"/>
          <w:szCs w:val="22"/>
        </w:rPr>
        <w:t xml:space="preserve"> </w:t>
      </w:r>
      <w:r w:rsidR="00AC28B9" w:rsidRPr="00513BCB">
        <w:rPr>
          <w:rFonts w:asciiTheme="minorHAnsi" w:hAnsiTheme="minorHAnsi"/>
          <w:sz w:val="22"/>
          <w:szCs w:val="22"/>
        </w:rPr>
        <w:t xml:space="preserve">givers </w:t>
      </w:r>
      <w:r w:rsidR="001554CC" w:rsidRPr="00513BCB">
        <w:rPr>
          <w:rFonts w:asciiTheme="minorHAnsi" w:hAnsiTheme="minorHAnsi"/>
          <w:sz w:val="22"/>
          <w:szCs w:val="22"/>
        </w:rPr>
        <w:t>to</w:t>
      </w:r>
      <w:r w:rsidR="00050EB4" w:rsidRPr="00513BCB">
        <w:rPr>
          <w:rFonts w:asciiTheme="minorHAnsi" w:hAnsiTheme="minorHAnsi"/>
          <w:sz w:val="22"/>
          <w:szCs w:val="22"/>
        </w:rPr>
        <w:t xml:space="preserve"> reveal the identity of the father and the nature and extent of her rela</w:t>
      </w:r>
      <w:r w:rsidR="00050EB4" w:rsidRPr="00513BCB">
        <w:rPr>
          <w:rFonts w:asciiTheme="minorHAnsi" w:hAnsiTheme="minorHAnsi"/>
          <w:sz w:val="22"/>
          <w:szCs w:val="22"/>
        </w:rPr>
        <w:lastRenderedPageBreak/>
        <w:t>tionship with him, by, fo</w:t>
      </w:r>
      <w:r w:rsidR="00EA0C59" w:rsidRPr="00513BCB">
        <w:rPr>
          <w:rFonts w:asciiTheme="minorHAnsi" w:hAnsiTheme="minorHAnsi"/>
          <w:sz w:val="22"/>
          <w:szCs w:val="22"/>
        </w:rPr>
        <w:t>r example, cross-examination</w:t>
      </w:r>
      <w:r w:rsidR="00824204" w:rsidRPr="00513BCB">
        <w:rPr>
          <w:rFonts w:asciiTheme="minorHAnsi" w:hAnsiTheme="minorHAnsi"/>
          <w:sz w:val="22"/>
          <w:szCs w:val="22"/>
        </w:rPr>
        <w:t xml:space="preserve"> as ‘deeply unattractive and unsettling’</w:t>
      </w:r>
      <w:r w:rsidR="009B3C0A" w:rsidRPr="00513BCB">
        <w:rPr>
          <w:rFonts w:asciiTheme="minorHAnsi" w:hAnsiTheme="minorHAnsi"/>
          <w:sz w:val="22"/>
          <w:szCs w:val="22"/>
        </w:rPr>
        <w:t>;</w:t>
      </w:r>
      <w:r w:rsidR="00050EB4" w:rsidRPr="00513BCB">
        <w:rPr>
          <w:rFonts w:asciiTheme="minorHAnsi" w:hAnsiTheme="minorHAnsi"/>
          <w:sz w:val="22"/>
          <w:szCs w:val="22"/>
        </w:rPr>
        <w:t xml:space="preserve"> ‘in relation to matters as personal and intimate as this we should be wary of seeking to open windows into people’s souls.’</w:t>
      </w:r>
      <w:r w:rsidR="00050EB4" w:rsidRPr="00513BCB">
        <w:rPr>
          <w:rStyle w:val="FootnoteReference"/>
          <w:rFonts w:asciiTheme="minorHAnsi" w:hAnsiTheme="minorHAnsi"/>
          <w:sz w:val="22"/>
          <w:szCs w:val="22"/>
        </w:rPr>
        <w:footnoteReference w:id="46"/>
      </w:r>
      <w:r w:rsidR="00050EB4" w:rsidRPr="00513BCB">
        <w:rPr>
          <w:rFonts w:asciiTheme="minorHAnsi" w:hAnsiTheme="minorHAnsi"/>
          <w:sz w:val="22"/>
          <w:szCs w:val="22"/>
        </w:rPr>
        <w:t xml:space="preserve"> </w:t>
      </w:r>
      <w:r w:rsidR="00682F1C" w:rsidRPr="00513BCB">
        <w:rPr>
          <w:rFonts w:asciiTheme="minorHAnsi" w:hAnsiTheme="minorHAnsi"/>
          <w:sz w:val="22"/>
          <w:szCs w:val="22"/>
        </w:rPr>
        <w:t xml:space="preserve">Munby LJ’s reference to the word ‘soul’ </w:t>
      </w:r>
      <w:r w:rsidR="00824204" w:rsidRPr="00513BCB">
        <w:rPr>
          <w:rFonts w:asciiTheme="minorHAnsi" w:hAnsiTheme="minorHAnsi"/>
          <w:sz w:val="22"/>
          <w:szCs w:val="22"/>
        </w:rPr>
        <w:t>alludes to matters of an</w:t>
      </w:r>
      <w:r w:rsidR="00682F1C" w:rsidRPr="00513BCB">
        <w:rPr>
          <w:rFonts w:asciiTheme="minorHAnsi" w:hAnsiTheme="minorHAnsi"/>
          <w:sz w:val="22"/>
          <w:szCs w:val="22"/>
        </w:rPr>
        <w:t xml:space="preserve"> ‘intimate nature’</w:t>
      </w:r>
      <w:r w:rsidR="001554CC" w:rsidRPr="00513BCB">
        <w:rPr>
          <w:rFonts w:asciiTheme="minorHAnsi" w:hAnsiTheme="minorHAnsi"/>
          <w:sz w:val="22"/>
          <w:szCs w:val="22"/>
        </w:rPr>
        <w:t>,</w:t>
      </w:r>
      <w:r w:rsidR="00EA0C59" w:rsidRPr="00513BCB">
        <w:rPr>
          <w:rFonts w:asciiTheme="minorHAnsi" w:hAnsiTheme="minorHAnsi"/>
          <w:sz w:val="22"/>
          <w:szCs w:val="22"/>
        </w:rPr>
        <w:t xml:space="preserve"> u</w:t>
      </w:r>
      <w:r w:rsidR="001554CC" w:rsidRPr="00513BCB">
        <w:rPr>
          <w:rFonts w:asciiTheme="minorHAnsi" w:hAnsiTheme="minorHAnsi"/>
          <w:sz w:val="22"/>
          <w:szCs w:val="22"/>
        </w:rPr>
        <w:t>sually</w:t>
      </w:r>
      <w:r w:rsidR="00682F1C" w:rsidRPr="00513BCB">
        <w:rPr>
          <w:rFonts w:asciiTheme="minorHAnsi" w:hAnsiTheme="minorHAnsi"/>
          <w:sz w:val="22"/>
          <w:szCs w:val="22"/>
        </w:rPr>
        <w:t xml:space="preserve"> sexual intercourse or delving into a person’s conscience, </w:t>
      </w:r>
      <w:r w:rsidR="00EA0C59" w:rsidRPr="00513BCB">
        <w:rPr>
          <w:rFonts w:asciiTheme="minorHAnsi" w:hAnsiTheme="minorHAnsi"/>
          <w:sz w:val="22"/>
          <w:szCs w:val="22"/>
        </w:rPr>
        <w:t xml:space="preserve">often </w:t>
      </w:r>
      <w:r w:rsidR="00824204" w:rsidRPr="00513BCB">
        <w:rPr>
          <w:rFonts w:asciiTheme="minorHAnsi" w:hAnsiTheme="minorHAnsi"/>
          <w:sz w:val="22"/>
          <w:szCs w:val="22"/>
        </w:rPr>
        <w:t xml:space="preserve">sought to be </w:t>
      </w:r>
      <w:r w:rsidR="00EA0C59" w:rsidRPr="00513BCB">
        <w:rPr>
          <w:rFonts w:asciiTheme="minorHAnsi" w:hAnsiTheme="minorHAnsi"/>
          <w:sz w:val="22"/>
          <w:szCs w:val="22"/>
        </w:rPr>
        <w:t>kep</w:t>
      </w:r>
      <w:r w:rsidR="00824204" w:rsidRPr="00513BCB">
        <w:rPr>
          <w:rFonts w:asciiTheme="minorHAnsi" w:hAnsiTheme="minorHAnsi"/>
          <w:sz w:val="22"/>
          <w:szCs w:val="22"/>
        </w:rPr>
        <w:t>t</w:t>
      </w:r>
      <w:r w:rsidR="00EA0C59" w:rsidRPr="00513BCB">
        <w:rPr>
          <w:rFonts w:asciiTheme="minorHAnsi" w:hAnsiTheme="minorHAnsi"/>
          <w:sz w:val="22"/>
          <w:szCs w:val="22"/>
        </w:rPr>
        <w:t xml:space="preserve"> secret and private</w:t>
      </w:r>
      <w:r w:rsidR="00682F1C" w:rsidRPr="00513BCB">
        <w:rPr>
          <w:rFonts w:asciiTheme="minorHAnsi" w:hAnsiTheme="minorHAnsi"/>
          <w:sz w:val="22"/>
          <w:szCs w:val="22"/>
        </w:rPr>
        <w:t>.</w:t>
      </w:r>
      <w:r w:rsidR="00682F1C" w:rsidRPr="00513BCB">
        <w:rPr>
          <w:rStyle w:val="FootnoteReference"/>
          <w:rFonts w:asciiTheme="minorHAnsi" w:hAnsiTheme="minorHAnsi"/>
          <w:sz w:val="22"/>
          <w:szCs w:val="22"/>
        </w:rPr>
        <w:footnoteReference w:id="47"/>
      </w:r>
      <w:r w:rsidR="00682F1C" w:rsidRPr="00513BCB">
        <w:rPr>
          <w:rFonts w:asciiTheme="minorHAnsi" w:hAnsiTheme="minorHAnsi"/>
          <w:sz w:val="22"/>
          <w:szCs w:val="22"/>
        </w:rPr>
        <w:t xml:space="preserve"> These relinquishment cases involve disclosing with whom one has had sex</w:t>
      </w:r>
      <w:r w:rsidR="00094A7A" w:rsidRPr="00513BCB">
        <w:rPr>
          <w:rFonts w:asciiTheme="minorHAnsi" w:hAnsiTheme="minorHAnsi"/>
          <w:sz w:val="22"/>
          <w:szCs w:val="22"/>
        </w:rPr>
        <w:t xml:space="preserve">, </w:t>
      </w:r>
      <w:r w:rsidR="009B3C0A" w:rsidRPr="00513BCB">
        <w:rPr>
          <w:rFonts w:asciiTheme="minorHAnsi" w:hAnsiTheme="minorHAnsi"/>
          <w:sz w:val="22"/>
          <w:szCs w:val="22"/>
        </w:rPr>
        <w:t xml:space="preserve">and </w:t>
      </w:r>
      <w:r w:rsidR="00682F1C" w:rsidRPr="00513BCB">
        <w:rPr>
          <w:rFonts w:asciiTheme="minorHAnsi" w:hAnsiTheme="minorHAnsi"/>
          <w:sz w:val="22"/>
          <w:szCs w:val="22"/>
        </w:rPr>
        <w:t>that one is pregnant</w:t>
      </w:r>
      <w:r w:rsidRPr="00513BCB">
        <w:rPr>
          <w:rFonts w:asciiTheme="minorHAnsi" w:hAnsiTheme="minorHAnsi"/>
          <w:sz w:val="22"/>
          <w:szCs w:val="22"/>
        </w:rPr>
        <w:t xml:space="preserve"> and </w:t>
      </w:r>
      <w:r w:rsidR="000D3418" w:rsidRPr="00513BCB">
        <w:rPr>
          <w:rFonts w:asciiTheme="minorHAnsi" w:hAnsiTheme="minorHAnsi"/>
          <w:sz w:val="22"/>
          <w:szCs w:val="22"/>
        </w:rPr>
        <w:t>has given birth, all matters of an intimate nature. Yet, when a girl or woman is pregnant, it often seems that society consider</w:t>
      </w:r>
      <w:r w:rsidR="00AC28B9" w:rsidRPr="00513BCB">
        <w:rPr>
          <w:rFonts w:asciiTheme="minorHAnsi" w:hAnsiTheme="minorHAnsi"/>
          <w:sz w:val="22"/>
          <w:szCs w:val="22"/>
        </w:rPr>
        <w:t>s</w:t>
      </w:r>
      <w:r w:rsidR="000D3418" w:rsidRPr="00513BCB">
        <w:rPr>
          <w:rFonts w:asciiTheme="minorHAnsi" w:hAnsiTheme="minorHAnsi"/>
          <w:sz w:val="22"/>
          <w:szCs w:val="22"/>
        </w:rPr>
        <w:t xml:space="preserve"> her body is now an object for public concern and surveillance</w:t>
      </w:r>
      <w:r w:rsidR="009B3C0A" w:rsidRPr="00513BCB">
        <w:rPr>
          <w:rFonts w:asciiTheme="minorHAnsi" w:hAnsiTheme="minorHAnsi"/>
          <w:sz w:val="22"/>
          <w:szCs w:val="22"/>
        </w:rPr>
        <w:t>,</w:t>
      </w:r>
      <w:r w:rsidR="000D3418" w:rsidRPr="00513BCB">
        <w:rPr>
          <w:rFonts w:asciiTheme="minorHAnsi" w:hAnsiTheme="minorHAnsi"/>
          <w:sz w:val="22"/>
          <w:szCs w:val="22"/>
        </w:rPr>
        <w:t xml:space="preserve"> issues explored further in Part 3. </w:t>
      </w:r>
    </w:p>
    <w:p w14:paraId="54DAC2FE" w14:textId="77777777" w:rsidR="000D3418" w:rsidRPr="00513BCB" w:rsidRDefault="000D3418" w:rsidP="004D3080">
      <w:pPr>
        <w:spacing w:line="360" w:lineRule="auto"/>
        <w:jc w:val="both"/>
        <w:rPr>
          <w:sz w:val="22"/>
          <w:szCs w:val="22"/>
        </w:rPr>
      </w:pPr>
    </w:p>
    <w:p w14:paraId="22986F5C" w14:textId="3AEC9332" w:rsidR="007F2739" w:rsidRPr="00513BCB" w:rsidRDefault="00766DE5" w:rsidP="004D3080">
      <w:pPr>
        <w:pStyle w:val="BodyText"/>
        <w:spacing w:line="360" w:lineRule="auto"/>
      </w:pPr>
      <w:r w:rsidRPr="00513BCB">
        <w:rPr>
          <w:rFonts w:asciiTheme="minorHAnsi" w:hAnsiTheme="minorHAnsi"/>
          <w:sz w:val="22"/>
          <w:szCs w:val="22"/>
        </w:rPr>
        <w:t xml:space="preserve">In </w:t>
      </w:r>
      <w:r w:rsidRPr="00513BCB">
        <w:rPr>
          <w:rFonts w:asciiTheme="minorHAnsi" w:hAnsiTheme="minorHAnsi"/>
          <w:i/>
          <w:sz w:val="22"/>
          <w:szCs w:val="22"/>
        </w:rPr>
        <w:t>LG (</w:t>
      </w:r>
      <w:r w:rsidR="00094A7A" w:rsidRPr="00513BCB">
        <w:rPr>
          <w:rFonts w:asciiTheme="minorHAnsi" w:hAnsiTheme="minorHAnsi"/>
          <w:i/>
          <w:sz w:val="22"/>
          <w:szCs w:val="22"/>
        </w:rPr>
        <w:t>A</w:t>
      </w:r>
      <w:r w:rsidRPr="00513BCB">
        <w:rPr>
          <w:rFonts w:asciiTheme="minorHAnsi" w:hAnsiTheme="minorHAnsi"/>
          <w:i/>
          <w:sz w:val="22"/>
          <w:szCs w:val="22"/>
        </w:rPr>
        <w:t xml:space="preserve"> Child)</w:t>
      </w:r>
      <w:r w:rsidR="00123FD8" w:rsidRPr="00513BCB">
        <w:rPr>
          <w:rFonts w:asciiTheme="minorHAnsi" w:hAnsiTheme="minorHAnsi"/>
          <w:i/>
          <w:sz w:val="22"/>
          <w:szCs w:val="22"/>
        </w:rPr>
        <w:t>,</w:t>
      </w:r>
      <w:r w:rsidRPr="00513BCB">
        <w:rPr>
          <w:rStyle w:val="FootnoteReference"/>
          <w:rFonts w:asciiTheme="minorHAnsi" w:hAnsiTheme="minorHAnsi"/>
          <w:sz w:val="22"/>
          <w:szCs w:val="22"/>
        </w:rPr>
        <w:footnoteReference w:id="48"/>
      </w:r>
      <w:r w:rsidRPr="00513BCB">
        <w:rPr>
          <w:rFonts w:asciiTheme="minorHAnsi" w:hAnsiTheme="minorHAnsi"/>
          <w:sz w:val="22"/>
          <w:szCs w:val="22"/>
        </w:rPr>
        <w:t xml:space="preserve"> Baker J sought to answer the question whether the approaches in </w:t>
      </w:r>
      <w:r w:rsidRPr="00513BCB">
        <w:rPr>
          <w:rFonts w:asciiTheme="minorHAnsi" w:hAnsiTheme="minorHAnsi"/>
          <w:i/>
          <w:sz w:val="22"/>
          <w:szCs w:val="22"/>
        </w:rPr>
        <w:t>Re B</w:t>
      </w:r>
      <w:r w:rsidRPr="00513BCB">
        <w:rPr>
          <w:rFonts w:asciiTheme="minorHAnsi" w:hAnsiTheme="minorHAnsi"/>
          <w:sz w:val="22"/>
          <w:szCs w:val="22"/>
        </w:rPr>
        <w:t xml:space="preserve"> at the Supreme Court</w:t>
      </w:r>
      <w:r w:rsidRPr="00513BCB">
        <w:rPr>
          <w:rStyle w:val="FootnoteReference"/>
          <w:rFonts w:asciiTheme="minorHAnsi" w:hAnsiTheme="minorHAnsi"/>
          <w:sz w:val="22"/>
          <w:szCs w:val="22"/>
        </w:rPr>
        <w:footnoteReference w:id="49"/>
      </w:r>
      <w:r w:rsidRPr="00513BCB">
        <w:rPr>
          <w:rFonts w:asciiTheme="minorHAnsi" w:hAnsiTheme="minorHAnsi"/>
          <w:sz w:val="22"/>
          <w:szCs w:val="22"/>
        </w:rPr>
        <w:t xml:space="preserve"> and </w:t>
      </w:r>
      <w:r w:rsidRPr="00513BCB">
        <w:rPr>
          <w:rFonts w:asciiTheme="minorHAnsi" w:hAnsiTheme="minorHAnsi"/>
          <w:i/>
          <w:sz w:val="22"/>
          <w:szCs w:val="22"/>
        </w:rPr>
        <w:t>Re B-S</w:t>
      </w:r>
      <w:r w:rsidRPr="00513BCB">
        <w:rPr>
          <w:rFonts w:asciiTheme="minorHAnsi" w:hAnsiTheme="minorHAnsi"/>
          <w:sz w:val="22"/>
          <w:szCs w:val="22"/>
        </w:rPr>
        <w:t xml:space="preserve"> at the Court of Appeal</w:t>
      </w:r>
      <w:r w:rsidRPr="00513BCB">
        <w:rPr>
          <w:rStyle w:val="FootnoteReference"/>
          <w:rFonts w:asciiTheme="minorHAnsi" w:hAnsiTheme="minorHAnsi"/>
          <w:sz w:val="22"/>
          <w:szCs w:val="22"/>
        </w:rPr>
        <w:footnoteReference w:id="50"/>
      </w:r>
      <w:r w:rsidR="005B2FA5" w:rsidRPr="00513BCB">
        <w:rPr>
          <w:rFonts w:asciiTheme="minorHAnsi" w:hAnsiTheme="minorHAnsi"/>
          <w:sz w:val="22"/>
          <w:szCs w:val="22"/>
        </w:rPr>
        <w:t xml:space="preserve"> – which set out </w:t>
      </w:r>
      <w:r w:rsidRPr="00513BCB">
        <w:rPr>
          <w:rFonts w:asciiTheme="minorHAnsi" w:hAnsiTheme="minorHAnsi"/>
          <w:sz w:val="22"/>
          <w:szCs w:val="22"/>
        </w:rPr>
        <w:t xml:space="preserve">the fundamental policy </w:t>
      </w:r>
      <w:r w:rsidR="005B2FA5" w:rsidRPr="00513BCB">
        <w:rPr>
          <w:rFonts w:asciiTheme="minorHAnsi" w:hAnsiTheme="minorHAnsi"/>
          <w:sz w:val="22"/>
          <w:szCs w:val="22"/>
        </w:rPr>
        <w:t>position</w:t>
      </w:r>
      <w:r w:rsidRPr="00513BCB">
        <w:rPr>
          <w:rFonts w:asciiTheme="minorHAnsi" w:hAnsiTheme="minorHAnsi"/>
          <w:sz w:val="22"/>
          <w:szCs w:val="22"/>
        </w:rPr>
        <w:t xml:space="preserve"> that adoption is the ‘</w:t>
      </w:r>
      <w:r w:rsidRPr="00513BCB">
        <w:rPr>
          <w:rFonts w:asciiTheme="minorHAnsi" w:hAnsiTheme="minorHAnsi"/>
          <w:i/>
          <w:sz w:val="22"/>
          <w:szCs w:val="22"/>
        </w:rPr>
        <w:t>last resort</w:t>
      </w:r>
      <w:r w:rsidRPr="00513BCB">
        <w:rPr>
          <w:rFonts w:asciiTheme="minorHAnsi" w:hAnsiTheme="minorHAnsi"/>
          <w:sz w:val="22"/>
          <w:szCs w:val="22"/>
        </w:rPr>
        <w:t>’ and only permissible if ‘</w:t>
      </w:r>
      <w:r w:rsidRPr="00513BCB">
        <w:rPr>
          <w:rFonts w:asciiTheme="minorHAnsi" w:hAnsiTheme="minorHAnsi"/>
          <w:i/>
          <w:sz w:val="22"/>
          <w:szCs w:val="22"/>
        </w:rPr>
        <w:t>nothing else will do</w:t>
      </w:r>
      <w:r w:rsidRPr="00513BCB">
        <w:rPr>
          <w:rFonts w:asciiTheme="minorHAnsi" w:hAnsiTheme="minorHAnsi"/>
          <w:sz w:val="22"/>
          <w:szCs w:val="22"/>
        </w:rPr>
        <w:t>’</w:t>
      </w:r>
      <w:r w:rsidR="005B2FA5" w:rsidRPr="00513BCB">
        <w:rPr>
          <w:rFonts w:asciiTheme="minorHAnsi" w:hAnsiTheme="minorHAnsi"/>
          <w:sz w:val="22"/>
          <w:szCs w:val="22"/>
        </w:rPr>
        <w:t xml:space="preserve"> –</w:t>
      </w:r>
      <w:r w:rsidRPr="00513BCB">
        <w:rPr>
          <w:rFonts w:asciiTheme="minorHAnsi" w:hAnsiTheme="minorHAnsi"/>
          <w:sz w:val="22"/>
          <w:szCs w:val="22"/>
        </w:rPr>
        <w:t xml:space="preserve"> apply where parents have relinquished a baby for adoption. He conclude</w:t>
      </w:r>
      <w:r w:rsidR="00020860" w:rsidRPr="00513BCB">
        <w:rPr>
          <w:rFonts w:asciiTheme="minorHAnsi" w:hAnsiTheme="minorHAnsi"/>
          <w:sz w:val="22"/>
          <w:szCs w:val="22"/>
        </w:rPr>
        <w:t>d</w:t>
      </w:r>
      <w:r w:rsidRPr="00513BCB">
        <w:rPr>
          <w:rFonts w:asciiTheme="minorHAnsi" w:hAnsiTheme="minorHAnsi"/>
          <w:sz w:val="22"/>
          <w:szCs w:val="22"/>
        </w:rPr>
        <w:t xml:space="preserve"> that:‘…in all adoption cases – non-consensual and consensual – the local authority is under an obligation to carry out a thorough analysis of the realistic options for the child, as highlighted in </w:t>
      </w:r>
      <w:r w:rsidRPr="00513BCB">
        <w:rPr>
          <w:rFonts w:asciiTheme="minorHAnsi" w:hAnsiTheme="minorHAnsi"/>
          <w:i/>
          <w:sz w:val="22"/>
          <w:szCs w:val="22"/>
        </w:rPr>
        <w:t>Re B-S</w:t>
      </w:r>
      <w:r w:rsidRPr="00513BCB">
        <w:rPr>
          <w:rFonts w:asciiTheme="minorHAnsi" w:hAnsiTheme="minorHAnsi"/>
          <w:sz w:val="22"/>
          <w:szCs w:val="22"/>
        </w:rPr>
        <w:t>.’</w:t>
      </w:r>
      <w:r w:rsidRPr="00513BCB">
        <w:rPr>
          <w:rStyle w:val="FootnoteReference"/>
          <w:rFonts w:asciiTheme="minorHAnsi" w:hAnsiTheme="minorHAnsi"/>
          <w:sz w:val="22"/>
          <w:szCs w:val="22"/>
        </w:rPr>
        <w:footnoteReference w:id="51"/>
      </w:r>
      <w:r w:rsidRPr="00513BCB">
        <w:rPr>
          <w:rFonts w:asciiTheme="minorHAnsi" w:hAnsiTheme="minorHAnsi"/>
          <w:sz w:val="22"/>
          <w:szCs w:val="22"/>
        </w:rPr>
        <w:t xml:space="preserve"> </w:t>
      </w:r>
      <w:r w:rsidRPr="00513BCB">
        <w:t xml:space="preserve">Further, </w:t>
      </w:r>
      <w:r w:rsidR="008C6164" w:rsidRPr="00513BCB">
        <w:t>he had to ‘keep at the forefront of [his] mind</w:t>
      </w:r>
      <w:r w:rsidR="009B3C0A" w:rsidRPr="00513BCB">
        <w:t xml:space="preserve"> [that]</w:t>
      </w:r>
      <w:r w:rsidR="008C6164" w:rsidRPr="00513BCB">
        <w:t xml:space="preserve"> the child’s interests include being brought up by the parents and wider family unless the overriding requirements of the child’s welfare make that not possible</w:t>
      </w:r>
      <w:r w:rsidR="00094A7A" w:rsidRPr="00513BCB">
        <w:t>’</w:t>
      </w:r>
      <w:r w:rsidR="008C6164" w:rsidRPr="00513BCB">
        <w:t>.</w:t>
      </w:r>
      <w:r w:rsidR="008C6164" w:rsidRPr="00513BCB">
        <w:rPr>
          <w:rStyle w:val="FootnoteReference"/>
          <w:sz w:val="22"/>
          <w:szCs w:val="22"/>
        </w:rPr>
        <w:footnoteReference w:id="52"/>
      </w:r>
      <w:r w:rsidR="008C6164" w:rsidRPr="00513BCB">
        <w:t xml:space="preserve"> </w:t>
      </w:r>
    </w:p>
    <w:p w14:paraId="0F8A1719" w14:textId="77777777" w:rsidR="00352D44" w:rsidRPr="00513BCB" w:rsidRDefault="00352D44" w:rsidP="004D3080">
      <w:pPr>
        <w:pStyle w:val="BodyText"/>
        <w:spacing w:line="360" w:lineRule="auto"/>
        <w:rPr>
          <w:rFonts w:asciiTheme="minorHAnsi" w:hAnsiTheme="minorHAnsi"/>
          <w:color w:val="000000" w:themeColor="text1"/>
          <w:sz w:val="22"/>
          <w:szCs w:val="22"/>
        </w:rPr>
      </w:pPr>
    </w:p>
    <w:p w14:paraId="20154D7A" w14:textId="72A29B56" w:rsidR="007F2739" w:rsidRPr="00513BCB" w:rsidRDefault="00123FD8" w:rsidP="004D3080">
      <w:pPr>
        <w:spacing w:line="360" w:lineRule="auto"/>
        <w:jc w:val="both"/>
        <w:rPr>
          <w:rFonts w:cs="Times New Roman"/>
          <w:color w:val="000000" w:themeColor="text1"/>
          <w:sz w:val="22"/>
          <w:szCs w:val="22"/>
        </w:rPr>
      </w:pPr>
      <w:r w:rsidRPr="00513BCB">
        <w:rPr>
          <w:sz w:val="22"/>
          <w:szCs w:val="22"/>
        </w:rPr>
        <w:t>Both parents in</w:t>
      </w:r>
      <w:r w:rsidR="00352D44" w:rsidRPr="00513BCB">
        <w:rPr>
          <w:sz w:val="22"/>
          <w:szCs w:val="22"/>
        </w:rPr>
        <w:t xml:space="preserve"> </w:t>
      </w:r>
      <w:r w:rsidR="00352D44" w:rsidRPr="00513BCB">
        <w:rPr>
          <w:i/>
          <w:sz w:val="22"/>
          <w:szCs w:val="22"/>
        </w:rPr>
        <w:t>LG</w:t>
      </w:r>
      <w:r w:rsidRPr="00513BCB">
        <w:rPr>
          <w:i/>
          <w:sz w:val="22"/>
          <w:szCs w:val="22"/>
        </w:rPr>
        <w:t>,</w:t>
      </w:r>
      <w:r w:rsidR="00352D44" w:rsidRPr="00513BCB">
        <w:rPr>
          <w:sz w:val="22"/>
          <w:szCs w:val="22"/>
        </w:rPr>
        <w:t xml:space="preserve"> and </w:t>
      </w:r>
      <w:r w:rsidRPr="00513BCB">
        <w:rPr>
          <w:sz w:val="22"/>
          <w:szCs w:val="22"/>
        </w:rPr>
        <w:t>also in two joined cases of</w:t>
      </w:r>
      <w:r w:rsidRPr="00513BCB">
        <w:rPr>
          <w:i/>
          <w:sz w:val="22"/>
          <w:szCs w:val="22"/>
        </w:rPr>
        <w:t xml:space="preserve"> JL and AO</w:t>
      </w:r>
      <w:r w:rsidRPr="00513BCB">
        <w:rPr>
          <w:sz w:val="22"/>
          <w:szCs w:val="22"/>
        </w:rPr>
        <w:t xml:space="preserve">, </w:t>
      </w:r>
      <w:r w:rsidR="00352D44" w:rsidRPr="00513BCB">
        <w:rPr>
          <w:sz w:val="22"/>
          <w:szCs w:val="22"/>
        </w:rPr>
        <w:t>knew of the child’s existence</w:t>
      </w:r>
      <w:r w:rsidR="00853EB8" w:rsidRPr="00513BCB">
        <w:rPr>
          <w:sz w:val="22"/>
          <w:szCs w:val="22"/>
        </w:rPr>
        <w:t xml:space="preserve"> </w:t>
      </w:r>
      <w:r w:rsidR="00352D44" w:rsidRPr="00513BCB">
        <w:rPr>
          <w:sz w:val="22"/>
          <w:szCs w:val="22"/>
        </w:rPr>
        <w:t xml:space="preserve">and wished to relinquish the children. In </w:t>
      </w:r>
      <w:r w:rsidR="00352D44" w:rsidRPr="00513BCB">
        <w:rPr>
          <w:i/>
          <w:sz w:val="22"/>
          <w:szCs w:val="22"/>
        </w:rPr>
        <w:t>LG</w:t>
      </w:r>
      <w:r w:rsidR="00352D44" w:rsidRPr="00513BCB">
        <w:rPr>
          <w:sz w:val="22"/>
          <w:szCs w:val="22"/>
        </w:rPr>
        <w:t xml:space="preserve">, they initially did not want their wider family to know or to </w:t>
      </w:r>
      <w:r w:rsidR="00352D44" w:rsidRPr="00513BCB">
        <w:rPr>
          <w:sz w:val="22"/>
          <w:szCs w:val="22"/>
        </w:rPr>
        <w:lastRenderedPageBreak/>
        <w:t xml:space="preserve">be given the opportunity to look after </w:t>
      </w:r>
      <w:r w:rsidR="005676DD" w:rsidRPr="00513BCB">
        <w:rPr>
          <w:sz w:val="22"/>
          <w:szCs w:val="22"/>
        </w:rPr>
        <w:t>the child</w:t>
      </w:r>
      <w:r w:rsidR="00352D44" w:rsidRPr="00513BCB">
        <w:rPr>
          <w:sz w:val="22"/>
          <w:szCs w:val="22"/>
        </w:rPr>
        <w:t xml:space="preserve">. The father then changed his mind and his </w:t>
      </w:r>
      <w:r w:rsidR="005B2FA5" w:rsidRPr="00513BCB">
        <w:rPr>
          <w:sz w:val="22"/>
          <w:szCs w:val="22"/>
        </w:rPr>
        <w:t xml:space="preserve">view </w:t>
      </w:r>
      <w:r w:rsidR="00352D44" w:rsidRPr="00513BCB">
        <w:rPr>
          <w:sz w:val="22"/>
          <w:szCs w:val="22"/>
        </w:rPr>
        <w:t xml:space="preserve">of his father’s character (the </w:t>
      </w:r>
      <w:r w:rsidR="007F2739" w:rsidRPr="00513BCB">
        <w:rPr>
          <w:sz w:val="22"/>
          <w:szCs w:val="22"/>
        </w:rPr>
        <w:t xml:space="preserve">child’s </w:t>
      </w:r>
      <w:r w:rsidR="00352D44" w:rsidRPr="00513BCB">
        <w:rPr>
          <w:sz w:val="22"/>
          <w:szCs w:val="22"/>
        </w:rPr>
        <w:t xml:space="preserve">grandfather). </w:t>
      </w:r>
      <w:r w:rsidR="005676DD" w:rsidRPr="00513BCB">
        <w:rPr>
          <w:sz w:val="22"/>
          <w:szCs w:val="22"/>
        </w:rPr>
        <w:t>Baker J cautioned local authoriti</w:t>
      </w:r>
      <w:r w:rsidR="00EC09BF" w:rsidRPr="00513BCB">
        <w:rPr>
          <w:sz w:val="22"/>
          <w:szCs w:val="22"/>
        </w:rPr>
        <w:t xml:space="preserve">es against being distracted by </w:t>
      </w:r>
      <w:r w:rsidR="005676DD" w:rsidRPr="00513BCB">
        <w:rPr>
          <w:sz w:val="22"/>
          <w:szCs w:val="22"/>
        </w:rPr>
        <w:t>parents who might conceal the truth</w:t>
      </w:r>
      <w:r w:rsidR="00EC09BF" w:rsidRPr="00513BCB">
        <w:rPr>
          <w:sz w:val="22"/>
          <w:szCs w:val="22"/>
        </w:rPr>
        <w:t>,</w:t>
      </w:r>
      <w:r w:rsidR="005676DD" w:rsidRPr="00513BCB">
        <w:rPr>
          <w:rStyle w:val="FootnoteReference"/>
          <w:sz w:val="22"/>
          <w:szCs w:val="22"/>
        </w:rPr>
        <w:footnoteReference w:id="53"/>
      </w:r>
      <w:r w:rsidR="005676DD" w:rsidRPr="00513BCB">
        <w:rPr>
          <w:sz w:val="22"/>
          <w:szCs w:val="22"/>
        </w:rPr>
        <w:t xml:space="preserve"> </w:t>
      </w:r>
      <w:r w:rsidR="00EC09BF" w:rsidRPr="00513BCB">
        <w:rPr>
          <w:sz w:val="22"/>
          <w:szCs w:val="22"/>
        </w:rPr>
        <w:t xml:space="preserve">and ordered that the child </w:t>
      </w:r>
      <w:r w:rsidR="00352D44" w:rsidRPr="00513BCB">
        <w:rPr>
          <w:sz w:val="22"/>
          <w:szCs w:val="22"/>
        </w:rPr>
        <w:t xml:space="preserve">be placed in that grandfather’s care. </w:t>
      </w:r>
      <w:r w:rsidR="007F2739" w:rsidRPr="00513BCB">
        <w:rPr>
          <w:sz w:val="22"/>
          <w:szCs w:val="22"/>
        </w:rPr>
        <w:t xml:space="preserve">In </w:t>
      </w:r>
      <w:r w:rsidR="00352D44" w:rsidRPr="00513BCB">
        <w:rPr>
          <w:i/>
          <w:sz w:val="22"/>
          <w:szCs w:val="22"/>
        </w:rPr>
        <w:t>JL and</w:t>
      </w:r>
      <w:r w:rsidR="00352D44" w:rsidRPr="00513BCB">
        <w:rPr>
          <w:sz w:val="22"/>
          <w:szCs w:val="22"/>
        </w:rPr>
        <w:t xml:space="preserve"> </w:t>
      </w:r>
      <w:r w:rsidR="00352D44" w:rsidRPr="00513BCB">
        <w:rPr>
          <w:i/>
          <w:sz w:val="22"/>
          <w:szCs w:val="22"/>
        </w:rPr>
        <w:t>AO</w:t>
      </w:r>
      <w:r w:rsidR="005B2FA5" w:rsidRPr="00513BCB">
        <w:rPr>
          <w:sz w:val="22"/>
          <w:szCs w:val="22"/>
        </w:rPr>
        <w:t>,</w:t>
      </w:r>
      <w:r w:rsidR="00352D44" w:rsidRPr="00513BCB">
        <w:rPr>
          <w:sz w:val="22"/>
          <w:szCs w:val="22"/>
        </w:rPr>
        <w:t xml:space="preserve"> </w:t>
      </w:r>
      <w:r w:rsidR="007F2739" w:rsidRPr="00513BCB">
        <w:rPr>
          <w:rFonts w:cs="Times New Roman"/>
          <w:color w:val="000000" w:themeColor="text1"/>
          <w:sz w:val="22"/>
          <w:szCs w:val="22"/>
        </w:rPr>
        <w:t>Baker J stated that it was ‘notable that both cases involve mothers from other countries</w:t>
      </w:r>
      <w:r w:rsidR="00094A7A" w:rsidRPr="00513BCB">
        <w:rPr>
          <w:rFonts w:cs="Times New Roman"/>
          <w:color w:val="000000" w:themeColor="text1"/>
          <w:sz w:val="22"/>
          <w:szCs w:val="22"/>
        </w:rPr>
        <w:t>’</w:t>
      </w:r>
      <w:r w:rsidR="007F2739" w:rsidRPr="00513BCB">
        <w:rPr>
          <w:rFonts w:cs="Times New Roman"/>
          <w:color w:val="000000" w:themeColor="text1"/>
          <w:sz w:val="22"/>
          <w:szCs w:val="22"/>
        </w:rPr>
        <w:t xml:space="preserve">. </w:t>
      </w:r>
      <w:r w:rsidR="007F2739" w:rsidRPr="00513BCB">
        <w:rPr>
          <w:sz w:val="22"/>
          <w:szCs w:val="22"/>
        </w:rPr>
        <w:t xml:space="preserve">One </w:t>
      </w:r>
      <w:r w:rsidR="00352D44" w:rsidRPr="00513BCB">
        <w:rPr>
          <w:sz w:val="22"/>
          <w:szCs w:val="22"/>
        </w:rPr>
        <w:t xml:space="preserve">of the issues was whether the children should be released for adoption abroad. </w:t>
      </w:r>
      <w:r w:rsidR="007F2739" w:rsidRPr="00513BCB">
        <w:rPr>
          <w:rFonts w:cs="Times New Roman"/>
          <w:color w:val="000000" w:themeColor="text1"/>
          <w:sz w:val="22"/>
          <w:szCs w:val="22"/>
        </w:rPr>
        <w:t xml:space="preserve">He </w:t>
      </w:r>
      <w:r w:rsidR="00824204" w:rsidRPr="00513BCB">
        <w:rPr>
          <w:rFonts w:cs="Times New Roman"/>
          <w:color w:val="000000" w:themeColor="text1"/>
          <w:sz w:val="22"/>
          <w:szCs w:val="22"/>
        </w:rPr>
        <w:t xml:space="preserve">noted that there were other such cases, although it was not possible to know how many because these types of adoptions are usually uncontested so there is no </w:t>
      </w:r>
      <w:r w:rsidR="007F2739" w:rsidRPr="00513BCB">
        <w:rPr>
          <w:rFonts w:cs="Times New Roman"/>
          <w:color w:val="000000" w:themeColor="text1"/>
          <w:sz w:val="22"/>
          <w:szCs w:val="22"/>
        </w:rPr>
        <w:t xml:space="preserve">recent </w:t>
      </w:r>
      <w:r w:rsidR="009B3C0A" w:rsidRPr="00513BCB">
        <w:rPr>
          <w:rFonts w:cs="Times New Roman"/>
          <w:color w:val="000000" w:themeColor="text1"/>
          <w:sz w:val="22"/>
          <w:szCs w:val="22"/>
        </w:rPr>
        <w:t xml:space="preserve">reported </w:t>
      </w:r>
      <w:r w:rsidR="007F2739" w:rsidRPr="00513BCB">
        <w:rPr>
          <w:rFonts w:cs="Times New Roman"/>
          <w:color w:val="000000" w:themeColor="text1"/>
          <w:sz w:val="22"/>
          <w:szCs w:val="22"/>
        </w:rPr>
        <w:t>judicial consideration of the legal principles or procedure to be applied.</w:t>
      </w:r>
      <w:r w:rsidR="007F2739" w:rsidRPr="00513BCB">
        <w:rPr>
          <w:rStyle w:val="FootnoteReference"/>
          <w:rFonts w:cs="Times New Roman"/>
          <w:color w:val="000000" w:themeColor="text1"/>
          <w:sz w:val="22"/>
          <w:szCs w:val="22"/>
        </w:rPr>
        <w:footnoteReference w:id="54"/>
      </w:r>
    </w:p>
    <w:p w14:paraId="69D9A310" w14:textId="77777777" w:rsidR="00766DE5" w:rsidRPr="00513BCB" w:rsidRDefault="00766DE5" w:rsidP="004D3080">
      <w:pPr>
        <w:spacing w:line="360" w:lineRule="auto"/>
        <w:ind w:left="720" w:firstLine="40"/>
        <w:jc w:val="both"/>
        <w:rPr>
          <w:rFonts w:cs="Times New Roman"/>
          <w:color w:val="000000" w:themeColor="text1"/>
          <w:sz w:val="22"/>
          <w:szCs w:val="22"/>
        </w:rPr>
      </w:pPr>
    </w:p>
    <w:p w14:paraId="0FA1EB4B" w14:textId="044D4FFA" w:rsidR="009A4E93" w:rsidRPr="00513BCB" w:rsidRDefault="00352D44" w:rsidP="004D3080">
      <w:pPr>
        <w:spacing w:line="360" w:lineRule="auto"/>
        <w:jc w:val="both"/>
        <w:rPr>
          <w:rFonts w:eastAsia="Times New Roman" w:cs="Times New Roman"/>
          <w:color w:val="000000"/>
          <w:sz w:val="22"/>
          <w:szCs w:val="22"/>
          <w:lang w:val="en-GB"/>
        </w:rPr>
      </w:pPr>
      <w:r w:rsidRPr="00513BCB">
        <w:rPr>
          <w:sz w:val="22"/>
          <w:szCs w:val="22"/>
        </w:rPr>
        <w:t xml:space="preserve">The parents </w:t>
      </w:r>
      <w:r w:rsidR="009B3C0A" w:rsidRPr="00513BCB">
        <w:rPr>
          <w:sz w:val="22"/>
          <w:szCs w:val="22"/>
        </w:rPr>
        <w:t xml:space="preserve">in these cases </w:t>
      </w:r>
      <w:r w:rsidRPr="00513BCB">
        <w:rPr>
          <w:sz w:val="22"/>
          <w:szCs w:val="22"/>
        </w:rPr>
        <w:t>were all adamant that the grandparents not be told of the children’s existence, although in one of them the aunt knew. Baker J highlight</w:t>
      </w:r>
      <w:r w:rsidR="00020860" w:rsidRPr="00513BCB">
        <w:rPr>
          <w:sz w:val="22"/>
          <w:szCs w:val="22"/>
        </w:rPr>
        <w:t>ed</w:t>
      </w:r>
      <w:r w:rsidRPr="00513BCB">
        <w:rPr>
          <w:sz w:val="22"/>
          <w:szCs w:val="22"/>
        </w:rPr>
        <w:t xml:space="preserve"> the difference between </w:t>
      </w:r>
      <w:r w:rsidRPr="00513BCB">
        <w:rPr>
          <w:i/>
          <w:sz w:val="22"/>
          <w:szCs w:val="22"/>
        </w:rPr>
        <w:t>Re B</w:t>
      </w:r>
      <w:r w:rsidR="005B2FA5" w:rsidRPr="00513BCB">
        <w:rPr>
          <w:sz w:val="22"/>
          <w:szCs w:val="22"/>
        </w:rPr>
        <w:t>,</w:t>
      </w:r>
      <w:r w:rsidRPr="00513BCB">
        <w:rPr>
          <w:sz w:val="22"/>
          <w:szCs w:val="22"/>
        </w:rPr>
        <w:t xml:space="preserve"> concerning non-consensual adoption</w:t>
      </w:r>
      <w:r w:rsidR="005B2FA5" w:rsidRPr="00513BCB">
        <w:rPr>
          <w:sz w:val="22"/>
          <w:szCs w:val="22"/>
        </w:rPr>
        <w:t>,</w:t>
      </w:r>
      <w:r w:rsidRPr="00513BCB">
        <w:rPr>
          <w:sz w:val="22"/>
          <w:szCs w:val="22"/>
        </w:rPr>
        <w:t xml:space="preserve"> and </w:t>
      </w:r>
      <w:r w:rsidRPr="00513BCB">
        <w:rPr>
          <w:i/>
          <w:sz w:val="22"/>
          <w:szCs w:val="22"/>
        </w:rPr>
        <w:t>JL and AO</w:t>
      </w:r>
      <w:r w:rsidRPr="00513BCB">
        <w:rPr>
          <w:sz w:val="22"/>
          <w:szCs w:val="22"/>
        </w:rPr>
        <w:t xml:space="preserve">. </w:t>
      </w:r>
      <w:r w:rsidR="00123FD8" w:rsidRPr="00513BCB">
        <w:rPr>
          <w:sz w:val="22"/>
          <w:szCs w:val="22"/>
        </w:rPr>
        <w:t xml:space="preserve">The parents’ wishes are, he </w:t>
      </w:r>
      <w:r w:rsidR="005B2FA5" w:rsidRPr="00513BCB">
        <w:rPr>
          <w:sz w:val="22"/>
          <w:szCs w:val="22"/>
        </w:rPr>
        <w:t>said</w:t>
      </w:r>
      <w:r w:rsidR="00123FD8" w:rsidRPr="00513BCB">
        <w:rPr>
          <w:sz w:val="22"/>
          <w:szCs w:val="22"/>
        </w:rPr>
        <w:t>, important</w:t>
      </w:r>
      <w:r w:rsidR="009B3C0A" w:rsidRPr="00513BCB">
        <w:rPr>
          <w:sz w:val="22"/>
          <w:szCs w:val="22"/>
        </w:rPr>
        <w:t xml:space="preserve"> and</w:t>
      </w:r>
      <w:r w:rsidR="00123FD8" w:rsidRPr="00513BCB">
        <w:rPr>
          <w:sz w:val="22"/>
          <w:szCs w:val="22"/>
        </w:rPr>
        <w:t xml:space="preserve"> the degree of interference with family life is less where </w:t>
      </w:r>
      <w:r w:rsidR="00853EB8" w:rsidRPr="00513BCB">
        <w:rPr>
          <w:sz w:val="22"/>
          <w:szCs w:val="22"/>
        </w:rPr>
        <w:t xml:space="preserve">the adoption </w:t>
      </w:r>
      <w:r w:rsidR="00123FD8" w:rsidRPr="00513BCB">
        <w:rPr>
          <w:sz w:val="22"/>
          <w:szCs w:val="22"/>
        </w:rPr>
        <w:t>is consensual</w:t>
      </w:r>
      <w:r w:rsidR="00853EB8" w:rsidRPr="00513BCB">
        <w:rPr>
          <w:sz w:val="22"/>
          <w:szCs w:val="22"/>
        </w:rPr>
        <w:t>. T</w:t>
      </w:r>
      <w:r w:rsidR="00123FD8" w:rsidRPr="00513BCB">
        <w:rPr>
          <w:sz w:val="22"/>
          <w:szCs w:val="22"/>
        </w:rPr>
        <w:t>herefore</w:t>
      </w:r>
      <w:r w:rsidR="00853EB8" w:rsidRPr="00513BCB">
        <w:rPr>
          <w:sz w:val="22"/>
          <w:szCs w:val="22"/>
        </w:rPr>
        <w:t>,</w:t>
      </w:r>
      <w:r w:rsidR="00123FD8" w:rsidRPr="00513BCB">
        <w:rPr>
          <w:sz w:val="22"/>
          <w:szCs w:val="22"/>
        </w:rPr>
        <w:t xml:space="preserve"> the local authority does not have to reach a conclusion that ‘nothing else will do’. </w:t>
      </w:r>
      <w:r w:rsidR="00046018" w:rsidRPr="00513BCB">
        <w:rPr>
          <w:rFonts w:eastAsia="Times New Roman" w:cs="Times New Roman"/>
          <w:color w:val="000000"/>
          <w:sz w:val="22"/>
          <w:szCs w:val="22"/>
          <w:lang w:val="en-GB"/>
        </w:rPr>
        <w:t xml:space="preserve"> The parents’ wishes</w:t>
      </w:r>
      <w:r w:rsidR="009B3C0A" w:rsidRPr="00513BCB">
        <w:rPr>
          <w:rFonts w:eastAsia="Times New Roman" w:cs="Times New Roman"/>
          <w:color w:val="000000"/>
          <w:sz w:val="22"/>
          <w:szCs w:val="22"/>
          <w:lang w:val="en-GB"/>
        </w:rPr>
        <w:t xml:space="preserve"> and feelings regarding the child</w:t>
      </w:r>
      <w:r w:rsidR="00046018" w:rsidRPr="00513BCB">
        <w:rPr>
          <w:rFonts w:eastAsia="Times New Roman" w:cs="Times New Roman"/>
          <w:color w:val="000000"/>
          <w:sz w:val="22"/>
          <w:szCs w:val="22"/>
          <w:lang w:val="en-GB"/>
        </w:rPr>
        <w:t xml:space="preserve"> </w:t>
      </w:r>
      <w:r w:rsidR="006740EA" w:rsidRPr="00513BCB">
        <w:rPr>
          <w:rFonts w:eastAsia="Times New Roman" w:cs="Times New Roman"/>
          <w:color w:val="000000"/>
          <w:sz w:val="22"/>
          <w:szCs w:val="22"/>
          <w:lang w:val="en-GB"/>
        </w:rPr>
        <w:t xml:space="preserve">are an important consideration, but are only one of the </w:t>
      </w:r>
      <w:r w:rsidR="00046018" w:rsidRPr="00513BCB">
        <w:rPr>
          <w:rFonts w:eastAsia="Times New Roman" w:cs="Times New Roman"/>
          <w:color w:val="000000"/>
          <w:sz w:val="22"/>
          <w:szCs w:val="22"/>
          <w:lang w:val="en-GB"/>
        </w:rPr>
        <w:t xml:space="preserve">factors in the welfare checklist in s.1(4) of the Adoption and Children Act 2002 </w:t>
      </w:r>
      <w:r w:rsidR="006740EA" w:rsidRPr="00513BCB">
        <w:rPr>
          <w:rFonts w:eastAsia="Times New Roman" w:cs="Times New Roman"/>
          <w:color w:val="000000"/>
          <w:sz w:val="22"/>
          <w:szCs w:val="22"/>
          <w:lang w:val="en-GB"/>
        </w:rPr>
        <w:t xml:space="preserve">that need to be </w:t>
      </w:r>
      <w:r w:rsidR="00046018" w:rsidRPr="00513BCB">
        <w:rPr>
          <w:rFonts w:eastAsia="Times New Roman" w:cs="Times New Roman"/>
          <w:color w:val="000000"/>
          <w:sz w:val="22"/>
          <w:szCs w:val="22"/>
          <w:lang w:val="en-GB"/>
        </w:rPr>
        <w:t>evaluated</w:t>
      </w:r>
      <w:r w:rsidR="006740EA" w:rsidRPr="00513BCB">
        <w:rPr>
          <w:rFonts w:eastAsia="Times New Roman" w:cs="Times New Roman"/>
          <w:color w:val="000000"/>
          <w:sz w:val="22"/>
          <w:szCs w:val="22"/>
          <w:lang w:val="en-GB"/>
        </w:rPr>
        <w:t xml:space="preserve"> in any adoption </w:t>
      </w:r>
      <w:r w:rsidR="00046018" w:rsidRPr="00513BCB">
        <w:rPr>
          <w:rFonts w:eastAsia="Times New Roman" w:cs="Times New Roman"/>
          <w:color w:val="000000"/>
          <w:sz w:val="22"/>
          <w:szCs w:val="22"/>
          <w:lang w:val="en-GB"/>
        </w:rPr>
        <w:t xml:space="preserve">decision. Baker J </w:t>
      </w:r>
      <w:r w:rsidR="00853EB8" w:rsidRPr="00513BCB">
        <w:rPr>
          <w:rFonts w:eastAsia="Times New Roman" w:cs="Times New Roman"/>
          <w:color w:val="000000"/>
          <w:sz w:val="22"/>
          <w:szCs w:val="22"/>
          <w:lang w:val="en-GB"/>
        </w:rPr>
        <w:t xml:space="preserve">cautioned against assuming that </w:t>
      </w:r>
      <w:r w:rsidR="00046018" w:rsidRPr="00513BCB">
        <w:rPr>
          <w:rFonts w:eastAsia="Times New Roman" w:cs="Times New Roman"/>
          <w:color w:val="000000"/>
          <w:sz w:val="22"/>
          <w:szCs w:val="22"/>
          <w:lang w:val="en-GB"/>
        </w:rPr>
        <w:t xml:space="preserve">giving up a baby for adoption </w:t>
      </w:r>
      <w:r w:rsidR="00853EB8" w:rsidRPr="00513BCB">
        <w:rPr>
          <w:rFonts w:eastAsia="Times New Roman" w:cs="Times New Roman"/>
          <w:color w:val="000000"/>
          <w:sz w:val="22"/>
          <w:szCs w:val="22"/>
          <w:lang w:val="en-GB"/>
        </w:rPr>
        <w:t xml:space="preserve">was </w:t>
      </w:r>
      <w:r w:rsidR="00543FCD" w:rsidRPr="00513BCB">
        <w:rPr>
          <w:rFonts w:eastAsia="Times New Roman" w:cs="Times New Roman"/>
          <w:color w:val="000000"/>
          <w:sz w:val="22"/>
          <w:szCs w:val="22"/>
          <w:lang w:val="en-GB"/>
        </w:rPr>
        <w:t>‘</w:t>
      </w:r>
      <w:r w:rsidR="00046018" w:rsidRPr="00513BCB">
        <w:rPr>
          <w:rFonts w:eastAsia="Times New Roman" w:cs="Times New Roman"/>
          <w:color w:val="000000"/>
          <w:sz w:val="22"/>
          <w:szCs w:val="22"/>
          <w:lang w:val="en-GB"/>
        </w:rPr>
        <w:t>a dereliction of responsibility</w:t>
      </w:r>
      <w:r w:rsidR="00543FCD" w:rsidRPr="00513BCB">
        <w:rPr>
          <w:rFonts w:eastAsia="Times New Roman" w:cs="Times New Roman"/>
          <w:color w:val="000000"/>
          <w:sz w:val="22"/>
          <w:szCs w:val="22"/>
          <w:lang w:val="en-GB"/>
        </w:rPr>
        <w:t>’ stating that ‘</w:t>
      </w:r>
      <w:r w:rsidR="00046018" w:rsidRPr="00513BCB">
        <w:rPr>
          <w:rFonts w:eastAsia="Times New Roman" w:cs="Times New Roman"/>
          <w:color w:val="000000"/>
          <w:sz w:val="22"/>
          <w:szCs w:val="22"/>
          <w:lang w:val="en-GB"/>
        </w:rPr>
        <w:t xml:space="preserve">usually </w:t>
      </w:r>
      <w:r w:rsidR="00543FCD" w:rsidRPr="00513BCB">
        <w:rPr>
          <w:rFonts w:eastAsia="Times New Roman" w:cs="Times New Roman"/>
          <w:color w:val="000000"/>
          <w:sz w:val="22"/>
          <w:szCs w:val="22"/>
          <w:lang w:val="en-GB"/>
        </w:rPr>
        <w:t xml:space="preserve">[such] </w:t>
      </w:r>
      <w:r w:rsidR="00046018" w:rsidRPr="00513BCB">
        <w:rPr>
          <w:rFonts w:eastAsia="Times New Roman" w:cs="Times New Roman"/>
          <w:color w:val="000000"/>
          <w:sz w:val="22"/>
          <w:szCs w:val="22"/>
          <w:lang w:val="en-GB"/>
        </w:rPr>
        <w:t xml:space="preserve">a decision </w:t>
      </w:r>
      <w:r w:rsidR="00543FCD" w:rsidRPr="00513BCB">
        <w:rPr>
          <w:rFonts w:eastAsia="Times New Roman" w:cs="Times New Roman"/>
          <w:color w:val="000000"/>
          <w:sz w:val="22"/>
          <w:szCs w:val="22"/>
          <w:lang w:val="en-GB"/>
        </w:rPr>
        <w:t xml:space="preserve">[is] </w:t>
      </w:r>
      <w:r w:rsidR="00046018" w:rsidRPr="00513BCB">
        <w:rPr>
          <w:rFonts w:eastAsia="Times New Roman" w:cs="Times New Roman"/>
          <w:color w:val="000000"/>
          <w:sz w:val="22"/>
          <w:szCs w:val="22"/>
          <w:lang w:val="en-GB"/>
        </w:rPr>
        <w:t>taken only after a great deal of thought and anguish, by parents who realise that they cannot look after the baby and wish to give the baby the best opportunity to grow up in a loving home.</w:t>
      </w:r>
      <w:r w:rsidR="00543FCD" w:rsidRPr="00513BCB">
        <w:rPr>
          <w:rFonts w:eastAsia="Times New Roman" w:cs="Times New Roman"/>
          <w:color w:val="000000"/>
          <w:sz w:val="22"/>
          <w:szCs w:val="22"/>
          <w:lang w:val="en-GB"/>
        </w:rPr>
        <w:t>’</w:t>
      </w:r>
      <w:r w:rsidR="00046018" w:rsidRPr="00513BCB">
        <w:rPr>
          <w:rFonts w:eastAsia="Times New Roman" w:cs="Times New Roman"/>
          <w:color w:val="000000"/>
          <w:sz w:val="22"/>
          <w:szCs w:val="22"/>
          <w:lang w:val="en-GB"/>
        </w:rPr>
        <w:t xml:space="preserve"> </w:t>
      </w:r>
      <w:r w:rsidR="00046018" w:rsidRPr="00513BCB">
        <w:rPr>
          <w:rStyle w:val="FootnoteReference"/>
          <w:rFonts w:eastAsia="Times New Roman" w:cs="Times New Roman"/>
          <w:color w:val="000000"/>
          <w:sz w:val="22"/>
          <w:szCs w:val="22"/>
          <w:lang w:val="en-GB"/>
        </w:rPr>
        <w:footnoteReference w:id="55"/>
      </w:r>
      <w:r w:rsidR="00046018" w:rsidRPr="00513BCB">
        <w:rPr>
          <w:rFonts w:eastAsia="Times New Roman" w:cs="Times New Roman"/>
          <w:color w:val="000000"/>
          <w:sz w:val="22"/>
          <w:szCs w:val="22"/>
          <w:lang w:val="en-GB"/>
        </w:rPr>
        <w:t> </w:t>
      </w:r>
      <w:r w:rsidR="00A0629E" w:rsidRPr="00513BCB" w:rsidDel="00A0629E">
        <w:rPr>
          <w:rFonts w:eastAsia="Times New Roman" w:cs="Times New Roman"/>
          <w:color w:val="000000"/>
          <w:sz w:val="22"/>
          <w:szCs w:val="22"/>
          <w:lang w:val="en-GB"/>
        </w:rPr>
        <w:t xml:space="preserve"> </w:t>
      </w:r>
    </w:p>
    <w:p w14:paraId="1462A33A" w14:textId="77777777" w:rsidR="007F2739" w:rsidRPr="00513BCB" w:rsidRDefault="007F2739" w:rsidP="008C209D">
      <w:pPr>
        <w:spacing w:line="360" w:lineRule="auto"/>
        <w:jc w:val="both"/>
        <w:rPr>
          <w:sz w:val="22"/>
          <w:szCs w:val="22"/>
        </w:rPr>
      </w:pPr>
    </w:p>
    <w:p w14:paraId="4A75EFF8" w14:textId="5248ED27" w:rsidR="00E75211" w:rsidRPr="00513BCB" w:rsidRDefault="00123FD8" w:rsidP="004D3080">
      <w:pPr>
        <w:spacing w:line="360" w:lineRule="auto"/>
        <w:jc w:val="both"/>
        <w:rPr>
          <w:sz w:val="22"/>
          <w:szCs w:val="22"/>
        </w:rPr>
      </w:pPr>
      <w:r w:rsidRPr="00513BCB">
        <w:rPr>
          <w:sz w:val="22"/>
          <w:szCs w:val="22"/>
        </w:rPr>
        <w:t>The</w:t>
      </w:r>
      <w:r w:rsidR="00EA0C59" w:rsidRPr="00513BCB">
        <w:rPr>
          <w:sz w:val="22"/>
          <w:szCs w:val="22"/>
        </w:rPr>
        <w:t xml:space="preserve"> Court of Appeal</w:t>
      </w:r>
      <w:r w:rsidRPr="00513BCB">
        <w:rPr>
          <w:sz w:val="22"/>
          <w:szCs w:val="22"/>
        </w:rPr>
        <w:t xml:space="preserve"> </w:t>
      </w:r>
      <w:r w:rsidR="00B40A84" w:rsidRPr="00513BCB">
        <w:rPr>
          <w:sz w:val="22"/>
          <w:szCs w:val="22"/>
        </w:rPr>
        <w:t xml:space="preserve">in </w:t>
      </w:r>
      <w:r w:rsidR="00B40A84" w:rsidRPr="00513BCB">
        <w:rPr>
          <w:i/>
          <w:sz w:val="22"/>
          <w:szCs w:val="22"/>
        </w:rPr>
        <w:t xml:space="preserve">Re W (a child) </w:t>
      </w:r>
      <w:r w:rsidRPr="00513BCB">
        <w:rPr>
          <w:sz w:val="22"/>
          <w:szCs w:val="22"/>
        </w:rPr>
        <w:t xml:space="preserve">recently made clear that </w:t>
      </w:r>
      <w:r w:rsidR="000F1BF0" w:rsidRPr="00513BCB">
        <w:rPr>
          <w:sz w:val="22"/>
          <w:szCs w:val="22"/>
        </w:rPr>
        <w:t>local authorities</w:t>
      </w:r>
      <w:r w:rsidR="00EA0C59" w:rsidRPr="00513BCB">
        <w:rPr>
          <w:sz w:val="22"/>
          <w:szCs w:val="22"/>
        </w:rPr>
        <w:t xml:space="preserve"> are incorrect</w:t>
      </w:r>
      <w:r w:rsidR="000F1BF0" w:rsidRPr="00513BCB">
        <w:rPr>
          <w:sz w:val="22"/>
          <w:szCs w:val="22"/>
        </w:rPr>
        <w:t xml:space="preserve"> to </w:t>
      </w:r>
      <w:r w:rsidRPr="00513BCB">
        <w:rPr>
          <w:sz w:val="22"/>
          <w:szCs w:val="22"/>
        </w:rPr>
        <w:t>state there is</w:t>
      </w:r>
      <w:r w:rsidR="000F1BF0" w:rsidRPr="00513BCB">
        <w:rPr>
          <w:sz w:val="22"/>
          <w:szCs w:val="22"/>
        </w:rPr>
        <w:t xml:space="preserve"> a ‘right’ for a child to be brought up by his or her natural family</w:t>
      </w:r>
      <w:r w:rsidR="009B3C0A" w:rsidRPr="00513BCB">
        <w:rPr>
          <w:sz w:val="22"/>
          <w:szCs w:val="22"/>
        </w:rPr>
        <w:t>.</w:t>
      </w:r>
      <w:r w:rsidR="000F1BF0" w:rsidRPr="00513BCB">
        <w:rPr>
          <w:rStyle w:val="FootnoteReference"/>
          <w:sz w:val="22"/>
          <w:szCs w:val="22"/>
        </w:rPr>
        <w:footnoteReference w:id="56"/>
      </w:r>
      <w:r w:rsidR="000F1BF0" w:rsidRPr="00513BCB">
        <w:rPr>
          <w:sz w:val="22"/>
          <w:szCs w:val="22"/>
        </w:rPr>
        <w:t xml:space="preserve"> </w:t>
      </w:r>
      <w:r w:rsidR="007F2739" w:rsidRPr="00513BCB">
        <w:rPr>
          <w:sz w:val="22"/>
          <w:szCs w:val="22"/>
        </w:rPr>
        <w:t xml:space="preserve">This case is one of initial </w:t>
      </w:r>
      <w:r w:rsidR="007F2739" w:rsidRPr="00513BCB">
        <w:rPr>
          <w:sz w:val="22"/>
          <w:szCs w:val="22"/>
        </w:rPr>
        <w:lastRenderedPageBreak/>
        <w:t>concealment from the father’s family. The</w:t>
      </w:r>
      <w:r w:rsidR="000F1BF0" w:rsidRPr="00513BCB">
        <w:rPr>
          <w:sz w:val="22"/>
          <w:szCs w:val="22"/>
        </w:rPr>
        <w:t xml:space="preserve"> birth</w:t>
      </w:r>
      <w:r w:rsidR="00543FCD" w:rsidRPr="00513BCB">
        <w:rPr>
          <w:sz w:val="22"/>
          <w:szCs w:val="22"/>
        </w:rPr>
        <w:t xml:space="preserve"> </w:t>
      </w:r>
      <w:r w:rsidR="000F1BF0" w:rsidRPr="00513BCB">
        <w:rPr>
          <w:sz w:val="22"/>
          <w:szCs w:val="22"/>
        </w:rPr>
        <w:t xml:space="preserve">giver gave birth to A in 2014. A was placed </w:t>
      </w:r>
      <w:r w:rsidR="00543FCD" w:rsidRPr="00513BCB">
        <w:rPr>
          <w:sz w:val="22"/>
          <w:szCs w:val="22"/>
        </w:rPr>
        <w:t xml:space="preserve">at seven months old </w:t>
      </w:r>
      <w:r w:rsidR="000F1BF0" w:rsidRPr="00513BCB">
        <w:rPr>
          <w:sz w:val="22"/>
          <w:szCs w:val="22"/>
        </w:rPr>
        <w:t>with prospective adopters</w:t>
      </w:r>
      <w:r w:rsidR="009B3C0A" w:rsidRPr="00513BCB">
        <w:rPr>
          <w:sz w:val="22"/>
          <w:szCs w:val="22"/>
        </w:rPr>
        <w:t>,</w:t>
      </w:r>
      <w:r w:rsidR="006740EA" w:rsidRPr="00513BCB">
        <w:rPr>
          <w:sz w:val="22"/>
          <w:szCs w:val="22"/>
        </w:rPr>
        <w:t xml:space="preserve"> couple X</w:t>
      </w:r>
      <w:r w:rsidR="007F2739" w:rsidRPr="00513BCB">
        <w:rPr>
          <w:sz w:val="22"/>
          <w:szCs w:val="22"/>
        </w:rPr>
        <w:t>. A</w:t>
      </w:r>
      <w:r w:rsidR="000F1BF0" w:rsidRPr="00513BCB">
        <w:rPr>
          <w:sz w:val="22"/>
          <w:szCs w:val="22"/>
        </w:rPr>
        <w:t>t the time of the Court of Appeal hearing</w:t>
      </w:r>
      <w:r w:rsidR="007F2739" w:rsidRPr="00513BCB">
        <w:rPr>
          <w:sz w:val="22"/>
          <w:szCs w:val="22"/>
        </w:rPr>
        <w:t>, the child</w:t>
      </w:r>
      <w:r w:rsidR="000F1BF0" w:rsidRPr="00513BCB">
        <w:rPr>
          <w:sz w:val="22"/>
          <w:szCs w:val="22"/>
        </w:rPr>
        <w:t xml:space="preserve"> had been living with this couple for 17 months</w:t>
      </w:r>
      <w:r w:rsidR="00F16A8B" w:rsidRPr="00513BCB">
        <w:rPr>
          <w:sz w:val="22"/>
          <w:szCs w:val="22"/>
        </w:rPr>
        <w:t xml:space="preserve">. They had filed </w:t>
      </w:r>
      <w:r w:rsidR="00543FCD" w:rsidRPr="00513BCB">
        <w:rPr>
          <w:sz w:val="22"/>
          <w:szCs w:val="22"/>
        </w:rPr>
        <w:t>for adoption in</w:t>
      </w:r>
      <w:r w:rsidR="00F16A8B" w:rsidRPr="00513BCB">
        <w:rPr>
          <w:sz w:val="22"/>
          <w:szCs w:val="22"/>
        </w:rPr>
        <w:t xml:space="preserve"> April 2015</w:t>
      </w:r>
      <w:r w:rsidR="000F1BF0" w:rsidRPr="00513BCB">
        <w:rPr>
          <w:sz w:val="22"/>
          <w:szCs w:val="22"/>
        </w:rPr>
        <w:t xml:space="preserve">. In 2015 and 2016 respectively, two further children </w:t>
      </w:r>
      <w:r w:rsidR="00766DE5" w:rsidRPr="00513BCB">
        <w:rPr>
          <w:sz w:val="22"/>
          <w:szCs w:val="22"/>
        </w:rPr>
        <w:t xml:space="preserve">had been </w:t>
      </w:r>
      <w:r w:rsidR="000F1BF0" w:rsidRPr="00513BCB">
        <w:rPr>
          <w:sz w:val="22"/>
          <w:szCs w:val="22"/>
        </w:rPr>
        <w:t>born to A’s biological parents and the social services</w:t>
      </w:r>
      <w:r w:rsidR="00543FCD" w:rsidRPr="00513BCB">
        <w:rPr>
          <w:sz w:val="22"/>
          <w:szCs w:val="22"/>
        </w:rPr>
        <w:t>’</w:t>
      </w:r>
      <w:r w:rsidR="000F1BF0" w:rsidRPr="00513BCB">
        <w:rPr>
          <w:sz w:val="22"/>
          <w:szCs w:val="22"/>
        </w:rPr>
        <w:t xml:space="preserve"> enquiries this time </w:t>
      </w:r>
      <w:r w:rsidR="00543FCD" w:rsidRPr="00513BCB">
        <w:rPr>
          <w:sz w:val="22"/>
          <w:szCs w:val="22"/>
        </w:rPr>
        <w:t xml:space="preserve">identified </w:t>
      </w:r>
      <w:r w:rsidR="000F1BF0" w:rsidRPr="00513BCB">
        <w:rPr>
          <w:sz w:val="22"/>
          <w:szCs w:val="22"/>
        </w:rPr>
        <w:t xml:space="preserve">the paternal grandparents </w:t>
      </w:r>
      <w:r w:rsidR="00766DE5" w:rsidRPr="00513BCB">
        <w:rPr>
          <w:sz w:val="22"/>
          <w:szCs w:val="22"/>
        </w:rPr>
        <w:t xml:space="preserve">who </w:t>
      </w:r>
      <w:r w:rsidR="000F1BF0" w:rsidRPr="00513BCB">
        <w:rPr>
          <w:sz w:val="22"/>
          <w:szCs w:val="22"/>
        </w:rPr>
        <w:t>became aware of the existence of A for the firs</w:t>
      </w:r>
      <w:r w:rsidR="007F2739" w:rsidRPr="00513BCB">
        <w:rPr>
          <w:sz w:val="22"/>
          <w:szCs w:val="22"/>
        </w:rPr>
        <w:t xml:space="preserve">t time in </w:t>
      </w:r>
      <w:r w:rsidR="00F16A8B" w:rsidRPr="00513BCB">
        <w:rPr>
          <w:sz w:val="22"/>
          <w:szCs w:val="22"/>
        </w:rPr>
        <w:t xml:space="preserve">June </w:t>
      </w:r>
      <w:r w:rsidR="007F2739" w:rsidRPr="00513BCB">
        <w:rPr>
          <w:sz w:val="22"/>
          <w:szCs w:val="22"/>
        </w:rPr>
        <w:t xml:space="preserve">2015. </w:t>
      </w:r>
      <w:r w:rsidR="00543FCD" w:rsidRPr="00513BCB">
        <w:rPr>
          <w:sz w:val="22"/>
          <w:szCs w:val="22"/>
        </w:rPr>
        <w:t>T</w:t>
      </w:r>
      <w:r w:rsidR="000F1BF0" w:rsidRPr="00513BCB">
        <w:rPr>
          <w:sz w:val="22"/>
          <w:szCs w:val="22"/>
        </w:rPr>
        <w:t xml:space="preserve">he two other children </w:t>
      </w:r>
      <w:r w:rsidR="00543FCD" w:rsidRPr="00513BCB">
        <w:rPr>
          <w:sz w:val="22"/>
          <w:szCs w:val="22"/>
        </w:rPr>
        <w:t xml:space="preserve">looked likely to </w:t>
      </w:r>
      <w:r w:rsidR="000F1BF0" w:rsidRPr="00513BCB">
        <w:rPr>
          <w:sz w:val="22"/>
          <w:szCs w:val="22"/>
        </w:rPr>
        <w:t>find a permanent home in the paternal family.</w:t>
      </w:r>
      <w:r w:rsidR="000F1BF0" w:rsidRPr="00513BCB">
        <w:rPr>
          <w:rStyle w:val="FootnoteReference"/>
          <w:sz w:val="22"/>
          <w:szCs w:val="22"/>
        </w:rPr>
        <w:footnoteReference w:id="57"/>
      </w:r>
      <w:r w:rsidR="000F1BF0" w:rsidRPr="00513BCB">
        <w:rPr>
          <w:sz w:val="22"/>
          <w:szCs w:val="22"/>
        </w:rPr>
        <w:t xml:space="preserve"> </w:t>
      </w:r>
      <w:r w:rsidR="00766DE5" w:rsidRPr="00513BCB">
        <w:rPr>
          <w:sz w:val="22"/>
          <w:szCs w:val="22"/>
        </w:rPr>
        <w:t xml:space="preserve">Yet </w:t>
      </w:r>
      <w:r w:rsidR="009B3C0A" w:rsidRPr="00513BCB">
        <w:rPr>
          <w:sz w:val="22"/>
          <w:szCs w:val="22"/>
        </w:rPr>
        <w:t>couple X successfully appealed against</w:t>
      </w:r>
      <w:r w:rsidR="00F16A8B" w:rsidRPr="00513BCB">
        <w:rPr>
          <w:sz w:val="22"/>
          <w:szCs w:val="22"/>
        </w:rPr>
        <w:t xml:space="preserve"> the judge’s dismissal of the</w:t>
      </w:r>
      <w:r w:rsidR="00543FCD" w:rsidRPr="00513BCB">
        <w:rPr>
          <w:sz w:val="22"/>
          <w:szCs w:val="22"/>
        </w:rPr>
        <w:t>ir</w:t>
      </w:r>
      <w:r w:rsidR="00F16A8B" w:rsidRPr="00513BCB">
        <w:rPr>
          <w:sz w:val="22"/>
          <w:szCs w:val="22"/>
        </w:rPr>
        <w:t xml:space="preserve"> adoption application and his order in favour of the paternal grandparents</w:t>
      </w:r>
      <w:r w:rsidR="009B3C0A" w:rsidRPr="00513BCB">
        <w:rPr>
          <w:sz w:val="22"/>
          <w:szCs w:val="22"/>
        </w:rPr>
        <w:t>, and later they</w:t>
      </w:r>
      <w:r w:rsidR="00E75211" w:rsidRPr="00513BCB">
        <w:rPr>
          <w:sz w:val="22"/>
          <w:szCs w:val="22"/>
        </w:rPr>
        <w:t xml:space="preserve"> obtained the adoption order sought. </w:t>
      </w:r>
      <w:r w:rsidR="009B3C0A" w:rsidRPr="00513BCB">
        <w:rPr>
          <w:sz w:val="22"/>
          <w:szCs w:val="22"/>
        </w:rPr>
        <w:t xml:space="preserve">The Court of Appeal said that ‘the assumption that there is a presumption to </w:t>
      </w:r>
      <w:r w:rsidR="002256FC" w:rsidRPr="00513BCB">
        <w:rPr>
          <w:sz w:val="22"/>
          <w:szCs w:val="22"/>
        </w:rPr>
        <w:t>[be brought up by the biological family]</w:t>
      </w:r>
      <w:r w:rsidR="009B3C0A" w:rsidRPr="00513BCB">
        <w:rPr>
          <w:sz w:val="22"/>
          <w:szCs w:val="22"/>
        </w:rPr>
        <w:t>, needs to be firmly and clearly laid to rest. No such “right” or presumption exists.’</w:t>
      </w:r>
      <w:r w:rsidR="009B3C0A" w:rsidRPr="00513BCB">
        <w:rPr>
          <w:rStyle w:val="FootnoteReference"/>
          <w:sz w:val="22"/>
          <w:szCs w:val="22"/>
        </w:rPr>
        <w:footnoteReference w:id="58"/>
      </w:r>
    </w:p>
    <w:p w14:paraId="4076606E" w14:textId="77777777" w:rsidR="00E75211" w:rsidRPr="00513BCB" w:rsidRDefault="00E75211" w:rsidP="004D3080">
      <w:pPr>
        <w:spacing w:line="360" w:lineRule="auto"/>
        <w:jc w:val="both"/>
        <w:rPr>
          <w:sz w:val="22"/>
          <w:szCs w:val="22"/>
        </w:rPr>
      </w:pPr>
    </w:p>
    <w:p w14:paraId="32BCA07C" w14:textId="4FC99906" w:rsidR="00F52F9D" w:rsidRPr="00513BCB" w:rsidRDefault="00050EB4" w:rsidP="004D3080">
      <w:pPr>
        <w:spacing w:line="360" w:lineRule="auto"/>
        <w:jc w:val="both"/>
        <w:rPr>
          <w:rFonts w:cs="Times"/>
          <w:color w:val="1A1A1A"/>
          <w:sz w:val="22"/>
          <w:szCs w:val="22"/>
        </w:rPr>
      </w:pPr>
      <w:r w:rsidRPr="00513BCB">
        <w:rPr>
          <w:sz w:val="22"/>
          <w:szCs w:val="22"/>
        </w:rPr>
        <w:t>Bef</w:t>
      </w:r>
      <w:r w:rsidR="00766DE5" w:rsidRPr="00513BCB">
        <w:rPr>
          <w:sz w:val="22"/>
          <w:szCs w:val="22"/>
        </w:rPr>
        <w:t>ore moving on to investigate</w:t>
      </w:r>
      <w:r w:rsidRPr="00513BCB">
        <w:rPr>
          <w:sz w:val="22"/>
          <w:szCs w:val="22"/>
        </w:rPr>
        <w:t xml:space="preserve"> </w:t>
      </w:r>
      <w:r w:rsidR="00766DE5" w:rsidRPr="00513BCB">
        <w:rPr>
          <w:sz w:val="22"/>
          <w:szCs w:val="22"/>
        </w:rPr>
        <w:t xml:space="preserve">interpretations of </w:t>
      </w:r>
      <w:r w:rsidRPr="00513BCB">
        <w:rPr>
          <w:sz w:val="22"/>
          <w:szCs w:val="22"/>
        </w:rPr>
        <w:t>children’s right</w:t>
      </w:r>
      <w:r w:rsidR="00766DE5" w:rsidRPr="00513BCB">
        <w:rPr>
          <w:sz w:val="22"/>
          <w:szCs w:val="22"/>
        </w:rPr>
        <w:t>s to identity</w:t>
      </w:r>
      <w:r w:rsidRPr="00513BCB">
        <w:rPr>
          <w:sz w:val="22"/>
          <w:szCs w:val="22"/>
        </w:rPr>
        <w:t>, I briefly review how</w:t>
      </w:r>
      <w:r w:rsidR="00766DE5" w:rsidRPr="00513BCB">
        <w:rPr>
          <w:sz w:val="22"/>
          <w:szCs w:val="22"/>
        </w:rPr>
        <w:t xml:space="preserve"> voluntary relinquishment is dealt with in some other jurisdictions</w:t>
      </w:r>
      <w:r w:rsidR="00603029" w:rsidRPr="00513BCB">
        <w:rPr>
          <w:sz w:val="22"/>
          <w:szCs w:val="22"/>
        </w:rPr>
        <w:t>.</w:t>
      </w:r>
      <w:r w:rsidR="007D1E10" w:rsidRPr="00513BCB">
        <w:rPr>
          <w:sz w:val="22"/>
          <w:szCs w:val="22"/>
        </w:rPr>
        <w:t xml:space="preserve"> I</w:t>
      </w:r>
      <w:r w:rsidR="00B1609C" w:rsidRPr="00513BCB">
        <w:rPr>
          <w:rFonts w:cs="Times"/>
          <w:color w:val="1A1A1A"/>
          <w:sz w:val="22"/>
          <w:szCs w:val="22"/>
        </w:rPr>
        <w:t>n certain European countries, most notably France, it is</w:t>
      </w:r>
      <w:r w:rsidR="00F52F9D" w:rsidRPr="00513BCB">
        <w:rPr>
          <w:rFonts w:cs="Times"/>
          <w:color w:val="1A1A1A"/>
          <w:sz w:val="22"/>
          <w:szCs w:val="22"/>
        </w:rPr>
        <w:t xml:space="preserve"> possible to give birth an</w:t>
      </w:r>
      <w:r w:rsidR="007D1E10" w:rsidRPr="00513BCB">
        <w:rPr>
          <w:rFonts w:cs="Times"/>
          <w:color w:val="1A1A1A"/>
          <w:sz w:val="22"/>
          <w:szCs w:val="22"/>
        </w:rPr>
        <w:t>onymously</w:t>
      </w:r>
      <w:r w:rsidR="00B1609C" w:rsidRPr="00513BCB">
        <w:rPr>
          <w:rFonts w:cs="Times"/>
          <w:color w:val="1A1A1A"/>
          <w:sz w:val="22"/>
          <w:szCs w:val="22"/>
        </w:rPr>
        <w:t xml:space="preserve">. </w:t>
      </w:r>
    </w:p>
    <w:p w14:paraId="4A9DC8A7" w14:textId="77777777" w:rsidR="007C19AD" w:rsidRPr="00513BCB" w:rsidRDefault="007C19AD" w:rsidP="004D3080">
      <w:pPr>
        <w:spacing w:line="360" w:lineRule="auto"/>
        <w:jc w:val="both"/>
        <w:rPr>
          <w:rFonts w:cs="Times"/>
          <w:b/>
          <w:color w:val="1A1A1A"/>
          <w:sz w:val="22"/>
          <w:szCs w:val="22"/>
        </w:rPr>
      </w:pPr>
    </w:p>
    <w:p w14:paraId="690BFCCD" w14:textId="6A29B271" w:rsidR="00F52F9D" w:rsidRPr="00513BCB" w:rsidRDefault="0001383D" w:rsidP="007C6A1D">
      <w:pPr>
        <w:spacing w:line="360" w:lineRule="auto"/>
        <w:jc w:val="both"/>
        <w:outlineLvl w:val="0"/>
        <w:rPr>
          <w:rFonts w:cs="Times"/>
          <w:b/>
          <w:i/>
          <w:color w:val="1A1A1A"/>
          <w:sz w:val="22"/>
          <w:szCs w:val="22"/>
        </w:rPr>
      </w:pPr>
      <w:r w:rsidRPr="00513BCB">
        <w:rPr>
          <w:rFonts w:cs="Times"/>
          <w:b/>
          <w:i/>
          <w:color w:val="1A1A1A"/>
          <w:sz w:val="22"/>
          <w:szCs w:val="22"/>
        </w:rPr>
        <w:t xml:space="preserve">Anonymous </w:t>
      </w:r>
      <w:r w:rsidR="001C4514" w:rsidRPr="00513BCB">
        <w:rPr>
          <w:rFonts w:cs="Times"/>
          <w:b/>
          <w:i/>
          <w:color w:val="1A1A1A"/>
          <w:sz w:val="22"/>
          <w:szCs w:val="22"/>
        </w:rPr>
        <w:t>b</w:t>
      </w:r>
      <w:r w:rsidRPr="00513BCB">
        <w:rPr>
          <w:rFonts w:cs="Times"/>
          <w:b/>
          <w:i/>
          <w:color w:val="1A1A1A"/>
          <w:sz w:val="22"/>
          <w:szCs w:val="22"/>
        </w:rPr>
        <w:t xml:space="preserve">irths </w:t>
      </w:r>
      <w:r w:rsidR="007C19AD" w:rsidRPr="00513BCB">
        <w:rPr>
          <w:rFonts w:cs="Times"/>
          <w:b/>
          <w:i/>
          <w:color w:val="1A1A1A"/>
          <w:sz w:val="22"/>
          <w:szCs w:val="22"/>
        </w:rPr>
        <w:t xml:space="preserve">in </w:t>
      </w:r>
      <w:r w:rsidR="001C4514" w:rsidRPr="00513BCB">
        <w:rPr>
          <w:rFonts w:cs="Times"/>
          <w:b/>
          <w:i/>
          <w:color w:val="1A1A1A"/>
          <w:sz w:val="22"/>
          <w:szCs w:val="22"/>
        </w:rPr>
        <w:t>some p</w:t>
      </w:r>
      <w:r w:rsidR="0011727B" w:rsidRPr="00513BCB">
        <w:rPr>
          <w:rFonts w:cs="Times"/>
          <w:b/>
          <w:i/>
          <w:color w:val="1A1A1A"/>
          <w:sz w:val="22"/>
          <w:szCs w:val="22"/>
        </w:rPr>
        <w:t xml:space="preserve">arts of </w:t>
      </w:r>
      <w:r w:rsidR="007C19AD" w:rsidRPr="00513BCB">
        <w:rPr>
          <w:rFonts w:cs="Times"/>
          <w:b/>
          <w:i/>
          <w:color w:val="1A1A1A"/>
          <w:sz w:val="22"/>
          <w:szCs w:val="22"/>
        </w:rPr>
        <w:t>Europe</w:t>
      </w:r>
    </w:p>
    <w:p w14:paraId="036BA186" w14:textId="0C22CE50" w:rsidR="00FF4952" w:rsidRPr="00513BCB" w:rsidRDefault="004A53CB" w:rsidP="004D3080">
      <w:pPr>
        <w:pStyle w:val="s30eec3f8"/>
        <w:spacing w:before="0" w:beforeAutospacing="0" w:after="0" w:afterAutospacing="0" w:line="360" w:lineRule="auto"/>
        <w:jc w:val="both"/>
        <w:rPr>
          <w:rFonts w:asciiTheme="minorHAnsi" w:hAnsiTheme="minorHAnsi"/>
          <w:color w:val="000000" w:themeColor="text1"/>
          <w:sz w:val="22"/>
          <w:szCs w:val="22"/>
        </w:rPr>
      </w:pPr>
      <w:r w:rsidRPr="00513BCB">
        <w:rPr>
          <w:rStyle w:val="apple-converted-space"/>
          <w:rFonts w:asciiTheme="minorHAnsi" w:hAnsiTheme="minorHAnsi" w:cs="Times New Roman"/>
          <w:color w:val="000000"/>
          <w:sz w:val="22"/>
          <w:szCs w:val="22"/>
        </w:rPr>
        <w:t>A</w:t>
      </w:r>
      <w:r w:rsidR="007C19AD" w:rsidRPr="00513BCB">
        <w:rPr>
          <w:rStyle w:val="sb8d990e2"/>
          <w:rFonts w:asciiTheme="minorHAnsi" w:hAnsiTheme="minorHAnsi" w:cs="Times New Roman"/>
          <w:color w:val="000000"/>
          <w:sz w:val="22"/>
          <w:szCs w:val="22"/>
        </w:rPr>
        <w:t xml:space="preserve">nonymous </w:t>
      </w:r>
      <w:r w:rsidR="00603029" w:rsidRPr="00513BCB">
        <w:rPr>
          <w:rStyle w:val="sb8d990e2"/>
          <w:rFonts w:asciiTheme="minorHAnsi" w:hAnsiTheme="minorHAnsi" w:cs="Times New Roman"/>
          <w:color w:val="000000"/>
          <w:sz w:val="22"/>
          <w:szCs w:val="22"/>
        </w:rPr>
        <w:t>births exist</w:t>
      </w:r>
      <w:r w:rsidRPr="00513BCB">
        <w:rPr>
          <w:rStyle w:val="sb8d990e2"/>
          <w:rFonts w:asciiTheme="minorHAnsi" w:hAnsiTheme="minorHAnsi" w:cs="Times New Roman"/>
          <w:color w:val="000000"/>
          <w:sz w:val="22"/>
          <w:szCs w:val="22"/>
        </w:rPr>
        <w:t xml:space="preserve"> in </w:t>
      </w:r>
      <w:r w:rsidR="00603029" w:rsidRPr="00513BCB">
        <w:rPr>
          <w:rStyle w:val="sb8d990e2"/>
          <w:rFonts w:asciiTheme="minorHAnsi" w:hAnsiTheme="minorHAnsi" w:cs="Times New Roman"/>
          <w:color w:val="000000"/>
          <w:sz w:val="22"/>
          <w:szCs w:val="22"/>
        </w:rPr>
        <w:t xml:space="preserve">only </w:t>
      </w:r>
      <w:r w:rsidRPr="00513BCB">
        <w:rPr>
          <w:rStyle w:val="sb8d990e2"/>
          <w:rFonts w:asciiTheme="minorHAnsi" w:hAnsiTheme="minorHAnsi" w:cs="Times New Roman"/>
          <w:color w:val="000000"/>
          <w:sz w:val="22"/>
          <w:szCs w:val="22"/>
        </w:rPr>
        <w:t xml:space="preserve">a </w:t>
      </w:r>
      <w:r w:rsidR="007C19AD" w:rsidRPr="00513BCB">
        <w:rPr>
          <w:rStyle w:val="sb8d990e2"/>
          <w:rFonts w:asciiTheme="minorHAnsi" w:hAnsiTheme="minorHAnsi" w:cs="Times New Roman"/>
          <w:color w:val="000000"/>
          <w:sz w:val="22"/>
          <w:szCs w:val="22"/>
        </w:rPr>
        <w:t>minority of countries in Europe</w:t>
      </w:r>
      <w:r w:rsidR="00CD2AF7" w:rsidRPr="00513BCB">
        <w:rPr>
          <w:rStyle w:val="sb8d990e2"/>
          <w:rFonts w:asciiTheme="minorHAnsi" w:hAnsiTheme="minorHAnsi" w:cs="Times New Roman"/>
          <w:color w:val="000000"/>
          <w:sz w:val="22"/>
          <w:szCs w:val="22"/>
        </w:rPr>
        <w:t xml:space="preserve">. </w:t>
      </w:r>
      <w:r w:rsidR="006740EA" w:rsidRPr="00513BCB">
        <w:rPr>
          <w:rStyle w:val="sb8d990e2"/>
          <w:rFonts w:asciiTheme="minorHAnsi" w:hAnsiTheme="minorHAnsi" w:cs="Times New Roman"/>
          <w:color w:val="000000"/>
          <w:sz w:val="22"/>
          <w:szCs w:val="22"/>
        </w:rPr>
        <w:t xml:space="preserve">Whilst </w:t>
      </w:r>
      <w:r w:rsidR="00A05CC7" w:rsidRPr="00513BCB">
        <w:rPr>
          <w:rStyle w:val="sb8d990e2"/>
          <w:rFonts w:asciiTheme="minorHAnsi" w:hAnsiTheme="minorHAnsi" w:cs="Times New Roman"/>
          <w:color w:val="000000"/>
          <w:sz w:val="22"/>
          <w:szCs w:val="22"/>
        </w:rPr>
        <w:t>described as ‘</w:t>
      </w:r>
      <w:r w:rsidR="007C19AD" w:rsidRPr="00513BCB">
        <w:rPr>
          <w:rStyle w:val="sb8d990e2"/>
          <w:rFonts w:asciiTheme="minorHAnsi" w:hAnsiTheme="minorHAnsi" w:cs="Times New Roman"/>
          <w:color w:val="000000"/>
          <w:sz w:val="22"/>
          <w:szCs w:val="22"/>
        </w:rPr>
        <w:t>not exceptional</w:t>
      </w:r>
      <w:r w:rsidR="00A05CC7" w:rsidRPr="00513BCB">
        <w:rPr>
          <w:rStyle w:val="sb8d990e2"/>
          <w:rFonts w:asciiTheme="minorHAnsi" w:hAnsiTheme="minorHAnsi" w:cs="Times New Roman"/>
          <w:color w:val="000000"/>
          <w:sz w:val="22"/>
          <w:szCs w:val="22"/>
        </w:rPr>
        <w:t>’</w:t>
      </w:r>
      <w:r w:rsidR="007C19AD" w:rsidRPr="00513BCB">
        <w:rPr>
          <w:rStyle w:val="FootnoteReference"/>
          <w:rFonts w:asciiTheme="minorHAnsi" w:hAnsiTheme="minorHAnsi" w:cs="Times New Roman"/>
          <w:color w:val="000000"/>
          <w:sz w:val="22"/>
          <w:szCs w:val="22"/>
        </w:rPr>
        <w:footnoteReference w:id="59"/>
      </w:r>
      <w:r w:rsidR="007C19AD" w:rsidRPr="00513BCB">
        <w:rPr>
          <w:rStyle w:val="sb8d990e2"/>
          <w:rFonts w:asciiTheme="minorHAnsi" w:hAnsiTheme="minorHAnsi" w:cs="Times New Roman"/>
          <w:color w:val="000000"/>
          <w:sz w:val="22"/>
          <w:szCs w:val="22"/>
        </w:rPr>
        <w:t xml:space="preserve"> </w:t>
      </w:r>
      <w:r w:rsidR="00094A7A" w:rsidRPr="00513BCB">
        <w:rPr>
          <w:rStyle w:val="sb8d990e2"/>
          <w:rFonts w:asciiTheme="minorHAnsi" w:hAnsiTheme="minorHAnsi" w:cs="Times New Roman"/>
          <w:color w:val="000000"/>
          <w:sz w:val="22"/>
          <w:szCs w:val="22"/>
        </w:rPr>
        <w:t xml:space="preserve">(it can happen in Italy, Luxembourg and France), </w:t>
      </w:r>
      <w:r w:rsidR="00CD2AF7" w:rsidRPr="00513BCB">
        <w:rPr>
          <w:rStyle w:val="sb8d990e2"/>
          <w:rFonts w:asciiTheme="minorHAnsi" w:hAnsiTheme="minorHAnsi" w:cs="Times New Roman"/>
          <w:color w:val="000000"/>
          <w:sz w:val="22"/>
          <w:szCs w:val="22"/>
        </w:rPr>
        <w:t xml:space="preserve">it has been </w:t>
      </w:r>
      <w:r w:rsidR="00094A7A" w:rsidRPr="00513BCB">
        <w:rPr>
          <w:rStyle w:val="sb8d990e2"/>
          <w:rFonts w:asciiTheme="minorHAnsi" w:hAnsiTheme="minorHAnsi" w:cs="Times New Roman"/>
          <w:color w:val="000000"/>
          <w:sz w:val="22"/>
          <w:szCs w:val="22"/>
        </w:rPr>
        <w:t>said that it is</w:t>
      </w:r>
      <w:r w:rsidR="00CD2AF7" w:rsidRPr="00513BCB">
        <w:rPr>
          <w:rStyle w:val="sb8d990e2"/>
          <w:rFonts w:asciiTheme="minorHAnsi" w:hAnsiTheme="minorHAnsi" w:cs="Times New Roman"/>
          <w:color w:val="000000"/>
          <w:sz w:val="22"/>
          <w:szCs w:val="22"/>
        </w:rPr>
        <w:t xml:space="preserve"> ‘very rare’ to omit the mother’s name from the birth registry.</w:t>
      </w:r>
      <w:r w:rsidR="00CD2AF7" w:rsidRPr="00513BCB">
        <w:rPr>
          <w:rStyle w:val="FootnoteReference"/>
          <w:rFonts w:asciiTheme="minorHAnsi" w:hAnsiTheme="minorHAnsi" w:cs="Times New Roman"/>
          <w:color w:val="000000"/>
          <w:sz w:val="22"/>
          <w:szCs w:val="22"/>
        </w:rPr>
        <w:footnoteReference w:id="60"/>
      </w:r>
      <w:r w:rsidR="00FF4952" w:rsidRPr="00513BCB">
        <w:rPr>
          <w:rFonts w:asciiTheme="minorHAnsi" w:hAnsiTheme="minorHAnsi"/>
          <w:color w:val="000000" w:themeColor="text1"/>
          <w:sz w:val="22"/>
          <w:szCs w:val="22"/>
        </w:rPr>
        <w:t xml:space="preserve"> </w:t>
      </w:r>
    </w:p>
    <w:p w14:paraId="17AB0579" w14:textId="77777777" w:rsidR="00FF4952" w:rsidRPr="00513BCB" w:rsidRDefault="00FF4952" w:rsidP="004D3080">
      <w:pPr>
        <w:pStyle w:val="s30eec3f8"/>
        <w:spacing w:before="0" w:beforeAutospacing="0" w:after="0" w:afterAutospacing="0" w:line="360" w:lineRule="auto"/>
        <w:jc w:val="both"/>
        <w:rPr>
          <w:rFonts w:asciiTheme="minorHAnsi" w:hAnsiTheme="minorHAnsi"/>
          <w:color w:val="000000" w:themeColor="text1"/>
          <w:sz w:val="22"/>
          <w:szCs w:val="22"/>
        </w:rPr>
      </w:pPr>
    </w:p>
    <w:p w14:paraId="21C85948" w14:textId="1B6015F9" w:rsidR="00A05CC7" w:rsidRPr="00513BCB" w:rsidRDefault="00A05CC7" w:rsidP="004D3080">
      <w:pPr>
        <w:pStyle w:val="s30eec3f8"/>
        <w:spacing w:before="0" w:beforeAutospacing="0" w:after="0" w:afterAutospacing="0" w:line="360" w:lineRule="auto"/>
        <w:jc w:val="both"/>
        <w:rPr>
          <w:rFonts w:asciiTheme="minorHAnsi" w:hAnsiTheme="minorHAnsi"/>
          <w:sz w:val="22"/>
          <w:szCs w:val="22"/>
        </w:rPr>
      </w:pPr>
      <w:r w:rsidRPr="00513BCB">
        <w:rPr>
          <w:rFonts w:asciiTheme="minorHAnsi" w:hAnsiTheme="minorHAnsi" w:cs="Times"/>
          <w:color w:val="1A1A1A"/>
          <w:sz w:val="22"/>
          <w:szCs w:val="22"/>
        </w:rPr>
        <w:lastRenderedPageBreak/>
        <w:t xml:space="preserve">In France, anonymous birthing is legally permitted under the </w:t>
      </w:r>
      <w:r w:rsidRPr="00513BCB">
        <w:rPr>
          <w:rFonts w:asciiTheme="minorHAnsi" w:hAnsiTheme="minorHAnsi" w:cs="Times"/>
          <w:i/>
          <w:color w:val="1A1A1A"/>
          <w:sz w:val="22"/>
          <w:szCs w:val="22"/>
        </w:rPr>
        <w:t>accouchment sous X</w:t>
      </w:r>
      <w:r w:rsidRPr="00513BCB">
        <w:rPr>
          <w:rFonts w:asciiTheme="minorHAnsi" w:hAnsiTheme="minorHAnsi" w:cs="Times"/>
          <w:color w:val="1A1A1A"/>
          <w:sz w:val="22"/>
          <w:szCs w:val="22"/>
        </w:rPr>
        <w:t xml:space="preserve"> system where a woman</w:t>
      </w:r>
      <w:r w:rsidRPr="00513BCB">
        <w:rPr>
          <w:rFonts w:asciiTheme="minorHAnsi" w:hAnsiTheme="minorHAnsi"/>
          <w:sz w:val="22"/>
          <w:szCs w:val="22"/>
          <w:lang w:val="en"/>
        </w:rPr>
        <w:t xml:space="preserve"> can attend hospital to give birth keeping her identity a secret.</w:t>
      </w:r>
      <w:r w:rsidRPr="00513BCB">
        <w:rPr>
          <w:rStyle w:val="FootnoteReference"/>
          <w:rFonts w:asciiTheme="minorHAnsi" w:hAnsiTheme="minorHAnsi"/>
          <w:sz w:val="22"/>
          <w:szCs w:val="22"/>
        </w:rPr>
        <w:footnoteReference w:id="61"/>
      </w:r>
      <w:r w:rsidRPr="00513BCB">
        <w:rPr>
          <w:rStyle w:val="FootnoteReference"/>
          <w:rFonts w:asciiTheme="minorHAnsi" w:hAnsiTheme="minorHAnsi"/>
          <w:color w:val="000000" w:themeColor="text1"/>
          <w:sz w:val="22"/>
          <w:szCs w:val="22"/>
        </w:rPr>
        <w:t xml:space="preserve"> </w:t>
      </w:r>
      <w:r w:rsidRPr="00513BCB">
        <w:rPr>
          <w:rStyle w:val="sb8d990e2"/>
          <w:rFonts w:asciiTheme="minorHAnsi" w:hAnsiTheme="minorHAnsi" w:cs="Times New Roman"/>
          <w:color w:val="000000"/>
          <w:sz w:val="22"/>
          <w:szCs w:val="22"/>
        </w:rPr>
        <w:t xml:space="preserve">This is based on an ancient tradition in France that enables newborn babies to be abandoned in accordance with a set procedure. </w:t>
      </w:r>
      <w:r w:rsidR="00EC3153" w:rsidRPr="00513BCB">
        <w:rPr>
          <w:rFonts w:asciiTheme="minorHAnsi" w:hAnsiTheme="minorHAnsi"/>
          <w:sz w:val="22"/>
          <w:szCs w:val="22"/>
        </w:rPr>
        <w:t>Kertzer traces this practice back to 1198 when the first reported foundling home was established in Rome built with a wheel in the wall</w:t>
      </w:r>
      <w:r w:rsidR="006740EA" w:rsidRPr="00513BCB">
        <w:rPr>
          <w:rFonts w:asciiTheme="minorHAnsi" w:hAnsiTheme="minorHAnsi"/>
          <w:sz w:val="22"/>
          <w:szCs w:val="22"/>
        </w:rPr>
        <w:t>,</w:t>
      </w:r>
      <w:r w:rsidR="00EC3153" w:rsidRPr="00513BCB">
        <w:rPr>
          <w:rFonts w:asciiTheme="minorHAnsi" w:hAnsiTheme="minorHAnsi"/>
          <w:sz w:val="22"/>
          <w:szCs w:val="22"/>
        </w:rPr>
        <w:t xml:space="preserve"> </w:t>
      </w:r>
      <w:r w:rsidR="006740EA" w:rsidRPr="00513BCB">
        <w:rPr>
          <w:rStyle w:val="sb8d990e2"/>
          <w:rFonts w:asciiTheme="minorHAnsi" w:hAnsiTheme="minorHAnsi" w:cs="Times New Roman"/>
          <w:color w:val="000000"/>
          <w:sz w:val="22"/>
          <w:szCs w:val="22"/>
        </w:rPr>
        <w:t>and in France in</w:t>
      </w:r>
      <w:r w:rsidR="00BB59A4" w:rsidRPr="00513BCB">
        <w:rPr>
          <w:rStyle w:val="sb8d990e2"/>
          <w:rFonts w:asciiTheme="minorHAnsi" w:hAnsiTheme="minorHAnsi" w:cs="Times New Roman"/>
          <w:color w:val="000000"/>
          <w:sz w:val="22"/>
          <w:szCs w:val="22"/>
        </w:rPr>
        <w:t xml:space="preserve"> 1638</w:t>
      </w:r>
      <w:r w:rsidR="00543FCD" w:rsidRPr="00513BCB">
        <w:rPr>
          <w:rStyle w:val="sb8d990e2"/>
          <w:rFonts w:asciiTheme="minorHAnsi" w:hAnsiTheme="minorHAnsi" w:cs="Times New Roman"/>
          <w:color w:val="000000"/>
          <w:sz w:val="22"/>
          <w:szCs w:val="22"/>
        </w:rPr>
        <w:t>.</w:t>
      </w:r>
      <w:r w:rsidR="006740EA" w:rsidRPr="00513BCB">
        <w:rPr>
          <w:rStyle w:val="FootnoteReference"/>
          <w:rFonts w:asciiTheme="minorHAnsi" w:hAnsiTheme="minorHAnsi"/>
          <w:sz w:val="22"/>
          <w:szCs w:val="22"/>
        </w:rPr>
        <w:t xml:space="preserve"> </w:t>
      </w:r>
      <w:r w:rsidR="006740EA" w:rsidRPr="00513BCB">
        <w:rPr>
          <w:rStyle w:val="FootnoteReference"/>
          <w:rFonts w:asciiTheme="minorHAnsi" w:hAnsiTheme="minorHAnsi"/>
          <w:sz w:val="22"/>
          <w:szCs w:val="22"/>
        </w:rPr>
        <w:footnoteReference w:id="62"/>
      </w:r>
      <w:r w:rsidR="00543FCD" w:rsidRPr="00513BCB">
        <w:rPr>
          <w:rStyle w:val="sb8d990e2"/>
          <w:rFonts w:asciiTheme="minorHAnsi" w:hAnsiTheme="minorHAnsi" w:cs="Times New Roman"/>
          <w:color w:val="000000"/>
          <w:sz w:val="22"/>
          <w:szCs w:val="22"/>
        </w:rPr>
        <w:t xml:space="preserve"> </w:t>
      </w:r>
      <w:r w:rsidRPr="00513BCB">
        <w:rPr>
          <w:rStyle w:val="sb8d990e2"/>
          <w:rFonts w:asciiTheme="minorHAnsi" w:hAnsiTheme="minorHAnsi" w:cs="Times New Roman"/>
          <w:color w:val="000000"/>
          <w:sz w:val="22"/>
          <w:szCs w:val="22"/>
        </w:rPr>
        <w:t xml:space="preserve">The child </w:t>
      </w:r>
      <w:r w:rsidR="00B229B4" w:rsidRPr="00513BCB">
        <w:rPr>
          <w:rStyle w:val="sb8d990e2"/>
          <w:rFonts w:asciiTheme="minorHAnsi" w:hAnsiTheme="minorHAnsi" w:cs="Times New Roman"/>
          <w:color w:val="000000"/>
          <w:sz w:val="22"/>
          <w:szCs w:val="22"/>
        </w:rPr>
        <w:t xml:space="preserve">would be placed </w:t>
      </w:r>
      <w:r w:rsidRPr="00513BCB">
        <w:rPr>
          <w:rStyle w:val="sb8d990e2"/>
          <w:rFonts w:asciiTheme="minorHAnsi" w:hAnsiTheme="minorHAnsi" w:cs="Times New Roman"/>
          <w:color w:val="000000"/>
          <w:sz w:val="22"/>
          <w:szCs w:val="22"/>
        </w:rPr>
        <w:t>in the crib and</w:t>
      </w:r>
      <w:r w:rsidR="00B229B4" w:rsidRPr="00513BCB">
        <w:rPr>
          <w:rStyle w:val="sb8d990e2"/>
          <w:rFonts w:asciiTheme="minorHAnsi" w:hAnsiTheme="minorHAnsi" w:cs="Times New Roman"/>
          <w:color w:val="000000"/>
          <w:sz w:val="22"/>
          <w:szCs w:val="22"/>
        </w:rPr>
        <w:t xml:space="preserve"> the birth giver</w:t>
      </w:r>
      <w:r w:rsidRPr="00513BCB">
        <w:rPr>
          <w:rStyle w:val="sb8d990e2"/>
          <w:rFonts w:asciiTheme="minorHAnsi" w:hAnsiTheme="minorHAnsi" w:cs="Times New Roman"/>
          <w:color w:val="000000"/>
          <w:sz w:val="22"/>
          <w:szCs w:val="22"/>
        </w:rPr>
        <w:t xml:space="preserve"> ring a bell. On that signal someone on the other side of the wall would cause the</w:t>
      </w:r>
      <w:r w:rsidRPr="00513BCB">
        <w:rPr>
          <w:rStyle w:val="apple-converted-space"/>
          <w:rFonts w:asciiTheme="minorHAnsi" w:hAnsiTheme="minorHAnsi" w:cs="Times New Roman"/>
          <w:color w:val="000000"/>
          <w:sz w:val="22"/>
          <w:szCs w:val="22"/>
        </w:rPr>
        <w:t> </w:t>
      </w:r>
      <w:r w:rsidR="006740EA" w:rsidRPr="00513BCB">
        <w:rPr>
          <w:rStyle w:val="s6b621b36"/>
          <w:rFonts w:asciiTheme="minorHAnsi" w:hAnsiTheme="minorHAnsi" w:cs="Times New Roman"/>
          <w:iCs/>
          <w:color w:val="000000"/>
          <w:sz w:val="22"/>
          <w:szCs w:val="22"/>
        </w:rPr>
        <w:t>crib</w:t>
      </w:r>
      <w:r w:rsidR="006740EA" w:rsidRPr="00513BCB">
        <w:rPr>
          <w:rStyle w:val="apple-converted-space"/>
          <w:rFonts w:asciiTheme="minorHAnsi" w:hAnsiTheme="minorHAnsi" w:cs="Times New Roman"/>
          <w:color w:val="000000"/>
          <w:sz w:val="22"/>
          <w:szCs w:val="22"/>
        </w:rPr>
        <w:t> </w:t>
      </w:r>
      <w:r w:rsidRPr="00513BCB">
        <w:rPr>
          <w:rStyle w:val="sb8d990e2"/>
          <w:rFonts w:asciiTheme="minorHAnsi" w:hAnsiTheme="minorHAnsi" w:cs="Times New Roman"/>
          <w:color w:val="000000"/>
          <w:sz w:val="22"/>
          <w:szCs w:val="22"/>
        </w:rPr>
        <w:t>to pivot and collect the infant. The aim was to prevent infanticide, abortion and babies being exposed.</w:t>
      </w:r>
      <w:r w:rsidRPr="00513BCB">
        <w:rPr>
          <w:rStyle w:val="FootnoteReference"/>
          <w:rFonts w:asciiTheme="minorHAnsi" w:hAnsiTheme="minorHAnsi" w:cs="Times New Roman"/>
          <w:color w:val="000000"/>
          <w:sz w:val="22"/>
          <w:szCs w:val="22"/>
        </w:rPr>
        <w:footnoteReference w:id="63"/>
      </w:r>
      <w:r w:rsidR="00603029" w:rsidRPr="00513BCB">
        <w:rPr>
          <w:rStyle w:val="sb8d990e2"/>
          <w:rFonts w:asciiTheme="minorHAnsi" w:hAnsiTheme="minorHAnsi" w:cs="Times New Roman"/>
          <w:color w:val="000000"/>
          <w:sz w:val="22"/>
          <w:szCs w:val="22"/>
        </w:rPr>
        <w:t xml:space="preserve"> These are antecedents to the modern baby hatch or boxes discussed </w:t>
      </w:r>
      <w:r w:rsidR="001C4514" w:rsidRPr="00513BCB">
        <w:rPr>
          <w:rStyle w:val="sb8d990e2"/>
          <w:rFonts w:asciiTheme="minorHAnsi" w:hAnsiTheme="minorHAnsi" w:cs="Times New Roman"/>
          <w:color w:val="000000"/>
          <w:sz w:val="22"/>
          <w:szCs w:val="22"/>
        </w:rPr>
        <w:t>below</w:t>
      </w:r>
      <w:r w:rsidR="00603029" w:rsidRPr="00513BCB">
        <w:rPr>
          <w:rStyle w:val="sb8d990e2"/>
          <w:rFonts w:asciiTheme="minorHAnsi" w:hAnsiTheme="minorHAnsi" w:cs="Times New Roman"/>
          <w:color w:val="000000"/>
          <w:sz w:val="22"/>
          <w:szCs w:val="22"/>
        </w:rPr>
        <w:t>.</w:t>
      </w:r>
    </w:p>
    <w:p w14:paraId="1E15F15B" w14:textId="4DAA4BB8" w:rsidR="00A05CC7" w:rsidRPr="00513BCB" w:rsidRDefault="004A53CB" w:rsidP="004D3080">
      <w:pPr>
        <w:pStyle w:val="sb223ea02"/>
        <w:spacing w:before="360" w:beforeAutospacing="0" w:after="240" w:afterAutospacing="0" w:line="360" w:lineRule="auto"/>
        <w:jc w:val="both"/>
        <w:rPr>
          <w:rFonts w:asciiTheme="minorHAnsi" w:hAnsiTheme="minorHAnsi" w:cs="Times New Roman"/>
          <w:color w:val="000000"/>
          <w:sz w:val="22"/>
          <w:szCs w:val="22"/>
        </w:rPr>
      </w:pPr>
      <w:r w:rsidRPr="00513BCB">
        <w:rPr>
          <w:rFonts w:asciiTheme="minorHAnsi" w:hAnsiTheme="minorHAnsi"/>
          <w:sz w:val="22"/>
          <w:szCs w:val="22"/>
          <w:lang w:val="en"/>
        </w:rPr>
        <w:t>The French system enables t</w:t>
      </w:r>
      <w:r w:rsidR="00A05CC7" w:rsidRPr="00513BCB">
        <w:rPr>
          <w:rFonts w:asciiTheme="minorHAnsi" w:hAnsiTheme="minorHAnsi"/>
          <w:sz w:val="22"/>
          <w:szCs w:val="22"/>
          <w:lang w:val="en"/>
        </w:rPr>
        <w:t xml:space="preserve">he newborn </w:t>
      </w:r>
      <w:r w:rsidRPr="00513BCB">
        <w:rPr>
          <w:rFonts w:asciiTheme="minorHAnsi" w:hAnsiTheme="minorHAnsi"/>
          <w:sz w:val="22"/>
          <w:szCs w:val="22"/>
          <w:lang w:val="en"/>
        </w:rPr>
        <w:t>to</w:t>
      </w:r>
      <w:r w:rsidR="00A05CC7" w:rsidRPr="00513BCB">
        <w:rPr>
          <w:rFonts w:asciiTheme="minorHAnsi" w:hAnsiTheme="minorHAnsi"/>
          <w:sz w:val="22"/>
          <w:szCs w:val="22"/>
          <w:lang w:val="en"/>
        </w:rPr>
        <w:t xml:space="preserve"> be taken into care</w:t>
      </w:r>
      <w:r w:rsidR="005B2FA5" w:rsidRPr="00513BCB">
        <w:rPr>
          <w:rFonts w:asciiTheme="minorHAnsi" w:hAnsiTheme="minorHAnsi"/>
          <w:sz w:val="22"/>
          <w:szCs w:val="22"/>
          <w:lang w:val="en"/>
        </w:rPr>
        <w:t>,</w:t>
      </w:r>
      <w:r w:rsidR="00A05CC7" w:rsidRPr="00513BCB">
        <w:rPr>
          <w:rFonts w:asciiTheme="minorHAnsi" w:hAnsiTheme="minorHAnsi"/>
          <w:sz w:val="22"/>
          <w:szCs w:val="22"/>
          <w:lang w:val="en"/>
        </w:rPr>
        <w:t xml:space="preserve"> wi</w:t>
      </w:r>
      <w:r w:rsidR="00603029" w:rsidRPr="00513BCB">
        <w:rPr>
          <w:rFonts w:asciiTheme="minorHAnsi" w:hAnsiTheme="minorHAnsi"/>
          <w:sz w:val="22"/>
          <w:szCs w:val="22"/>
          <w:lang w:val="en"/>
        </w:rPr>
        <w:t>t</w:t>
      </w:r>
      <w:r w:rsidR="00A05CC7" w:rsidRPr="00513BCB">
        <w:rPr>
          <w:rFonts w:asciiTheme="minorHAnsi" w:hAnsiTheme="minorHAnsi"/>
          <w:sz w:val="22"/>
          <w:szCs w:val="22"/>
          <w:lang w:val="en"/>
        </w:rPr>
        <w:t>h the birth</w:t>
      </w:r>
      <w:r w:rsidR="00543FCD" w:rsidRPr="00513BCB">
        <w:rPr>
          <w:rFonts w:asciiTheme="minorHAnsi" w:hAnsiTheme="minorHAnsi"/>
          <w:sz w:val="22"/>
          <w:szCs w:val="22"/>
          <w:lang w:val="en"/>
        </w:rPr>
        <w:t xml:space="preserve"> </w:t>
      </w:r>
      <w:r w:rsidR="00A05CC7" w:rsidRPr="00513BCB">
        <w:rPr>
          <w:rFonts w:asciiTheme="minorHAnsi" w:hAnsiTheme="minorHAnsi"/>
          <w:sz w:val="22"/>
          <w:szCs w:val="22"/>
          <w:lang w:val="en"/>
        </w:rPr>
        <w:t xml:space="preserve">giver having a right to change her mind </w:t>
      </w:r>
      <w:r w:rsidR="005B2FA5" w:rsidRPr="00513BCB">
        <w:rPr>
          <w:rFonts w:asciiTheme="minorHAnsi" w:hAnsiTheme="minorHAnsi"/>
          <w:sz w:val="22"/>
          <w:szCs w:val="22"/>
          <w:lang w:val="en"/>
        </w:rPr>
        <w:t>within</w:t>
      </w:r>
      <w:r w:rsidR="00A05CC7" w:rsidRPr="00513BCB">
        <w:rPr>
          <w:rFonts w:asciiTheme="minorHAnsi" w:hAnsiTheme="minorHAnsi"/>
          <w:sz w:val="22"/>
          <w:szCs w:val="22"/>
          <w:lang w:val="en"/>
        </w:rPr>
        <w:t xml:space="preserve"> </w:t>
      </w:r>
      <w:r w:rsidR="001C4514" w:rsidRPr="00513BCB">
        <w:rPr>
          <w:rFonts w:asciiTheme="minorHAnsi" w:hAnsiTheme="minorHAnsi"/>
          <w:sz w:val="22"/>
          <w:szCs w:val="22"/>
          <w:lang w:val="en"/>
        </w:rPr>
        <w:t>two</w:t>
      </w:r>
      <w:r w:rsidR="00A05CC7" w:rsidRPr="00513BCB">
        <w:rPr>
          <w:rFonts w:asciiTheme="minorHAnsi" w:hAnsiTheme="minorHAnsi"/>
          <w:sz w:val="22"/>
          <w:szCs w:val="22"/>
          <w:lang w:val="en"/>
        </w:rPr>
        <w:t xml:space="preserve"> months </w:t>
      </w:r>
      <w:r w:rsidR="005B2FA5" w:rsidRPr="00513BCB">
        <w:rPr>
          <w:rFonts w:asciiTheme="minorHAnsi" w:hAnsiTheme="minorHAnsi"/>
          <w:sz w:val="22"/>
          <w:szCs w:val="22"/>
          <w:lang w:val="en"/>
        </w:rPr>
        <w:t>of</w:t>
      </w:r>
      <w:r w:rsidR="00A05CC7" w:rsidRPr="00513BCB">
        <w:rPr>
          <w:rFonts w:asciiTheme="minorHAnsi" w:hAnsiTheme="minorHAnsi"/>
          <w:sz w:val="22"/>
          <w:szCs w:val="22"/>
          <w:lang w:val="en"/>
        </w:rPr>
        <w:t xml:space="preserve"> the birth. The child </w:t>
      </w:r>
      <w:r w:rsidR="00543FCD" w:rsidRPr="00513BCB">
        <w:rPr>
          <w:rFonts w:asciiTheme="minorHAnsi" w:hAnsiTheme="minorHAnsi"/>
          <w:sz w:val="22"/>
          <w:szCs w:val="22"/>
          <w:lang w:val="en"/>
        </w:rPr>
        <w:t>is</w:t>
      </w:r>
      <w:r w:rsidR="00A05CC7" w:rsidRPr="00513BCB">
        <w:rPr>
          <w:rFonts w:asciiTheme="minorHAnsi" w:hAnsiTheme="minorHAnsi"/>
          <w:sz w:val="22"/>
          <w:szCs w:val="22"/>
          <w:lang w:val="en"/>
        </w:rPr>
        <w:t xml:space="preserve"> placed in the care of an institution during this period. A change in the law in 2002 </w:t>
      </w:r>
      <w:r w:rsidR="00A05CC7" w:rsidRPr="00513BCB">
        <w:rPr>
          <w:rStyle w:val="s7d2086b4"/>
          <w:rFonts w:asciiTheme="minorHAnsi" w:hAnsiTheme="minorHAnsi" w:cs="Times New Roman"/>
          <w:bCs/>
          <w:color w:val="000000"/>
          <w:sz w:val="22"/>
          <w:szCs w:val="22"/>
        </w:rPr>
        <w:t>permitted access by adopted persons and people in State care to information about their origins.</w:t>
      </w:r>
      <w:r w:rsidR="00A05CC7" w:rsidRPr="00513BCB">
        <w:rPr>
          <w:rStyle w:val="apple-converted-space"/>
          <w:rFonts w:asciiTheme="minorHAnsi" w:hAnsiTheme="minorHAnsi" w:cs="Times New Roman"/>
          <w:bCs/>
          <w:color w:val="000000"/>
          <w:sz w:val="22"/>
          <w:szCs w:val="22"/>
        </w:rPr>
        <w:t> </w:t>
      </w:r>
      <w:r w:rsidR="00A05CC7" w:rsidRPr="00513BCB">
        <w:rPr>
          <w:rStyle w:val="sb8d990e2"/>
          <w:rFonts w:asciiTheme="minorHAnsi" w:hAnsiTheme="minorHAnsi" w:cs="Times New Roman"/>
          <w:color w:val="000000"/>
          <w:sz w:val="22"/>
          <w:szCs w:val="22"/>
        </w:rPr>
        <w:t xml:space="preserve"> This </w:t>
      </w:r>
      <w:r w:rsidR="00BA5B6F" w:rsidRPr="00513BCB">
        <w:rPr>
          <w:rStyle w:val="sb8d990e2"/>
          <w:rFonts w:asciiTheme="minorHAnsi" w:hAnsiTheme="minorHAnsi" w:cs="Times New Roman"/>
          <w:color w:val="000000"/>
          <w:sz w:val="22"/>
          <w:szCs w:val="22"/>
        </w:rPr>
        <w:t>did not</w:t>
      </w:r>
      <w:r w:rsidR="00A05CC7" w:rsidRPr="00513BCB">
        <w:rPr>
          <w:rStyle w:val="sb8d990e2"/>
          <w:rFonts w:asciiTheme="minorHAnsi" w:hAnsiTheme="minorHAnsi" w:cs="Times New Roman"/>
          <w:color w:val="000000"/>
          <w:sz w:val="22"/>
          <w:szCs w:val="22"/>
        </w:rPr>
        <w:t xml:space="preserve"> change</w:t>
      </w:r>
      <w:r w:rsidR="00543FCD" w:rsidRPr="00513BCB">
        <w:rPr>
          <w:rStyle w:val="sb8d990e2"/>
          <w:rFonts w:asciiTheme="minorHAnsi" w:hAnsiTheme="minorHAnsi" w:cs="Times New Roman"/>
          <w:color w:val="000000"/>
          <w:sz w:val="22"/>
          <w:szCs w:val="22"/>
        </w:rPr>
        <w:t xml:space="preserve"> </w:t>
      </w:r>
      <w:r w:rsidR="00A05CC7" w:rsidRPr="00513BCB">
        <w:rPr>
          <w:rStyle w:val="sb8d990e2"/>
          <w:rFonts w:asciiTheme="minorHAnsi" w:hAnsiTheme="minorHAnsi" w:cs="Times New Roman"/>
          <w:color w:val="000000"/>
          <w:sz w:val="22"/>
          <w:szCs w:val="22"/>
        </w:rPr>
        <w:t>wom</w:t>
      </w:r>
      <w:r w:rsidR="00543FCD" w:rsidRPr="00513BCB">
        <w:rPr>
          <w:rStyle w:val="sb8d990e2"/>
          <w:rFonts w:asciiTheme="minorHAnsi" w:hAnsiTheme="minorHAnsi" w:cs="Times New Roman"/>
          <w:color w:val="000000"/>
          <w:sz w:val="22"/>
          <w:szCs w:val="22"/>
        </w:rPr>
        <w:t>e</w:t>
      </w:r>
      <w:r w:rsidR="00A05CC7" w:rsidRPr="00513BCB">
        <w:rPr>
          <w:rStyle w:val="sb8d990e2"/>
          <w:rFonts w:asciiTheme="minorHAnsi" w:hAnsiTheme="minorHAnsi" w:cs="Times New Roman"/>
          <w:color w:val="000000"/>
          <w:sz w:val="22"/>
          <w:szCs w:val="22"/>
        </w:rPr>
        <w:t>n’s right</w:t>
      </w:r>
      <w:r w:rsidR="00543FCD" w:rsidRPr="00513BCB">
        <w:rPr>
          <w:rStyle w:val="sb8d990e2"/>
          <w:rFonts w:asciiTheme="minorHAnsi" w:hAnsiTheme="minorHAnsi" w:cs="Times New Roman"/>
          <w:color w:val="000000"/>
          <w:sz w:val="22"/>
          <w:szCs w:val="22"/>
        </w:rPr>
        <w:t>s</w:t>
      </w:r>
      <w:r w:rsidR="00A05CC7" w:rsidRPr="00513BCB">
        <w:rPr>
          <w:rStyle w:val="sb8d990e2"/>
          <w:rFonts w:asciiTheme="minorHAnsi" w:hAnsiTheme="minorHAnsi" w:cs="Times New Roman"/>
          <w:color w:val="000000"/>
          <w:sz w:val="22"/>
          <w:szCs w:val="22"/>
        </w:rPr>
        <w:t xml:space="preserve"> to give birth anonymously</w:t>
      </w:r>
      <w:r w:rsidR="00543FCD" w:rsidRPr="00513BCB">
        <w:rPr>
          <w:rStyle w:val="sb8d990e2"/>
          <w:rFonts w:asciiTheme="minorHAnsi" w:hAnsiTheme="minorHAnsi" w:cs="Times New Roman"/>
          <w:color w:val="000000"/>
          <w:sz w:val="22"/>
          <w:szCs w:val="22"/>
        </w:rPr>
        <w:t>. However, b</w:t>
      </w:r>
      <w:r w:rsidR="00A05CC7" w:rsidRPr="00513BCB">
        <w:rPr>
          <w:rFonts w:asciiTheme="minorHAnsi" w:hAnsiTheme="minorHAnsi"/>
          <w:sz w:val="22"/>
          <w:szCs w:val="22"/>
          <w:lang w:val="en"/>
        </w:rPr>
        <w:t xml:space="preserve">irth givers are advised of the option to leave identifying information of some kind to enable the child to know something of his or her biological origins and any other information the birth giver wishes to share. The National Council for Access to Personal Origins supports </w:t>
      </w:r>
      <w:r w:rsidR="00593A9F" w:rsidRPr="00513BCB">
        <w:rPr>
          <w:rFonts w:asciiTheme="minorHAnsi" w:hAnsiTheme="minorHAnsi"/>
          <w:sz w:val="22"/>
          <w:szCs w:val="22"/>
          <w:lang w:val="en"/>
        </w:rPr>
        <w:t xml:space="preserve">adult children born of </w:t>
      </w:r>
      <w:r w:rsidR="00A05CC7" w:rsidRPr="00513BCB">
        <w:rPr>
          <w:rFonts w:asciiTheme="minorHAnsi" w:hAnsiTheme="minorHAnsi"/>
          <w:sz w:val="22"/>
          <w:szCs w:val="22"/>
          <w:lang w:val="en"/>
        </w:rPr>
        <w:t xml:space="preserve">anonymous births. </w:t>
      </w:r>
      <w:r w:rsidR="006740EA" w:rsidRPr="00513BCB">
        <w:rPr>
          <w:rFonts w:asciiTheme="minorHAnsi" w:hAnsiTheme="minorHAnsi"/>
          <w:sz w:val="22"/>
          <w:szCs w:val="22"/>
          <w:lang w:val="en"/>
        </w:rPr>
        <w:t xml:space="preserve">This Council can provide </w:t>
      </w:r>
      <w:r w:rsidR="00A05CC7" w:rsidRPr="00513BCB">
        <w:rPr>
          <w:rStyle w:val="sf8bfa2bc"/>
          <w:rFonts w:asciiTheme="minorHAnsi" w:hAnsiTheme="minorHAnsi" w:cs="Times New Roman"/>
          <w:color w:val="000000"/>
          <w:sz w:val="22"/>
          <w:szCs w:val="22"/>
        </w:rPr>
        <w:t>access to non-identifying information, and</w:t>
      </w:r>
      <w:r w:rsidR="005B2FA5" w:rsidRPr="00513BCB">
        <w:rPr>
          <w:rStyle w:val="sf8bfa2bc"/>
          <w:rFonts w:asciiTheme="minorHAnsi" w:hAnsiTheme="minorHAnsi" w:cs="Times New Roman"/>
          <w:color w:val="000000"/>
          <w:sz w:val="22"/>
          <w:szCs w:val="22"/>
        </w:rPr>
        <w:t xml:space="preserve"> – </w:t>
      </w:r>
      <w:r w:rsidR="00A05CC7" w:rsidRPr="00513BCB">
        <w:rPr>
          <w:rStyle w:val="sf8bfa2bc"/>
          <w:rFonts w:asciiTheme="minorHAnsi" w:hAnsiTheme="minorHAnsi" w:cs="Times New Roman"/>
          <w:color w:val="000000"/>
          <w:sz w:val="22"/>
          <w:szCs w:val="22"/>
        </w:rPr>
        <w:t>w</w:t>
      </w:r>
      <w:r w:rsidR="00A05CC7" w:rsidRPr="00513BCB">
        <w:rPr>
          <w:rFonts w:asciiTheme="minorHAnsi" w:hAnsiTheme="minorHAnsi"/>
          <w:sz w:val="22"/>
          <w:szCs w:val="22"/>
          <w:lang w:val="en"/>
        </w:rPr>
        <w:t>ith the consent of the birth giver and the child, and under certain conditions</w:t>
      </w:r>
      <w:r w:rsidR="005B2FA5" w:rsidRPr="00513BCB">
        <w:rPr>
          <w:rFonts w:asciiTheme="minorHAnsi" w:hAnsiTheme="minorHAnsi"/>
          <w:sz w:val="22"/>
          <w:szCs w:val="22"/>
          <w:lang w:val="en"/>
        </w:rPr>
        <w:t xml:space="preserve"> –</w:t>
      </w:r>
      <w:r w:rsidR="00A05CC7" w:rsidRPr="00513BCB">
        <w:rPr>
          <w:rFonts w:asciiTheme="minorHAnsi" w:hAnsiTheme="minorHAnsi"/>
          <w:sz w:val="22"/>
          <w:szCs w:val="22"/>
          <w:lang w:val="en"/>
        </w:rPr>
        <w:t>remove the anonymity.</w:t>
      </w:r>
      <w:r w:rsidR="00162DE3" w:rsidRPr="00513BCB">
        <w:rPr>
          <w:rStyle w:val="FootnoteReference"/>
          <w:rFonts w:asciiTheme="minorHAnsi" w:hAnsiTheme="minorHAnsi"/>
          <w:sz w:val="22"/>
          <w:szCs w:val="22"/>
          <w:lang w:val="en"/>
        </w:rPr>
        <w:footnoteReference w:id="64"/>
      </w:r>
      <w:r w:rsidR="002F662E" w:rsidRPr="00513BCB">
        <w:rPr>
          <w:rFonts w:asciiTheme="minorHAnsi" w:hAnsiTheme="minorHAnsi"/>
          <w:sz w:val="22"/>
          <w:szCs w:val="22"/>
        </w:rPr>
        <w:t xml:space="preserve"> </w:t>
      </w:r>
    </w:p>
    <w:p w14:paraId="48896507" w14:textId="2E41E7E0" w:rsidR="002E6BDB" w:rsidRPr="00513BCB" w:rsidRDefault="00FF4952" w:rsidP="004D3080">
      <w:pPr>
        <w:pStyle w:val="s30eec3f8"/>
        <w:spacing w:before="0" w:beforeAutospacing="0" w:after="0" w:afterAutospacing="0" w:line="360" w:lineRule="auto"/>
        <w:jc w:val="both"/>
        <w:rPr>
          <w:rFonts w:asciiTheme="minorHAnsi" w:hAnsiTheme="minorHAnsi" w:cs="Times New Roman"/>
          <w:color w:val="000000"/>
          <w:sz w:val="22"/>
          <w:szCs w:val="22"/>
        </w:rPr>
      </w:pPr>
      <w:r w:rsidRPr="00513BCB">
        <w:rPr>
          <w:rStyle w:val="sb8d990e2"/>
          <w:rFonts w:asciiTheme="minorHAnsi" w:hAnsiTheme="minorHAnsi" w:cs="Times New Roman"/>
          <w:color w:val="000000"/>
          <w:sz w:val="22"/>
          <w:szCs w:val="22"/>
        </w:rPr>
        <w:t>Other</w:t>
      </w:r>
      <w:r w:rsidR="00714EFC" w:rsidRPr="00513BCB">
        <w:rPr>
          <w:rStyle w:val="sb8d990e2"/>
          <w:rFonts w:asciiTheme="minorHAnsi" w:hAnsiTheme="minorHAnsi" w:cs="Times New Roman"/>
          <w:color w:val="000000"/>
          <w:sz w:val="22"/>
          <w:szCs w:val="22"/>
        </w:rPr>
        <w:t xml:space="preserve"> national </w:t>
      </w:r>
      <w:r w:rsidR="005B2FA5" w:rsidRPr="00513BCB">
        <w:rPr>
          <w:rStyle w:val="sb8d990e2"/>
          <w:rFonts w:asciiTheme="minorHAnsi" w:hAnsiTheme="minorHAnsi" w:cs="Times New Roman"/>
          <w:color w:val="000000"/>
          <w:sz w:val="22"/>
          <w:szCs w:val="22"/>
        </w:rPr>
        <w:t>laws</w:t>
      </w:r>
      <w:r w:rsidR="00714EFC" w:rsidRPr="00513BCB">
        <w:rPr>
          <w:rStyle w:val="sb8d990e2"/>
          <w:rFonts w:asciiTheme="minorHAnsi" w:hAnsiTheme="minorHAnsi" w:cs="Times New Roman"/>
          <w:color w:val="000000"/>
          <w:sz w:val="22"/>
          <w:szCs w:val="22"/>
        </w:rPr>
        <w:t xml:space="preserve"> drafted during the past decade also provide for births in </w:t>
      </w:r>
      <w:r w:rsidR="007B7B3D" w:rsidRPr="00513BCB">
        <w:rPr>
          <w:rStyle w:val="sb8d990e2"/>
          <w:rFonts w:asciiTheme="minorHAnsi" w:hAnsiTheme="minorHAnsi" w:cs="Times New Roman"/>
          <w:color w:val="000000"/>
          <w:sz w:val="22"/>
          <w:szCs w:val="22"/>
        </w:rPr>
        <w:t xml:space="preserve">discreet </w:t>
      </w:r>
      <w:r w:rsidR="00714EFC" w:rsidRPr="00513BCB">
        <w:rPr>
          <w:rStyle w:val="sb8d990e2"/>
          <w:rFonts w:asciiTheme="minorHAnsi" w:hAnsiTheme="minorHAnsi" w:cs="Times New Roman"/>
          <w:color w:val="000000"/>
          <w:sz w:val="22"/>
          <w:szCs w:val="22"/>
        </w:rPr>
        <w:t xml:space="preserve">conditions: </w:t>
      </w:r>
      <w:r w:rsidR="005B2FA5" w:rsidRPr="00513BCB">
        <w:rPr>
          <w:rStyle w:val="sb8d990e2"/>
          <w:rFonts w:asciiTheme="minorHAnsi" w:hAnsiTheme="minorHAnsi" w:cs="Times New Roman"/>
          <w:color w:val="000000"/>
          <w:sz w:val="22"/>
          <w:szCs w:val="22"/>
        </w:rPr>
        <w:t>in</w:t>
      </w:r>
      <w:r w:rsidR="00714EFC" w:rsidRPr="00513BCB">
        <w:rPr>
          <w:rStyle w:val="sb8d990e2"/>
          <w:rFonts w:asciiTheme="minorHAnsi" w:hAnsiTheme="minorHAnsi" w:cs="Times New Roman"/>
          <w:color w:val="000000"/>
          <w:sz w:val="22"/>
          <w:szCs w:val="22"/>
        </w:rPr>
        <w:t xml:space="preserve"> Austria, Luxembourg, Russia, Slovakia.</w:t>
      </w:r>
      <w:r w:rsidR="00714EFC" w:rsidRPr="00513BCB">
        <w:rPr>
          <w:rFonts w:asciiTheme="minorHAnsi" w:hAnsiTheme="minorHAnsi" w:cs="Times New Roman"/>
          <w:color w:val="000000"/>
          <w:sz w:val="22"/>
          <w:szCs w:val="22"/>
        </w:rPr>
        <w:t xml:space="preserve"> </w:t>
      </w:r>
      <w:r w:rsidR="007B7B3D" w:rsidRPr="00513BCB">
        <w:rPr>
          <w:rFonts w:asciiTheme="minorHAnsi" w:hAnsiTheme="minorHAnsi" w:cs="Times New Roman"/>
          <w:color w:val="000000"/>
          <w:sz w:val="22"/>
          <w:szCs w:val="22"/>
        </w:rPr>
        <w:t>I</w:t>
      </w:r>
      <w:r w:rsidR="007C19AD" w:rsidRPr="00513BCB">
        <w:rPr>
          <w:rStyle w:val="sb8d990e2"/>
          <w:rFonts w:asciiTheme="minorHAnsi" w:hAnsiTheme="minorHAnsi" w:cs="Times New Roman"/>
          <w:color w:val="000000"/>
          <w:sz w:val="22"/>
          <w:szCs w:val="22"/>
        </w:rPr>
        <w:t xml:space="preserve">n the case of </w:t>
      </w:r>
      <w:r w:rsidR="007B7B3D" w:rsidRPr="00513BCB">
        <w:rPr>
          <w:rStyle w:val="sb8d990e2"/>
          <w:rFonts w:asciiTheme="minorHAnsi" w:hAnsiTheme="minorHAnsi" w:cs="Times New Roman"/>
          <w:color w:val="000000"/>
          <w:sz w:val="22"/>
          <w:szCs w:val="22"/>
        </w:rPr>
        <w:t xml:space="preserve">discreet birth leading to </w:t>
      </w:r>
      <w:r w:rsidR="007C19AD" w:rsidRPr="00513BCB">
        <w:rPr>
          <w:rStyle w:val="sb8d990e2"/>
          <w:rFonts w:asciiTheme="minorHAnsi" w:hAnsiTheme="minorHAnsi" w:cs="Times New Roman"/>
          <w:color w:val="000000"/>
          <w:sz w:val="22"/>
          <w:szCs w:val="22"/>
        </w:rPr>
        <w:t xml:space="preserve">full adoption, the child </w:t>
      </w:r>
      <w:r w:rsidR="007C19AD" w:rsidRPr="00513BCB">
        <w:rPr>
          <w:rStyle w:val="sb8d990e2"/>
          <w:rFonts w:asciiTheme="minorHAnsi" w:hAnsiTheme="minorHAnsi" w:cs="Times New Roman"/>
          <w:color w:val="000000"/>
          <w:sz w:val="22"/>
          <w:szCs w:val="22"/>
        </w:rPr>
        <w:lastRenderedPageBreak/>
        <w:t xml:space="preserve">will often lose all contact with </w:t>
      </w:r>
      <w:r w:rsidR="00543FCD" w:rsidRPr="00513BCB">
        <w:rPr>
          <w:rStyle w:val="sb8d990e2"/>
          <w:rFonts w:asciiTheme="minorHAnsi" w:hAnsiTheme="minorHAnsi" w:cs="Times New Roman"/>
          <w:color w:val="000000"/>
          <w:sz w:val="22"/>
          <w:szCs w:val="22"/>
        </w:rPr>
        <w:t xml:space="preserve">his or her </w:t>
      </w:r>
      <w:r w:rsidR="007C19AD" w:rsidRPr="00513BCB">
        <w:rPr>
          <w:rStyle w:val="sb8d990e2"/>
          <w:rFonts w:asciiTheme="minorHAnsi" w:hAnsiTheme="minorHAnsi" w:cs="Times New Roman"/>
          <w:color w:val="000000"/>
          <w:sz w:val="22"/>
          <w:szCs w:val="22"/>
        </w:rPr>
        <w:t>birth family; the new parent-child relationship erase</w:t>
      </w:r>
      <w:r w:rsidR="00BA5B6F" w:rsidRPr="00513BCB">
        <w:rPr>
          <w:rStyle w:val="sb8d990e2"/>
          <w:rFonts w:asciiTheme="minorHAnsi" w:hAnsiTheme="minorHAnsi" w:cs="Times New Roman"/>
          <w:color w:val="000000"/>
          <w:sz w:val="22"/>
          <w:szCs w:val="22"/>
        </w:rPr>
        <w:t>s</w:t>
      </w:r>
      <w:r w:rsidR="007C19AD" w:rsidRPr="00513BCB">
        <w:rPr>
          <w:rStyle w:val="sb8d990e2"/>
          <w:rFonts w:asciiTheme="minorHAnsi" w:hAnsiTheme="minorHAnsi" w:cs="Times New Roman"/>
          <w:color w:val="000000"/>
          <w:sz w:val="22"/>
          <w:szCs w:val="22"/>
        </w:rPr>
        <w:t xml:space="preserve"> any </w:t>
      </w:r>
      <w:r w:rsidR="00543FCD" w:rsidRPr="00513BCB">
        <w:rPr>
          <w:rStyle w:val="sb8d990e2"/>
          <w:rFonts w:asciiTheme="minorHAnsi" w:hAnsiTheme="minorHAnsi" w:cs="Times New Roman"/>
          <w:color w:val="000000"/>
          <w:sz w:val="22"/>
          <w:szCs w:val="22"/>
        </w:rPr>
        <w:t xml:space="preserve">previous </w:t>
      </w:r>
      <w:r w:rsidR="007C19AD" w:rsidRPr="00513BCB">
        <w:rPr>
          <w:rStyle w:val="sb8d990e2"/>
          <w:rFonts w:asciiTheme="minorHAnsi" w:hAnsiTheme="minorHAnsi" w:cs="Times New Roman"/>
          <w:color w:val="000000"/>
          <w:sz w:val="22"/>
          <w:szCs w:val="22"/>
        </w:rPr>
        <w:t>ties</w:t>
      </w:r>
      <w:r w:rsidR="002E6BDB" w:rsidRPr="00513BCB">
        <w:rPr>
          <w:rStyle w:val="sb8d990e2"/>
          <w:rFonts w:asciiTheme="minorHAnsi" w:hAnsiTheme="minorHAnsi" w:cs="Times New Roman"/>
          <w:color w:val="000000"/>
          <w:sz w:val="22"/>
          <w:szCs w:val="22"/>
        </w:rPr>
        <w:t>. This is the case in</w:t>
      </w:r>
      <w:r w:rsidR="00A05CC7" w:rsidRPr="00513BCB">
        <w:rPr>
          <w:rStyle w:val="sb8d990e2"/>
          <w:rFonts w:asciiTheme="minorHAnsi" w:hAnsiTheme="minorHAnsi" w:cs="Times New Roman"/>
          <w:color w:val="000000"/>
          <w:sz w:val="22"/>
          <w:szCs w:val="22"/>
        </w:rPr>
        <w:t xml:space="preserve"> </w:t>
      </w:r>
      <w:r w:rsidR="007C19AD" w:rsidRPr="00513BCB">
        <w:rPr>
          <w:rStyle w:val="sb8d990e2"/>
          <w:rFonts w:asciiTheme="minorHAnsi" w:hAnsiTheme="minorHAnsi" w:cs="Times New Roman"/>
          <w:color w:val="000000"/>
          <w:sz w:val="22"/>
          <w:szCs w:val="22"/>
        </w:rPr>
        <w:t xml:space="preserve">Austria, France, Monaco, Bulgaria, Russia and </w:t>
      </w:r>
      <w:r w:rsidR="00A05CC7" w:rsidRPr="00513BCB">
        <w:rPr>
          <w:rStyle w:val="sb8d990e2"/>
          <w:rFonts w:asciiTheme="minorHAnsi" w:hAnsiTheme="minorHAnsi" w:cs="Times New Roman"/>
          <w:color w:val="000000"/>
          <w:sz w:val="22"/>
          <w:szCs w:val="22"/>
        </w:rPr>
        <w:t>Macedonia</w:t>
      </w:r>
      <w:r w:rsidR="007C19AD" w:rsidRPr="00513BCB">
        <w:rPr>
          <w:rStyle w:val="sb8d990e2"/>
          <w:rFonts w:asciiTheme="minorHAnsi" w:hAnsiTheme="minorHAnsi" w:cs="Times New Roman"/>
          <w:color w:val="000000"/>
          <w:sz w:val="22"/>
          <w:szCs w:val="22"/>
        </w:rPr>
        <w:t>.</w:t>
      </w:r>
      <w:r w:rsidR="002E6BDB" w:rsidRPr="00513BCB">
        <w:rPr>
          <w:rStyle w:val="FootnoteReference"/>
          <w:rFonts w:asciiTheme="minorHAnsi" w:hAnsiTheme="minorHAnsi" w:cs="Times New Roman"/>
          <w:color w:val="000000"/>
          <w:sz w:val="22"/>
          <w:szCs w:val="22"/>
        </w:rPr>
        <w:footnoteReference w:id="65"/>
      </w:r>
      <w:r w:rsidR="007C19AD" w:rsidRPr="00513BCB">
        <w:rPr>
          <w:rStyle w:val="sb8d990e2"/>
          <w:rFonts w:asciiTheme="minorHAnsi" w:hAnsiTheme="minorHAnsi" w:cs="Times New Roman"/>
          <w:color w:val="000000"/>
          <w:sz w:val="22"/>
          <w:szCs w:val="22"/>
        </w:rPr>
        <w:t xml:space="preserve"> </w:t>
      </w:r>
      <w:r w:rsidR="00B229B4" w:rsidRPr="00513BCB">
        <w:rPr>
          <w:rFonts w:asciiTheme="minorHAnsi" w:hAnsiTheme="minorHAnsi"/>
          <w:color w:val="000000" w:themeColor="text1"/>
          <w:sz w:val="22"/>
          <w:szCs w:val="22"/>
        </w:rPr>
        <w:t>In Italy, the birth giver has the right not to be named on the birth certificate when she expresses this wish to the hospital at the birth.</w:t>
      </w:r>
      <w:r w:rsidR="00B229B4" w:rsidRPr="00513BCB">
        <w:rPr>
          <w:rStyle w:val="FootnoteReference"/>
          <w:rFonts w:asciiTheme="minorHAnsi" w:hAnsiTheme="minorHAnsi"/>
          <w:color w:val="000000" w:themeColor="text1"/>
          <w:sz w:val="22"/>
          <w:szCs w:val="22"/>
        </w:rPr>
        <w:footnoteReference w:id="66"/>
      </w:r>
      <w:r w:rsidR="00B229B4" w:rsidRPr="00513BCB">
        <w:rPr>
          <w:rFonts w:asciiTheme="minorHAnsi" w:hAnsiTheme="minorHAnsi"/>
          <w:color w:val="000000" w:themeColor="text1"/>
          <w:sz w:val="22"/>
          <w:szCs w:val="22"/>
        </w:rPr>
        <w:t xml:space="preserve"> </w:t>
      </w:r>
      <w:r w:rsidR="00B229B4" w:rsidRPr="00513BCB">
        <w:rPr>
          <w:rFonts w:asciiTheme="minorHAnsi" w:hAnsiTheme="minorHAnsi" w:cs="Times New Roman"/>
          <w:color w:val="000000"/>
          <w:sz w:val="22"/>
          <w:szCs w:val="22"/>
        </w:rPr>
        <w:t xml:space="preserve"> The system </w:t>
      </w:r>
      <w:r w:rsidR="00B229B4" w:rsidRPr="00513BCB">
        <w:rPr>
          <w:rStyle w:val="sb8d990e2"/>
          <w:rFonts w:asciiTheme="minorHAnsi" w:hAnsiTheme="minorHAnsi" w:cs="Times New Roman"/>
          <w:color w:val="000000"/>
          <w:sz w:val="22"/>
          <w:szCs w:val="22"/>
        </w:rPr>
        <w:t>in the Czech Republic has been likened to that in France</w:t>
      </w:r>
      <w:r w:rsidR="00543FCD" w:rsidRPr="00513BCB">
        <w:rPr>
          <w:rStyle w:val="sb8d990e2"/>
          <w:rFonts w:asciiTheme="minorHAnsi" w:hAnsiTheme="minorHAnsi" w:cs="Times New Roman"/>
          <w:color w:val="000000"/>
          <w:sz w:val="22"/>
          <w:szCs w:val="22"/>
        </w:rPr>
        <w:t>.</w:t>
      </w:r>
      <w:r w:rsidR="00B229B4" w:rsidRPr="00513BCB">
        <w:rPr>
          <w:rStyle w:val="FootnoteReference"/>
          <w:rFonts w:asciiTheme="minorHAnsi" w:hAnsiTheme="minorHAnsi" w:cs="Times New Roman"/>
          <w:color w:val="000000"/>
          <w:sz w:val="22"/>
          <w:szCs w:val="22"/>
        </w:rPr>
        <w:footnoteReference w:id="67"/>
      </w:r>
      <w:r w:rsidR="00B229B4" w:rsidRPr="00513BCB">
        <w:rPr>
          <w:rStyle w:val="sb8d990e2"/>
          <w:rFonts w:asciiTheme="minorHAnsi" w:hAnsiTheme="minorHAnsi" w:cs="Times New Roman"/>
          <w:color w:val="000000"/>
          <w:sz w:val="22"/>
          <w:szCs w:val="22"/>
        </w:rPr>
        <w:t xml:space="preserve"> </w:t>
      </w:r>
    </w:p>
    <w:p w14:paraId="3F050D88" w14:textId="77777777" w:rsidR="002E6BDB" w:rsidRPr="00513BCB" w:rsidRDefault="002E6BDB" w:rsidP="004D3080">
      <w:pPr>
        <w:pStyle w:val="s30eec3f8"/>
        <w:spacing w:before="0" w:beforeAutospacing="0" w:after="0" w:afterAutospacing="0" w:line="360" w:lineRule="auto"/>
        <w:jc w:val="both"/>
        <w:rPr>
          <w:rFonts w:asciiTheme="minorHAnsi" w:hAnsiTheme="minorHAnsi"/>
          <w:sz w:val="22"/>
          <w:szCs w:val="22"/>
        </w:rPr>
      </w:pPr>
    </w:p>
    <w:p w14:paraId="37929631" w14:textId="039670CD" w:rsidR="007C19AD" w:rsidRPr="00513BCB" w:rsidRDefault="007C19AD" w:rsidP="004D3080">
      <w:pPr>
        <w:pStyle w:val="s30eec3f8"/>
        <w:spacing w:before="0" w:beforeAutospacing="0" w:after="0" w:afterAutospacing="0" w:line="360" w:lineRule="auto"/>
        <w:jc w:val="both"/>
        <w:rPr>
          <w:rStyle w:val="sb8d990e2"/>
          <w:rFonts w:asciiTheme="minorHAnsi" w:hAnsiTheme="minorHAnsi" w:cs="Times New Roman"/>
          <w:color w:val="000000"/>
          <w:sz w:val="22"/>
          <w:szCs w:val="22"/>
        </w:rPr>
      </w:pPr>
      <w:r w:rsidRPr="00513BCB">
        <w:rPr>
          <w:rStyle w:val="sb8d990e2"/>
          <w:rFonts w:asciiTheme="minorHAnsi" w:hAnsiTheme="minorHAnsi" w:cs="Times New Roman"/>
          <w:color w:val="000000"/>
          <w:sz w:val="22"/>
          <w:szCs w:val="22"/>
        </w:rPr>
        <w:t>Access to the birth certificate is sometim</w:t>
      </w:r>
      <w:r w:rsidR="00A05CC7" w:rsidRPr="00513BCB">
        <w:rPr>
          <w:rStyle w:val="sb8d990e2"/>
          <w:rFonts w:asciiTheme="minorHAnsi" w:hAnsiTheme="minorHAnsi" w:cs="Times New Roman"/>
          <w:color w:val="000000"/>
          <w:sz w:val="22"/>
          <w:szCs w:val="22"/>
        </w:rPr>
        <w:t>es possible from a minimum age</w:t>
      </w:r>
      <w:r w:rsidR="002E6BDB" w:rsidRPr="00513BCB">
        <w:rPr>
          <w:rStyle w:val="sb8d990e2"/>
          <w:rFonts w:asciiTheme="minorHAnsi" w:hAnsiTheme="minorHAnsi" w:cs="Times New Roman"/>
          <w:color w:val="000000"/>
          <w:sz w:val="22"/>
          <w:szCs w:val="22"/>
        </w:rPr>
        <w:t xml:space="preserve">. This is the position in </w:t>
      </w:r>
      <w:r w:rsidRPr="00513BCB">
        <w:rPr>
          <w:rStyle w:val="sb8d990e2"/>
          <w:rFonts w:asciiTheme="minorHAnsi" w:hAnsiTheme="minorHAnsi" w:cs="Times New Roman"/>
          <w:color w:val="000000"/>
          <w:sz w:val="22"/>
          <w:szCs w:val="22"/>
        </w:rPr>
        <w:t>Germany, Cro</w:t>
      </w:r>
      <w:r w:rsidR="00A05CC7" w:rsidRPr="00513BCB">
        <w:rPr>
          <w:rStyle w:val="sb8d990e2"/>
          <w:rFonts w:asciiTheme="minorHAnsi" w:hAnsiTheme="minorHAnsi" w:cs="Times New Roman"/>
          <w:color w:val="000000"/>
          <w:sz w:val="22"/>
          <w:szCs w:val="22"/>
        </w:rPr>
        <w:t>atia, Hungary, Latvia, Portugal</w:t>
      </w:r>
      <w:r w:rsidRPr="00513BCB">
        <w:rPr>
          <w:rStyle w:val="sb8d990e2"/>
          <w:rFonts w:asciiTheme="minorHAnsi" w:hAnsiTheme="minorHAnsi" w:cs="Times New Roman"/>
          <w:color w:val="000000"/>
          <w:sz w:val="22"/>
          <w:szCs w:val="22"/>
        </w:rPr>
        <w:t>. The child may be authorised to gain access t</w:t>
      </w:r>
      <w:r w:rsidR="00A05CC7" w:rsidRPr="00513BCB">
        <w:rPr>
          <w:rStyle w:val="sb8d990e2"/>
          <w:rFonts w:asciiTheme="minorHAnsi" w:hAnsiTheme="minorHAnsi" w:cs="Times New Roman"/>
          <w:color w:val="000000"/>
          <w:sz w:val="22"/>
          <w:szCs w:val="22"/>
        </w:rPr>
        <w:t>o a wider range of information</w:t>
      </w:r>
      <w:r w:rsidR="005B2FA5" w:rsidRPr="00513BCB">
        <w:rPr>
          <w:rStyle w:val="sb8d990e2"/>
          <w:rFonts w:asciiTheme="minorHAnsi" w:hAnsiTheme="minorHAnsi" w:cs="Times New Roman"/>
          <w:color w:val="000000"/>
          <w:sz w:val="22"/>
          <w:szCs w:val="22"/>
        </w:rPr>
        <w:t xml:space="preserve"> – </w:t>
      </w:r>
      <w:r w:rsidR="001C4514" w:rsidRPr="00513BCB">
        <w:rPr>
          <w:rStyle w:val="sb8d990e2"/>
          <w:rFonts w:asciiTheme="minorHAnsi" w:hAnsiTheme="minorHAnsi" w:cs="Times New Roman"/>
          <w:color w:val="000000"/>
          <w:sz w:val="22"/>
          <w:szCs w:val="22"/>
        </w:rPr>
        <w:t xml:space="preserve">in </w:t>
      </w:r>
      <w:r w:rsidRPr="00513BCB">
        <w:rPr>
          <w:rStyle w:val="sb8d990e2"/>
          <w:rFonts w:asciiTheme="minorHAnsi" w:hAnsiTheme="minorHAnsi" w:cs="Times New Roman"/>
          <w:color w:val="000000"/>
          <w:sz w:val="22"/>
          <w:szCs w:val="22"/>
        </w:rPr>
        <w:t>Bulgaria, Estonia, Lithuania, Switzerl</w:t>
      </w:r>
      <w:r w:rsidR="00A05CC7" w:rsidRPr="00513BCB">
        <w:rPr>
          <w:rStyle w:val="sb8d990e2"/>
          <w:rFonts w:asciiTheme="minorHAnsi" w:hAnsiTheme="minorHAnsi" w:cs="Times New Roman"/>
          <w:color w:val="000000"/>
          <w:sz w:val="22"/>
          <w:szCs w:val="22"/>
        </w:rPr>
        <w:t>and, Spain</w:t>
      </w:r>
      <w:r w:rsidR="005B2FA5" w:rsidRPr="00513BCB">
        <w:rPr>
          <w:rStyle w:val="sb8d990e2"/>
          <w:rFonts w:asciiTheme="minorHAnsi" w:hAnsiTheme="minorHAnsi" w:cs="Times New Roman"/>
          <w:color w:val="000000"/>
          <w:sz w:val="22"/>
          <w:szCs w:val="22"/>
        </w:rPr>
        <w:t xml:space="preserve"> – </w:t>
      </w:r>
      <w:r w:rsidR="00BB59A4" w:rsidRPr="00513BCB">
        <w:rPr>
          <w:rStyle w:val="sb8d990e2"/>
          <w:rFonts w:asciiTheme="minorHAnsi" w:hAnsiTheme="minorHAnsi" w:cs="Times New Roman"/>
          <w:color w:val="000000"/>
          <w:sz w:val="22"/>
          <w:szCs w:val="22"/>
        </w:rPr>
        <w:t>though that may require</w:t>
      </w:r>
      <w:r w:rsidRPr="00513BCB">
        <w:rPr>
          <w:rStyle w:val="sb8d990e2"/>
          <w:rFonts w:asciiTheme="minorHAnsi" w:hAnsiTheme="minorHAnsi" w:cs="Times New Roman"/>
          <w:color w:val="000000"/>
          <w:sz w:val="22"/>
          <w:szCs w:val="22"/>
        </w:rPr>
        <w:t xml:space="preserve"> legal proceedings </w:t>
      </w:r>
      <w:r w:rsidR="005B2FA5" w:rsidRPr="00513BCB">
        <w:rPr>
          <w:rStyle w:val="sb8d990e2"/>
          <w:rFonts w:asciiTheme="minorHAnsi" w:hAnsiTheme="minorHAnsi" w:cs="Times New Roman"/>
          <w:color w:val="000000"/>
          <w:sz w:val="22"/>
          <w:szCs w:val="22"/>
        </w:rPr>
        <w:t xml:space="preserve">in which </w:t>
      </w:r>
      <w:r w:rsidRPr="00513BCB">
        <w:rPr>
          <w:rStyle w:val="sb8d990e2"/>
          <w:rFonts w:asciiTheme="minorHAnsi" w:hAnsiTheme="minorHAnsi" w:cs="Times New Roman"/>
          <w:color w:val="000000"/>
          <w:sz w:val="22"/>
          <w:szCs w:val="22"/>
        </w:rPr>
        <w:t>the competing interests may be examined.</w:t>
      </w:r>
      <w:r w:rsidR="00A05CC7" w:rsidRPr="00513BCB">
        <w:rPr>
          <w:rStyle w:val="FootnoteReference"/>
          <w:rFonts w:asciiTheme="minorHAnsi" w:hAnsiTheme="minorHAnsi" w:cs="Times New Roman"/>
          <w:color w:val="000000"/>
          <w:sz w:val="22"/>
          <w:szCs w:val="22"/>
        </w:rPr>
        <w:footnoteReference w:id="68"/>
      </w:r>
      <w:r w:rsidR="007B7B3D" w:rsidRPr="00513BCB">
        <w:rPr>
          <w:rStyle w:val="sb8d990e2"/>
          <w:rFonts w:asciiTheme="minorHAnsi" w:hAnsiTheme="minorHAnsi" w:cs="Times New Roman"/>
          <w:color w:val="000000"/>
          <w:sz w:val="22"/>
          <w:szCs w:val="22"/>
        </w:rPr>
        <w:t xml:space="preserve"> The ECtHR has dealt with anonymous birth cases in a small number of cases</w:t>
      </w:r>
      <w:r w:rsidR="00BB59A4" w:rsidRPr="00513BCB">
        <w:rPr>
          <w:rStyle w:val="sb8d990e2"/>
          <w:rFonts w:asciiTheme="minorHAnsi" w:hAnsiTheme="minorHAnsi" w:cs="Times New Roman"/>
          <w:color w:val="000000"/>
          <w:sz w:val="22"/>
          <w:szCs w:val="22"/>
        </w:rPr>
        <w:t xml:space="preserve">, </w:t>
      </w:r>
      <w:r w:rsidR="007B7B3D" w:rsidRPr="00513BCB">
        <w:rPr>
          <w:rStyle w:val="sb8d990e2"/>
          <w:rFonts w:asciiTheme="minorHAnsi" w:hAnsiTheme="minorHAnsi" w:cs="Times New Roman"/>
          <w:color w:val="000000"/>
          <w:sz w:val="22"/>
          <w:szCs w:val="22"/>
        </w:rPr>
        <w:t>discuss</w:t>
      </w:r>
      <w:r w:rsidR="00FF4952" w:rsidRPr="00513BCB">
        <w:rPr>
          <w:rStyle w:val="sb8d990e2"/>
          <w:rFonts w:asciiTheme="minorHAnsi" w:hAnsiTheme="minorHAnsi" w:cs="Times New Roman"/>
          <w:color w:val="000000"/>
          <w:sz w:val="22"/>
          <w:szCs w:val="22"/>
        </w:rPr>
        <w:t>ed</w:t>
      </w:r>
      <w:r w:rsidR="007B7B3D" w:rsidRPr="00513BCB">
        <w:rPr>
          <w:rStyle w:val="sb8d990e2"/>
          <w:rFonts w:asciiTheme="minorHAnsi" w:hAnsiTheme="minorHAnsi" w:cs="Times New Roman"/>
          <w:color w:val="000000"/>
          <w:sz w:val="22"/>
          <w:szCs w:val="22"/>
        </w:rPr>
        <w:t xml:space="preserve"> in Part 2</w:t>
      </w:r>
      <w:r w:rsidR="00BB59A4" w:rsidRPr="00513BCB">
        <w:rPr>
          <w:rStyle w:val="sb8d990e2"/>
          <w:rFonts w:asciiTheme="minorHAnsi" w:hAnsiTheme="minorHAnsi" w:cs="Times New Roman"/>
          <w:color w:val="000000"/>
          <w:sz w:val="22"/>
          <w:szCs w:val="22"/>
        </w:rPr>
        <w:t xml:space="preserve"> below</w:t>
      </w:r>
      <w:r w:rsidR="007B7B3D" w:rsidRPr="00513BCB">
        <w:rPr>
          <w:rStyle w:val="sb8d990e2"/>
          <w:rFonts w:asciiTheme="minorHAnsi" w:hAnsiTheme="minorHAnsi" w:cs="Times New Roman"/>
          <w:color w:val="000000"/>
          <w:sz w:val="22"/>
          <w:szCs w:val="22"/>
        </w:rPr>
        <w:t xml:space="preserve">. </w:t>
      </w:r>
    </w:p>
    <w:p w14:paraId="2C7F1867" w14:textId="77777777" w:rsidR="005B2FA5" w:rsidRPr="00513BCB" w:rsidRDefault="005B2FA5" w:rsidP="004D3080">
      <w:pPr>
        <w:pStyle w:val="s30eec3f8"/>
        <w:spacing w:before="0" w:beforeAutospacing="0" w:after="0" w:afterAutospacing="0" w:line="360" w:lineRule="auto"/>
        <w:jc w:val="both"/>
        <w:rPr>
          <w:rStyle w:val="sb8d990e2"/>
          <w:rFonts w:asciiTheme="minorHAnsi" w:hAnsiTheme="minorHAnsi" w:cs="Times New Roman"/>
          <w:color w:val="000000"/>
          <w:sz w:val="22"/>
          <w:szCs w:val="22"/>
          <w:lang w:val="en-US"/>
        </w:rPr>
      </w:pPr>
    </w:p>
    <w:p w14:paraId="152187CF" w14:textId="6B243272" w:rsidR="00EE007B" w:rsidRPr="00513BCB" w:rsidRDefault="00EE007B" w:rsidP="007C6A1D">
      <w:pPr>
        <w:pStyle w:val="BodyText"/>
        <w:spacing w:line="360" w:lineRule="auto"/>
        <w:outlineLvl w:val="0"/>
        <w:rPr>
          <w:rFonts w:asciiTheme="minorHAnsi" w:hAnsiTheme="minorHAnsi"/>
          <w:b/>
          <w:i/>
          <w:sz w:val="22"/>
          <w:szCs w:val="22"/>
        </w:rPr>
      </w:pPr>
      <w:r w:rsidRPr="00513BCB">
        <w:rPr>
          <w:rFonts w:asciiTheme="minorHAnsi" w:hAnsiTheme="minorHAnsi"/>
          <w:b/>
          <w:i/>
          <w:sz w:val="22"/>
          <w:szCs w:val="22"/>
        </w:rPr>
        <w:t>Safe Havens and Baby Boxes</w:t>
      </w:r>
    </w:p>
    <w:p w14:paraId="6D97C59E" w14:textId="58E19988" w:rsidR="00270B6F" w:rsidRPr="00513BCB" w:rsidRDefault="00D82938" w:rsidP="004D3080">
      <w:pPr>
        <w:pStyle w:val="FootnoteText"/>
        <w:spacing w:line="360" w:lineRule="auto"/>
        <w:jc w:val="both"/>
        <w:rPr>
          <w:rStyle w:val="sb8d990e2"/>
          <w:rFonts w:ascii="Times New Roman" w:hAnsi="Times New Roman" w:cs="Times New Roman"/>
          <w:color w:val="000000"/>
          <w:sz w:val="22"/>
          <w:szCs w:val="22"/>
          <w:lang w:val="en-GB"/>
        </w:rPr>
      </w:pPr>
      <w:r w:rsidRPr="00513BCB">
        <w:rPr>
          <w:rFonts w:cs="Times"/>
          <w:color w:val="1A1A1A"/>
          <w:sz w:val="22"/>
          <w:szCs w:val="22"/>
        </w:rPr>
        <w:t>Modern baby boxes</w:t>
      </w:r>
      <w:r w:rsidR="00F62249" w:rsidRPr="00513BCB">
        <w:rPr>
          <w:rFonts w:cs="Times"/>
          <w:color w:val="1A1A1A"/>
          <w:sz w:val="22"/>
          <w:szCs w:val="22"/>
        </w:rPr>
        <w:t xml:space="preserve"> are the direct </w:t>
      </w:r>
      <w:r w:rsidR="00F62249" w:rsidRPr="00513BCB">
        <w:rPr>
          <w:sz w:val="22"/>
          <w:szCs w:val="22"/>
        </w:rPr>
        <w:t>descendant of the foundling wheel mentioned above. In today’s practice, babies are placed into heated hatches, warm incubators, opened from the outside wall of a hospital in a discreet location. A bell or alarm rings ins</w:t>
      </w:r>
      <w:r w:rsidR="00F62249" w:rsidRPr="00513BCB">
        <w:rPr>
          <w:color w:val="000000"/>
          <w:sz w:val="22"/>
          <w:szCs w:val="22"/>
        </w:rPr>
        <w:t xml:space="preserve">ide the hospital or building shortly after the baby is placed in the hatch, allowing the baby to be retrieved and taken into safekeeping by a carer inside without the person placing the baby being seen or identified. </w:t>
      </w:r>
      <w:r w:rsidR="009E2717" w:rsidRPr="00513BCB">
        <w:rPr>
          <w:color w:val="000000"/>
          <w:sz w:val="22"/>
          <w:szCs w:val="22"/>
        </w:rPr>
        <w:t>It has been said that</w:t>
      </w:r>
      <w:r w:rsidR="00270B6F" w:rsidRPr="00513BCB">
        <w:rPr>
          <w:rStyle w:val="sb8d990e2"/>
          <w:rFonts w:cs="Times New Roman"/>
          <w:color w:val="000000"/>
          <w:sz w:val="22"/>
          <w:szCs w:val="22"/>
        </w:rPr>
        <w:t>:</w:t>
      </w:r>
    </w:p>
    <w:p w14:paraId="72852785" w14:textId="77777777" w:rsidR="00270B6F" w:rsidRPr="00513BCB" w:rsidRDefault="00270B6F" w:rsidP="004D3080">
      <w:pPr>
        <w:pStyle w:val="s30eec3f8"/>
        <w:spacing w:before="0" w:beforeAutospacing="0" w:after="0" w:afterAutospacing="0" w:line="360" w:lineRule="auto"/>
        <w:ind w:left="284" w:firstLine="80"/>
        <w:jc w:val="both"/>
        <w:rPr>
          <w:rStyle w:val="sb8d990e2"/>
          <w:rFonts w:asciiTheme="minorHAnsi" w:hAnsiTheme="minorHAnsi" w:cs="Times New Roman"/>
          <w:color w:val="000000"/>
          <w:sz w:val="22"/>
          <w:szCs w:val="22"/>
          <w:lang w:val="en-US"/>
        </w:rPr>
      </w:pPr>
    </w:p>
    <w:p w14:paraId="794A1385" w14:textId="06B00F2D" w:rsidR="00270B6F" w:rsidRPr="00513BCB" w:rsidRDefault="00270B6F" w:rsidP="004D3080">
      <w:pPr>
        <w:pStyle w:val="s30eec3f8"/>
        <w:spacing w:before="0" w:beforeAutospacing="0" w:after="0" w:afterAutospacing="0" w:line="360" w:lineRule="auto"/>
        <w:ind w:left="284"/>
        <w:jc w:val="both"/>
        <w:rPr>
          <w:rFonts w:asciiTheme="minorHAnsi" w:hAnsiTheme="minorHAnsi" w:cs="Times New Roman"/>
          <w:color w:val="000000"/>
          <w:sz w:val="22"/>
          <w:szCs w:val="22"/>
        </w:rPr>
      </w:pPr>
      <w:r w:rsidRPr="00513BCB">
        <w:rPr>
          <w:rStyle w:val="sb8d990e2"/>
          <w:rFonts w:asciiTheme="minorHAnsi" w:hAnsiTheme="minorHAnsi" w:cs="Times New Roman"/>
          <w:color w:val="000000"/>
          <w:sz w:val="22"/>
          <w:szCs w:val="22"/>
        </w:rPr>
        <w:t xml:space="preserve">‘there is an undeniable increase in the number of </w:t>
      </w:r>
      <w:r w:rsidR="009E2717" w:rsidRPr="00513BCB">
        <w:rPr>
          <w:rStyle w:val="sb8d990e2"/>
          <w:rFonts w:asciiTheme="minorHAnsi" w:hAnsiTheme="minorHAnsi" w:cs="Times New Roman"/>
          <w:color w:val="000000"/>
          <w:sz w:val="22"/>
          <w:szCs w:val="22"/>
        </w:rPr>
        <w:t>‘</w:t>
      </w:r>
      <w:r w:rsidRPr="00513BCB">
        <w:rPr>
          <w:rStyle w:val="s6b621b36"/>
          <w:rFonts w:asciiTheme="minorHAnsi" w:hAnsiTheme="minorHAnsi" w:cs="Times New Roman"/>
          <w:i/>
          <w:iCs/>
          <w:color w:val="000000"/>
          <w:sz w:val="22"/>
          <w:szCs w:val="22"/>
        </w:rPr>
        <w:t>windows</w:t>
      </w:r>
      <w:r w:rsidR="009E2717" w:rsidRPr="00513BCB">
        <w:rPr>
          <w:rStyle w:val="sb8d990e2"/>
          <w:rFonts w:asciiTheme="minorHAnsi" w:hAnsiTheme="minorHAnsi" w:cs="Times New Roman"/>
          <w:color w:val="000000"/>
          <w:sz w:val="22"/>
          <w:szCs w:val="22"/>
        </w:rPr>
        <w:t>’</w:t>
      </w:r>
      <w:r w:rsidRPr="00513BCB">
        <w:rPr>
          <w:rStyle w:val="sb8d990e2"/>
          <w:rFonts w:asciiTheme="minorHAnsi" w:hAnsiTheme="minorHAnsi" w:cs="Times New Roman"/>
          <w:color w:val="000000"/>
          <w:sz w:val="22"/>
          <w:szCs w:val="22"/>
        </w:rPr>
        <w:t xml:space="preserve"> or</w:t>
      </w:r>
      <w:r w:rsidRPr="00513BCB">
        <w:rPr>
          <w:rStyle w:val="apple-converted-space"/>
          <w:rFonts w:asciiTheme="minorHAnsi" w:hAnsiTheme="minorHAnsi" w:cs="Times New Roman"/>
          <w:color w:val="000000"/>
          <w:sz w:val="22"/>
          <w:szCs w:val="22"/>
        </w:rPr>
        <w:t> </w:t>
      </w:r>
      <w:r w:rsidR="009E2717" w:rsidRPr="00513BCB">
        <w:rPr>
          <w:rStyle w:val="s6b621b36"/>
          <w:rFonts w:asciiTheme="minorHAnsi" w:hAnsiTheme="minorHAnsi" w:cs="Times New Roman"/>
          <w:i/>
          <w:iCs/>
          <w:color w:val="000000"/>
          <w:sz w:val="22"/>
          <w:szCs w:val="22"/>
        </w:rPr>
        <w:t>‘</w:t>
      </w:r>
      <w:r w:rsidRPr="00513BCB">
        <w:rPr>
          <w:rStyle w:val="s6b621b36"/>
          <w:rFonts w:asciiTheme="minorHAnsi" w:hAnsiTheme="minorHAnsi" w:cs="Times New Roman"/>
          <w:i/>
          <w:iCs/>
          <w:color w:val="000000"/>
          <w:sz w:val="22"/>
          <w:szCs w:val="22"/>
        </w:rPr>
        <w:t>baby hatches</w:t>
      </w:r>
      <w:r w:rsidR="009E2717" w:rsidRPr="00513BCB">
        <w:rPr>
          <w:rStyle w:val="s6b621b36"/>
          <w:rFonts w:asciiTheme="minorHAnsi" w:hAnsiTheme="minorHAnsi" w:cs="Times New Roman"/>
          <w:i/>
          <w:iCs/>
          <w:color w:val="000000"/>
          <w:sz w:val="22"/>
          <w:szCs w:val="22"/>
        </w:rPr>
        <w:t>’</w:t>
      </w:r>
      <w:r w:rsidRPr="00513BCB">
        <w:rPr>
          <w:rStyle w:val="apple-converted-space"/>
          <w:rFonts w:asciiTheme="minorHAnsi" w:hAnsiTheme="minorHAnsi" w:cs="Times New Roman"/>
          <w:color w:val="000000"/>
          <w:sz w:val="22"/>
          <w:szCs w:val="22"/>
        </w:rPr>
        <w:t> </w:t>
      </w:r>
      <w:r w:rsidRPr="00513BCB">
        <w:rPr>
          <w:rStyle w:val="sb8d990e2"/>
          <w:rFonts w:asciiTheme="minorHAnsi" w:hAnsiTheme="minorHAnsi" w:cs="Times New Roman"/>
          <w:color w:val="000000"/>
          <w:sz w:val="22"/>
          <w:szCs w:val="22"/>
        </w:rPr>
        <w:t xml:space="preserve">reminiscent of foundling wheels in the Middle Ages. It is practically and materially impossible for the child to gain access to information about his or her birth family; the register of births will give a </w:t>
      </w:r>
      <w:r w:rsidR="009E2717" w:rsidRPr="00513BCB">
        <w:rPr>
          <w:rStyle w:val="sb8d990e2"/>
          <w:rFonts w:asciiTheme="minorHAnsi" w:hAnsiTheme="minorHAnsi" w:cs="Times New Roman"/>
          <w:color w:val="000000"/>
          <w:sz w:val="22"/>
          <w:szCs w:val="22"/>
        </w:rPr>
        <w:t>‘</w:t>
      </w:r>
      <w:r w:rsidRPr="00513BCB">
        <w:rPr>
          <w:rStyle w:val="s6b621b36"/>
          <w:rFonts w:asciiTheme="minorHAnsi" w:hAnsiTheme="minorHAnsi" w:cs="Times New Roman"/>
          <w:i/>
          <w:iCs/>
          <w:color w:val="000000"/>
          <w:sz w:val="22"/>
          <w:szCs w:val="22"/>
        </w:rPr>
        <w:t>fictitious</w:t>
      </w:r>
      <w:r w:rsidR="009E2717" w:rsidRPr="00513BCB">
        <w:rPr>
          <w:rStyle w:val="sb8d990e2"/>
          <w:rFonts w:asciiTheme="minorHAnsi" w:hAnsiTheme="minorHAnsi" w:cs="Times New Roman"/>
          <w:color w:val="000000"/>
          <w:sz w:val="22"/>
          <w:szCs w:val="22"/>
        </w:rPr>
        <w:t>’</w:t>
      </w:r>
      <w:r w:rsidRPr="00513BCB">
        <w:rPr>
          <w:rStyle w:val="sb8d990e2"/>
          <w:rFonts w:asciiTheme="minorHAnsi" w:hAnsiTheme="minorHAnsi" w:cs="Times New Roman"/>
          <w:color w:val="000000"/>
          <w:sz w:val="22"/>
          <w:szCs w:val="22"/>
        </w:rPr>
        <w:t xml:space="preserve"> name to the child that bears no connection to that of its birth parents.’</w:t>
      </w:r>
      <w:r w:rsidRPr="00513BCB">
        <w:rPr>
          <w:rStyle w:val="FootnoteReference"/>
          <w:rFonts w:asciiTheme="minorHAnsi" w:hAnsiTheme="minorHAnsi" w:cs="Times New Roman"/>
          <w:color w:val="000000"/>
          <w:sz w:val="22"/>
          <w:szCs w:val="22"/>
        </w:rPr>
        <w:footnoteReference w:id="69"/>
      </w:r>
    </w:p>
    <w:p w14:paraId="73168FFD" w14:textId="77777777" w:rsidR="00270B6F" w:rsidRPr="00513BCB" w:rsidRDefault="00270B6F" w:rsidP="004D3080">
      <w:pPr>
        <w:spacing w:line="360" w:lineRule="auto"/>
        <w:jc w:val="both"/>
        <w:rPr>
          <w:color w:val="000000" w:themeColor="text1"/>
          <w:sz w:val="22"/>
          <w:szCs w:val="22"/>
        </w:rPr>
      </w:pPr>
    </w:p>
    <w:p w14:paraId="7466B25F" w14:textId="1B7F9D1F" w:rsidR="00305252" w:rsidRPr="00513BCB" w:rsidRDefault="005B1468" w:rsidP="004D3080">
      <w:pPr>
        <w:spacing w:line="360" w:lineRule="auto"/>
        <w:jc w:val="both"/>
        <w:rPr>
          <w:color w:val="000000" w:themeColor="text1"/>
          <w:sz w:val="22"/>
          <w:szCs w:val="22"/>
        </w:rPr>
      </w:pPr>
      <w:r w:rsidRPr="00513BCB">
        <w:rPr>
          <w:color w:val="000000" w:themeColor="text1"/>
          <w:sz w:val="22"/>
          <w:szCs w:val="22"/>
        </w:rPr>
        <w:t xml:space="preserve">The first </w:t>
      </w:r>
      <w:r w:rsidR="00F62249" w:rsidRPr="00513BCB">
        <w:rPr>
          <w:color w:val="000000" w:themeColor="text1"/>
          <w:sz w:val="22"/>
          <w:szCs w:val="22"/>
        </w:rPr>
        <w:t xml:space="preserve">‘safe haven’ </w:t>
      </w:r>
      <w:r w:rsidRPr="00513BCB">
        <w:rPr>
          <w:color w:val="000000" w:themeColor="text1"/>
          <w:sz w:val="22"/>
          <w:szCs w:val="22"/>
        </w:rPr>
        <w:t xml:space="preserve">provision </w:t>
      </w:r>
      <w:r w:rsidR="00BB59A4" w:rsidRPr="00513BCB">
        <w:rPr>
          <w:color w:val="000000" w:themeColor="text1"/>
          <w:sz w:val="22"/>
          <w:szCs w:val="22"/>
        </w:rPr>
        <w:t xml:space="preserve">in the USA </w:t>
      </w:r>
      <w:r w:rsidRPr="00513BCB">
        <w:rPr>
          <w:color w:val="000000" w:themeColor="text1"/>
          <w:sz w:val="22"/>
          <w:szCs w:val="22"/>
        </w:rPr>
        <w:t xml:space="preserve">came into existence in Texas in 1999, and </w:t>
      </w:r>
      <w:r w:rsidR="00B229B4" w:rsidRPr="00513BCB">
        <w:rPr>
          <w:color w:val="000000" w:themeColor="text1"/>
          <w:sz w:val="22"/>
          <w:szCs w:val="22"/>
        </w:rPr>
        <w:t xml:space="preserve">such provision now exists in </w:t>
      </w:r>
      <w:r w:rsidRPr="00513BCB">
        <w:rPr>
          <w:color w:val="000000" w:themeColor="text1"/>
          <w:sz w:val="22"/>
          <w:szCs w:val="22"/>
        </w:rPr>
        <w:t>e</w:t>
      </w:r>
      <w:r w:rsidR="002E6BDB" w:rsidRPr="00513BCB">
        <w:rPr>
          <w:color w:val="000000" w:themeColor="text1"/>
          <w:sz w:val="22"/>
          <w:szCs w:val="22"/>
        </w:rPr>
        <w:t xml:space="preserve">very </w:t>
      </w:r>
      <w:r w:rsidR="00F62249" w:rsidRPr="00513BCB">
        <w:rPr>
          <w:color w:val="000000" w:themeColor="text1"/>
          <w:sz w:val="22"/>
          <w:szCs w:val="22"/>
        </w:rPr>
        <w:t xml:space="preserve">US </w:t>
      </w:r>
      <w:r w:rsidR="002E6BDB" w:rsidRPr="00513BCB">
        <w:rPr>
          <w:color w:val="000000" w:themeColor="text1"/>
          <w:sz w:val="22"/>
          <w:szCs w:val="22"/>
        </w:rPr>
        <w:t>state</w:t>
      </w:r>
      <w:r w:rsidR="00B229B4" w:rsidRPr="00513BCB">
        <w:rPr>
          <w:color w:val="000000" w:themeColor="text1"/>
          <w:sz w:val="22"/>
          <w:szCs w:val="22"/>
        </w:rPr>
        <w:t>.</w:t>
      </w:r>
      <w:r w:rsidR="00305252" w:rsidRPr="00513BCB">
        <w:rPr>
          <w:color w:val="000000" w:themeColor="text1"/>
          <w:sz w:val="22"/>
          <w:szCs w:val="22"/>
        </w:rPr>
        <w:t xml:space="preserve">  </w:t>
      </w:r>
      <w:r w:rsidR="009F45BB" w:rsidRPr="00513BCB">
        <w:rPr>
          <w:color w:val="000000" w:themeColor="text1"/>
          <w:sz w:val="22"/>
          <w:szCs w:val="22"/>
        </w:rPr>
        <w:t>They are described as</w:t>
      </w:r>
      <w:r w:rsidR="00305252" w:rsidRPr="00513BCB">
        <w:rPr>
          <w:color w:val="000000" w:themeColor="text1"/>
          <w:sz w:val="22"/>
          <w:szCs w:val="22"/>
        </w:rPr>
        <w:t xml:space="preserve"> an incentive to ‘mothers in crisis’ to relinquish their babies</w:t>
      </w:r>
      <w:r w:rsidR="001C4514" w:rsidRPr="00513BCB">
        <w:rPr>
          <w:color w:val="000000" w:themeColor="text1"/>
          <w:sz w:val="22"/>
          <w:szCs w:val="22"/>
        </w:rPr>
        <w:t xml:space="preserve"> safely</w:t>
      </w:r>
      <w:r w:rsidR="00305252" w:rsidRPr="00513BCB">
        <w:rPr>
          <w:color w:val="000000" w:themeColor="text1"/>
          <w:sz w:val="22"/>
          <w:szCs w:val="22"/>
        </w:rPr>
        <w:t xml:space="preserve">. The laws, which vary from state to state, generally permit anonymity and protection against prosecution </w:t>
      </w:r>
      <w:r w:rsidR="009F45BB" w:rsidRPr="00513BCB">
        <w:rPr>
          <w:color w:val="000000" w:themeColor="text1"/>
          <w:sz w:val="22"/>
          <w:szCs w:val="22"/>
        </w:rPr>
        <w:t>permitting</w:t>
      </w:r>
      <w:r w:rsidR="00305252" w:rsidRPr="00513BCB">
        <w:rPr>
          <w:color w:val="000000" w:themeColor="text1"/>
          <w:sz w:val="22"/>
          <w:szCs w:val="22"/>
        </w:rPr>
        <w:t xml:space="preserve"> babies to be left in a variety of locations including hospitals and fire stations.</w:t>
      </w:r>
      <w:r w:rsidR="00305252" w:rsidRPr="00513BCB">
        <w:rPr>
          <w:rStyle w:val="FootnoteReference"/>
          <w:color w:val="000000" w:themeColor="text1"/>
          <w:sz w:val="22"/>
          <w:szCs w:val="22"/>
        </w:rPr>
        <w:footnoteReference w:id="70"/>
      </w:r>
      <w:r w:rsidR="00305252" w:rsidRPr="00513BCB">
        <w:rPr>
          <w:color w:val="000000" w:themeColor="text1"/>
          <w:sz w:val="22"/>
          <w:szCs w:val="22"/>
        </w:rPr>
        <w:t xml:space="preserve"> Other </w:t>
      </w:r>
      <w:r w:rsidR="00593A9F" w:rsidRPr="00513BCB">
        <w:rPr>
          <w:color w:val="000000" w:themeColor="text1"/>
          <w:sz w:val="22"/>
          <w:szCs w:val="22"/>
        </w:rPr>
        <w:t>parts of the world, for example,</w:t>
      </w:r>
      <w:r w:rsidR="00B229B4" w:rsidRPr="00513BCB">
        <w:rPr>
          <w:color w:val="000000" w:themeColor="text1"/>
          <w:sz w:val="22"/>
          <w:szCs w:val="22"/>
        </w:rPr>
        <w:t xml:space="preserve"> South </w:t>
      </w:r>
      <w:r w:rsidR="002E6BDB" w:rsidRPr="00513BCB">
        <w:rPr>
          <w:color w:val="000000" w:themeColor="text1"/>
          <w:sz w:val="22"/>
          <w:szCs w:val="22"/>
        </w:rPr>
        <w:t>Korea</w:t>
      </w:r>
      <w:r w:rsidR="00305252" w:rsidRPr="00513BCB">
        <w:rPr>
          <w:color w:val="000000" w:themeColor="text1"/>
          <w:sz w:val="22"/>
          <w:szCs w:val="22"/>
        </w:rPr>
        <w:t xml:space="preserve"> </w:t>
      </w:r>
      <w:r w:rsidR="002E6BDB" w:rsidRPr="00513BCB">
        <w:rPr>
          <w:color w:val="000000" w:themeColor="text1"/>
          <w:sz w:val="22"/>
          <w:szCs w:val="22"/>
        </w:rPr>
        <w:t>and Japan</w:t>
      </w:r>
      <w:r w:rsidR="009F45BB" w:rsidRPr="00513BCB">
        <w:rPr>
          <w:color w:val="000000" w:themeColor="text1"/>
          <w:sz w:val="22"/>
          <w:szCs w:val="22"/>
        </w:rPr>
        <w:t>, and Vancouver,</w:t>
      </w:r>
      <w:r w:rsidR="009E2717" w:rsidRPr="00513BCB">
        <w:rPr>
          <w:color w:val="000000" w:themeColor="text1"/>
          <w:sz w:val="22"/>
          <w:szCs w:val="22"/>
        </w:rPr>
        <w:t xml:space="preserve"> Canada,</w:t>
      </w:r>
      <w:r w:rsidR="002E6BDB" w:rsidRPr="00513BCB">
        <w:rPr>
          <w:color w:val="000000" w:themeColor="text1"/>
          <w:sz w:val="22"/>
          <w:szCs w:val="22"/>
        </w:rPr>
        <w:t xml:space="preserve"> </w:t>
      </w:r>
      <w:r w:rsidR="00305252" w:rsidRPr="00513BCB">
        <w:rPr>
          <w:color w:val="000000" w:themeColor="text1"/>
          <w:sz w:val="22"/>
          <w:szCs w:val="22"/>
        </w:rPr>
        <w:t xml:space="preserve">have some </w:t>
      </w:r>
      <w:r w:rsidR="00593A9F" w:rsidRPr="00513BCB">
        <w:rPr>
          <w:color w:val="000000" w:themeColor="text1"/>
          <w:sz w:val="22"/>
          <w:szCs w:val="22"/>
        </w:rPr>
        <w:t>form of baby hatches</w:t>
      </w:r>
      <w:r w:rsidR="009F4B16" w:rsidRPr="00513BCB">
        <w:rPr>
          <w:color w:val="000000" w:themeColor="text1"/>
          <w:sz w:val="22"/>
          <w:szCs w:val="22"/>
        </w:rPr>
        <w:t xml:space="preserve"> provision</w:t>
      </w:r>
      <w:r w:rsidR="00593A9F" w:rsidRPr="00513BCB">
        <w:rPr>
          <w:color w:val="000000" w:themeColor="text1"/>
          <w:sz w:val="22"/>
          <w:szCs w:val="22"/>
        </w:rPr>
        <w:t xml:space="preserve">. </w:t>
      </w:r>
    </w:p>
    <w:p w14:paraId="48AC8BB7" w14:textId="77777777" w:rsidR="00F52F9D" w:rsidRPr="00513BCB" w:rsidRDefault="00F52F9D" w:rsidP="004D3080">
      <w:pPr>
        <w:pStyle w:val="PlainText"/>
        <w:spacing w:line="360" w:lineRule="auto"/>
        <w:jc w:val="both"/>
        <w:rPr>
          <w:rFonts w:asciiTheme="minorHAnsi" w:hAnsiTheme="minorHAnsi"/>
          <w:sz w:val="22"/>
          <w:szCs w:val="22"/>
        </w:rPr>
      </w:pPr>
    </w:p>
    <w:p w14:paraId="6985707C" w14:textId="7928549D" w:rsidR="002E6BDB" w:rsidRPr="00513BCB" w:rsidRDefault="009F45BB" w:rsidP="004D3080">
      <w:pPr>
        <w:pStyle w:val="BodyText"/>
        <w:spacing w:line="360" w:lineRule="auto"/>
        <w:rPr>
          <w:rFonts w:asciiTheme="minorHAnsi" w:hAnsiTheme="minorHAnsi"/>
          <w:sz w:val="22"/>
          <w:szCs w:val="22"/>
        </w:rPr>
      </w:pPr>
      <w:r w:rsidRPr="00513BCB">
        <w:rPr>
          <w:sz w:val="22"/>
          <w:szCs w:val="22"/>
        </w:rPr>
        <w:t>The</w:t>
      </w:r>
      <w:r w:rsidR="00BB59A4" w:rsidRPr="00513BCB">
        <w:rPr>
          <w:sz w:val="22"/>
          <w:szCs w:val="22"/>
        </w:rPr>
        <w:t xml:space="preserve"> installation of </w:t>
      </w:r>
      <w:r w:rsidRPr="00513BCB">
        <w:rPr>
          <w:sz w:val="22"/>
          <w:szCs w:val="22"/>
        </w:rPr>
        <w:t xml:space="preserve">baby hatches </w:t>
      </w:r>
      <w:r w:rsidR="007E107D" w:rsidRPr="00513BCB">
        <w:rPr>
          <w:sz w:val="22"/>
          <w:szCs w:val="22"/>
        </w:rPr>
        <w:t xml:space="preserve">in Europe </w:t>
      </w:r>
      <w:r w:rsidR="00BB59A4" w:rsidRPr="00513BCB">
        <w:rPr>
          <w:sz w:val="22"/>
          <w:szCs w:val="22"/>
        </w:rPr>
        <w:t xml:space="preserve">is </w:t>
      </w:r>
      <w:r w:rsidR="005B1468" w:rsidRPr="00513BCB">
        <w:rPr>
          <w:sz w:val="22"/>
          <w:szCs w:val="22"/>
        </w:rPr>
        <w:t>said to be</w:t>
      </w:r>
      <w:r w:rsidRPr="00513BCB">
        <w:rPr>
          <w:sz w:val="22"/>
          <w:szCs w:val="22"/>
        </w:rPr>
        <w:t xml:space="preserve"> on the rise</w:t>
      </w:r>
      <w:r w:rsidR="005B1468" w:rsidRPr="00513BCB">
        <w:rPr>
          <w:sz w:val="22"/>
          <w:szCs w:val="22"/>
        </w:rPr>
        <w:t>,</w:t>
      </w:r>
      <w:r w:rsidRPr="00513BCB">
        <w:rPr>
          <w:sz w:val="22"/>
          <w:szCs w:val="22"/>
        </w:rPr>
        <w:t xml:space="preserve"> </w:t>
      </w:r>
      <w:r w:rsidR="005B1468" w:rsidRPr="00513BCB">
        <w:rPr>
          <w:sz w:val="22"/>
          <w:szCs w:val="22"/>
        </w:rPr>
        <w:t xml:space="preserve">though </w:t>
      </w:r>
      <w:r w:rsidRPr="00513BCB">
        <w:rPr>
          <w:sz w:val="22"/>
          <w:szCs w:val="22"/>
        </w:rPr>
        <w:t xml:space="preserve">exact up to date figures </w:t>
      </w:r>
      <w:r w:rsidR="005B1468" w:rsidRPr="00513BCB">
        <w:rPr>
          <w:sz w:val="22"/>
          <w:szCs w:val="22"/>
        </w:rPr>
        <w:t xml:space="preserve">are </w:t>
      </w:r>
      <w:r w:rsidRPr="00513BCB">
        <w:rPr>
          <w:sz w:val="22"/>
          <w:szCs w:val="22"/>
        </w:rPr>
        <w:t>difficult to obtain.</w:t>
      </w:r>
      <w:r w:rsidR="00EC3153" w:rsidRPr="00513BCB">
        <w:rPr>
          <w:rStyle w:val="FootnoteReference"/>
          <w:sz w:val="22"/>
          <w:szCs w:val="22"/>
        </w:rPr>
        <w:footnoteReference w:id="71"/>
      </w:r>
      <w:r w:rsidRPr="00513BCB">
        <w:rPr>
          <w:sz w:val="22"/>
          <w:szCs w:val="22"/>
        </w:rPr>
        <w:t xml:space="preserve"> In 2012, it was reported </w:t>
      </w:r>
      <w:r w:rsidR="00B52867" w:rsidRPr="00513BCB">
        <w:rPr>
          <w:sz w:val="22"/>
          <w:szCs w:val="22"/>
        </w:rPr>
        <w:t>that eleven EU member countries ha</w:t>
      </w:r>
      <w:r w:rsidR="00BB59A4" w:rsidRPr="00513BCB">
        <w:rPr>
          <w:sz w:val="22"/>
          <w:szCs w:val="22"/>
        </w:rPr>
        <w:t>d</w:t>
      </w:r>
      <w:r w:rsidR="00B52867" w:rsidRPr="00513BCB">
        <w:rPr>
          <w:sz w:val="22"/>
          <w:szCs w:val="22"/>
        </w:rPr>
        <w:t xml:space="preserve"> baby boxes in operation: Austria, Belgium, Czech Republic, Germany, Hungary, Italy, Latvia, Lithua</w:t>
      </w:r>
      <w:r w:rsidRPr="00513BCB">
        <w:rPr>
          <w:sz w:val="22"/>
          <w:szCs w:val="22"/>
        </w:rPr>
        <w:t>nia, Poland, Portugal, Slovakia, with over 200 baby boxes having been installed in the past decade.</w:t>
      </w:r>
      <w:r w:rsidRPr="00513BCB">
        <w:rPr>
          <w:rStyle w:val="FootnoteReference"/>
          <w:sz w:val="22"/>
          <w:szCs w:val="22"/>
        </w:rPr>
        <w:footnoteReference w:id="72"/>
      </w:r>
      <w:r w:rsidRPr="00513BCB">
        <w:rPr>
          <w:sz w:val="22"/>
          <w:szCs w:val="22"/>
        </w:rPr>
        <w:t xml:space="preserve"> </w:t>
      </w:r>
      <w:r w:rsidR="00BB59A4" w:rsidRPr="00513BCB">
        <w:rPr>
          <w:sz w:val="22"/>
          <w:szCs w:val="22"/>
        </w:rPr>
        <w:t>Since 2000,</w:t>
      </w:r>
      <w:r w:rsidRPr="00513BCB">
        <w:rPr>
          <w:sz w:val="22"/>
          <w:szCs w:val="22"/>
        </w:rPr>
        <w:t xml:space="preserve"> 400 children have been abandoned in these boxes.</w:t>
      </w:r>
      <w:r w:rsidR="00B52867" w:rsidRPr="00513BCB">
        <w:rPr>
          <w:rStyle w:val="FootnoteReference"/>
          <w:sz w:val="22"/>
          <w:szCs w:val="22"/>
        </w:rPr>
        <w:footnoteReference w:id="73"/>
      </w:r>
      <w:r w:rsidR="00B52867" w:rsidRPr="00513BCB">
        <w:rPr>
          <w:sz w:val="22"/>
          <w:szCs w:val="22"/>
        </w:rPr>
        <w:t xml:space="preserve"> </w:t>
      </w:r>
      <w:r w:rsidRPr="00513BCB">
        <w:rPr>
          <w:sz w:val="22"/>
          <w:szCs w:val="22"/>
        </w:rPr>
        <w:t xml:space="preserve">Switzerland </w:t>
      </w:r>
      <w:r w:rsidR="000A10C7" w:rsidRPr="00513BCB">
        <w:rPr>
          <w:sz w:val="22"/>
          <w:szCs w:val="22"/>
        </w:rPr>
        <w:t xml:space="preserve">opened an eighth box </w:t>
      </w:r>
      <w:r w:rsidRPr="00513BCB">
        <w:rPr>
          <w:sz w:val="22"/>
          <w:szCs w:val="22"/>
        </w:rPr>
        <w:t>in 2016</w:t>
      </w:r>
      <w:r w:rsidR="000A10C7" w:rsidRPr="00513BCB">
        <w:rPr>
          <w:sz w:val="22"/>
          <w:szCs w:val="22"/>
        </w:rPr>
        <w:t xml:space="preserve"> with a reported 16 babies left since the first box opened there in 2001</w:t>
      </w:r>
      <w:r w:rsidRPr="00513BCB">
        <w:rPr>
          <w:sz w:val="22"/>
          <w:szCs w:val="22"/>
        </w:rPr>
        <w:t>.</w:t>
      </w:r>
      <w:r w:rsidR="000A10C7" w:rsidRPr="00513BCB">
        <w:rPr>
          <w:rStyle w:val="FootnoteReference"/>
          <w:sz w:val="22"/>
          <w:szCs w:val="22"/>
        </w:rPr>
        <w:footnoteReference w:id="74"/>
      </w:r>
      <w:r w:rsidRPr="00513BCB">
        <w:rPr>
          <w:sz w:val="22"/>
          <w:szCs w:val="22"/>
        </w:rPr>
        <w:t xml:space="preserve"> </w:t>
      </w:r>
      <w:r w:rsidR="00C64C94" w:rsidRPr="00513BCB">
        <w:rPr>
          <w:rFonts w:asciiTheme="minorHAnsi" w:hAnsiTheme="minorHAnsi"/>
          <w:sz w:val="22"/>
          <w:szCs w:val="22"/>
        </w:rPr>
        <w:t>The</w:t>
      </w:r>
      <w:r w:rsidR="00305252" w:rsidRPr="00513BCB">
        <w:rPr>
          <w:rFonts w:asciiTheme="minorHAnsi" w:hAnsiTheme="minorHAnsi"/>
          <w:sz w:val="22"/>
          <w:szCs w:val="22"/>
        </w:rPr>
        <w:t xml:space="preserve"> Child</w:t>
      </w:r>
      <w:r w:rsidR="002E6BDB" w:rsidRPr="00513BCB">
        <w:rPr>
          <w:rFonts w:asciiTheme="minorHAnsi" w:hAnsiTheme="minorHAnsi"/>
          <w:sz w:val="22"/>
          <w:szCs w:val="22"/>
        </w:rPr>
        <w:t xml:space="preserve"> Abandonment Project stated</w:t>
      </w:r>
      <w:r w:rsidR="00305252" w:rsidRPr="00513BCB">
        <w:rPr>
          <w:rFonts w:asciiTheme="minorHAnsi" w:hAnsiTheme="minorHAnsi"/>
          <w:sz w:val="22"/>
          <w:szCs w:val="22"/>
        </w:rPr>
        <w:t xml:space="preserve"> that an average of seven infants</w:t>
      </w:r>
      <w:r w:rsidR="005B1468" w:rsidRPr="00513BCB">
        <w:rPr>
          <w:rFonts w:asciiTheme="minorHAnsi" w:hAnsiTheme="minorHAnsi"/>
          <w:sz w:val="22"/>
          <w:szCs w:val="22"/>
        </w:rPr>
        <w:t xml:space="preserve"> are</w:t>
      </w:r>
      <w:r w:rsidR="00305252" w:rsidRPr="00513BCB">
        <w:rPr>
          <w:rFonts w:asciiTheme="minorHAnsi" w:hAnsiTheme="minorHAnsi"/>
          <w:sz w:val="22"/>
          <w:szCs w:val="22"/>
        </w:rPr>
        <w:t xml:space="preserve"> left in baby boxes each year</w:t>
      </w:r>
      <w:r w:rsidR="009E2717" w:rsidRPr="00513BCB">
        <w:rPr>
          <w:rFonts w:asciiTheme="minorHAnsi" w:hAnsiTheme="minorHAnsi"/>
          <w:sz w:val="22"/>
          <w:szCs w:val="22"/>
        </w:rPr>
        <w:t>.</w:t>
      </w:r>
      <w:r w:rsidR="00884F72" w:rsidRPr="00513BCB">
        <w:rPr>
          <w:rStyle w:val="FootnoteReference"/>
          <w:rFonts w:asciiTheme="minorHAnsi" w:hAnsiTheme="minorHAnsi"/>
          <w:sz w:val="22"/>
          <w:szCs w:val="22"/>
        </w:rPr>
        <w:footnoteReference w:id="75"/>
      </w:r>
      <w:r w:rsidR="00305252" w:rsidRPr="00513BCB">
        <w:rPr>
          <w:rFonts w:asciiTheme="minorHAnsi" w:hAnsiTheme="minorHAnsi"/>
          <w:sz w:val="22"/>
          <w:szCs w:val="22"/>
        </w:rPr>
        <w:t xml:space="preserve"> </w:t>
      </w:r>
      <w:r w:rsidR="005B1468" w:rsidRPr="00513BCB">
        <w:rPr>
          <w:rFonts w:asciiTheme="minorHAnsi" w:hAnsiTheme="minorHAnsi"/>
          <w:sz w:val="22"/>
          <w:szCs w:val="22"/>
        </w:rPr>
        <w:t>These</w:t>
      </w:r>
      <w:r w:rsidR="00305252" w:rsidRPr="00513BCB">
        <w:rPr>
          <w:rFonts w:asciiTheme="minorHAnsi" w:hAnsiTheme="minorHAnsi"/>
          <w:sz w:val="22"/>
          <w:szCs w:val="22"/>
        </w:rPr>
        <w:t xml:space="preserve"> boxes do not exist</w:t>
      </w:r>
      <w:r w:rsidR="005B1468" w:rsidRPr="00513BCB">
        <w:rPr>
          <w:rFonts w:asciiTheme="minorHAnsi" w:hAnsiTheme="minorHAnsi"/>
          <w:sz w:val="22"/>
          <w:szCs w:val="22"/>
        </w:rPr>
        <w:t xml:space="preserve"> in the UK, and </w:t>
      </w:r>
      <w:r w:rsidR="00305252" w:rsidRPr="00513BCB">
        <w:rPr>
          <w:rFonts w:asciiTheme="minorHAnsi" w:hAnsiTheme="minorHAnsi"/>
          <w:sz w:val="22"/>
          <w:szCs w:val="22"/>
        </w:rPr>
        <w:t>calls for their installation</w:t>
      </w:r>
      <w:r w:rsidR="005B1468" w:rsidRPr="00513BCB">
        <w:rPr>
          <w:rFonts w:asciiTheme="minorHAnsi" w:hAnsiTheme="minorHAnsi"/>
          <w:sz w:val="22"/>
          <w:szCs w:val="22"/>
        </w:rPr>
        <w:t xml:space="preserve"> </w:t>
      </w:r>
      <w:r w:rsidR="001C4514" w:rsidRPr="00513BCB">
        <w:rPr>
          <w:rFonts w:asciiTheme="minorHAnsi" w:hAnsiTheme="minorHAnsi"/>
          <w:sz w:val="22"/>
          <w:szCs w:val="22"/>
        </w:rPr>
        <w:t xml:space="preserve">there </w:t>
      </w:r>
      <w:r w:rsidR="005B1468" w:rsidRPr="00513BCB">
        <w:rPr>
          <w:rFonts w:asciiTheme="minorHAnsi" w:hAnsiTheme="minorHAnsi"/>
          <w:sz w:val="22"/>
          <w:szCs w:val="22"/>
        </w:rPr>
        <w:t>are very rare</w:t>
      </w:r>
      <w:r w:rsidR="00305252" w:rsidRPr="00513BCB">
        <w:rPr>
          <w:rFonts w:asciiTheme="minorHAnsi" w:hAnsiTheme="minorHAnsi"/>
          <w:sz w:val="22"/>
          <w:szCs w:val="22"/>
        </w:rPr>
        <w:t>.</w:t>
      </w:r>
      <w:r w:rsidR="00305252" w:rsidRPr="00513BCB">
        <w:rPr>
          <w:rStyle w:val="FootnoteReference"/>
          <w:rFonts w:asciiTheme="minorHAnsi" w:hAnsiTheme="minorHAnsi"/>
          <w:sz w:val="22"/>
          <w:szCs w:val="22"/>
        </w:rPr>
        <w:footnoteReference w:id="76"/>
      </w:r>
      <w:r w:rsidR="00305252" w:rsidRPr="00513BCB">
        <w:rPr>
          <w:rFonts w:asciiTheme="minorHAnsi" w:hAnsiTheme="minorHAnsi"/>
          <w:sz w:val="22"/>
          <w:szCs w:val="22"/>
        </w:rPr>
        <w:t xml:space="preserve"> </w:t>
      </w:r>
    </w:p>
    <w:p w14:paraId="2945F9D2" w14:textId="77777777" w:rsidR="002624E4" w:rsidRPr="00513BCB" w:rsidRDefault="002624E4" w:rsidP="004D3080">
      <w:pPr>
        <w:spacing w:line="360" w:lineRule="auto"/>
        <w:jc w:val="both"/>
        <w:rPr>
          <w:sz w:val="22"/>
          <w:szCs w:val="22"/>
        </w:rPr>
      </w:pPr>
    </w:p>
    <w:p w14:paraId="5BB2C9EF" w14:textId="144002BB" w:rsidR="0036256F" w:rsidRPr="00513BCB" w:rsidRDefault="00C65CC3" w:rsidP="007C6A1D">
      <w:pPr>
        <w:spacing w:line="360" w:lineRule="auto"/>
        <w:jc w:val="both"/>
        <w:outlineLvl w:val="0"/>
        <w:rPr>
          <w:rFonts w:eastAsia="MS Mincho" w:cs="Times New Roman"/>
          <w:b/>
          <w:sz w:val="22"/>
          <w:szCs w:val="22"/>
        </w:rPr>
      </w:pPr>
      <w:r w:rsidRPr="00513BCB">
        <w:rPr>
          <w:rFonts w:eastAsia="MS Mincho" w:cs="Times New Roman"/>
          <w:b/>
          <w:sz w:val="22"/>
          <w:szCs w:val="22"/>
        </w:rPr>
        <w:t xml:space="preserve">Part </w:t>
      </w:r>
      <w:r w:rsidR="00EE007B" w:rsidRPr="00513BCB">
        <w:rPr>
          <w:rFonts w:eastAsia="MS Mincho" w:cs="Times New Roman"/>
          <w:b/>
          <w:sz w:val="22"/>
          <w:szCs w:val="22"/>
        </w:rPr>
        <w:t>2</w:t>
      </w:r>
      <w:r w:rsidRPr="00513BCB">
        <w:rPr>
          <w:rFonts w:eastAsia="MS Mincho" w:cs="Times New Roman"/>
          <w:b/>
          <w:sz w:val="22"/>
          <w:szCs w:val="22"/>
        </w:rPr>
        <w:t xml:space="preserve">: </w:t>
      </w:r>
      <w:r w:rsidR="00EE007B" w:rsidRPr="00513BCB">
        <w:rPr>
          <w:rFonts w:eastAsia="MS Mincho" w:cs="Times New Roman"/>
          <w:b/>
          <w:sz w:val="22"/>
          <w:szCs w:val="22"/>
        </w:rPr>
        <w:t>Child</w:t>
      </w:r>
      <w:r w:rsidR="00B52867" w:rsidRPr="00513BCB">
        <w:rPr>
          <w:rFonts w:eastAsia="MS Mincho" w:cs="Times New Roman"/>
          <w:b/>
          <w:sz w:val="22"/>
          <w:szCs w:val="22"/>
        </w:rPr>
        <w:t>ren</w:t>
      </w:r>
      <w:r w:rsidR="00EE007B" w:rsidRPr="00513BCB">
        <w:rPr>
          <w:rFonts w:eastAsia="MS Mincho" w:cs="Times New Roman"/>
          <w:b/>
          <w:sz w:val="22"/>
          <w:szCs w:val="22"/>
        </w:rPr>
        <w:t>’s Right</w:t>
      </w:r>
      <w:r w:rsidR="00B52867" w:rsidRPr="00513BCB">
        <w:rPr>
          <w:rFonts w:eastAsia="MS Mincho" w:cs="Times New Roman"/>
          <w:b/>
          <w:sz w:val="22"/>
          <w:szCs w:val="22"/>
        </w:rPr>
        <w:t>s</w:t>
      </w:r>
      <w:r w:rsidR="00EE007B" w:rsidRPr="00513BCB">
        <w:rPr>
          <w:rFonts w:eastAsia="MS Mincho" w:cs="Times New Roman"/>
          <w:b/>
          <w:sz w:val="22"/>
          <w:szCs w:val="22"/>
        </w:rPr>
        <w:t xml:space="preserve"> to </w:t>
      </w:r>
      <w:r w:rsidR="002F7E91" w:rsidRPr="00513BCB">
        <w:rPr>
          <w:rFonts w:eastAsia="MS Mincho" w:cs="Times New Roman"/>
          <w:b/>
          <w:sz w:val="22"/>
          <w:szCs w:val="22"/>
        </w:rPr>
        <w:t>Identity</w:t>
      </w:r>
      <w:r w:rsidR="0036256F" w:rsidRPr="00513BCB">
        <w:rPr>
          <w:rFonts w:eastAsia="MS Mincho" w:cs="Times New Roman"/>
          <w:b/>
          <w:sz w:val="22"/>
          <w:szCs w:val="22"/>
        </w:rPr>
        <w:t xml:space="preserve">: Origins or Existence? </w:t>
      </w:r>
    </w:p>
    <w:p w14:paraId="76B584F1" w14:textId="69763B79" w:rsidR="001C4514" w:rsidRPr="00513BCB" w:rsidRDefault="001C4514" w:rsidP="007C6A1D">
      <w:pPr>
        <w:spacing w:line="360" w:lineRule="auto"/>
        <w:jc w:val="both"/>
        <w:outlineLvl w:val="0"/>
        <w:rPr>
          <w:rFonts w:cs="Times New Roman"/>
          <w:b/>
          <w:bCs/>
          <w:i/>
          <w:sz w:val="22"/>
          <w:szCs w:val="22"/>
        </w:rPr>
      </w:pPr>
      <w:r w:rsidRPr="00513BCB">
        <w:rPr>
          <w:rFonts w:eastAsia="MS Mincho" w:cs="Times New Roman"/>
          <w:b/>
          <w:i/>
          <w:sz w:val="22"/>
          <w:szCs w:val="22"/>
        </w:rPr>
        <w:t>UN Convention on the Rights of the Child</w:t>
      </w:r>
    </w:p>
    <w:p w14:paraId="54D3D611" w14:textId="5A02A645" w:rsidR="009B7ABD" w:rsidRPr="00513BCB" w:rsidRDefault="009B7ABD" w:rsidP="004D3080">
      <w:pPr>
        <w:spacing w:line="360" w:lineRule="auto"/>
        <w:jc w:val="both"/>
        <w:rPr>
          <w:rFonts w:cs="Times New Roman"/>
          <w:sz w:val="22"/>
          <w:szCs w:val="22"/>
        </w:rPr>
      </w:pPr>
      <w:r w:rsidRPr="00513BCB">
        <w:rPr>
          <w:rFonts w:cs="Times New Roman"/>
          <w:sz w:val="22"/>
          <w:szCs w:val="22"/>
        </w:rPr>
        <w:t>In the international human rights context, the preamble to the CRC states that for the ‘full and harmonious development of his or her personality the child should grow up in a family environment, in an atmosphere of happiness, love and understanding</w:t>
      </w:r>
      <w:r w:rsidR="001C4514" w:rsidRPr="00513BCB">
        <w:rPr>
          <w:rFonts w:cs="Times New Roman"/>
          <w:sz w:val="22"/>
          <w:szCs w:val="22"/>
        </w:rPr>
        <w:t>’</w:t>
      </w:r>
      <w:r w:rsidRPr="00513BCB">
        <w:rPr>
          <w:rFonts w:cs="Times New Roman"/>
          <w:sz w:val="22"/>
          <w:szCs w:val="22"/>
        </w:rPr>
        <w:t>.  The Universal Declaration of Human Rights describes the family as ‘</w:t>
      </w:r>
      <w:r w:rsidRPr="00513BCB">
        <w:rPr>
          <w:rFonts w:cs="Times New Roman"/>
          <w:color w:val="000000" w:themeColor="text1"/>
          <w:sz w:val="22"/>
          <w:szCs w:val="22"/>
        </w:rPr>
        <w:t>…the natural and fundamental group unit of society … entitled to protection by society and the State</w:t>
      </w:r>
      <w:r w:rsidR="001C4514" w:rsidRPr="00513BCB">
        <w:rPr>
          <w:rFonts w:cs="Times New Roman"/>
          <w:color w:val="000000" w:themeColor="text1"/>
          <w:sz w:val="22"/>
          <w:szCs w:val="22"/>
        </w:rPr>
        <w:t>’</w:t>
      </w:r>
      <w:r w:rsidRPr="00513BCB">
        <w:rPr>
          <w:rFonts w:cs="Times New Roman"/>
          <w:color w:val="000000" w:themeColor="text1"/>
          <w:sz w:val="22"/>
          <w:szCs w:val="22"/>
        </w:rPr>
        <w:t>.</w:t>
      </w:r>
      <w:r w:rsidRPr="00513BCB">
        <w:rPr>
          <w:rStyle w:val="FootnoteReference"/>
          <w:rFonts w:cs="Times New Roman"/>
          <w:color w:val="000000" w:themeColor="text1"/>
          <w:sz w:val="22"/>
          <w:szCs w:val="22"/>
        </w:rPr>
        <w:footnoteReference w:id="77"/>
      </w:r>
      <w:r w:rsidRPr="00513BCB">
        <w:rPr>
          <w:rFonts w:cs="Times New Roman"/>
          <w:color w:val="000000" w:themeColor="text1"/>
          <w:sz w:val="22"/>
          <w:szCs w:val="22"/>
        </w:rPr>
        <w:t xml:space="preserve"> </w:t>
      </w:r>
      <w:r w:rsidRPr="00513BCB">
        <w:rPr>
          <w:rFonts w:eastAsia="MS Mincho" w:cs="Times New Roman"/>
          <w:sz w:val="22"/>
          <w:szCs w:val="22"/>
        </w:rPr>
        <w:t>Article 24 of the CRC provides that children have a right to the protection and care necessary for their well-being. Every child shall have the right to maintain on a regular basis a personal relationship and direct contact with his or her parents, unless this is contrary to his or her interests.</w:t>
      </w:r>
      <w:r w:rsidRPr="00513BCB">
        <w:rPr>
          <w:rStyle w:val="FootnoteReference"/>
          <w:rFonts w:eastAsia="MS Mincho" w:cs="Times New Roman"/>
          <w:sz w:val="22"/>
          <w:szCs w:val="22"/>
        </w:rPr>
        <w:footnoteReference w:id="78"/>
      </w:r>
      <w:r w:rsidRPr="00513BCB">
        <w:rPr>
          <w:rFonts w:eastAsia="MS Mincho" w:cs="Times New Roman"/>
          <w:sz w:val="22"/>
          <w:szCs w:val="22"/>
        </w:rPr>
        <w:t xml:space="preserve"> </w:t>
      </w:r>
      <w:r w:rsidRPr="00513BCB">
        <w:rPr>
          <w:rFonts w:cs="Times New Roman"/>
          <w:sz w:val="22"/>
          <w:szCs w:val="22"/>
        </w:rPr>
        <w:t>Similar provisions are contained in a variety of regional human rights protections.</w:t>
      </w:r>
      <w:r w:rsidRPr="00513BCB">
        <w:rPr>
          <w:rStyle w:val="FootnoteReference"/>
          <w:rFonts w:cs="Times New Roman"/>
          <w:sz w:val="22"/>
          <w:szCs w:val="22"/>
        </w:rPr>
        <w:footnoteReference w:id="79"/>
      </w:r>
      <w:r w:rsidRPr="00513BCB">
        <w:rPr>
          <w:rFonts w:cs="Times New Roman"/>
          <w:sz w:val="22"/>
          <w:szCs w:val="22"/>
        </w:rPr>
        <w:t xml:space="preserve"> The primary consideration is the best interests of the child,</w:t>
      </w:r>
      <w:r w:rsidR="00543FCD" w:rsidRPr="00513BCB">
        <w:rPr>
          <w:rStyle w:val="FootnoteReference"/>
          <w:rFonts w:cs="Times New Roman"/>
          <w:sz w:val="22"/>
          <w:szCs w:val="22"/>
        </w:rPr>
        <w:footnoteReference w:id="80"/>
      </w:r>
      <w:r w:rsidRPr="00513BCB">
        <w:rPr>
          <w:rFonts w:cs="Times New Roman"/>
          <w:sz w:val="22"/>
          <w:szCs w:val="22"/>
        </w:rPr>
        <w:t xml:space="preserve"> and it </w:t>
      </w:r>
      <w:r w:rsidR="00371755" w:rsidRPr="00513BCB">
        <w:rPr>
          <w:rFonts w:cs="Times New Roman"/>
          <w:sz w:val="22"/>
          <w:szCs w:val="22"/>
        </w:rPr>
        <w:t xml:space="preserve">is </w:t>
      </w:r>
      <w:r w:rsidRPr="00513BCB">
        <w:rPr>
          <w:rFonts w:cs="Times New Roman"/>
          <w:sz w:val="22"/>
          <w:szCs w:val="22"/>
        </w:rPr>
        <w:t xml:space="preserve">understood to be in such interests </w:t>
      </w:r>
      <w:r w:rsidR="001C4514" w:rsidRPr="00513BCB">
        <w:rPr>
          <w:rFonts w:cs="Times New Roman"/>
          <w:sz w:val="22"/>
          <w:szCs w:val="22"/>
        </w:rPr>
        <w:t xml:space="preserve">for the child </w:t>
      </w:r>
      <w:r w:rsidRPr="00513BCB">
        <w:rPr>
          <w:rFonts w:cs="Times New Roman"/>
          <w:sz w:val="22"/>
          <w:szCs w:val="22"/>
        </w:rPr>
        <w:t>to be brought up in a family environment</w:t>
      </w:r>
      <w:r w:rsidR="001C4514" w:rsidRPr="00513BCB">
        <w:rPr>
          <w:rFonts w:cs="Times New Roman"/>
          <w:sz w:val="22"/>
          <w:szCs w:val="22"/>
        </w:rPr>
        <w:t>,</w:t>
      </w:r>
      <w:r w:rsidRPr="00513BCB">
        <w:rPr>
          <w:rFonts w:cs="Times New Roman"/>
          <w:sz w:val="22"/>
          <w:szCs w:val="22"/>
        </w:rPr>
        <w:t xml:space="preserve"> because some form of ‘family life’</w:t>
      </w:r>
      <w:r w:rsidR="001C4514" w:rsidRPr="00513BCB">
        <w:rPr>
          <w:rFonts w:cs="Times New Roman"/>
          <w:sz w:val="22"/>
          <w:szCs w:val="22"/>
        </w:rPr>
        <w:t xml:space="preserve"> – </w:t>
      </w:r>
      <w:r w:rsidRPr="00513BCB">
        <w:rPr>
          <w:rFonts w:cs="Times New Roman"/>
          <w:sz w:val="22"/>
          <w:szCs w:val="22"/>
        </w:rPr>
        <w:t>a human bond in a loving, caring, committed and stable unit</w:t>
      </w:r>
      <w:r w:rsidR="001C4514" w:rsidRPr="00513BCB">
        <w:rPr>
          <w:rFonts w:cs="Times New Roman"/>
          <w:sz w:val="22"/>
          <w:szCs w:val="22"/>
        </w:rPr>
        <w:t xml:space="preserve"> – </w:t>
      </w:r>
      <w:r w:rsidRPr="00513BCB">
        <w:rPr>
          <w:rFonts w:cs="Times New Roman"/>
          <w:sz w:val="22"/>
          <w:szCs w:val="22"/>
        </w:rPr>
        <w:t xml:space="preserve">is needed to fulfill basic human needs for connection, stability and predictability to enable us to grow our own personalities or identity. </w:t>
      </w:r>
      <w:r w:rsidRPr="00513BCB">
        <w:rPr>
          <w:rFonts w:eastAsia="MS Mincho" w:cs="Times New Roman"/>
          <w:sz w:val="22"/>
          <w:szCs w:val="22"/>
        </w:rPr>
        <w:t xml:space="preserve">There is no explicit reference in these provisions, however, to </w:t>
      </w:r>
      <w:r w:rsidR="001C4514" w:rsidRPr="00513BCB">
        <w:rPr>
          <w:rFonts w:eastAsia="MS Mincho" w:cs="Times New Roman"/>
          <w:sz w:val="22"/>
          <w:szCs w:val="22"/>
        </w:rPr>
        <w:t xml:space="preserve">the </w:t>
      </w:r>
      <w:r w:rsidRPr="00513BCB">
        <w:rPr>
          <w:rFonts w:eastAsia="MS Mincho" w:cs="Times New Roman"/>
          <w:i/>
          <w:sz w:val="22"/>
          <w:szCs w:val="22"/>
        </w:rPr>
        <w:t>biological</w:t>
      </w:r>
      <w:r w:rsidRPr="00513BCB">
        <w:rPr>
          <w:rFonts w:eastAsia="MS Mincho" w:cs="Times New Roman"/>
          <w:sz w:val="22"/>
          <w:szCs w:val="22"/>
        </w:rPr>
        <w:t xml:space="preserve"> family and, </w:t>
      </w:r>
      <w:r w:rsidR="00A31809" w:rsidRPr="00513BCB">
        <w:rPr>
          <w:rFonts w:eastAsia="MS Mincho" w:cs="Times New Roman"/>
          <w:sz w:val="22"/>
          <w:szCs w:val="22"/>
        </w:rPr>
        <w:t xml:space="preserve">although </w:t>
      </w:r>
      <w:r w:rsidRPr="00513BCB">
        <w:rPr>
          <w:rFonts w:cs="Times New Roman"/>
          <w:sz w:val="22"/>
          <w:szCs w:val="22"/>
        </w:rPr>
        <w:t>th</w:t>
      </w:r>
      <w:r w:rsidR="001C4514" w:rsidRPr="00513BCB">
        <w:rPr>
          <w:rFonts w:cs="Times New Roman"/>
          <w:sz w:val="22"/>
          <w:szCs w:val="22"/>
        </w:rPr>
        <w:t>e</w:t>
      </w:r>
      <w:r w:rsidRPr="00513BCB">
        <w:rPr>
          <w:rFonts w:cs="Times New Roman"/>
          <w:sz w:val="22"/>
          <w:szCs w:val="22"/>
        </w:rPr>
        <w:t xml:space="preserve"> family </w:t>
      </w:r>
      <w:r w:rsidR="001C4514" w:rsidRPr="00513BCB">
        <w:rPr>
          <w:rFonts w:cs="Times New Roman"/>
          <w:sz w:val="22"/>
          <w:szCs w:val="22"/>
        </w:rPr>
        <w:t xml:space="preserve">in which the child is raised </w:t>
      </w:r>
      <w:r w:rsidR="009E2717" w:rsidRPr="00513BCB">
        <w:rPr>
          <w:rFonts w:cs="Times New Roman"/>
          <w:sz w:val="22"/>
          <w:szCs w:val="22"/>
        </w:rPr>
        <w:t xml:space="preserve">will commonly </w:t>
      </w:r>
      <w:r w:rsidR="001C4514" w:rsidRPr="00513BCB">
        <w:rPr>
          <w:rFonts w:cs="Times New Roman"/>
          <w:sz w:val="22"/>
          <w:szCs w:val="22"/>
        </w:rPr>
        <w:t>be the genetic/biological family</w:t>
      </w:r>
      <w:r w:rsidR="009E2717" w:rsidRPr="00513BCB">
        <w:rPr>
          <w:rFonts w:cs="Times New Roman"/>
          <w:sz w:val="22"/>
          <w:szCs w:val="22"/>
        </w:rPr>
        <w:t xml:space="preserve">, </w:t>
      </w:r>
      <w:r w:rsidR="001C4514" w:rsidRPr="00513BCB">
        <w:rPr>
          <w:rFonts w:cs="Times New Roman"/>
          <w:sz w:val="22"/>
          <w:szCs w:val="22"/>
        </w:rPr>
        <w:t xml:space="preserve">this </w:t>
      </w:r>
      <w:r w:rsidR="009E2717" w:rsidRPr="00513BCB">
        <w:rPr>
          <w:rFonts w:cs="Times New Roman"/>
          <w:sz w:val="22"/>
          <w:szCs w:val="22"/>
        </w:rPr>
        <w:t>will not always</w:t>
      </w:r>
      <w:r w:rsidR="001C4514" w:rsidRPr="00513BCB">
        <w:rPr>
          <w:rFonts w:cs="Times New Roman"/>
          <w:sz w:val="22"/>
          <w:szCs w:val="22"/>
        </w:rPr>
        <w:t xml:space="preserve"> be so</w:t>
      </w:r>
      <w:r w:rsidR="009E2717" w:rsidRPr="00513BCB">
        <w:rPr>
          <w:rFonts w:cs="Times New Roman"/>
          <w:sz w:val="22"/>
          <w:szCs w:val="22"/>
        </w:rPr>
        <w:t xml:space="preserve">, including </w:t>
      </w:r>
      <w:r w:rsidR="00A31809" w:rsidRPr="00513BCB">
        <w:rPr>
          <w:rFonts w:cs="Times New Roman"/>
          <w:sz w:val="22"/>
          <w:szCs w:val="22"/>
        </w:rPr>
        <w:t>in</w:t>
      </w:r>
      <w:r w:rsidR="009E2717" w:rsidRPr="00513BCB">
        <w:rPr>
          <w:rFonts w:cs="Times New Roman"/>
          <w:sz w:val="22"/>
          <w:szCs w:val="22"/>
        </w:rPr>
        <w:t xml:space="preserve"> secret birth</w:t>
      </w:r>
      <w:r w:rsidR="00A31809" w:rsidRPr="00513BCB">
        <w:rPr>
          <w:rFonts w:cs="Times New Roman"/>
          <w:sz w:val="22"/>
          <w:szCs w:val="22"/>
        </w:rPr>
        <w:t xml:space="preserve"> situations</w:t>
      </w:r>
      <w:r w:rsidRPr="00513BCB">
        <w:rPr>
          <w:rFonts w:cs="Times"/>
          <w:color w:val="1A1A1A"/>
          <w:sz w:val="22"/>
          <w:szCs w:val="22"/>
        </w:rPr>
        <w:t>.</w:t>
      </w:r>
    </w:p>
    <w:p w14:paraId="36200606" w14:textId="77777777" w:rsidR="009B7ABD" w:rsidRPr="00513BCB" w:rsidRDefault="009B7ABD" w:rsidP="004D3080">
      <w:pPr>
        <w:pStyle w:val="BodyText"/>
        <w:spacing w:line="360" w:lineRule="auto"/>
        <w:rPr>
          <w:rFonts w:asciiTheme="minorHAnsi" w:hAnsiTheme="minorHAnsi"/>
          <w:sz w:val="22"/>
          <w:szCs w:val="22"/>
        </w:rPr>
      </w:pPr>
    </w:p>
    <w:p w14:paraId="4C997796" w14:textId="41A3A7AE" w:rsidR="00D82938" w:rsidRPr="00513BCB" w:rsidRDefault="00BA02DD" w:rsidP="004D3080">
      <w:pPr>
        <w:spacing w:line="360" w:lineRule="auto"/>
        <w:jc w:val="both"/>
        <w:rPr>
          <w:rFonts w:cs="Times New Roman"/>
          <w:sz w:val="22"/>
          <w:szCs w:val="22"/>
        </w:rPr>
      </w:pPr>
      <w:r w:rsidRPr="00513BCB">
        <w:rPr>
          <w:sz w:val="22"/>
          <w:szCs w:val="22"/>
        </w:rPr>
        <w:t xml:space="preserve">Children have a right to identity as </w:t>
      </w:r>
      <w:r w:rsidR="00723C68" w:rsidRPr="00513BCB">
        <w:rPr>
          <w:sz w:val="22"/>
          <w:szCs w:val="22"/>
        </w:rPr>
        <w:t xml:space="preserve">enshrined in the CRC. </w:t>
      </w:r>
      <w:r w:rsidRPr="00513BCB">
        <w:rPr>
          <w:sz w:val="22"/>
          <w:szCs w:val="22"/>
        </w:rPr>
        <w:t>However, it is not clear</w:t>
      </w:r>
      <w:r w:rsidR="00BB59A4" w:rsidRPr="00513BCB">
        <w:rPr>
          <w:sz w:val="22"/>
          <w:szCs w:val="22"/>
        </w:rPr>
        <w:t xml:space="preserve"> exactly</w:t>
      </w:r>
      <w:r w:rsidRPr="00513BCB">
        <w:rPr>
          <w:sz w:val="22"/>
          <w:szCs w:val="22"/>
        </w:rPr>
        <w:t xml:space="preserve"> </w:t>
      </w:r>
      <w:r w:rsidR="00D84F99" w:rsidRPr="00513BCB">
        <w:rPr>
          <w:sz w:val="22"/>
          <w:szCs w:val="22"/>
        </w:rPr>
        <w:t xml:space="preserve">what such a right </w:t>
      </w:r>
      <w:r w:rsidR="00BB59A4" w:rsidRPr="00513BCB">
        <w:rPr>
          <w:sz w:val="22"/>
          <w:szCs w:val="22"/>
        </w:rPr>
        <w:t>entails</w:t>
      </w:r>
      <w:r w:rsidR="00D84F99" w:rsidRPr="00513BCB">
        <w:rPr>
          <w:sz w:val="22"/>
          <w:szCs w:val="22"/>
        </w:rPr>
        <w:t xml:space="preserve">. </w:t>
      </w:r>
      <w:r w:rsidR="00D84F99" w:rsidRPr="00513BCB">
        <w:rPr>
          <w:rFonts w:cs="Times New Roman"/>
          <w:bCs/>
          <w:sz w:val="22"/>
          <w:szCs w:val="22"/>
        </w:rPr>
        <w:t>Article 7 of the CRC states that a child ‘</w:t>
      </w:r>
      <w:r w:rsidR="00D84F99" w:rsidRPr="00513BCB">
        <w:rPr>
          <w:rFonts w:cs="Times New Roman"/>
          <w:sz w:val="22"/>
          <w:szCs w:val="22"/>
        </w:rPr>
        <w:t xml:space="preserve">shall have the right from birth to a name, the right to acquire a nationality and, as far as possible, the right to know and be cared for by his or her </w:t>
      </w:r>
      <w:r w:rsidR="00D84F99" w:rsidRPr="00513BCB">
        <w:rPr>
          <w:rFonts w:cs="Times New Roman"/>
          <w:sz w:val="22"/>
          <w:szCs w:val="22"/>
        </w:rPr>
        <w:lastRenderedPageBreak/>
        <w:t xml:space="preserve">parents.’ Article 8 states that parties to the Convention ‘undertake to respect the right of the child to preserve his or her identity, including nationality, name and family relations as recognized by law without unlawful interference.’ </w:t>
      </w:r>
    </w:p>
    <w:p w14:paraId="721C2664" w14:textId="77777777" w:rsidR="00D82938" w:rsidRPr="00513BCB" w:rsidRDefault="00D82938" w:rsidP="004D3080">
      <w:pPr>
        <w:spacing w:line="360" w:lineRule="auto"/>
        <w:jc w:val="both"/>
        <w:rPr>
          <w:rFonts w:cs="Times New Roman"/>
          <w:sz w:val="22"/>
          <w:szCs w:val="22"/>
        </w:rPr>
      </w:pPr>
    </w:p>
    <w:p w14:paraId="0BD4797A" w14:textId="5E1473C1" w:rsidR="00D82938" w:rsidRPr="00513BCB" w:rsidRDefault="001C4514" w:rsidP="004D3080">
      <w:pPr>
        <w:pStyle w:val="BodyText"/>
        <w:spacing w:line="360" w:lineRule="auto"/>
        <w:rPr>
          <w:rFonts w:asciiTheme="minorHAnsi" w:hAnsiTheme="minorHAnsi"/>
          <w:sz w:val="22"/>
          <w:szCs w:val="22"/>
        </w:rPr>
      </w:pPr>
      <w:r w:rsidRPr="00513BCB">
        <w:rPr>
          <w:rFonts w:asciiTheme="minorHAnsi" w:hAnsiTheme="minorHAnsi"/>
          <w:sz w:val="22"/>
          <w:szCs w:val="22"/>
        </w:rPr>
        <w:t>S</w:t>
      </w:r>
      <w:r w:rsidR="00D82938" w:rsidRPr="00513BCB">
        <w:rPr>
          <w:rFonts w:asciiTheme="minorHAnsi" w:hAnsiTheme="minorHAnsi"/>
          <w:sz w:val="22"/>
          <w:szCs w:val="22"/>
        </w:rPr>
        <w:t>ome commentators</w:t>
      </w:r>
      <w:r w:rsidRPr="00513BCB">
        <w:rPr>
          <w:rFonts w:asciiTheme="minorHAnsi" w:hAnsiTheme="minorHAnsi"/>
          <w:sz w:val="22"/>
          <w:szCs w:val="22"/>
        </w:rPr>
        <w:t xml:space="preserve"> consider that </w:t>
      </w:r>
      <w:r w:rsidR="00D82938" w:rsidRPr="00513BCB">
        <w:rPr>
          <w:rFonts w:asciiTheme="minorHAnsi" w:hAnsiTheme="minorHAnsi"/>
          <w:sz w:val="22"/>
          <w:szCs w:val="22"/>
        </w:rPr>
        <w:t>Article 7 creates a right to know one’s genetic origins.</w:t>
      </w:r>
      <w:r w:rsidR="00D82938" w:rsidRPr="00513BCB">
        <w:rPr>
          <w:rStyle w:val="FootnoteReference"/>
          <w:rFonts w:asciiTheme="minorHAnsi" w:hAnsiTheme="minorHAnsi"/>
          <w:sz w:val="22"/>
          <w:szCs w:val="22"/>
        </w:rPr>
        <w:footnoteReference w:id="81"/>
      </w:r>
      <w:r w:rsidR="00D82938" w:rsidRPr="00513BCB">
        <w:rPr>
          <w:rFonts w:asciiTheme="minorHAnsi" w:hAnsiTheme="minorHAnsi"/>
          <w:sz w:val="22"/>
          <w:szCs w:val="22"/>
        </w:rPr>
        <w:t xml:space="preserve"> This has been variously described as a right to know one’s ‘true’ identity, including a right to know one’s ancestral background, medical and genetic information about oneself and one’s biological parentage, the circumstances of one’s conception, time and place of birth, and records of events meaningful to the individual.</w:t>
      </w:r>
      <w:r w:rsidR="00D82938" w:rsidRPr="00513BCB">
        <w:rPr>
          <w:rStyle w:val="FootnoteReference"/>
          <w:rFonts w:asciiTheme="minorHAnsi" w:hAnsiTheme="minorHAnsi"/>
          <w:sz w:val="22"/>
          <w:szCs w:val="22"/>
        </w:rPr>
        <w:footnoteReference w:id="82"/>
      </w:r>
      <w:r w:rsidR="00D82938" w:rsidRPr="00513BCB">
        <w:rPr>
          <w:rFonts w:asciiTheme="minorHAnsi" w:hAnsiTheme="minorHAnsi"/>
          <w:sz w:val="22"/>
          <w:szCs w:val="22"/>
        </w:rPr>
        <w:t xml:space="preserve">  </w:t>
      </w:r>
      <w:r w:rsidR="00D84F99" w:rsidRPr="00513BCB">
        <w:rPr>
          <w:rFonts w:asciiTheme="minorHAnsi" w:hAnsiTheme="minorHAnsi"/>
          <w:sz w:val="22"/>
          <w:szCs w:val="22"/>
        </w:rPr>
        <w:t>The website of the Child</w:t>
      </w:r>
      <w:r w:rsidR="002256FC" w:rsidRPr="00513BCB">
        <w:rPr>
          <w:rFonts w:asciiTheme="minorHAnsi" w:hAnsiTheme="minorHAnsi"/>
          <w:sz w:val="22"/>
          <w:szCs w:val="22"/>
        </w:rPr>
        <w:t xml:space="preserve"> Abandonment</w:t>
      </w:r>
      <w:r w:rsidR="00D84F99" w:rsidRPr="00513BCB">
        <w:rPr>
          <w:rFonts w:asciiTheme="minorHAnsi" w:hAnsiTheme="minorHAnsi"/>
          <w:sz w:val="22"/>
          <w:szCs w:val="22"/>
        </w:rPr>
        <w:t xml:space="preserve"> Project states without explanation that ‘abandoning a child violates Article 7 of the CRC’</w:t>
      </w:r>
      <w:r w:rsidR="005B1468" w:rsidRPr="00513BCB">
        <w:rPr>
          <w:rFonts w:asciiTheme="minorHAnsi" w:hAnsiTheme="minorHAnsi"/>
          <w:sz w:val="22"/>
          <w:szCs w:val="22"/>
        </w:rPr>
        <w:t>,</w:t>
      </w:r>
      <w:r w:rsidR="00D84F99" w:rsidRPr="00513BCB">
        <w:rPr>
          <w:rStyle w:val="FootnoteReference"/>
          <w:rFonts w:asciiTheme="minorHAnsi" w:hAnsiTheme="minorHAnsi"/>
          <w:sz w:val="22"/>
          <w:szCs w:val="22"/>
        </w:rPr>
        <w:footnoteReference w:id="83"/>
      </w:r>
      <w:r w:rsidR="00D84F99" w:rsidRPr="00513BCB">
        <w:rPr>
          <w:rFonts w:asciiTheme="minorHAnsi" w:hAnsiTheme="minorHAnsi"/>
          <w:sz w:val="22"/>
          <w:szCs w:val="22"/>
        </w:rPr>
        <w:t xml:space="preserve"> </w:t>
      </w:r>
      <w:r w:rsidR="00014AFC" w:rsidRPr="00513BCB">
        <w:rPr>
          <w:rFonts w:asciiTheme="minorHAnsi" w:hAnsiTheme="minorHAnsi"/>
          <w:sz w:val="22"/>
          <w:szCs w:val="22"/>
        </w:rPr>
        <w:t xml:space="preserve">an absolute statement that appears to overlook the express limitation in the Article that the rights to know and be cared for by one’s parents are to be protected </w:t>
      </w:r>
      <w:r w:rsidR="00D84F99" w:rsidRPr="00513BCB">
        <w:rPr>
          <w:rFonts w:asciiTheme="minorHAnsi" w:hAnsiTheme="minorHAnsi"/>
          <w:sz w:val="22"/>
          <w:szCs w:val="22"/>
        </w:rPr>
        <w:t xml:space="preserve">‘as far as possible’. </w:t>
      </w:r>
    </w:p>
    <w:p w14:paraId="7C103CB4" w14:textId="77777777" w:rsidR="00D82938" w:rsidRPr="00513BCB" w:rsidRDefault="00D82938" w:rsidP="004D3080">
      <w:pPr>
        <w:pStyle w:val="BodyText"/>
        <w:spacing w:line="360" w:lineRule="auto"/>
        <w:rPr>
          <w:rFonts w:asciiTheme="minorHAnsi" w:hAnsiTheme="minorHAnsi"/>
          <w:sz w:val="22"/>
          <w:szCs w:val="22"/>
        </w:rPr>
      </w:pPr>
    </w:p>
    <w:p w14:paraId="45F912FF" w14:textId="7CD696B4" w:rsidR="00010481" w:rsidRPr="00513BCB" w:rsidRDefault="00BA02DD" w:rsidP="004D3080">
      <w:pPr>
        <w:pStyle w:val="BodyText"/>
        <w:spacing w:line="360" w:lineRule="auto"/>
        <w:rPr>
          <w:rFonts w:asciiTheme="minorHAnsi" w:hAnsiTheme="minorHAnsi"/>
          <w:sz w:val="22"/>
          <w:szCs w:val="22"/>
        </w:rPr>
      </w:pPr>
      <w:r w:rsidRPr="00513BCB">
        <w:rPr>
          <w:rFonts w:asciiTheme="minorHAnsi" w:hAnsiTheme="minorHAnsi"/>
          <w:sz w:val="22"/>
          <w:szCs w:val="22"/>
        </w:rPr>
        <w:t xml:space="preserve">The Committee of the </w:t>
      </w:r>
      <w:r w:rsidR="00997D10" w:rsidRPr="00513BCB">
        <w:rPr>
          <w:rFonts w:asciiTheme="minorHAnsi" w:hAnsiTheme="minorHAnsi"/>
          <w:sz w:val="22"/>
          <w:szCs w:val="22"/>
        </w:rPr>
        <w:t>CRC</w:t>
      </w:r>
      <w:r w:rsidRPr="00513BCB">
        <w:rPr>
          <w:rFonts w:asciiTheme="minorHAnsi" w:hAnsiTheme="minorHAnsi"/>
          <w:sz w:val="22"/>
          <w:szCs w:val="22"/>
        </w:rPr>
        <w:t xml:space="preserve"> has expressed concern at what it describes as the ‘alarming spread’ of the use of baby boxes in certain parts of Europe.</w:t>
      </w:r>
      <w:r w:rsidRPr="00513BCB">
        <w:rPr>
          <w:rStyle w:val="FootnoteReference"/>
          <w:rFonts w:asciiTheme="minorHAnsi" w:hAnsiTheme="minorHAnsi"/>
          <w:sz w:val="22"/>
          <w:szCs w:val="22"/>
        </w:rPr>
        <w:footnoteReference w:id="84"/>
      </w:r>
      <w:r w:rsidRPr="00513BCB">
        <w:rPr>
          <w:rFonts w:asciiTheme="minorHAnsi" w:hAnsiTheme="minorHAnsi"/>
          <w:sz w:val="22"/>
          <w:szCs w:val="22"/>
        </w:rPr>
        <w:t xml:space="preserve"> In the Committee’s analysis, the programme is a violation of certain articles of the CRC. It</w:t>
      </w:r>
      <w:r w:rsidR="00014AFC" w:rsidRPr="00513BCB">
        <w:rPr>
          <w:rFonts w:asciiTheme="minorHAnsi" w:hAnsiTheme="minorHAnsi"/>
          <w:sz w:val="22"/>
          <w:szCs w:val="22"/>
        </w:rPr>
        <w:t xml:space="preserve"> has</w:t>
      </w:r>
      <w:r w:rsidRPr="00513BCB">
        <w:rPr>
          <w:rFonts w:asciiTheme="minorHAnsi" w:hAnsiTheme="minorHAnsi"/>
          <w:sz w:val="22"/>
          <w:szCs w:val="22"/>
        </w:rPr>
        <w:t xml:space="preserve"> criticise</w:t>
      </w:r>
      <w:r w:rsidR="00014AFC" w:rsidRPr="00513BCB">
        <w:rPr>
          <w:rFonts w:asciiTheme="minorHAnsi" w:hAnsiTheme="minorHAnsi"/>
          <w:sz w:val="22"/>
          <w:szCs w:val="22"/>
        </w:rPr>
        <w:t>d</w:t>
      </w:r>
      <w:r w:rsidRPr="00513BCB">
        <w:rPr>
          <w:rFonts w:asciiTheme="minorHAnsi" w:hAnsiTheme="minorHAnsi"/>
          <w:sz w:val="22"/>
          <w:szCs w:val="22"/>
        </w:rPr>
        <w:t xml:space="preserve"> the Czech Republic, and urge</w:t>
      </w:r>
      <w:r w:rsidR="00014AFC" w:rsidRPr="00513BCB">
        <w:rPr>
          <w:rFonts w:asciiTheme="minorHAnsi" w:hAnsiTheme="minorHAnsi"/>
          <w:sz w:val="22"/>
          <w:szCs w:val="22"/>
        </w:rPr>
        <w:t>d</w:t>
      </w:r>
      <w:r w:rsidRPr="00513BCB">
        <w:rPr>
          <w:rFonts w:asciiTheme="minorHAnsi" w:hAnsiTheme="minorHAnsi"/>
          <w:sz w:val="22"/>
          <w:szCs w:val="22"/>
        </w:rPr>
        <w:t xml:space="preserve"> that it end the programme ‘as soon as possible and expeditiously strengthen and promote alternatives’, addressing the root causes of abandoned babies, including family planning provision, adequate counselling, social support for unplanned pregnancies and the prevention of what it calls ‘risk pregnancies’. </w:t>
      </w:r>
      <w:r w:rsidR="00997D10" w:rsidRPr="00513BCB">
        <w:rPr>
          <w:rFonts w:asciiTheme="minorHAnsi" w:hAnsiTheme="minorHAnsi"/>
          <w:sz w:val="22"/>
          <w:szCs w:val="22"/>
        </w:rPr>
        <w:t xml:space="preserve">In </w:t>
      </w:r>
      <w:r w:rsidR="00997D10" w:rsidRPr="00513BCB">
        <w:rPr>
          <w:rFonts w:asciiTheme="minorHAnsi" w:hAnsiTheme="minorHAnsi"/>
          <w:sz w:val="22"/>
          <w:szCs w:val="22"/>
        </w:rPr>
        <w:lastRenderedPageBreak/>
        <w:t>its observations on the report of the Holy See in February 2014, the Committee expressed its concern with the practice of anonymous abandonment organised by Catholic organisations in several countries. It urge</w:t>
      </w:r>
      <w:r w:rsidR="007327C1" w:rsidRPr="00513BCB">
        <w:rPr>
          <w:rFonts w:asciiTheme="minorHAnsi" w:hAnsiTheme="minorHAnsi"/>
          <w:sz w:val="22"/>
          <w:szCs w:val="22"/>
        </w:rPr>
        <w:t>d</w:t>
      </w:r>
      <w:r w:rsidR="00997D10" w:rsidRPr="00513BCB">
        <w:rPr>
          <w:rFonts w:asciiTheme="minorHAnsi" w:hAnsiTheme="minorHAnsi"/>
          <w:sz w:val="22"/>
          <w:szCs w:val="22"/>
        </w:rPr>
        <w:t xml:space="preserve"> the Holy See </w:t>
      </w:r>
      <w:r w:rsidR="007327C1" w:rsidRPr="00513BCB">
        <w:rPr>
          <w:rFonts w:asciiTheme="minorHAnsi" w:hAnsiTheme="minorHAnsi"/>
          <w:sz w:val="22"/>
          <w:szCs w:val="22"/>
        </w:rPr>
        <w:t xml:space="preserve">to cooperate </w:t>
      </w:r>
      <w:r w:rsidR="00997D10" w:rsidRPr="00513BCB">
        <w:rPr>
          <w:rFonts w:asciiTheme="minorHAnsi" w:hAnsiTheme="minorHAnsi"/>
          <w:sz w:val="22"/>
          <w:szCs w:val="22"/>
        </w:rPr>
        <w:t>in studies into the root causes of the practice and to promote a</w:t>
      </w:r>
      <w:r w:rsidR="009E2717" w:rsidRPr="00513BCB">
        <w:rPr>
          <w:rFonts w:asciiTheme="minorHAnsi" w:hAnsiTheme="minorHAnsi"/>
          <w:sz w:val="22"/>
          <w:szCs w:val="22"/>
        </w:rPr>
        <w:t>l</w:t>
      </w:r>
      <w:r w:rsidR="00997D10" w:rsidRPr="00513BCB">
        <w:rPr>
          <w:rFonts w:asciiTheme="minorHAnsi" w:hAnsiTheme="minorHAnsi"/>
          <w:sz w:val="22"/>
          <w:szCs w:val="22"/>
        </w:rPr>
        <w:t xml:space="preserve">ternatives to take ‘full account of the rights of children </w:t>
      </w:r>
      <w:r w:rsidR="00010481" w:rsidRPr="00513BCB">
        <w:rPr>
          <w:rFonts w:asciiTheme="minorHAnsi" w:hAnsiTheme="minorHAnsi"/>
          <w:sz w:val="22"/>
          <w:szCs w:val="22"/>
        </w:rPr>
        <w:t xml:space="preserve">to know their parents and siblings </w:t>
      </w:r>
      <w:r w:rsidR="00997D10" w:rsidRPr="00513BCB">
        <w:rPr>
          <w:rFonts w:asciiTheme="minorHAnsi" w:hAnsiTheme="minorHAnsi"/>
          <w:sz w:val="22"/>
          <w:szCs w:val="22"/>
        </w:rPr>
        <w:t>enshrined in Article 7…’</w:t>
      </w:r>
      <w:r w:rsidR="007327C1" w:rsidRPr="00513BCB">
        <w:rPr>
          <w:rFonts w:asciiTheme="minorHAnsi" w:hAnsiTheme="minorHAnsi"/>
          <w:sz w:val="22"/>
          <w:szCs w:val="22"/>
        </w:rPr>
        <w:t>.</w:t>
      </w:r>
      <w:r w:rsidR="00997D10" w:rsidRPr="00513BCB">
        <w:rPr>
          <w:rStyle w:val="FootnoteReference"/>
          <w:rFonts w:asciiTheme="minorHAnsi" w:hAnsiTheme="minorHAnsi"/>
          <w:sz w:val="22"/>
          <w:szCs w:val="22"/>
        </w:rPr>
        <w:footnoteReference w:id="85"/>
      </w:r>
      <w:r w:rsidR="00997D10" w:rsidRPr="00513BCB">
        <w:rPr>
          <w:rFonts w:asciiTheme="minorHAnsi" w:hAnsiTheme="minorHAnsi"/>
          <w:sz w:val="22"/>
          <w:szCs w:val="22"/>
        </w:rPr>
        <w:t xml:space="preserve"> </w:t>
      </w:r>
    </w:p>
    <w:p w14:paraId="505B3DB6" w14:textId="77777777" w:rsidR="00010481" w:rsidRPr="00513BCB" w:rsidRDefault="00010481" w:rsidP="004D3080">
      <w:pPr>
        <w:pStyle w:val="BodyText"/>
        <w:spacing w:line="360" w:lineRule="auto"/>
        <w:rPr>
          <w:rFonts w:asciiTheme="minorHAnsi" w:hAnsiTheme="minorHAnsi"/>
          <w:sz w:val="22"/>
          <w:szCs w:val="22"/>
        </w:rPr>
      </w:pPr>
    </w:p>
    <w:p w14:paraId="6EE0DFF2" w14:textId="3ECCBEE5" w:rsidR="00555485" w:rsidRPr="00513BCB" w:rsidRDefault="00BA02DD" w:rsidP="004D3080">
      <w:pPr>
        <w:pStyle w:val="BodyText"/>
        <w:spacing w:line="360" w:lineRule="auto"/>
        <w:rPr>
          <w:sz w:val="22"/>
          <w:szCs w:val="22"/>
        </w:rPr>
      </w:pPr>
      <w:r w:rsidRPr="00513BCB">
        <w:rPr>
          <w:rFonts w:asciiTheme="minorHAnsi" w:hAnsiTheme="minorHAnsi"/>
          <w:sz w:val="22"/>
          <w:szCs w:val="22"/>
        </w:rPr>
        <w:t xml:space="preserve">The Committee </w:t>
      </w:r>
      <w:r w:rsidR="007327C1" w:rsidRPr="00513BCB">
        <w:rPr>
          <w:rFonts w:asciiTheme="minorHAnsi" w:hAnsiTheme="minorHAnsi"/>
          <w:sz w:val="22"/>
          <w:szCs w:val="22"/>
        </w:rPr>
        <w:t xml:space="preserve">considers that </w:t>
      </w:r>
      <w:r w:rsidRPr="00513BCB">
        <w:rPr>
          <w:rFonts w:asciiTheme="minorHAnsi" w:hAnsiTheme="minorHAnsi"/>
          <w:sz w:val="22"/>
          <w:szCs w:val="22"/>
        </w:rPr>
        <w:t xml:space="preserve">Articles 7 and 8 of the Children’s Convention </w:t>
      </w:r>
      <w:r w:rsidR="00010481" w:rsidRPr="00513BCB">
        <w:rPr>
          <w:rFonts w:asciiTheme="minorHAnsi" w:hAnsiTheme="minorHAnsi"/>
          <w:sz w:val="22"/>
          <w:szCs w:val="22"/>
        </w:rPr>
        <w:t>are</w:t>
      </w:r>
      <w:r w:rsidRPr="00513BCB">
        <w:rPr>
          <w:rFonts w:asciiTheme="minorHAnsi" w:hAnsiTheme="minorHAnsi"/>
          <w:sz w:val="22"/>
          <w:szCs w:val="22"/>
        </w:rPr>
        <w:t xml:space="preserve"> violated</w:t>
      </w:r>
      <w:r w:rsidR="00010481" w:rsidRPr="00513BCB">
        <w:rPr>
          <w:rFonts w:asciiTheme="minorHAnsi" w:hAnsiTheme="minorHAnsi"/>
          <w:sz w:val="22"/>
          <w:szCs w:val="22"/>
        </w:rPr>
        <w:t xml:space="preserve"> by anonymous ‘abandonment’</w:t>
      </w:r>
      <w:r w:rsidRPr="00513BCB">
        <w:rPr>
          <w:rFonts w:asciiTheme="minorHAnsi" w:hAnsiTheme="minorHAnsi"/>
          <w:sz w:val="22"/>
          <w:szCs w:val="22"/>
        </w:rPr>
        <w:t>.</w:t>
      </w:r>
      <w:r w:rsidRPr="00513BCB">
        <w:rPr>
          <w:rStyle w:val="FootnoteReference"/>
          <w:rFonts w:asciiTheme="minorHAnsi" w:hAnsiTheme="minorHAnsi"/>
          <w:sz w:val="22"/>
          <w:szCs w:val="22"/>
        </w:rPr>
        <w:footnoteReference w:id="86"/>
      </w:r>
      <w:r w:rsidRPr="00513BCB">
        <w:rPr>
          <w:rFonts w:asciiTheme="minorHAnsi" w:hAnsiTheme="minorHAnsi"/>
          <w:sz w:val="22"/>
          <w:szCs w:val="22"/>
        </w:rPr>
        <w:t xml:space="preserve"> </w:t>
      </w:r>
      <w:r w:rsidR="007327C1" w:rsidRPr="00513BCB">
        <w:rPr>
          <w:rFonts w:asciiTheme="minorHAnsi" w:hAnsiTheme="minorHAnsi"/>
          <w:sz w:val="22"/>
          <w:szCs w:val="22"/>
        </w:rPr>
        <w:t>However, i</w:t>
      </w:r>
      <w:r w:rsidR="00010481" w:rsidRPr="00513BCB">
        <w:rPr>
          <w:rFonts w:asciiTheme="minorHAnsi" w:hAnsiTheme="minorHAnsi"/>
          <w:sz w:val="22"/>
          <w:szCs w:val="22"/>
        </w:rPr>
        <w:t xml:space="preserve">n </w:t>
      </w:r>
      <w:r w:rsidR="009E2717" w:rsidRPr="00513BCB">
        <w:rPr>
          <w:rFonts w:asciiTheme="minorHAnsi" w:hAnsiTheme="minorHAnsi"/>
          <w:sz w:val="22"/>
          <w:szCs w:val="22"/>
        </w:rPr>
        <w:t xml:space="preserve">the </w:t>
      </w:r>
      <w:r w:rsidR="007327C1" w:rsidRPr="00513BCB">
        <w:rPr>
          <w:rFonts w:asciiTheme="minorHAnsi" w:hAnsiTheme="minorHAnsi"/>
          <w:sz w:val="22"/>
          <w:szCs w:val="22"/>
        </w:rPr>
        <w:t xml:space="preserve">Holy See </w:t>
      </w:r>
      <w:r w:rsidR="00010481" w:rsidRPr="00513BCB">
        <w:rPr>
          <w:rFonts w:asciiTheme="minorHAnsi" w:hAnsiTheme="minorHAnsi"/>
          <w:sz w:val="22"/>
          <w:szCs w:val="22"/>
        </w:rPr>
        <w:t xml:space="preserve">report, the Committee </w:t>
      </w:r>
      <w:r w:rsidR="007327C1" w:rsidRPr="00513BCB">
        <w:rPr>
          <w:rFonts w:asciiTheme="minorHAnsi" w:hAnsiTheme="minorHAnsi"/>
          <w:sz w:val="22"/>
          <w:szCs w:val="22"/>
        </w:rPr>
        <w:t xml:space="preserve">did </w:t>
      </w:r>
      <w:r w:rsidR="00010481" w:rsidRPr="00513BCB">
        <w:rPr>
          <w:rFonts w:asciiTheme="minorHAnsi" w:hAnsiTheme="minorHAnsi"/>
          <w:sz w:val="22"/>
          <w:szCs w:val="22"/>
        </w:rPr>
        <w:t>acknowledge ‘the possibility of confidential births at hospitals as a measure of last resort to prevent abandonment and/or death of a child.’</w:t>
      </w:r>
      <w:r w:rsidR="00010481" w:rsidRPr="00513BCB">
        <w:rPr>
          <w:rStyle w:val="FootnoteReference"/>
          <w:rFonts w:asciiTheme="minorHAnsi" w:hAnsiTheme="minorHAnsi"/>
          <w:sz w:val="22"/>
          <w:szCs w:val="22"/>
        </w:rPr>
        <w:footnoteReference w:id="87"/>
      </w:r>
      <w:r w:rsidR="00010481" w:rsidRPr="00513BCB">
        <w:rPr>
          <w:rFonts w:asciiTheme="minorHAnsi" w:hAnsiTheme="minorHAnsi"/>
          <w:sz w:val="22"/>
          <w:szCs w:val="22"/>
        </w:rPr>
        <w:t xml:space="preserve"> The</w:t>
      </w:r>
      <w:r w:rsidR="00D82938" w:rsidRPr="00513BCB">
        <w:rPr>
          <w:rFonts w:asciiTheme="minorHAnsi" w:hAnsiTheme="minorHAnsi"/>
          <w:sz w:val="22"/>
          <w:szCs w:val="22"/>
        </w:rPr>
        <w:t xml:space="preserve"> history of </w:t>
      </w:r>
      <w:r w:rsidR="00014AFC" w:rsidRPr="00513BCB">
        <w:rPr>
          <w:rFonts w:asciiTheme="minorHAnsi" w:hAnsiTheme="minorHAnsi"/>
          <w:sz w:val="22"/>
          <w:szCs w:val="22"/>
        </w:rPr>
        <w:t>A</w:t>
      </w:r>
      <w:r w:rsidR="00D82938" w:rsidRPr="00513BCB">
        <w:rPr>
          <w:rFonts w:asciiTheme="minorHAnsi" w:hAnsiTheme="minorHAnsi"/>
          <w:sz w:val="22"/>
          <w:szCs w:val="22"/>
        </w:rPr>
        <w:t xml:space="preserve">rticles </w:t>
      </w:r>
      <w:r w:rsidR="00010481" w:rsidRPr="00513BCB">
        <w:rPr>
          <w:rFonts w:asciiTheme="minorHAnsi" w:hAnsiTheme="minorHAnsi"/>
          <w:sz w:val="22"/>
          <w:szCs w:val="22"/>
        </w:rPr>
        <w:t xml:space="preserve">7 and 8 </w:t>
      </w:r>
      <w:r w:rsidR="00D82938" w:rsidRPr="00513BCB">
        <w:rPr>
          <w:rFonts w:asciiTheme="minorHAnsi" w:hAnsiTheme="minorHAnsi"/>
          <w:sz w:val="22"/>
          <w:szCs w:val="22"/>
        </w:rPr>
        <w:t>suggests that they were developed to deal with the problems of children caught up in political struggles and armed conflicts, particularly in response to ‘disappearances’ in Argentina between 1975 and 1983 where an estimated 30% of those who disappeared were women, some with children</w:t>
      </w:r>
      <w:r w:rsidR="00014AFC" w:rsidRPr="00513BCB">
        <w:rPr>
          <w:rFonts w:asciiTheme="minorHAnsi" w:hAnsiTheme="minorHAnsi"/>
          <w:sz w:val="22"/>
          <w:szCs w:val="22"/>
        </w:rPr>
        <w:t>;</w:t>
      </w:r>
      <w:r w:rsidR="00D82938" w:rsidRPr="00513BCB">
        <w:rPr>
          <w:rStyle w:val="FootnoteReference"/>
          <w:rFonts w:asciiTheme="minorHAnsi" w:hAnsiTheme="minorHAnsi"/>
          <w:sz w:val="22"/>
          <w:szCs w:val="22"/>
        </w:rPr>
        <w:footnoteReference w:id="88"/>
      </w:r>
      <w:r w:rsidR="00D82938" w:rsidRPr="00513BCB">
        <w:rPr>
          <w:rFonts w:asciiTheme="minorHAnsi" w:hAnsiTheme="minorHAnsi"/>
          <w:sz w:val="22"/>
          <w:szCs w:val="22"/>
        </w:rPr>
        <w:t xml:space="preserve"> </w:t>
      </w:r>
      <w:r w:rsidR="00014AFC" w:rsidRPr="00513BCB">
        <w:rPr>
          <w:rFonts w:asciiTheme="minorHAnsi" w:hAnsiTheme="minorHAnsi"/>
          <w:sz w:val="22"/>
          <w:szCs w:val="22"/>
        </w:rPr>
        <w:t>a</w:t>
      </w:r>
      <w:r w:rsidR="00D82938" w:rsidRPr="00513BCB">
        <w:rPr>
          <w:rFonts w:asciiTheme="minorHAnsi" w:hAnsiTheme="minorHAnsi"/>
          <w:sz w:val="22"/>
          <w:szCs w:val="22"/>
        </w:rPr>
        <w:t>s Geraldine Van Bueren points out, 3% of these women were pregnant.</w:t>
      </w:r>
      <w:r w:rsidR="00D82938" w:rsidRPr="00513BCB">
        <w:rPr>
          <w:rStyle w:val="FootnoteReference"/>
          <w:rFonts w:asciiTheme="minorHAnsi" w:hAnsiTheme="minorHAnsi"/>
          <w:sz w:val="22"/>
          <w:szCs w:val="22"/>
        </w:rPr>
        <w:footnoteReference w:id="89"/>
      </w:r>
      <w:r w:rsidR="00D82938" w:rsidRPr="00513BCB">
        <w:rPr>
          <w:rFonts w:asciiTheme="minorHAnsi" w:hAnsiTheme="minorHAnsi"/>
          <w:sz w:val="22"/>
          <w:szCs w:val="22"/>
        </w:rPr>
        <w:t xml:space="preserve"> </w:t>
      </w:r>
      <w:r w:rsidR="00C7394D" w:rsidRPr="00513BCB">
        <w:rPr>
          <w:rFonts w:asciiTheme="minorHAnsi" w:hAnsiTheme="minorHAnsi"/>
          <w:sz w:val="22"/>
          <w:szCs w:val="22"/>
        </w:rPr>
        <w:t xml:space="preserve">These provisions were therefore drafted to deal with situations </w:t>
      </w:r>
      <w:r w:rsidR="002256FC" w:rsidRPr="00513BCB">
        <w:rPr>
          <w:rFonts w:asciiTheme="minorHAnsi" w:hAnsiTheme="minorHAnsi"/>
          <w:sz w:val="22"/>
          <w:szCs w:val="22"/>
        </w:rPr>
        <w:t>of forced</w:t>
      </w:r>
      <w:r w:rsidR="00C7394D" w:rsidRPr="00513BCB">
        <w:rPr>
          <w:rFonts w:asciiTheme="minorHAnsi" w:hAnsiTheme="minorHAnsi"/>
          <w:sz w:val="22"/>
          <w:szCs w:val="22"/>
        </w:rPr>
        <w:t xml:space="preserve"> </w:t>
      </w:r>
      <w:r w:rsidR="002256FC" w:rsidRPr="00513BCB">
        <w:rPr>
          <w:rFonts w:asciiTheme="minorHAnsi" w:hAnsiTheme="minorHAnsi"/>
          <w:sz w:val="22"/>
          <w:szCs w:val="22"/>
        </w:rPr>
        <w:t>removals</w:t>
      </w:r>
      <w:r w:rsidR="007327C1" w:rsidRPr="00513BCB">
        <w:rPr>
          <w:rFonts w:asciiTheme="minorHAnsi" w:hAnsiTheme="minorHAnsi"/>
          <w:sz w:val="22"/>
          <w:szCs w:val="22"/>
        </w:rPr>
        <w:t xml:space="preserve">, </w:t>
      </w:r>
      <w:r w:rsidR="002256FC" w:rsidRPr="00513BCB">
        <w:rPr>
          <w:rFonts w:asciiTheme="minorHAnsi" w:hAnsiTheme="minorHAnsi"/>
          <w:sz w:val="22"/>
          <w:szCs w:val="22"/>
        </w:rPr>
        <w:t>quite unlike</w:t>
      </w:r>
      <w:r w:rsidR="007327C1" w:rsidRPr="00513BCB">
        <w:rPr>
          <w:rFonts w:asciiTheme="minorHAnsi" w:hAnsiTheme="minorHAnsi"/>
          <w:sz w:val="22"/>
          <w:szCs w:val="22"/>
        </w:rPr>
        <w:t xml:space="preserve"> </w:t>
      </w:r>
      <w:r w:rsidR="00C7394D" w:rsidRPr="00513BCB">
        <w:rPr>
          <w:rFonts w:asciiTheme="minorHAnsi" w:hAnsiTheme="minorHAnsi"/>
          <w:sz w:val="22"/>
          <w:szCs w:val="22"/>
        </w:rPr>
        <w:t>voluntary secret births</w:t>
      </w:r>
      <w:r w:rsidR="007327C1" w:rsidRPr="00513BCB">
        <w:rPr>
          <w:rFonts w:asciiTheme="minorHAnsi" w:hAnsiTheme="minorHAnsi"/>
          <w:sz w:val="22"/>
          <w:szCs w:val="22"/>
        </w:rPr>
        <w:t xml:space="preserve"> and so to which different considerations should apply</w:t>
      </w:r>
      <w:r w:rsidR="00C7394D" w:rsidRPr="00513BCB">
        <w:rPr>
          <w:rFonts w:asciiTheme="minorHAnsi" w:hAnsiTheme="minorHAnsi"/>
          <w:sz w:val="22"/>
          <w:szCs w:val="22"/>
        </w:rPr>
        <w:t xml:space="preserve">. </w:t>
      </w:r>
    </w:p>
    <w:p w14:paraId="43FC33C9" w14:textId="4F701BE4" w:rsidR="00555485" w:rsidRPr="00513BCB" w:rsidRDefault="00555485" w:rsidP="004D3080">
      <w:pPr>
        <w:pStyle w:val="BodyText"/>
        <w:spacing w:line="360" w:lineRule="auto"/>
        <w:rPr>
          <w:sz w:val="22"/>
          <w:szCs w:val="22"/>
        </w:rPr>
      </w:pPr>
    </w:p>
    <w:p w14:paraId="1AEAD518" w14:textId="23D3AFCB" w:rsidR="007327C1" w:rsidRPr="00513BCB" w:rsidRDefault="007327C1" w:rsidP="007C6A1D">
      <w:pPr>
        <w:pStyle w:val="BodyText"/>
        <w:spacing w:line="360" w:lineRule="auto"/>
        <w:outlineLvl w:val="0"/>
        <w:rPr>
          <w:b/>
          <w:i/>
          <w:sz w:val="22"/>
          <w:szCs w:val="22"/>
        </w:rPr>
      </w:pPr>
      <w:r w:rsidRPr="00513BCB">
        <w:rPr>
          <w:b/>
          <w:i/>
          <w:sz w:val="22"/>
          <w:szCs w:val="22"/>
        </w:rPr>
        <w:t>European Convention on Human Rights</w:t>
      </w:r>
    </w:p>
    <w:p w14:paraId="4BF6B347" w14:textId="4FC43DB1" w:rsidR="00BA02DD" w:rsidRPr="00513BCB" w:rsidRDefault="007327C1" w:rsidP="004D3080">
      <w:pPr>
        <w:pStyle w:val="BodyText"/>
        <w:spacing w:line="360" w:lineRule="auto"/>
        <w:rPr>
          <w:sz w:val="22"/>
          <w:szCs w:val="22"/>
        </w:rPr>
      </w:pPr>
      <w:r w:rsidRPr="00513BCB">
        <w:rPr>
          <w:sz w:val="22"/>
          <w:szCs w:val="22"/>
        </w:rPr>
        <w:t>As noted above in discussing English law, c</w:t>
      </w:r>
      <w:r w:rsidR="004D42B9" w:rsidRPr="00513BCB">
        <w:rPr>
          <w:sz w:val="22"/>
          <w:szCs w:val="22"/>
        </w:rPr>
        <w:t>ase law</w:t>
      </w:r>
      <w:r w:rsidR="00BA02DD" w:rsidRPr="00513BCB">
        <w:rPr>
          <w:sz w:val="22"/>
          <w:szCs w:val="22"/>
        </w:rPr>
        <w:t xml:space="preserve"> of the ECtHR has interpreted the right to respect for one’s private life </w:t>
      </w:r>
      <w:r w:rsidR="00D82938" w:rsidRPr="00513BCB">
        <w:rPr>
          <w:sz w:val="22"/>
          <w:szCs w:val="22"/>
        </w:rPr>
        <w:t xml:space="preserve">in Article 8 </w:t>
      </w:r>
      <w:r w:rsidR="00BA02DD" w:rsidRPr="00513BCB">
        <w:rPr>
          <w:sz w:val="22"/>
          <w:szCs w:val="22"/>
        </w:rPr>
        <w:t xml:space="preserve">to </w:t>
      </w:r>
      <w:r w:rsidR="007D7453" w:rsidRPr="00513BCB">
        <w:rPr>
          <w:sz w:val="22"/>
          <w:szCs w:val="22"/>
        </w:rPr>
        <w:t>entail</w:t>
      </w:r>
      <w:r w:rsidR="00BA02DD" w:rsidRPr="00513BCB">
        <w:rPr>
          <w:sz w:val="22"/>
          <w:szCs w:val="22"/>
        </w:rPr>
        <w:t xml:space="preserve"> a right to personal identity. This includes a child’s right to identity. </w:t>
      </w:r>
      <w:r w:rsidR="00D2639F" w:rsidRPr="00513BCB">
        <w:rPr>
          <w:sz w:val="22"/>
          <w:szCs w:val="22"/>
        </w:rPr>
        <w:lastRenderedPageBreak/>
        <w:t xml:space="preserve">I have previously </w:t>
      </w:r>
      <w:r w:rsidR="004D42B9" w:rsidRPr="00513BCB">
        <w:rPr>
          <w:sz w:val="22"/>
          <w:szCs w:val="22"/>
        </w:rPr>
        <w:t>argued that this case law demonstrates</w:t>
      </w:r>
      <w:r w:rsidR="00D2639F" w:rsidRPr="00513BCB">
        <w:rPr>
          <w:sz w:val="22"/>
          <w:szCs w:val="22"/>
        </w:rPr>
        <w:t xml:space="preserve"> two interpretations </w:t>
      </w:r>
      <w:r w:rsidR="004D42B9" w:rsidRPr="00513BCB">
        <w:rPr>
          <w:sz w:val="22"/>
          <w:szCs w:val="22"/>
        </w:rPr>
        <w:t>of identity</w:t>
      </w:r>
      <w:r w:rsidRPr="00513BCB">
        <w:rPr>
          <w:sz w:val="22"/>
          <w:szCs w:val="22"/>
        </w:rPr>
        <w:t>:</w:t>
      </w:r>
      <w:r w:rsidR="004D42B9" w:rsidRPr="00513BCB">
        <w:rPr>
          <w:sz w:val="22"/>
          <w:szCs w:val="22"/>
        </w:rPr>
        <w:t xml:space="preserve"> as</w:t>
      </w:r>
      <w:r w:rsidR="00D2639F" w:rsidRPr="00513BCB">
        <w:rPr>
          <w:sz w:val="22"/>
          <w:szCs w:val="22"/>
        </w:rPr>
        <w:t xml:space="preserve"> self-determination</w:t>
      </w:r>
      <w:r w:rsidR="00C7394D" w:rsidRPr="00513BCB">
        <w:rPr>
          <w:sz w:val="22"/>
          <w:szCs w:val="22"/>
        </w:rPr>
        <w:t xml:space="preserve"> </w:t>
      </w:r>
      <w:r w:rsidR="00D2639F" w:rsidRPr="00513BCB">
        <w:rPr>
          <w:sz w:val="22"/>
          <w:szCs w:val="22"/>
        </w:rPr>
        <w:t>and self-realisatio</w:t>
      </w:r>
      <w:r w:rsidR="004D42B9" w:rsidRPr="00513BCB">
        <w:rPr>
          <w:sz w:val="22"/>
          <w:szCs w:val="22"/>
        </w:rPr>
        <w:t>n</w:t>
      </w:r>
      <w:r w:rsidR="007E107D" w:rsidRPr="00513BCB">
        <w:rPr>
          <w:sz w:val="22"/>
          <w:szCs w:val="22"/>
        </w:rPr>
        <w:t>/self-fulfilment</w:t>
      </w:r>
      <w:r w:rsidR="004D42B9" w:rsidRPr="00513BCB">
        <w:rPr>
          <w:sz w:val="22"/>
          <w:szCs w:val="22"/>
        </w:rPr>
        <w:t>.</w:t>
      </w:r>
      <w:r w:rsidR="004D42B9" w:rsidRPr="00513BCB">
        <w:rPr>
          <w:rStyle w:val="FootnoteReference"/>
          <w:sz w:val="22"/>
          <w:szCs w:val="22"/>
        </w:rPr>
        <w:footnoteReference w:id="90"/>
      </w:r>
      <w:r w:rsidR="00D2639F" w:rsidRPr="00513BCB">
        <w:rPr>
          <w:sz w:val="22"/>
          <w:szCs w:val="22"/>
        </w:rPr>
        <w:t xml:space="preserve"> The former allows fluidity and freedom in </w:t>
      </w:r>
      <w:r w:rsidR="00C7394D" w:rsidRPr="00513BCB">
        <w:rPr>
          <w:sz w:val="22"/>
          <w:szCs w:val="22"/>
        </w:rPr>
        <w:t xml:space="preserve">one’s own determination of identity in lived existence by </w:t>
      </w:r>
      <w:r w:rsidR="00D2639F" w:rsidRPr="00513BCB">
        <w:rPr>
          <w:sz w:val="22"/>
          <w:szCs w:val="22"/>
        </w:rPr>
        <w:t>creating and becoming who we want to be</w:t>
      </w:r>
      <w:r w:rsidR="007E107D" w:rsidRPr="00513BCB">
        <w:rPr>
          <w:sz w:val="22"/>
          <w:szCs w:val="22"/>
        </w:rPr>
        <w:t>: similar to free will.</w:t>
      </w:r>
      <w:r w:rsidR="00D2639F" w:rsidRPr="00513BCB">
        <w:rPr>
          <w:sz w:val="22"/>
          <w:szCs w:val="22"/>
        </w:rPr>
        <w:t xml:space="preserve"> </w:t>
      </w:r>
      <w:r w:rsidR="00C7394D" w:rsidRPr="00513BCB">
        <w:rPr>
          <w:sz w:val="22"/>
          <w:szCs w:val="22"/>
        </w:rPr>
        <w:t>The</w:t>
      </w:r>
      <w:r w:rsidR="00D2639F" w:rsidRPr="00513BCB">
        <w:rPr>
          <w:sz w:val="22"/>
          <w:szCs w:val="22"/>
        </w:rPr>
        <w:t xml:space="preserve"> latter seeks to reduce identity to a</w:t>
      </w:r>
      <w:r w:rsidR="00034A98" w:rsidRPr="00513BCB">
        <w:rPr>
          <w:sz w:val="22"/>
          <w:szCs w:val="22"/>
        </w:rPr>
        <w:t xml:space="preserve"> pre-existing</w:t>
      </w:r>
      <w:r w:rsidR="00D2639F" w:rsidRPr="00513BCB">
        <w:rPr>
          <w:sz w:val="22"/>
          <w:szCs w:val="22"/>
        </w:rPr>
        <w:t xml:space="preserve"> inner core essence </w:t>
      </w:r>
      <w:r w:rsidR="007E107D" w:rsidRPr="00513BCB">
        <w:rPr>
          <w:sz w:val="22"/>
          <w:szCs w:val="22"/>
        </w:rPr>
        <w:t xml:space="preserve">increasingly equated to </w:t>
      </w:r>
      <w:r w:rsidR="00D2639F" w:rsidRPr="00513BCB">
        <w:rPr>
          <w:sz w:val="22"/>
          <w:szCs w:val="22"/>
        </w:rPr>
        <w:t xml:space="preserve">genes </w:t>
      </w:r>
      <w:r w:rsidR="007E107D" w:rsidRPr="00513BCB">
        <w:rPr>
          <w:sz w:val="22"/>
          <w:szCs w:val="22"/>
        </w:rPr>
        <w:t>or biology that has to be fulfilled to be true to oneself: similar to destiny</w:t>
      </w:r>
      <w:r w:rsidR="00D2639F" w:rsidRPr="00513BCB">
        <w:rPr>
          <w:sz w:val="22"/>
          <w:szCs w:val="22"/>
        </w:rPr>
        <w:t xml:space="preserve">. </w:t>
      </w:r>
      <w:r w:rsidR="007D7453" w:rsidRPr="00513BCB">
        <w:rPr>
          <w:sz w:val="22"/>
          <w:szCs w:val="22"/>
        </w:rPr>
        <w:t xml:space="preserve"> T</w:t>
      </w:r>
      <w:r w:rsidR="00D2639F" w:rsidRPr="00513BCB">
        <w:rPr>
          <w:sz w:val="22"/>
          <w:szCs w:val="22"/>
        </w:rPr>
        <w:t xml:space="preserve">he ECtHR includes within </w:t>
      </w:r>
      <w:r w:rsidR="007D7453" w:rsidRPr="00513BCB">
        <w:rPr>
          <w:sz w:val="22"/>
          <w:szCs w:val="22"/>
        </w:rPr>
        <w:t>its</w:t>
      </w:r>
      <w:r w:rsidR="004D42B9" w:rsidRPr="00513BCB">
        <w:rPr>
          <w:sz w:val="22"/>
          <w:szCs w:val="22"/>
        </w:rPr>
        <w:t xml:space="preserve"> </w:t>
      </w:r>
      <w:r w:rsidR="00D2639F" w:rsidRPr="00513BCB">
        <w:rPr>
          <w:sz w:val="22"/>
          <w:szCs w:val="22"/>
        </w:rPr>
        <w:t>right to identity</w:t>
      </w:r>
      <w:r w:rsidR="007D7453" w:rsidRPr="00513BCB">
        <w:rPr>
          <w:sz w:val="22"/>
          <w:szCs w:val="22"/>
        </w:rPr>
        <w:t>:</w:t>
      </w:r>
      <w:r w:rsidR="00D2639F" w:rsidRPr="00513BCB">
        <w:rPr>
          <w:sz w:val="22"/>
          <w:szCs w:val="22"/>
        </w:rPr>
        <w:t xml:space="preserve"> the </w:t>
      </w:r>
      <w:r w:rsidR="00BA02DD" w:rsidRPr="00513BCB">
        <w:rPr>
          <w:sz w:val="22"/>
          <w:szCs w:val="22"/>
        </w:rPr>
        <w:t>right to access information relating to one’s childhood existence and development,</w:t>
      </w:r>
      <w:r w:rsidR="00BA02DD" w:rsidRPr="00513BCB">
        <w:rPr>
          <w:sz w:val="22"/>
          <w:szCs w:val="22"/>
          <w:vertAlign w:val="superscript"/>
        </w:rPr>
        <w:footnoteReference w:id="91"/>
      </w:r>
      <w:r w:rsidR="00BA02DD" w:rsidRPr="00513BCB">
        <w:rPr>
          <w:sz w:val="22"/>
          <w:szCs w:val="22"/>
          <w:vertAlign w:val="superscript"/>
        </w:rPr>
        <w:t xml:space="preserve"> </w:t>
      </w:r>
      <w:r w:rsidR="0031423C" w:rsidRPr="00513BCB">
        <w:rPr>
          <w:sz w:val="22"/>
          <w:szCs w:val="22"/>
        </w:rPr>
        <w:t xml:space="preserve">sexual orientation and sexual practices, and </w:t>
      </w:r>
      <w:r w:rsidR="004D42B9" w:rsidRPr="00513BCB">
        <w:rPr>
          <w:sz w:val="22"/>
          <w:szCs w:val="22"/>
        </w:rPr>
        <w:t>gender identity.</w:t>
      </w:r>
      <w:r w:rsidR="004D42B9" w:rsidRPr="00513BCB">
        <w:rPr>
          <w:rStyle w:val="FootnoteReference"/>
          <w:sz w:val="22"/>
          <w:szCs w:val="22"/>
        </w:rPr>
        <w:footnoteReference w:id="92"/>
      </w:r>
      <w:r w:rsidR="004D42B9" w:rsidRPr="00513BCB">
        <w:rPr>
          <w:sz w:val="22"/>
          <w:szCs w:val="22"/>
        </w:rPr>
        <w:t xml:space="preserve"> In my view, </w:t>
      </w:r>
      <w:r w:rsidR="00C7394D" w:rsidRPr="00513BCB">
        <w:rPr>
          <w:sz w:val="22"/>
          <w:szCs w:val="22"/>
        </w:rPr>
        <w:t>the majority of the judgments</w:t>
      </w:r>
      <w:r w:rsidR="0031423C" w:rsidRPr="00513BCB">
        <w:rPr>
          <w:sz w:val="22"/>
          <w:szCs w:val="22"/>
        </w:rPr>
        <w:t xml:space="preserve"> </w:t>
      </w:r>
      <w:r w:rsidR="007D7453" w:rsidRPr="00513BCB">
        <w:rPr>
          <w:sz w:val="22"/>
          <w:szCs w:val="22"/>
        </w:rPr>
        <w:t>reflect</w:t>
      </w:r>
      <w:r w:rsidR="0031423C" w:rsidRPr="00513BCB">
        <w:rPr>
          <w:sz w:val="22"/>
          <w:szCs w:val="22"/>
        </w:rPr>
        <w:t xml:space="preserve"> the </w:t>
      </w:r>
      <w:r w:rsidR="00BA02DD" w:rsidRPr="00513BCB">
        <w:rPr>
          <w:sz w:val="22"/>
          <w:szCs w:val="22"/>
        </w:rPr>
        <w:t>more fluid idea of identity focusing on</w:t>
      </w:r>
      <w:r w:rsidR="00C7394D" w:rsidRPr="00513BCB">
        <w:rPr>
          <w:sz w:val="22"/>
          <w:szCs w:val="22"/>
        </w:rPr>
        <w:t xml:space="preserve"> self-determination</w:t>
      </w:r>
      <w:r w:rsidR="00E404D4" w:rsidRPr="00513BCB">
        <w:rPr>
          <w:sz w:val="22"/>
          <w:szCs w:val="22"/>
        </w:rPr>
        <w:t xml:space="preserve"> through</w:t>
      </w:r>
      <w:r w:rsidR="00BA02DD" w:rsidRPr="00513BCB">
        <w:rPr>
          <w:sz w:val="22"/>
          <w:szCs w:val="22"/>
        </w:rPr>
        <w:t xml:space="preserve"> lived experience</w:t>
      </w:r>
      <w:r w:rsidR="0031423C" w:rsidRPr="00513BCB">
        <w:rPr>
          <w:sz w:val="22"/>
          <w:szCs w:val="22"/>
        </w:rPr>
        <w:t>.</w:t>
      </w:r>
    </w:p>
    <w:p w14:paraId="07FC4972" w14:textId="77777777" w:rsidR="009B7ABD" w:rsidRPr="00513BCB" w:rsidRDefault="009B7ABD" w:rsidP="004D3080">
      <w:pPr>
        <w:pStyle w:val="s30eec3f8"/>
        <w:spacing w:before="0" w:beforeAutospacing="0" w:after="0" w:afterAutospacing="0" w:line="360" w:lineRule="auto"/>
        <w:jc w:val="both"/>
        <w:rPr>
          <w:rFonts w:asciiTheme="minorHAnsi" w:hAnsiTheme="minorHAnsi"/>
          <w:sz w:val="22"/>
          <w:szCs w:val="22"/>
          <w:lang w:val="en"/>
        </w:rPr>
      </w:pPr>
    </w:p>
    <w:p w14:paraId="62C327D1" w14:textId="70F16499" w:rsidR="009B7ABD" w:rsidRPr="00513BCB" w:rsidRDefault="004D42B9" w:rsidP="004D3080">
      <w:pPr>
        <w:pStyle w:val="s30eec3f8"/>
        <w:spacing w:before="0" w:beforeAutospacing="0" w:after="0" w:afterAutospacing="0" w:line="360" w:lineRule="auto"/>
        <w:jc w:val="both"/>
        <w:rPr>
          <w:rFonts w:asciiTheme="minorHAnsi" w:hAnsiTheme="minorHAnsi"/>
          <w:sz w:val="22"/>
          <w:szCs w:val="22"/>
        </w:rPr>
      </w:pPr>
      <w:r w:rsidRPr="00513BCB">
        <w:rPr>
          <w:rFonts w:asciiTheme="minorHAnsi" w:hAnsiTheme="minorHAnsi" w:cs="Times New Roman"/>
          <w:sz w:val="22"/>
          <w:szCs w:val="22"/>
        </w:rPr>
        <w:t xml:space="preserve">There are </w:t>
      </w:r>
      <w:r w:rsidR="00010481" w:rsidRPr="00513BCB">
        <w:rPr>
          <w:rFonts w:asciiTheme="minorHAnsi" w:hAnsiTheme="minorHAnsi" w:cs="Times New Roman"/>
          <w:sz w:val="22"/>
          <w:szCs w:val="22"/>
        </w:rPr>
        <w:t xml:space="preserve">mixed </w:t>
      </w:r>
      <w:r w:rsidRPr="00513BCB">
        <w:rPr>
          <w:rFonts w:asciiTheme="minorHAnsi" w:hAnsiTheme="minorHAnsi" w:cs="Times New Roman"/>
          <w:sz w:val="22"/>
          <w:szCs w:val="22"/>
        </w:rPr>
        <w:t>interpretations of Article 8’s right to respect for private life in cases involving anonymous or discreet births.</w:t>
      </w:r>
      <w:r w:rsidR="00C65FE7" w:rsidRPr="00513BCB">
        <w:rPr>
          <w:rFonts w:asciiTheme="minorHAnsi" w:hAnsiTheme="minorHAnsi" w:cs="Times New Roman"/>
          <w:sz w:val="22"/>
          <w:szCs w:val="22"/>
        </w:rPr>
        <w:t xml:space="preserve"> </w:t>
      </w:r>
      <w:r w:rsidR="009B7ABD" w:rsidRPr="00513BCB">
        <w:rPr>
          <w:rFonts w:asciiTheme="minorHAnsi" w:hAnsiTheme="minorHAnsi"/>
          <w:sz w:val="22"/>
          <w:szCs w:val="22"/>
          <w:lang w:val="en"/>
        </w:rPr>
        <w:t xml:space="preserve">The legality of </w:t>
      </w:r>
      <w:r w:rsidR="00555485" w:rsidRPr="00513BCB">
        <w:rPr>
          <w:rFonts w:asciiTheme="minorHAnsi" w:hAnsiTheme="minorHAnsi"/>
          <w:sz w:val="22"/>
          <w:szCs w:val="22"/>
          <w:lang w:val="en"/>
        </w:rPr>
        <w:t xml:space="preserve">the French system </w:t>
      </w:r>
      <w:r w:rsidR="009B7ABD" w:rsidRPr="00513BCB">
        <w:rPr>
          <w:rFonts w:asciiTheme="minorHAnsi" w:hAnsiTheme="minorHAnsi"/>
          <w:sz w:val="22"/>
          <w:szCs w:val="22"/>
          <w:lang w:val="en"/>
        </w:rPr>
        <w:t xml:space="preserve">was tested at the ECtHR in </w:t>
      </w:r>
      <w:r w:rsidR="009B7ABD" w:rsidRPr="00513BCB">
        <w:rPr>
          <w:rFonts w:asciiTheme="minorHAnsi" w:hAnsiTheme="minorHAnsi"/>
          <w:i/>
          <w:sz w:val="22"/>
          <w:szCs w:val="22"/>
          <w:lang w:val="en"/>
        </w:rPr>
        <w:t>Odi</w:t>
      </w:r>
      <w:r w:rsidR="009B7ABD" w:rsidRPr="00513BCB">
        <w:rPr>
          <w:rFonts w:asciiTheme="minorHAnsi" w:hAnsiTheme="minorHAnsi"/>
          <w:i/>
          <w:sz w:val="22"/>
          <w:szCs w:val="22"/>
          <w:lang w:val="fr-FR"/>
        </w:rPr>
        <w:t>è</w:t>
      </w:r>
      <w:r w:rsidR="009B7ABD" w:rsidRPr="00513BCB">
        <w:rPr>
          <w:rFonts w:asciiTheme="minorHAnsi" w:hAnsiTheme="minorHAnsi"/>
          <w:i/>
          <w:sz w:val="22"/>
          <w:szCs w:val="22"/>
          <w:lang w:val="en"/>
        </w:rPr>
        <w:t>vre v France.</w:t>
      </w:r>
      <w:r w:rsidR="009B7ABD" w:rsidRPr="00513BCB">
        <w:rPr>
          <w:rStyle w:val="FootnoteReference"/>
          <w:rFonts w:asciiTheme="minorHAnsi" w:hAnsiTheme="minorHAnsi"/>
          <w:sz w:val="22"/>
          <w:szCs w:val="22"/>
          <w:lang w:val="en"/>
        </w:rPr>
        <w:footnoteReference w:id="93"/>
      </w:r>
      <w:r w:rsidR="009B7ABD" w:rsidRPr="00513BCB">
        <w:rPr>
          <w:rFonts w:asciiTheme="minorHAnsi" w:hAnsiTheme="minorHAnsi"/>
          <w:sz w:val="22"/>
          <w:szCs w:val="22"/>
          <w:lang w:val="en"/>
        </w:rPr>
        <w:t xml:space="preserve"> T</w:t>
      </w:r>
      <w:r w:rsidR="009B7ABD" w:rsidRPr="00513BCB">
        <w:rPr>
          <w:rFonts w:asciiTheme="minorHAnsi" w:hAnsiTheme="minorHAnsi"/>
          <w:color w:val="000000" w:themeColor="text1"/>
          <w:sz w:val="22"/>
          <w:szCs w:val="22"/>
        </w:rPr>
        <w:t>he grown</w:t>
      </w:r>
      <w:r w:rsidR="007D7453" w:rsidRPr="00513BCB">
        <w:rPr>
          <w:rFonts w:asciiTheme="minorHAnsi" w:hAnsiTheme="minorHAnsi"/>
          <w:color w:val="000000" w:themeColor="text1"/>
          <w:sz w:val="22"/>
          <w:szCs w:val="22"/>
        </w:rPr>
        <w:t>-</w:t>
      </w:r>
      <w:r w:rsidR="009B7ABD" w:rsidRPr="00513BCB">
        <w:rPr>
          <w:rFonts w:asciiTheme="minorHAnsi" w:hAnsiTheme="minorHAnsi"/>
          <w:color w:val="000000" w:themeColor="text1"/>
          <w:sz w:val="22"/>
          <w:szCs w:val="22"/>
        </w:rPr>
        <w:t xml:space="preserve">up applicant claimed that her right to identity </w:t>
      </w:r>
      <w:r w:rsidR="00555485" w:rsidRPr="00513BCB">
        <w:rPr>
          <w:rFonts w:asciiTheme="minorHAnsi" w:hAnsiTheme="minorHAnsi"/>
          <w:color w:val="000000" w:themeColor="text1"/>
          <w:sz w:val="22"/>
          <w:szCs w:val="22"/>
        </w:rPr>
        <w:t>under Article 8</w:t>
      </w:r>
      <w:r w:rsidR="009B7ABD" w:rsidRPr="00513BCB">
        <w:rPr>
          <w:rFonts w:asciiTheme="minorHAnsi" w:hAnsiTheme="minorHAnsi"/>
          <w:color w:val="000000" w:themeColor="text1"/>
          <w:sz w:val="22"/>
          <w:szCs w:val="22"/>
        </w:rPr>
        <w:t xml:space="preserve"> was violated because </w:t>
      </w:r>
      <w:r w:rsidR="009B7ABD" w:rsidRPr="00513BCB">
        <w:rPr>
          <w:rFonts w:asciiTheme="minorHAnsi" w:hAnsiTheme="minorHAnsi"/>
          <w:sz w:val="22"/>
          <w:szCs w:val="22"/>
        </w:rPr>
        <w:t xml:space="preserve">it was not possible for her to </w:t>
      </w:r>
      <w:r w:rsidR="009B7ABD" w:rsidRPr="00513BCB">
        <w:rPr>
          <w:rFonts w:asciiTheme="minorHAnsi" w:hAnsiTheme="minorHAnsi"/>
          <w:color w:val="000000" w:themeColor="text1"/>
          <w:sz w:val="22"/>
          <w:szCs w:val="22"/>
        </w:rPr>
        <w:t xml:space="preserve">access information about her birth giver </w:t>
      </w:r>
      <w:r w:rsidR="009B7ABD" w:rsidRPr="00513BCB">
        <w:rPr>
          <w:rFonts w:asciiTheme="minorHAnsi" w:hAnsiTheme="minorHAnsi"/>
          <w:sz w:val="22"/>
          <w:szCs w:val="22"/>
        </w:rPr>
        <w:t>and any siblings, in particular exact knowledge of her birth giver’s identity.</w:t>
      </w:r>
      <w:r w:rsidR="009B7ABD" w:rsidRPr="00513BCB">
        <w:rPr>
          <w:rStyle w:val="FootnoteReference"/>
          <w:rFonts w:asciiTheme="minorHAnsi" w:hAnsiTheme="minorHAnsi" w:cs="Times"/>
          <w:color w:val="1A1A1A"/>
          <w:sz w:val="22"/>
          <w:szCs w:val="22"/>
        </w:rPr>
        <w:footnoteReference w:id="94"/>
      </w:r>
      <w:r w:rsidR="009B7ABD" w:rsidRPr="00513BCB">
        <w:rPr>
          <w:rFonts w:asciiTheme="minorHAnsi" w:hAnsiTheme="minorHAnsi" w:cs="Times"/>
          <w:color w:val="1A1A1A"/>
          <w:sz w:val="22"/>
          <w:szCs w:val="22"/>
        </w:rPr>
        <w:t xml:space="preserve"> </w:t>
      </w:r>
      <w:r w:rsidR="009B7ABD" w:rsidRPr="00513BCB">
        <w:rPr>
          <w:rFonts w:asciiTheme="minorHAnsi" w:hAnsiTheme="minorHAnsi"/>
          <w:sz w:val="22"/>
          <w:szCs w:val="22"/>
        </w:rPr>
        <w:t xml:space="preserve"> A</w:t>
      </w:r>
      <w:r w:rsidR="009B7ABD" w:rsidRPr="00513BCB">
        <w:rPr>
          <w:rFonts w:asciiTheme="minorHAnsi" w:hAnsiTheme="minorHAnsi"/>
          <w:color w:val="000000" w:themeColor="text1"/>
          <w:sz w:val="22"/>
          <w:szCs w:val="22"/>
        </w:rPr>
        <w:t xml:space="preserve"> divided ECtHR decided by ten judges to seven that the French </w:t>
      </w:r>
      <w:r w:rsidR="00034A98" w:rsidRPr="00513BCB">
        <w:rPr>
          <w:rFonts w:asciiTheme="minorHAnsi" w:hAnsiTheme="minorHAnsi"/>
          <w:color w:val="000000" w:themeColor="text1"/>
          <w:sz w:val="22"/>
          <w:szCs w:val="22"/>
        </w:rPr>
        <w:t xml:space="preserve">law </w:t>
      </w:r>
      <w:r w:rsidR="009B7ABD" w:rsidRPr="00513BCB">
        <w:rPr>
          <w:rFonts w:asciiTheme="minorHAnsi" w:hAnsiTheme="minorHAnsi"/>
          <w:color w:val="000000" w:themeColor="text1"/>
          <w:sz w:val="22"/>
          <w:szCs w:val="22"/>
        </w:rPr>
        <w:t xml:space="preserve">could be upheld. The reasoning of the majority was largely based on a balancing exercise of </w:t>
      </w:r>
      <w:r w:rsidR="007D7453" w:rsidRPr="00513BCB">
        <w:rPr>
          <w:rFonts w:asciiTheme="minorHAnsi" w:hAnsiTheme="minorHAnsi"/>
          <w:color w:val="000000" w:themeColor="text1"/>
          <w:sz w:val="22"/>
          <w:szCs w:val="22"/>
        </w:rPr>
        <w:t xml:space="preserve">the </w:t>
      </w:r>
      <w:r w:rsidR="009B7ABD" w:rsidRPr="00513BCB">
        <w:rPr>
          <w:rFonts w:asciiTheme="minorHAnsi" w:hAnsiTheme="minorHAnsi"/>
          <w:color w:val="000000" w:themeColor="text1"/>
          <w:sz w:val="22"/>
          <w:szCs w:val="22"/>
        </w:rPr>
        <w:t xml:space="preserve">mother’s rights to confidentiality and the child’s rights to life and identity. </w:t>
      </w:r>
      <w:r w:rsidR="009B7ABD" w:rsidRPr="00513BCB">
        <w:rPr>
          <w:rFonts w:asciiTheme="minorHAnsi" w:hAnsiTheme="minorHAnsi"/>
          <w:sz w:val="22"/>
          <w:szCs w:val="22"/>
        </w:rPr>
        <w:t>The dissenting opinion highlighted the child’s identity right but, as I have previously argued, in my view, mistakenly interpret</w:t>
      </w:r>
      <w:r w:rsidR="00034A98" w:rsidRPr="00513BCB">
        <w:rPr>
          <w:rFonts w:asciiTheme="minorHAnsi" w:hAnsiTheme="minorHAnsi"/>
          <w:sz w:val="22"/>
          <w:szCs w:val="22"/>
        </w:rPr>
        <w:t>ed</w:t>
      </w:r>
      <w:r w:rsidR="009B7ABD" w:rsidRPr="00513BCB">
        <w:rPr>
          <w:rFonts w:asciiTheme="minorHAnsi" w:hAnsiTheme="minorHAnsi"/>
          <w:sz w:val="22"/>
          <w:szCs w:val="22"/>
        </w:rPr>
        <w:t xml:space="preserve"> identity in a reductive manner</w:t>
      </w:r>
      <w:r w:rsidR="00555485" w:rsidRPr="00513BCB">
        <w:rPr>
          <w:rFonts w:asciiTheme="minorHAnsi" w:hAnsiTheme="minorHAnsi"/>
          <w:sz w:val="22"/>
          <w:szCs w:val="22"/>
        </w:rPr>
        <w:t>.</w:t>
      </w:r>
      <w:r w:rsidR="009B7ABD" w:rsidRPr="00513BCB">
        <w:rPr>
          <w:rStyle w:val="FootnoteReference"/>
          <w:rFonts w:asciiTheme="minorHAnsi" w:hAnsiTheme="minorHAnsi"/>
          <w:color w:val="000000" w:themeColor="text1"/>
          <w:sz w:val="22"/>
          <w:szCs w:val="22"/>
        </w:rPr>
        <w:t xml:space="preserve"> </w:t>
      </w:r>
      <w:r w:rsidR="009B7ABD" w:rsidRPr="00513BCB">
        <w:rPr>
          <w:rStyle w:val="FootnoteReference"/>
          <w:rFonts w:asciiTheme="minorHAnsi" w:hAnsiTheme="minorHAnsi"/>
          <w:color w:val="000000" w:themeColor="text1"/>
          <w:sz w:val="22"/>
          <w:szCs w:val="22"/>
        </w:rPr>
        <w:footnoteReference w:id="95"/>
      </w:r>
      <w:r w:rsidR="009B7ABD" w:rsidRPr="00513BCB">
        <w:rPr>
          <w:rFonts w:asciiTheme="minorHAnsi" w:hAnsiTheme="minorHAnsi"/>
          <w:color w:val="000000" w:themeColor="text1"/>
          <w:sz w:val="22"/>
          <w:szCs w:val="22"/>
        </w:rPr>
        <w:t xml:space="preserve"> </w:t>
      </w:r>
      <w:r w:rsidR="00097034" w:rsidRPr="00513BCB">
        <w:rPr>
          <w:rFonts w:asciiTheme="minorHAnsi" w:hAnsiTheme="minorHAnsi"/>
          <w:sz w:val="22"/>
          <w:szCs w:val="22"/>
        </w:rPr>
        <w:t>They use the terms</w:t>
      </w:r>
      <w:r w:rsidR="009B7ABD" w:rsidRPr="00513BCB">
        <w:rPr>
          <w:rFonts w:asciiTheme="minorHAnsi" w:hAnsiTheme="minorHAnsi"/>
          <w:sz w:val="22"/>
          <w:szCs w:val="22"/>
        </w:rPr>
        <w:t xml:space="preserve"> ‘</w:t>
      </w:r>
      <w:r w:rsidR="009B7ABD" w:rsidRPr="00513BCB">
        <w:rPr>
          <w:rFonts w:asciiTheme="minorHAnsi" w:eastAsia="Times New Roman" w:hAnsiTheme="minorHAnsi" w:cs="Times New Roman"/>
          <w:sz w:val="22"/>
          <w:szCs w:val="22"/>
        </w:rPr>
        <w:t>self-fulfilment</w:t>
      </w:r>
      <w:r w:rsidR="009B7ABD" w:rsidRPr="00513BCB">
        <w:rPr>
          <w:rFonts w:asciiTheme="minorHAnsi" w:hAnsiTheme="minorHAnsi"/>
          <w:sz w:val="22"/>
          <w:szCs w:val="22"/>
        </w:rPr>
        <w:t>’</w:t>
      </w:r>
      <w:r w:rsidR="00097034" w:rsidRPr="00513BCB">
        <w:rPr>
          <w:rFonts w:asciiTheme="minorHAnsi" w:hAnsiTheme="minorHAnsi"/>
          <w:sz w:val="22"/>
          <w:szCs w:val="22"/>
        </w:rPr>
        <w:t>;</w:t>
      </w:r>
      <w:r w:rsidR="009B7ABD" w:rsidRPr="00513BCB">
        <w:rPr>
          <w:rFonts w:asciiTheme="minorHAnsi" w:hAnsiTheme="minorHAnsi"/>
          <w:sz w:val="22"/>
          <w:szCs w:val="22"/>
          <w:vertAlign w:val="superscript"/>
        </w:rPr>
        <w:footnoteReference w:id="96"/>
      </w:r>
      <w:r w:rsidR="009B7ABD" w:rsidRPr="00513BCB">
        <w:rPr>
          <w:rFonts w:asciiTheme="minorHAnsi" w:hAnsiTheme="minorHAnsi"/>
          <w:sz w:val="22"/>
          <w:szCs w:val="22"/>
          <w:vertAlign w:val="superscript"/>
        </w:rPr>
        <w:t xml:space="preserve"> </w:t>
      </w:r>
      <w:r w:rsidR="00097034" w:rsidRPr="00513BCB">
        <w:rPr>
          <w:rFonts w:asciiTheme="minorHAnsi" w:hAnsiTheme="minorHAnsi"/>
          <w:sz w:val="22"/>
          <w:szCs w:val="22"/>
        </w:rPr>
        <w:lastRenderedPageBreak/>
        <w:t>explain t</w:t>
      </w:r>
      <w:r w:rsidR="009B7ABD" w:rsidRPr="00513BCB">
        <w:rPr>
          <w:rFonts w:asciiTheme="minorHAnsi" w:hAnsiTheme="minorHAnsi"/>
          <w:sz w:val="22"/>
          <w:szCs w:val="22"/>
        </w:rPr>
        <w:t xml:space="preserve">he issue of access to information about one’s origins </w:t>
      </w:r>
      <w:r w:rsidR="00097034" w:rsidRPr="00513BCB">
        <w:rPr>
          <w:rFonts w:asciiTheme="minorHAnsi" w:hAnsiTheme="minorHAnsi"/>
          <w:sz w:val="22"/>
          <w:szCs w:val="22"/>
        </w:rPr>
        <w:t>as</w:t>
      </w:r>
      <w:r w:rsidR="009B7ABD" w:rsidRPr="00513BCB">
        <w:rPr>
          <w:rFonts w:asciiTheme="minorHAnsi" w:hAnsiTheme="minorHAnsi"/>
          <w:sz w:val="22"/>
          <w:szCs w:val="22"/>
        </w:rPr>
        <w:t xml:space="preserve"> concern</w:t>
      </w:r>
      <w:r w:rsidR="00097034" w:rsidRPr="00513BCB">
        <w:rPr>
          <w:rFonts w:asciiTheme="minorHAnsi" w:hAnsiTheme="minorHAnsi"/>
          <w:sz w:val="22"/>
          <w:szCs w:val="22"/>
        </w:rPr>
        <w:t>ing</w:t>
      </w:r>
      <w:r w:rsidR="009B7ABD" w:rsidRPr="00513BCB">
        <w:rPr>
          <w:rFonts w:asciiTheme="minorHAnsi" w:hAnsiTheme="minorHAnsi"/>
          <w:sz w:val="22"/>
          <w:szCs w:val="22"/>
        </w:rPr>
        <w:t xml:space="preserve"> ‘</w:t>
      </w:r>
      <w:r w:rsidR="009B7ABD" w:rsidRPr="00513BCB">
        <w:rPr>
          <w:rFonts w:asciiTheme="minorHAnsi" w:eastAsia="Times New Roman" w:hAnsiTheme="minorHAnsi" w:cs="Times New Roman"/>
          <w:sz w:val="22"/>
          <w:szCs w:val="22"/>
        </w:rPr>
        <w:t>the essence of a person’s identity</w:t>
      </w:r>
      <w:r w:rsidR="009B7ABD" w:rsidRPr="00513BCB">
        <w:rPr>
          <w:rFonts w:asciiTheme="minorHAnsi" w:hAnsiTheme="minorHAnsi"/>
          <w:sz w:val="22"/>
          <w:szCs w:val="22"/>
        </w:rPr>
        <w:t xml:space="preserve">’, and </w:t>
      </w:r>
      <w:r w:rsidR="00097034" w:rsidRPr="00513BCB">
        <w:rPr>
          <w:rFonts w:asciiTheme="minorHAnsi" w:eastAsia="Times New Roman" w:hAnsiTheme="minorHAnsi" w:cs="Times New Roman"/>
          <w:sz w:val="22"/>
          <w:szCs w:val="22"/>
        </w:rPr>
        <w:t>acquiring ‘</w:t>
      </w:r>
      <w:r w:rsidR="009B7ABD" w:rsidRPr="00513BCB">
        <w:rPr>
          <w:rFonts w:asciiTheme="minorHAnsi" w:eastAsia="Times New Roman" w:hAnsiTheme="minorHAnsi" w:cs="Times New Roman"/>
          <w:sz w:val="22"/>
          <w:szCs w:val="22"/>
        </w:rPr>
        <w:t xml:space="preserve">the ability to retrace one’s personal history </w:t>
      </w:r>
      <w:r w:rsidR="00097034" w:rsidRPr="00513BCB">
        <w:rPr>
          <w:rFonts w:asciiTheme="minorHAnsi" w:eastAsia="Times New Roman" w:hAnsiTheme="minorHAnsi" w:cs="Times New Roman"/>
          <w:sz w:val="22"/>
          <w:szCs w:val="22"/>
        </w:rPr>
        <w:t xml:space="preserve">[which] </w:t>
      </w:r>
      <w:r w:rsidR="009B7ABD" w:rsidRPr="00513BCB">
        <w:rPr>
          <w:rFonts w:asciiTheme="minorHAnsi" w:eastAsia="Times New Roman" w:hAnsiTheme="minorHAnsi" w:cs="Times New Roman"/>
          <w:sz w:val="22"/>
          <w:szCs w:val="22"/>
        </w:rPr>
        <w:t>is a question of liberty, and therefore, human dignity</w:t>
      </w:r>
      <w:r w:rsidR="009B7ABD" w:rsidRPr="00513BCB">
        <w:rPr>
          <w:rFonts w:asciiTheme="minorHAnsi" w:hAnsiTheme="minorHAnsi"/>
          <w:sz w:val="22"/>
          <w:szCs w:val="22"/>
        </w:rPr>
        <w:t>’</w:t>
      </w:r>
      <w:r w:rsidR="00551D9E" w:rsidRPr="00513BCB">
        <w:rPr>
          <w:rFonts w:asciiTheme="minorHAnsi" w:hAnsiTheme="minorHAnsi"/>
          <w:sz w:val="22"/>
          <w:szCs w:val="22"/>
        </w:rPr>
        <w:t>,</w:t>
      </w:r>
      <w:r w:rsidR="009B7ABD" w:rsidRPr="00513BCB">
        <w:rPr>
          <w:rFonts w:asciiTheme="minorHAnsi" w:hAnsiTheme="minorHAnsi"/>
          <w:sz w:val="22"/>
          <w:szCs w:val="22"/>
        </w:rPr>
        <w:t xml:space="preserve"> </w:t>
      </w:r>
      <w:r w:rsidR="00097034" w:rsidRPr="00513BCB">
        <w:rPr>
          <w:rFonts w:asciiTheme="minorHAnsi" w:hAnsiTheme="minorHAnsi"/>
          <w:sz w:val="22"/>
          <w:szCs w:val="22"/>
        </w:rPr>
        <w:t xml:space="preserve">going to ‘the </w:t>
      </w:r>
      <w:r w:rsidR="009B7ABD" w:rsidRPr="00513BCB">
        <w:rPr>
          <w:rFonts w:asciiTheme="minorHAnsi" w:eastAsia="Times New Roman" w:hAnsiTheme="minorHAnsi" w:cs="Times New Roman"/>
          <w:sz w:val="22"/>
          <w:szCs w:val="22"/>
        </w:rPr>
        <w:t>heart of the rights guaranteed by the Convention</w:t>
      </w:r>
      <w:r w:rsidR="009B7ABD" w:rsidRPr="00513BCB">
        <w:rPr>
          <w:rFonts w:asciiTheme="minorHAnsi" w:hAnsiTheme="minorHAnsi"/>
          <w:sz w:val="22"/>
          <w:szCs w:val="22"/>
        </w:rPr>
        <w:t xml:space="preserve">’. </w:t>
      </w:r>
      <w:r w:rsidR="007D7453" w:rsidRPr="00513BCB">
        <w:rPr>
          <w:rFonts w:asciiTheme="minorHAnsi" w:hAnsiTheme="minorHAnsi"/>
          <w:sz w:val="22"/>
          <w:szCs w:val="22"/>
        </w:rPr>
        <w:t>As in the majority judgment</w:t>
      </w:r>
      <w:r w:rsidR="009B7ABD" w:rsidRPr="00513BCB">
        <w:rPr>
          <w:rFonts w:asciiTheme="minorHAnsi" w:hAnsiTheme="minorHAnsi"/>
          <w:sz w:val="22"/>
          <w:szCs w:val="22"/>
        </w:rPr>
        <w:t>, the birth</w:t>
      </w:r>
      <w:r w:rsidR="00097034" w:rsidRPr="00513BCB">
        <w:rPr>
          <w:rFonts w:asciiTheme="minorHAnsi" w:hAnsiTheme="minorHAnsi"/>
          <w:sz w:val="22"/>
          <w:szCs w:val="22"/>
        </w:rPr>
        <w:t xml:space="preserve"> </w:t>
      </w:r>
      <w:r w:rsidR="009B7ABD" w:rsidRPr="00513BCB">
        <w:rPr>
          <w:rFonts w:asciiTheme="minorHAnsi" w:hAnsiTheme="minorHAnsi"/>
          <w:sz w:val="22"/>
          <w:szCs w:val="22"/>
        </w:rPr>
        <w:t>giver</w:t>
      </w:r>
      <w:r w:rsidR="007D7453" w:rsidRPr="00513BCB">
        <w:rPr>
          <w:rFonts w:asciiTheme="minorHAnsi" w:hAnsiTheme="minorHAnsi"/>
          <w:sz w:val="22"/>
          <w:szCs w:val="22"/>
        </w:rPr>
        <w:t>’s</w:t>
      </w:r>
      <w:r w:rsidR="009B7ABD" w:rsidRPr="00513BCB">
        <w:rPr>
          <w:rFonts w:asciiTheme="minorHAnsi" w:hAnsiTheme="minorHAnsi"/>
          <w:sz w:val="22"/>
          <w:szCs w:val="22"/>
        </w:rPr>
        <w:t xml:space="preserve"> right to personal autonomy</w:t>
      </w:r>
      <w:r w:rsidR="007D7453" w:rsidRPr="00513BCB">
        <w:rPr>
          <w:rFonts w:asciiTheme="minorHAnsi" w:hAnsiTheme="minorHAnsi"/>
          <w:sz w:val="22"/>
          <w:szCs w:val="22"/>
        </w:rPr>
        <w:t>, and so the need to balance rights, is acknowledged</w:t>
      </w:r>
      <w:r w:rsidR="009B7ABD" w:rsidRPr="00513BCB">
        <w:rPr>
          <w:rFonts w:asciiTheme="minorHAnsi" w:hAnsiTheme="minorHAnsi"/>
          <w:sz w:val="22"/>
          <w:szCs w:val="22"/>
        </w:rPr>
        <w:t xml:space="preserve">. However, the dissent found that the different interests involved had </w:t>
      </w:r>
      <w:r w:rsidR="009B7ABD" w:rsidRPr="00513BCB">
        <w:rPr>
          <w:rFonts w:asciiTheme="minorHAnsi" w:hAnsiTheme="minorHAnsi"/>
          <w:i/>
          <w:sz w:val="22"/>
          <w:szCs w:val="22"/>
        </w:rPr>
        <w:t>not</w:t>
      </w:r>
      <w:r w:rsidR="009B7ABD" w:rsidRPr="00513BCB">
        <w:rPr>
          <w:rFonts w:asciiTheme="minorHAnsi" w:hAnsiTheme="minorHAnsi"/>
          <w:sz w:val="22"/>
          <w:szCs w:val="22"/>
        </w:rPr>
        <w:t xml:space="preserve"> been balanced</w:t>
      </w:r>
      <w:r w:rsidR="007D7453" w:rsidRPr="00513BCB">
        <w:rPr>
          <w:rFonts w:asciiTheme="minorHAnsi" w:hAnsiTheme="minorHAnsi"/>
          <w:sz w:val="22"/>
          <w:szCs w:val="22"/>
        </w:rPr>
        <w:t xml:space="preserve">; </w:t>
      </w:r>
      <w:r w:rsidR="009B7ABD" w:rsidRPr="00513BCB">
        <w:rPr>
          <w:rFonts w:asciiTheme="minorHAnsi" w:hAnsiTheme="minorHAnsi"/>
          <w:sz w:val="22"/>
          <w:szCs w:val="22"/>
        </w:rPr>
        <w:t xml:space="preserve">instead </w:t>
      </w:r>
      <w:r w:rsidR="007D7453" w:rsidRPr="00513BCB">
        <w:rPr>
          <w:rFonts w:asciiTheme="minorHAnsi" w:hAnsiTheme="minorHAnsi"/>
          <w:sz w:val="22"/>
          <w:szCs w:val="22"/>
        </w:rPr>
        <w:t xml:space="preserve">the dissent considered that </w:t>
      </w:r>
      <w:r w:rsidR="009B7ABD" w:rsidRPr="00513BCB">
        <w:rPr>
          <w:rFonts w:asciiTheme="minorHAnsi" w:hAnsiTheme="minorHAnsi"/>
          <w:sz w:val="22"/>
          <w:szCs w:val="22"/>
        </w:rPr>
        <w:t>‘</w:t>
      </w:r>
      <w:r w:rsidR="009B7ABD" w:rsidRPr="00513BCB">
        <w:rPr>
          <w:rFonts w:asciiTheme="minorHAnsi" w:eastAsia="Times New Roman" w:hAnsiTheme="minorHAnsi" w:cs="Times New Roman"/>
          <w:sz w:val="22"/>
          <w:szCs w:val="22"/>
        </w:rPr>
        <w:t xml:space="preserve">the mother … has a discretionary right </w:t>
      </w:r>
      <w:r w:rsidR="00551D9E" w:rsidRPr="00513BCB">
        <w:rPr>
          <w:rFonts w:asciiTheme="minorHAnsi" w:eastAsia="Times New Roman" w:hAnsiTheme="minorHAnsi" w:cs="Times New Roman"/>
          <w:sz w:val="22"/>
          <w:szCs w:val="22"/>
        </w:rPr>
        <w:t xml:space="preserve">[under French law] </w:t>
      </w:r>
      <w:r w:rsidR="009B7ABD" w:rsidRPr="00513BCB">
        <w:rPr>
          <w:rFonts w:asciiTheme="minorHAnsi" w:eastAsia="Times New Roman" w:hAnsiTheme="minorHAnsi" w:cs="Times New Roman"/>
          <w:sz w:val="22"/>
          <w:szCs w:val="22"/>
        </w:rPr>
        <w:t>to bring a suffering child into the world and to condemn it to lifelong ignorance</w:t>
      </w:r>
      <w:r w:rsidR="009B7ABD" w:rsidRPr="00513BCB">
        <w:rPr>
          <w:rFonts w:asciiTheme="minorHAnsi" w:hAnsiTheme="minorHAnsi"/>
          <w:sz w:val="22"/>
          <w:szCs w:val="22"/>
        </w:rPr>
        <w:t>’.</w:t>
      </w:r>
      <w:r w:rsidR="009B7ABD" w:rsidRPr="00513BCB">
        <w:rPr>
          <w:rFonts w:asciiTheme="minorHAnsi" w:hAnsiTheme="minorHAnsi"/>
          <w:sz w:val="22"/>
          <w:szCs w:val="22"/>
          <w:vertAlign w:val="superscript"/>
        </w:rPr>
        <w:footnoteReference w:id="97"/>
      </w:r>
      <w:r w:rsidR="009B7ABD" w:rsidRPr="00513BCB">
        <w:rPr>
          <w:rFonts w:asciiTheme="minorHAnsi" w:hAnsiTheme="minorHAnsi"/>
          <w:sz w:val="22"/>
          <w:szCs w:val="22"/>
          <w:vertAlign w:val="superscript"/>
        </w:rPr>
        <w:t xml:space="preserve">  </w:t>
      </w:r>
    </w:p>
    <w:p w14:paraId="2273D9DD" w14:textId="77777777" w:rsidR="009B7ABD" w:rsidRPr="00513BCB" w:rsidRDefault="009B7ABD" w:rsidP="004D3080">
      <w:pPr>
        <w:pStyle w:val="s30eec3f8"/>
        <w:spacing w:before="0" w:beforeAutospacing="0" w:after="0" w:afterAutospacing="0" w:line="360" w:lineRule="auto"/>
        <w:jc w:val="both"/>
        <w:rPr>
          <w:rFonts w:asciiTheme="minorHAnsi" w:hAnsiTheme="minorHAnsi"/>
          <w:sz w:val="22"/>
          <w:szCs w:val="22"/>
          <w:vertAlign w:val="superscript"/>
        </w:rPr>
      </w:pPr>
    </w:p>
    <w:p w14:paraId="5179C6C1" w14:textId="099202D2" w:rsidR="009B7ABD" w:rsidRPr="00513BCB" w:rsidRDefault="009B7ABD" w:rsidP="004D3080">
      <w:pPr>
        <w:pStyle w:val="s30eec3f8"/>
        <w:spacing w:before="0" w:beforeAutospacing="0" w:after="0" w:afterAutospacing="0" w:line="360" w:lineRule="auto"/>
        <w:jc w:val="both"/>
        <w:rPr>
          <w:rFonts w:asciiTheme="minorHAnsi" w:hAnsiTheme="minorHAnsi" w:cs="Times New Roman"/>
          <w:color w:val="000000"/>
          <w:sz w:val="22"/>
          <w:szCs w:val="22"/>
        </w:rPr>
      </w:pPr>
      <w:r w:rsidRPr="00513BCB">
        <w:rPr>
          <w:rFonts w:asciiTheme="minorHAnsi" w:hAnsiTheme="minorHAnsi"/>
          <w:sz w:val="22"/>
          <w:szCs w:val="22"/>
        </w:rPr>
        <w:t>The dissent</w:t>
      </w:r>
      <w:r w:rsidR="00E37B6E" w:rsidRPr="00513BCB">
        <w:rPr>
          <w:rFonts w:asciiTheme="minorHAnsi" w:hAnsiTheme="minorHAnsi"/>
          <w:sz w:val="22"/>
          <w:szCs w:val="22"/>
        </w:rPr>
        <w:t xml:space="preserve"> </w:t>
      </w:r>
      <w:r w:rsidRPr="00513BCB">
        <w:rPr>
          <w:rFonts w:asciiTheme="minorHAnsi" w:hAnsiTheme="minorHAnsi"/>
          <w:sz w:val="22"/>
          <w:szCs w:val="22"/>
        </w:rPr>
        <w:t xml:space="preserve">in </w:t>
      </w:r>
      <w:r w:rsidRPr="00513BCB">
        <w:rPr>
          <w:rStyle w:val="sb8d990e2"/>
          <w:rFonts w:asciiTheme="minorHAnsi" w:hAnsiTheme="minorHAnsi" w:cs="Times New Roman"/>
          <w:i/>
          <w:color w:val="000000"/>
          <w:sz w:val="22"/>
          <w:szCs w:val="22"/>
        </w:rPr>
        <w:t>Odièvre</w:t>
      </w:r>
      <w:r w:rsidRPr="00513BCB">
        <w:rPr>
          <w:rFonts w:asciiTheme="minorHAnsi" w:hAnsiTheme="minorHAnsi"/>
          <w:sz w:val="22"/>
          <w:szCs w:val="22"/>
        </w:rPr>
        <w:t xml:space="preserve"> seem</w:t>
      </w:r>
      <w:r w:rsidR="007D7453" w:rsidRPr="00513BCB">
        <w:rPr>
          <w:rFonts w:asciiTheme="minorHAnsi" w:hAnsiTheme="minorHAnsi"/>
          <w:sz w:val="22"/>
          <w:szCs w:val="22"/>
        </w:rPr>
        <w:t>ed to find</w:t>
      </w:r>
      <w:r w:rsidRPr="00513BCB">
        <w:rPr>
          <w:rFonts w:asciiTheme="minorHAnsi" w:hAnsiTheme="minorHAnsi"/>
          <w:sz w:val="22"/>
          <w:szCs w:val="22"/>
        </w:rPr>
        <w:t xml:space="preserve"> favour in </w:t>
      </w:r>
      <w:r w:rsidRPr="00513BCB">
        <w:rPr>
          <w:rFonts w:asciiTheme="minorHAnsi" w:eastAsia="Times New Roman" w:hAnsiTheme="minorHAnsi" w:cs="Times New Roman"/>
          <w:i/>
          <w:sz w:val="22"/>
          <w:szCs w:val="22"/>
        </w:rPr>
        <w:t>Jaggi v Switzerland</w:t>
      </w:r>
      <w:r w:rsidRPr="00513BCB">
        <w:rPr>
          <w:rFonts w:asciiTheme="minorHAnsi" w:hAnsiTheme="minorHAnsi"/>
          <w:sz w:val="22"/>
          <w:szCs w:val="22"/>
        </w:rPr>
        <w:t>,</w:t>
      </w:r>
      <w:r w:rsidRPr="00513BCB">
        <w:rPr>
          <w:rFonts w:asciiTheme="minorHAnsi" w:hAnsiTheme="minorHAnsi"/>
          <w:sz w:val="22"/>
          <w:szCs w:val="22"/>
          <w:vertAlign w:val="superscript"/>
        </w:rPr>
        <w:footnoteReference w:id="98"/>
      </w:r>
      <w:r w:rsidRPr="00513BCB">
        <w:rPr>
          <w:rFonts w:asciiTheme="minorHAnsi" w:hAnsiTheme="minorHAnsi"/>
          <w:sz w:val="22"/>
          <w:szCs w:val="22"/>
          <w:vertAlign w:val="superscript"/>
        </w:rPr>
        <w:t xml:space="preserve"> </w:t>
      </w:r>
      <w:r w:rsidRPr="00513BCB">
        <w:rPr>
          <w:rFonts w:asciiTheme="minorHAnsi" w:hAnsiTheme="minorHAnsi"/>
          <w:sz w:val="22"/>
          <w:szCs w:val="22"/>
        </w:rPr>
        <w:t>where the Court decided that ‘persons seeking to establish the identity of ascendants have a vital interest, protected by the Convention, in receiving information necessary to uncover the truth about an important aspect of their personal identity.’</w:t>
      </w:r>
      <w:r w:rsidRPr="00513BCB">
        <w:rPr>
          <w:rFonts w:asciiTheme="minorHAnsi" w:hAnsiTheme="minorHAnsi"/>
          <w:sz w:val="22"/>
          <w:szCs w:val="22"/>
          <w:vertAlign w:val="superscript"/>
        </w:rPr>
        <w:footnoteReference w:id="99"/>
      </w:r>
      <w:r w:rsidRPr="00513BCB">
        <w:rPr>
          <w:rFonts w:asciiTheme="minorHAnsi" w:hAnsiTheme="minorHAnsi"/>
          <w:sz w:val="22"/>
          <w:szCs w:val="22"/>
        </w:rPr>
        <w:t xml:space="preserve"> </w:t>
      </w:r>
      <w:r w:rsidR="00097034" w:rsidRPr="00513BCB">
        <w:rPr>
          <w:rFonts w:asciiTheme="minorHAnsi" w:hAnsiTheme="minorHAnsi"/>
          <w:sz w:val="22"/>
          <w:szCs w:val="22"/>
        </w:rPr>
        <w:t>T</w:t>
      </w:r>
      <w:r w:rsidRPr="00513BCB">
        <w:rPr>
          <w:rFonts w:asciiTheme="minorHAnsi" w:hAnsiTheme="minorHAnsi"/>
          <w:sz w:val="22"/>
          <w:szCs w:val="22"/>
        </w:rPr>
        <w:t>he Court decided in favour of the 67 year old applicant whose right to identity was said to have been violated by not being allowed to exhume the body of his dead put</w:t>
      </w:r>
      <w:r w:rsidR="00E37B6E" w:rsidRPr="00513BCB">
        <w:rPr>
          <w:rFonts w:asciiTheme="minorHAnsi" w:hAnsiTheme="minorHAnsi"/>
          <w:sz w:val="22"/>
          <w:szCs w:val="22"/>
        </w:rPr>
        <w:t>a</w:t>
      </w:r>
      <w:r w:rsidRPr="00513BCB">
        <w:rPr>
          <w:rFonts w:asciiTheme="minorHAnsi" w:hAnsiTheme="minorHAnsi"/>
          <w:sz w:val="22"/>
          <w:szCs w:val="22"/>
        </w:rPr>
        <w:t>tive biological father, to confirm through DNA testing that the man was his biological father. Without presenting any psychological evidence in support of its position, the Court took the view that an individual’s interest in discovering his parentage does not disappear with age,  ‘</w:t>
      </w:r>
      <w:r w:rsidRPr="00513BCB">
        <w:rPr>
          <w:rFonts w:asciiTheme="minorHAnsi" w:eastAsia="Times New Roman" w:hAnsiTheme="minorHAnsi" w:cs="Times New Roman"/>
          <w:sz w:val="22"/>
          <w:szCs w:val="22"/>
        </w:rPr>
        <w:t>quite the reverse</w:t>
      </w:r>
      <w:r w:rsidRPr="00513BCB">
        <w:rPr>
          <w:rFonts w:asciiTheme="minorHAnsi" w:hAnsiTheme="minorHAnsi"/>
          <w:sz w:val="22"/>
          <w:szCs w:val="22"/>
        </w:rPr>
        <w:t>’ happens.</w:t>
      </w:r>
      <w:r w:rsidR="006A1008" w:rsidRPr="00513BCB">
        <w:rPr>
          <w:rStyle w:val="FootnoteReference"/>
          <w:rFonts w:asciiTheme="minorHAnsi" w:hAnsiTheme="minorHAnsi"/>
          <w:sz w:val="22"/>
          <w:szCs w:val="22"/>
        </w:rPr>
        <w:footnoteReference w:id="100"/>
      </w:r>
      <w:r w:rsidRPr="00513BCB">
        <w:rPr>
          <w:rFonts w:asciiTheme="minorHAnsi" w:hAnsiTheme="minorHAnsi"/>
          <w:sz w:val="22"/>
          <w:szCs w:val="22"/>
        </w:rPr>
        <w:t xml:space="preserve"> Because the applicant had sought to establish this paternity throughout his life, the Court </w:t>
      </w:r>
      <w:r w:rsidR="006A1008" w:rsidRPr="00513BCB">
        <w:rPr>
          <w:rFonts w:asciiTheme="minorHAnsi" w:hAnsiTheme="minorHAnsi"/>
          <w:sz w:val="22"/>
          <w:szCs w:val="22"/>
        </w:rPr>
        <w:t xml:space="preserve">considered this as </w:t>
      </w:r>
      <w:r w:rsidR="007D7453" w:rsidRPr="00513BCB">
        <w:rPr>
          <w:rFonts w:asciiTheme="minorHAnsi" w:hAnsiTheme="minorHAnsi"/>
          <w:sz w:val="22"/>
          <w:szCs w:val="22"/>
        </w:rPr>
        <w:t>evidence</w:t>
      </w:r>
      <w:r w:rsidR="006A1008" w:rsidRPr="00513BCB">
        <w:rPr>
          <w:rFonts w:asciiTheme="minorHAnsi" w:hAnsiTheme="minorHAnsi"/>
          <w:sz w:val="22"/>
          <w:szCs w:val="22"/>
        </w:rPr>
        <w:t xml:space="preserve"> of his </w:t>
      </w:r>
      <w:r w:rsidRPr="00513BCB">
        <w:rPr>
          <w:rFonts w:asciiTheme="minorHAnsi" w:hAnsiTheme="minorHAnsi"/>
          <w:sz w:val="22"/>
          <w:szCs w:val="22"/>
        </w:rPr>
        <w:t>‘</w:t>
      </w:r>
      <w:r w:rsidRPr="00513BCB">
        <w:rPr>
          <w:rFonts w:asciiTheme="minorHAnsi" w:eastAsia="Times New Roman" w:hAnsiTheme="minorHAnsi" w:cs="Times New Roman"/>
          <w:sz w:val="22"/>
          <w:szCs w:val="22"/>
        </w:rPr>
        <w:t>mental and psychological suffering,</w:t>
      </w:r>
      <w:r w:rsidRPr="00513BCB">
        <w:rPr>
          <w:rFonts w:asciiTheme="minorHAnsi" w:hAnsiTheme="minorHAnsi"/>
          <w:sz w:val="22"/>
          <w:szCs w:val="22"/>
        </w:rPr>
        <w:t xml:space="preserve"> </w:t>
      </w:r>
      <w:r w:rsidRPr="00513BCB">
        <w:rPr>
          <w:rFonts w:asciiTheme="minorHAnsi" w:eastAsia="Times New Roman" w:hAnsiTheme="minorHAnsi" w:cs="Times New Roman"/>
          <w:sz w:val="22"/>
          <w:szCs w:val="22"/>
        </w:rPr>
        <w:t>even if this has not been medically attested’</w:t>
      </w:r>
      <w:r w:rsidRPr="00513BCB">
        <w:rPr>
          <w:rFonts w:asciiTheme="minorHAnsi" w:hAnsiTheme="minorHAnsi"/>
          <w:sz w:val="22"/>
          <w:szCs w:val="22"/>
        </w:rPr>
        <w:t>.</w:t>
      </w:r>
      <w:r w:rsidRPr="00513BCB">
        <w:rPr>
          <w:rFonts w:asciiTheme="minorHAnsi" w:hAnsiTheme="minorHAnsi"/>
          <w:sz w:val="22"/>
          <w:szCs w:val="22"/>
          <w:vertAlign w:val="superscript"/>
        </w:rPr>
        <w:footnoteReference w:id="101"/>
      </w:r>
    </w:p>
    <w:p w14:paraId="47CAC14A" w14:textId="77777777" w:rsidR="009B7ABD" w:rsidRPr="00513BCB" w:rsidRDefault="009B7ABD" w:rsidP="004D3080">
      <w:pPr>
        <w:pStyle w:val="BodyText"/>
        <w:spacing w:line="360" w:lineRule="auto"/>
        <w:rPr>
          <w:rFonts w:asciiTheme="minorHAnsi" w:hAnsiTheme="minorHAnsi"/>
          <w:color w:val="000000" w:themeColor="text1"/>
          <w:sz w:val="22"/>
          <w:szCs w:val="22"/>
        </w:rPr>
      </w:pPr>
    </w:p>
    <w:p w14:paraId="4866124B" w14:textId="77AD2C34" w:rsidR="009B7ABD" w:rsidRPr="00513BCB" w:rsidRDefault="009B7ABD" w:rsidP="004D3080">
      <w:pPr>
        <w:pStyle w:val="s30eec3f8"/>
        <w:spacing w:before="0" w:beforeAutospacing="0" w:after="0" w:afterAutospacing="0" w:line="360" w:lineRule="auto"/>
        <w:jc w:val="both"/>
        <w:rPr>
          <w:rStyle w:val="sb8d990e2"/>
          <w:rFonts w:asciiTheme="minorHAnsi" w:hAnsiTheme="minorHAnsi" w:cs="Times New Roman"/>
          <w:color w:val="000000"/>
          <w:sz w:val="22"/>
          <w:szCs w:val="22"/>
        </w:rPr>
      </w:pPr>
      <w:r w:rsidRPr="00513BCB">
        <w:rPr>
          <w:rFonts w:asciiTheme="minorHAnsi" w:hAnsiTheme="minorHAnsi"/>
          <w:color w:val="000000" w:themeColor="text1"/>
          <w:sz w:val="22"/>
          <w:szCs w:val="22"/>
        </w:rPr>
        <w:t xml:space="preserve">In </w:t>
      </w:r>
      <w:r w:rsidRPr="00513BCB">
        <w:rPr>
          <w:rFonts w:asciiTheme="minorHAnsi" w:hAnsiTheme="minorHAnsi"/>
          <w:i/>
          <w:color w:val="000000" w:themeColor="text1"/>
          <w:sz w:val="22"/>
          <w:szCs w:val="22"/>
        </w:rPr>
        <w:t>Godelli v</w:t>
      </w:r>
      <w:r w:rsidRPr="00513BCB">
        <w:rPr>
          <w:rFonts w:asciiTheme="minorHAnsi" w:hAnsiTheme="minorHAnsi"/>
          <w:color w:val="000000" w:themeColor="text1"/>
          <w:sz w:val="22"/>
          <w:szCs w:val="22"/>
        </w:rPr>
        <w:t xml:space="preserve"> </w:t>
      </w:r>
      <w:r w:rsidRPr="00513BCB">
        <w:rPr>
          <w:rFonts w:asciiTheme="minorHAnsi" w:hAnsiTheme="minorHAnsi"/>
          <w:i/>
          <w:color w:val="000000" w:themeColor="text1"/>
          <w:sz w:val="22"/>
          <w:szCs w:val="22"/>
        </w:rPr>
        <w:t>Italy</w:t>
      </w:r>
      <w:r w:rsidRPr="00513BCB">
        <w:rPr>
          <w:rFonts w:asciiTheme="minorHAnsi" w:hAnsiTheme="minorHAnsi"/>
          <w:color w:val="000000" w:themeColor="text1"/>
          <w:sz w:val="22"/>
          <w:szCs w:val="22"/>
        </w:rPr>
        <w:t xml:space="preserve">, the ECtHR held that Italian law </w:t>
      </w:r>
      <w:r w:rsidR="00FF4952" w:rsidRPr="00513BCB">
        <w:rPr>
          <w:rFonts w:asciiTheme="minorHAnsi" w:hAnsiTheme="minorHAnsi"/>
          <w:color w:val="000000" w:themeColor="text1"/>
          <w:sz w:val="22"/>
          <w:szCs w:val="22"/>
        </w:rPr>
        <w:t>– permitting a birth</w:t>
      </w:r>
      <w:r w:rsidR="00097034" w:rsidRPr="00513BCB">
        <w:rPr>
          <w:rFonts w:asciiTheme="minorHAnsi" w:hAnsiTheme="minorHAnsi"/>
          <w:color w:val="000000" w:themeColor="text1"/>
          <w:sz w:val="22"/>
          <w:szCs w:val="22"/>
        </w:rPr>
        <w:t xml:space="preserve"> </w:t>
      </w:r>
      <w:r w:rsidR="00FF4952" w:rsidRPr="00513BCB">
        <w:rPr>
          <w:rFonts w:asciiTheme="minorHAnsi" w:hAnsiTheme="minorHAnsi"/>
          <w:color w:val="000000" w:themeColor="text1"/>
          <w:sz w:val="22"/>
          <w:szCs w:val="22"/>
        </w:rPr>
        <w:t>giver the right not to be named on the birth certificate when she expresse</w:t>
      </w:r>
      <w:r w:rsidR="00551D9E" w:rsidRPr="00513BCB">
        <w:rPr>
          <w:rFonts w:asciiTheme="minorHAnsi" w:hAnsiTheme="minorHAnsi"/>
          <w:color w:val="000000" w:themeColor="text1"/>
          <w:sz w:val="22"/>
          <w:szCs w:val="22"/>
        </w:rPr>
        <w:t>d</w:t>
      </w:r>
      <w:r w:rsidR="00FF4952" w:rsidRPr="00513BCB">
        <w:rPr>
          <w:rFonts w:asciiTheme="minorHAnsi" w:hAnsiTheme="minorHAnsi"/>
          <w:color w:val="000000" w:themeColor="text1"/>
          <w:sz w:val="22"/>
          <w:szCs w:val="22"/>
        </w:rPr>
        <w:t xml:space="preserve"> this wish to the hospital at the birth </w:t>
      </w:r>
      <w:r w:rsidR="007D7453" w:rsidRPr="00513BCB">
        <w:rPr>
          <w:rFonts w:asciiTheme="minorHAnsi" w:hAnsiTheme="minorHAnsi"/>
          <w:color w:val="000000" w:themeColor="text1"/>
          <w:sz w:val="22"/>
          <w:szCs w:val="22"/>
        </w:rPr>
        <w:t xml:space="preserve">– </w:t>
      </w:r>
      <w:r w:rsidRPr="00513BCB">
        <w:rPr>
          <w:rFonts w:asciiTheme="minorHAnsi" w:hAnsiTheme="minorHAnsi"/>
          <w:color w:val="000000" w:themeColor="text1"/>
          <w:sz w:val="22"/>
          <w:szCs w:val="22"/>
        </w:rPr>
        <w:t xml:space="preserve">violated Article 8 </w:t>
      </w:r>
      <w:r w:rsidRPr="00513BCB">
        <w:rPr>
          <w:rFonts w:asciiTheme="minorHAnsi" w:hAnsiTheme="minorHAnsi"/>
          <w:color w:val="000000" w:themeColor="text1"/>
          <w:sz w:val="22"/>
          <w:szCs w:val="22"/>
        </w:rPr>
        <w:lastRenderedPageBreak/>
        <w:t xml:space="preserve">because the </w:t>
      </w:r>
      <w:r w:rsidR="00097034" w:rsidRPr="00513BCB">
        <w:rPr>
          <w:rFonts w:asciiTheme="minorHAnsi" w:hAnsiTheme="minorHAnsi"/>
          <w:color w:val="000000" w:themeColor="text1"/>
          <w:sz w:val="22"/>
          <w:szCs w:val="22"/>
        </w:rPr>
        <w:t>adult</w:t>
      </w:r>
      <w:r w:rsidRPr="00513BCB">
        <w:rPr>
          <w:rFonts w:asciiTheme="minorHAnsi" w:hAnsiTheme="minorHAnsi"/>
          <w:color w:val="000000" w:themeColor="text1"/>
          <w:sz w:val="22"/>
          <w:szCs w:val="22"/>
        </w:rPr>
        <w:t xml:space="preserve"> applicant could not </w:t>
      </w:r>
      <w:r w:rsidR="00450431" w:rsidRPr="00513BCB">
        <w:rPr>
          <w:rFonts w:asciiTheme="minorHAnsi" w:hAnsiTheme="minorHAnsi"/>
          <w:color w:val="000000" w:themeColor="text1"/>
          <w:sz w:val="22"/>
          <w:szCs w:val="22"/>
        </w:rPr>
        <w:t>discover</w:t>
      </w:r>
      <w:r w:rsidRPr="00513BCB">
        <w:rPr>
          <w:rFonts w:asciiTheme="minorHAnsi" w:hAnsiTheme="minorHAnsi"/>
          <w:color w:val="000000" w:themeColor="text1"/>
          <w:sz w:val="22"/>
          <w:szCs w:val="22"/>
        </w:rPr>
        <w:t xml:space="preserve"> information about her heritage</w:t>
      </w:r>
      <w:r w:rsidR="00551D9E" w:rsidRPr="00513BCB">
        <w:rPr>
          <w:rFonts w:asciiTheme="minorHAnsi" w:hAnsiTheme="minorHAnsi"/>
          <w:color w:val="000000" w:themeColor="text1"/>
          <w:sz w:val="22"/>
          <w:szCs w:val="22"/>
        </w:rPr>
        <w:t>.</w:t>
      </w:r>
      <w:r w:rsidRPr="00513BCB">
        <w:rPr>
          <w:rStyle w:val="FootnoteReference"/>
          <w:rFonts w:asciiTheme="minorHAnsi" w:hAnsiTheme="minorHAnsi"/>
          <w:color w:val="000000" w:themeColor="text1"/>
          <w:sz w:val="22"/>
          <w:szCs w:val="22"/>
        </w:rPr>
        <w:footnoteReference w:id="102"/>
      </w:r>
      <w:r w:rsidRPr="00513BCB">
        <w:rPr>
          <w:rFonts w:asciiTheme="minorHAnsi" w:hAnsiTheme="minorHAnsi"/>
          <w:color w:val="000000" w:themeColor="text1"/>
          <w:sz w:val="22"/>
          <w:szCs w:val="22"/>
        </w:rPr>
        <w:t xml:space="preserve"> </w:t>
      </w:r>
      <w:r w:rsidRPr="00513BCB">
        <w:rPr>
          <w:rStyle w:val="sb8d990e2"/>
          <w:rFonts w:asciiTheme="minorHAnsi" w:hAnsiTheme="minorHAnsi" w:cs="Times New Roman"/>
          <w:color w:val="000000"/>
          <w:sz w:val="22"/>
          <w:szCs w:val="22"/>
        </w:rPr>
        <w:t xml:space="preserve">The applicant’s birth certificate recorded </w:t>
      </w:r>
      <w:r w:rsidR="00450431" w:rsidRPr="00513BCB">
        <w:rPr>
          <w:rStyle w:val="sb8d990e2"/>
          <w:rFonts w:asciiTheme="minorHAnsi" w:hAnsiTheme="minorHAnsi" w:cs="Times New Roman"/>
          <w:color w:val="000000"/>
          <w:sz w:val="22"/>
          <w:szCs w:val="22"/>
        </w:rPr>
        <w:t xml:space="preserve">the date and time of </w:t>
      </w:r>
      <w:r w:rsidR="00555485" w:rsidRPr="00513BCB">
        <w:rPr>
          <w:rStyle w:val="sb8d990e2"/>
          <w:rFonts w:asciiTheme="minorHAnsi" w:hAnsiTheme="minorHAnsi" w:cs="Times New Roman"/>
          <w:color w:val="000000"/>
          <w:sz w:val="22"/>
          <w:szCs w:val="22"/>
        </w:rPr>
        <w:t>b</w:t>
      </w:r>
      <w:r w:rsidR="00450431" w:rsidRPr="00513BCB">
        <w:rPr>
          <w:rStyle w:val="sb8d990e2"/>
          <w:rFonts w:asciiTheme="minorHAnsi" w:hAnsiTheme="minorHAnsi" w:cs="Times New Roman"/>
          <w:color w:val="000000"/>
          <w:sz w:val="22"/>
          <w:szCs w:val="22"/>
        </w:rPr>
        <w:t>irth  to ‘</w:t>
      </w:r>
      <w:r w:rsidRPr="00513BCB">
        <w:rPr>
          <w:rStyle w:val="s6b621b36"/>
          <w:rFonts w:asciiTheme="minorHAnsi" w:hAnsiTheme="minorHAnsi" w:cs="Times New Roman"/>
          <w:iCs/>
          <w:color w:val="000000"/>
          <w:sz w:val="22"/>
          <w:szCs w:val="22"/>
        </w:rPr>
        <w:t>a woman, who did not consent to being named.’</w:t>
      </w:r>
      <w:r w:rsidRPr="00513BCB">
        <w:rPr>
          <w:rStyle w:val="FootnoteReference"/>
          <w:rFonts w:asciiTheme="minorHAnsi" w:hAnsiTheme="minorHAnsi" w:cs="Times New Roman"/>
          <w:iCs/>
          <w:color w:val="000000"/>
          <w:sz w:val="22"/>
          <w:szCs w:val="22"/>
        </w:rPr>
        <w:footnoteReference w:id="103"/>
      </w:r>
      <w:r w:rsidRPr="00513BCB">
        <w:rPr>
          <w:rFonts w:asciiTheme="minorHAnsi" w:hAnsiTheme="minorHAnsi" w:cs="Times New Roman"/>
          <w:color w:val="000000"/>
          <w:sz w:val="22"/>
          <w:szCs w:val="22"/>
        </w:rPr>
        <w:t xml:space="preserve"> </w:t>
      </w:r>
      <w:r w:rsidR="00FF429C" w:rsidRPr="00513BCB">
        <w:rPr>
          <w:rStyle w:val="sf8bfa2bc"/>
          <w:rFonts w:asciiTheme="minorHAnsi" w:hAnsiTheme="minorHAnsi" w:cs="Times New Roman"/>
          <w:color w:val="000000"/>
          <w:sz w:val="22"/>
          <w:szCs w:val="22"/>
        </w:rPr>
        <w:t>Because</w:t>
      </w:r>
      <w:r w:rsidRPr="00513BCB">
        <w:rPr>
          <w:rStyle w:val="sb8d990e2"/>
          <w:rFonts w:asciiTheme="minorHAnsi" w:hAnsiTheme="minorHAnsi" w:cs="Times New Roman"/>
          <w:color w:val="000000"/>
          <w:sz w:val="22"/>
          <w:szCs w:val="22"/>
        </w:rPr>
        <w:t xml:space="preserve"> Italian law did not allow access to non-identifying information concerning</w:t>
      </w:r>
      <w:r w:rsidR="00551D9E" w:rsidRPr="00513BCB">
        <w:rPr>
          <w:rStyle w:val="sb8d990e2"/>
          <w:rFonts w:asciiTheme="minorHAnsi" w:hAnsiTheme="minorHAnsi" w:cs="Times New Roman"/>
          <w:color w:val="000000"/>
          <w:sz w:val="22"/>
          <w:szCs w:val="22"/>
        </w:rPr>
        <w:t xml:space="preserve"> the child’s</w:t>
      </w:r>
      <w:r w:rsidRPr="00513BCB">
        <w:rPr>
          <w:rStyle w:val="sb8d990e2"/>
          <w:rFonts w:asciiTheme="minorHAnsi" w:hAnsiTheme="minorHAnsi" w:cs="Times New Roman"/>
          <w:color w:val="000000"/>
          <w:sz w:val="22"/>
          <w:szCs w:val="22"/>
        </w:rPr>
        <w:t xml:space="preserve"> origins or the disclosure of the birth giver’s identity, </w:t>
      </w:r>
      <w:r w:rsidR="007D7453" w:rsidRPr="00513BCB">
        <w:rPr>
          <w:rStyle w:val="sb8d990e2"/>
          <w:rFonts w:asciiTheme="minorHAnsi" w:hAnsiTheme="minorHAnsi" w:cs="Times New Roman"/>
          <w:color w:val="000000"/>
          <w:sz w:val="22"/>
          <w:szCs w:val="22"/>
        </w:rPr>
        <w:t xml:space="preserve">unlike </w:t>
      </w:r>
      <w:r w:rsidR="007E107D" w:rsidRPr="00513BCB">
        <w:rPr>
          <w:rStyle w:val="sb8d990e2"/>
          <w:rFonts w:asciiTheme="minorHAnsi" w:hAnsiTheme="minorHAnsi" w:cs="Times New Roman"/>
          <w:color w:val="000000"/>
          <w:sz w:val="22"/>
          <w:szCs w:val="22"/>
        </w:rPr>
        <w:t xml:space="preserve">the French law after the 2002 changes under scrutiny </w:t>
      </w:r>
      <w:r w:rsidR="007D7453" w:rsidRPr="00513BCB">
        <w:rPr>
          <w:rStyle w:val="sb8d990e2"/>
          <w:rFonts w:asciiTheme="minorHAnsi" w:hAnsiTheme="minorHAnsi" w:cs="Times New Roman"/>
          <w:color w:val="000000"/>
          <w:sz w:val="22"/>
          <w:szCs w:val="22"/>
        </w:rPr>
        <w:t xml:space="preserve">in </w:t>
      </w:r>
      <w:r w:rsidR="007D7453" w:rsidRPr="00513BCB">
        <w:rPr>
          <w:rStyle w:val="sb8d990e2"/>
          <w:rFonts w:asciiTheme="minorHAnsi" w:hAnsiTheme="minorHAnsi" w:cs="Times New Roman"/>
          <w:i/>
          <w:color w:val="000000"/>
          <w:sz w:val="22"/>
          <w:szCs w:val="22"/>
        </w:rPr>
        <w:t xml:space="preserve">Odièvre, </w:t>
      </w:r>
      <w:r w:rsidRPr="00513BCB">
        <w:rPr>
          <w:rStyle w:val="sb8d990e2"/>
          <w:rFonts w:asciiTheme="minorHAnsi" w:hAnsiTheme="minorHAnsi" w:cs="Times New Roman"/>
          <w:color w:val="000000"/>
          <w:sz w:val="22"/>
          <w:szCs w:val="22"/>
        </w:rPr>
        <w:t xml:space="preserve">the Court considered that the Italian authorities failed to strike a </w:t>
      </w:r>
      <w:r w:rsidR="00551D9E" w:rsidRPr="00513BCB">
        <w:rPr>
          <w:rStyle w:val="sb8d990e2"/>
          <w:rFonts w:asciiTheme="minorHAnsi" w:hAnsiTheme="minorHAnsi" w:cs="Times New Roman"/>
          <w:color w:val="000000"/>
          <w:sz w:val="22"/>
          <w:szCs w:val="22"/>
        </w:rPr>
        <w:t xml:space="preserve">proportionate </w:t>
      </w:r>
      <w:r w:rsidRPr="00513BCB">
        <w:rPr>
          <w:rStyle w:val="sb8d990e2"/>
          <w:rFonts w:asciiTheme="minorHAnsi" w:hAnsiTheme="minorHAnsi" w:cs="Times New Roman"/>
          <w:color w:val="000000"/>
          <w:sz w:val="22"/>
          <w:szCs w:val="22"/>
        </w:rPr>
        <w:t>balance between the interests at stake.</w:t>
      </w:r>
      <w:r w:rsidRPr="00513BCB">
        <w:rPr>
          <w:rStyle w:val="FootnoteReference"/>
          <w:rFonts w:asciiTheme="minorHAnsi" w:hAnsiTheme="minorHAnsi" w:cs="Times New Roman"/>
          <w:color w:val="000000"/>
          <w:sz w:val="22"/>
          <w:szCs w:val="22"/>
        </w:rPr>
        <w:footnoteReference w:id="104"/>
      </w:r>
      <w:r w:rsidRPr="00513BCB">
        <w:rPr>
          <w:rFonts w:asciiTheme="minorHAnsi" w:hAnsiTheme="minorHAnsi"/>
          <w:sz w:val="22"/>
          <w:szCs w:val="22"/>
        </w:rPr>
        <w:t xml:space="preserve"> </w:t>
      </w:r>
    </w:p>
    <w:p w14:paraId="410D2C1F" w14:textId="77777777" w:rsidR="00055C73" w:rsidRPr="00513BCB" w:rsidRDefault="00055C73" w:rsidP="004D3080">
      <w:pPr>
        <w:spacing w:after="57" w:line="360" w:lineRule="auto"/>
        <w:ind w:left="-5"/>
        <w:jc w:val="both"/>
        <w:rPr>
          <w:sz w:val="22"/>
          <w:szCs w:val="22"/>
        </w:rPr>
      </w:pPr>
    </w:p>
    <w:p w14:paraId="498E8BBB" w14:textId="75D1F28E" w:rsidR="00C85101" w:rsidRPr="00513BCB" w:rsidRDefault="00D84F99" w:rsidP="004D3080">
      <w:pPr>
        <w:spacing w:line="360" w:lineRule="auto"/>
        <w:jc w:val="both"/>
        <w:rPr>
          <w:sz w:val="22"/>
          <w:szCs w:val="22"/>
        </w:rPr>
      </w:pPr>
      <w:r w:rsidRPr="00513BCB">
        <w:rPr>
          <w:sz w:val="22"/>
          <w:szCs w:val="22"/>
        </w:rPr>
        <w:t xml:space="preserve">To reiterate, the idea of identity presented by the dissent in </w:t>
      </w:r>
      <w:r w:rsidRPr="00513BCB">
        <w:rPr>
          <w:i/>
          <w:sz w:val="22"/>
          <w:szCs w:val="22"/>
        </w:rPr>
        <w:t>Odièvre</w:t>
      </w:r>
      <w:r w:rsidRPr="00513BCB">
        <w:rPr>
          <w:sz w:val="22"/>
          <w:szCs w:val="22"/>
        </w:rPr>
        <w:t xml:space="preserve">, </w:t>
      </w:r>
      <w:r w:rsidR="00450431" w:rsidRPr="00513BCB">
        <w:rPr>
          <w:sz w:val="22"/>
          <w:szCs w:val="22"/>
        </w:rPr>
        <w:t xml:space="preserve">the court </w:t>
      </w:r>
      <w:r w:rsidRPr="00513BCB">
        <w:rPr>
          <w:sz w:val="22"/>
          <w:szCs w:val="22"/>
        </w:rPr>
        <w:t xml:space="preserve">in </w:t>
      </w:r>
      <w:r w:rsidRPr="00513BCB">
        <w:rPr>
          <w:rFonts w:eastAsia="Times New Roman" w:cs="Times New Roman"/>
          <w:i/>
          <w:sz w:val="22"/>
          <w:szCs w:val="22"/>
        </w:rPr>
        <w:t>Jaggi</w:t>
      </w:r>
      <w:r w:rsidRPr="00513BCB">
        <w:rPr>
          <w:sz w:val="22"/>
          <w:szCs w:val="22"/>
        </w:rPr>
        <w:t xml:space="preserve">, and in some interpretations of children’s identity rights </w:t>
      </w:r>
      <w:r w:rsidR="001E04AC" w:rsidRPr="00513BCB">
        <w:rPr>
          <w:sz w:val="22"/>
          <w:szCs w:val="22"/>
        </w:rPr>
        <w:t>(</w:t>
      </w:r>
      <w:r w:rsidRPr="00513BCB">
        <w:rPr>
          <w:sz w:val="22"/>
          <w:szCs w:val="22"/>
        </w:rPr>
        <w:t>all of which highlight genetics and biology</w:t>
      </w:r>
      <w:r w:rsidR="001E04AC" w:rsidRPr="00513BCB">
        <w:rPr>
          <w:sz w:val="22"/>
          <w:szCs w:val="22"/>
        </w:rPr>
        <w:t>)</w:t>
      </w:r>
      <w:r w:rsidRPr="00513BCB">
        <w:rPr>
          <w:sz w:val="22"/>
          <w:szCs w:val="22"/>
        </w:rPr>
        <w:t>, depend</w:t>
      </w:r>
      <w:r w:rsidR="00055C73" w:rsidRPr="00513BCB">
        <w:rPr>
          <w:sz w:val="22"/>
          <w:szCs w:val="22"/>
        </w:rPr>
        <w:t>s</w:t>
      </w:r>
      <w:r w:rsidRPr="00513BCB">
        <w:rPr>
          <w:sz w:val="22"/>
          <w:szCs w:val="22"/>
        </w:rPr>
        <w:t xml:space="preserve"> on an idea of identity </w:t>
      </w:r>
      <w:r w:rsidR="001E04AC" w:rsidRPr="00513BCB">
        <w:rPr>
          <w:sz w:val="22"/>
          <w:szCs w:val="22"/>
        </w:rPr>
        <w:t xml:space="preserve">based </w:t>
      </w:r>
      <w:r w:rsidRPr="00513BCB">
        <w:rPr>
          <w:sz w:val="22"/>
          <w:szCs w:val="22"/>
        </w:rPr>
        <w:t>on an unchanging foundational core of the human person</w:t>
      </w:r>
      <w:r w:rsidR="00DC65E8" w:rsidRPr="00513BCB">
        <w:rPr>
          <w:sz w:val="22"/>
          <w:szCs w:val="22"/>
        </w:rPr>
        <w:t>. This idea</w:t>
      </w:r>
      <w:r w:rsidRPr="00513BCB">
        <w:rPr>
          <w:sz w:val="22"/>
          <w:szCs w:val="22"/>
        </w:rPr>
        <w:t xml:space="preserve"> </w:t>
      </w:r>
      <w:r w:rsidR="001E04AC" w:rsidRPr="00513BCB">
        <w:rPr>
          <w:sz w:val="22"/>
          <w:szCs w:val="22"/>
        </w:rPr>
        <w:t>equates</w:t>
      </w:r>
      <w:r w:rsidR="00064485" w:rsidRPr="00513BCB">
        <w:rPr>
          <w:sz w:val="22"/>
          <w:szCs w:val="22"/>
        </w:rPr>
        <w:t xml:space="preserve"> a right to identity </w:t>
      </w:r>
      <w:r w:rsidR="001E04AC" w:rsidRPr="00513BCB">
        <w:rPr>
          <w:sz w:val="22"/>
          <w:szCs w:val="22"/>
        </w:rPr>
        <w:t>with</w:t>
      </w:r>
      <w:r w:rsidR="00064485" w:rsidRPr="00513BCB">
        <w:rPr>
          <w:sz w:val="22"/>
          <w:szCs w:val="22"/>
        </w:rPr>
        <w:t xml:space="preserve"> knowledge of </w:t>
      </w:r>
      <w:r w:rsidRPr="00513BCB">
        <w:rPr>
          <w:sz w:val="22"/>
          <w:szCs w:val="22"/>
        </w:rPr>
        <w:t xml:space="preserve">genetic or biological origins. This can be used to justify the state </w:t>
      </w:r>
      <w:r w:rsidR="00C85101" w:rsidRPr="00513BCB">
        <w:rPr>
          <w:sz w:val="22"/>
          <w:szCs w:val="22"/>
        </w:rPr>
        <w:t xml:space="preserve">making </w:t>
      </w:r>
      <w:r w:rsidR="003C0903" w:rsidRPr="00513BCB">
        <w:rPr>
          <w:sz w:val="22"/>
          <w:szCs w:val="22"/>
        </w:rPr>
        <w:t xml:space="preserve">people </w:t>
      </w:r>
      <w:r w:rsidR="00C85101" w:rsidRPr="00513BCB">
        <w:rPr>
          <w:sz w:val="22"/>
          <w:szCs w:val="22"/>
        </w:rPr>
        <w:t xml:space="preserve">feel </w:t>
      </w:r>
      <w:r w:rsidR="007506AE" w:rsidRPr="00513BCB">
        <w:rPr>
          <w:sz w:val="22"/>
          <w:szCs w:val="22"/>
        </w:rPr>
        <w:t>that they</w:t>
      </w:r>
      <w:r w:rsidR="003C0903" w:rsidRPr="00513BCB">
        <w:rPr>
          <w:sz w:val="22"/>
          <w:szCs w:val="22"/>
        </w:rPr>
        <w:t xml:space="preserve"> </w:t>
      </w:r>
      <w:r w:rsidR="00C85101" w:rsidRPr="00513BCB">
        <w:rPr>
          <w:sz w:val="22"/>
          <w:szCs w:val="22"/>
        </w:rPr>
        <w:t>have to</w:t>
      </w:r>
      <w:r w:rsidRPr="00513BCB">
        <w:rPr>
          <w:sz w:val="22"/>
          <w:szCs w:val="22"/>
        </w:rPr>
        <w:t xml:space="preserve"> bring to fruition and liberat</w:t>
      </w:r>
      <w:r w:rsidR="00C85101" w:rsidRPr="00513BCB">
        <w:rPr>
          <w:sz w:val="22"/>
          <w:szCs w:val="22"/>
        </w:rPr>
        <w:t xml:space="preserve">e </w:t>
      </w:r>
      <w:r w:rsidRPr="00513BCB">
        <w:rPr>
          <w:sz w:val="22"/>
          <w:szCs w:val="22"/>
        </w:rPr>
        <w:t xml:space="preserve">some inner core, </w:t>
      </w:r>
      <w:r w:rsidR="00C85101" w:rsidRPr="00513BCB">
        <w:rPr>
          <w:sz w:val="22"/>
          <w:szCs w:val="22"/>
        </w:rPr>
        <w:t>to</w:t>
      </w:r>
      <w:r w:rsidRPr="00513BCB">
        <w:rPr>
          <w:sz w:val="22"/>
          <w:szCs w:val="22"/>
        </w:rPr>
        <w:t xml:space="preserve"> </w:t>
      </w:r>
      <w:r w:rsidR="00450431" w:rsidRPr="00513BCB">
        <w:rPr>
          <w:sz w:val="22"/>
          <w:szCs w:val="22"/>
        </w:rPr>
        <w:t>‘</w:t>
      </w:r>
      <w:r w:rsidRPr="00513BCB">
        <w:rPr>
          <w:sz w:val="22"/>
          <w:szCs w:val="22"/>
        </w:rPr>
        <w:t>find out</w:t>
      </w:r>
      <w:r w:rsidR="00450431" w:rsidRPr="00513BCB">
        <w:rPr>
          <w:sz w:val="22"/>
          <w:szCs w:val="22"/>
        </w:rPr>
        <w:t>’</w:t>
      </w:r>
      <w:r w:rsidRPr="00513BCB">
        <w:rPr>
          <w:sz w:val="22"/>
          <w:szCs w:val="22"/>
        </w:rPr>
        <w:t xml:space="preserve"> who </w:t>
      </w:r>
      <w:r w:rsidR="007506AE" w:rsidRPr="00513BCB">
        <w:rPr>
          <w:sz w:val="22"/>
          <w:szCs w:val="22"/>
        </w:rPr>
        <w:t>they</w:t>
      </w:r>
      <w:r w:rsidR="003C0903" w:rsidRPr="00513BCB">
        <w:rPr>
          <w:sz w:val="22"/>
          <w:szCs w:val="22"/>
        </w:rPr>
        <w:t xml:space="preserve"> </w:t>
      </w:r>
      <w:r w:rsidR="00450431" w:rsidRPr="00513BCB">
        <w:rPr>
          <w:sz w:val="22"/>
          <w:szCs w:val="22"/>
        </w:rPr>
        <w:t>‘</w:t>
      </w:r>
      <w:r w:rsidRPr="00513BCB">
        <w:rPr>
          <w:sz w:val="22"/>
          <w:szCs w:val="22"/>
        </w:rPr>
        <w:t>truly</w:t>
      </w:r>
      <w:r w:rsidR="00450431" w:rsidRPr="00513BCB">
        <w:rPr>
          <w:sz w:val="22"/>
          <w:szCs w:val="22"/>
        </w:rPr>
        <w:t>’</w:t>
      </w:r>
      <w:r w:rsidRPr="00513BCB">
        <w:rPr>
          <w:sz w:val="22"/>
          <w:szCs w:val="22"/>
        </w:rPr>
        <w:t xml:space="preserve"> are</w:t>
      </w:r>
      <w:r w:rsidR="00DC65E8" w:rsidRPr="00513BCB">
        <w:rPr>
          <w:sz w:val="22"/>
          <w:szCs w:val="22"/>
        </w:rPr>
        <w:t xml:space="preserve">. </w:t>
      </w:r>
      <w:r w:rsidRPr="00513BCB">
        <w:rPr>
          <w:sz w:val="22"/>
          <w:szCs w:val="22"/>
        </w:rPr>
        <w:t>Identity rights pursuant to the CRC and the ECHR can</w:t>
      </w:r>
      <w:r w:rsidR="001E04AC" w:rsidRPr="00513BCB">
        <w:rPr>
          <w:sz w:val="22"/>
          <w:szCs w:val="22"/>
        </w:rPr>
        <w:t>,</w:t>
      </w:r>
      <w:r w:rsidRPr="00513BCB">
        <w:rPr>
          <w:sz w:val="22"/>
          <w:szCs w:val="22"/>
        </w:rPr>
        <w:t xml:space="preserve"> </w:t>
      </w:r>
      <w:r w:rsidR="00064485" w:rsidRPr="00513BCB">
        <w:rPr>
          <w:sz w:val="22"/>
          <w:szCs w:val="22"/>
        </w:rPr>
        <w:t>however</w:t>
      </w:r>
      <w:r w:rsidR="001E04AC" w:rsidRPr="00513BCB">
        <w:rPr>
          <w:sz w:val="22"/>
          <w:szCs w:val="22"/>
        </w:rPr>
        <w:t>,</w:t>
      </w:r>
      <w:r w:rsidR="00064485" w:rsidRPr="00513BCB">
        <w:rPr>
          <w:sz w:val="22"/>
          <w:szCs w:val="22"/>
        </w:rPr>
        <w:t xml:space="preserve"> </w:t>
      </w:r>
      <w:r w:rsidRPr="00513BCB">
        <w:rPr>
          <w:sz w:val="22"/>
          <w:szCs w:val="22"/>
        </w:rPr>
        <w:t xml:space="preserve">be </w:t>
      </w:r>
      <w:r w:rsidR="00DC65E8" w:rsidRPr="00513BCB">
        <w:rPr>
          <w:sz w:val="22"/>
          <w:szCs w:val="22"/>
        </w:rPr>
        <w:t xml:space="preserve">interpreted </w:t>
      </w:r>
      <w:r w:rsidRPr="00513BCB">
        <w:rPr>
          <w:sz w:val="22"/>
          <w:szCs w:val="22"/>
        </w:rPr>
        <w:t>different</w:t>
      </w:r>
      <w:r w:rsidR="00DC65E8" w:rsidRPr="00513BCB">
        <w:rPr>
          <w:sz w:val="22"/>
          <w:szCs w:val="22"/>
        </w:rPr>
        <w:t>ly.</w:t>
      </w:r>
      <w:r w:rsidRPr="00513BCB">
        <w:rPr>
          <w:sz w:val="22"/>
          <w:szCs w:val="22"/>
        </w:rPr>
        <w:t xml:space="preserve"> Rather than focusing on the past, on needing to know everything about other people’s lives, including those of one’s father and </w:t>
      </w:r>
      <w:r w:rsidR="00DC65E8" w:rsidRPr="00513BCB">
        <w:rPr>
          <w:sz w:val="22"/>
          <w:szCs w:val="22"/>
        </w:rPr>
        <w:t>birth giver</w:t>
      </w:r>
      <w:r w:rsidR="00450431" w:rsidRPr="00513BCB">
        <w:rPr>
          <w:sz w:val="22"/>
          <w:szCs w:val="22"/>
        </w:rPr>
        <w:t xml:space="preserve"> in a</w:t>
      </w:r>
      <w:r w:rsidR="003C0903" w:rsidRPr="00513BCB">
        <w:rPr>
          <w:sz w:val="22"/>
          <w:szCs w:val="22"/>
        </w:rPr>
        <w:t xml:space="preserve"> unfairly</w:t>
      </w:r>
      <w:r w:rsidR="00450431" w:rsidRPr="00513BCB">
        <w:rPr>
          <w:sz w:val="22"/>
          <w:szCs w:val="22"/>
        </w:rPr>
        <w:t xml:space="preserve"> gendered world</w:t>
      </w:r>
      <w:r w:rsidRPr="00513BCB">
        <w:rPr>
          <w:sz w:val="22"/>
          <w:szCs w:val="22"/>
        </w:rPr>
        <w:t>, and reducing our identity to blood or genes, it is possible to explore different ways we can gain a strong sense of our identity through lived existence and belonging from birth</w:t>
      </w:r>
      <w:r w:rsidR="00E37B6E" w:rsidRPr="00513BCB">
        <w:rPr>
          <w:sz w:val="22"/>
          <w:szCs w:val="22"/>
        </w:rPr>
        <w:t>.</w:t>
      </w:r>
      <w:r w:rsidR="00DC65E8" w:rsidRPr="00513BCB">
        <w:rPr>
          <w:sz w:val="22"/>
          <w:szCs w:val="22"/>
        </w:rPr>
        <w:t xml:space="preserve"> </w:t>
      </w:r>
    </w:p>
    <w:p w14:paraId="6B9A16EF" w14:textId="77777777" w:rsidR="00037802" w:rsidRPr="00513BCB" w:rsidRDefault="00037802" w:rsidP="004D3080">
      <w:pPr>
        <w:spacing w:line="360" w:lineRule="auto"/>
        <w:jc w:val="both"/>
        <w:rPr>
          <w:rFonts w:cs="Times New Roman"/>
          <w:color w:val="000000" w:themeColor="text1"/>
          <w:sz w:val="22"/>
          <w:szCs w:val="22"/>
        </w:rPr>
      </w:pPr>
    </w:p>
    <w:p w14:paraId="077168BD" w14:textId="42E0CDD4" w:rsidR="00E37B6E" w:rsidRPr="00513BCB" w:rsidRDefault="00C64C94" w:rsidP="007C6A1D">
      <w:pPr>
        <w:spacing w:line="360" w:lineRule="auto"/>
        <w:ind w:left="-17"/>
        <w:jc w:val="both"/>
        <w:outlineLvl w:val="0"/>
        <w:rPr>
          <w:b/>
          <w:sz w:val="22"/>
          <w:szCs w:val="22"/>
        </w:rPr>
      </w:pPr>
      <w:r w:rsidRPr="00513BCB">
        <w:rPr>
          <w:b/>
          <w:sz w:val="22"/>
          <w:szCs w:val="22"/>
        </w:rPr>
        <w:t>Part 3:</w:t>
      </w:r>
      <w:r w:rsidR="00B52867" w:rsidRPr="00513BCB">
        <w:rPr>
          <w:b/>
          <w:sz w:val="22"/>
          <w:szCs w:val="22"/>
        </w:rPr>
        <w:t xml:space="preserve"> Care and</w:t>
      </w:r>
      <w:r w:rsidR="000F57AE" w:rsidRPr="00513BCB">
        <w:rPr>
          <w:b/>
          <w:sz w:val="22"/>
          <w:szCs w:val="22"/>
        </w:rPr>
        <w:t xml:space="preserve"> Belonging</w:t>
      </w:r>
      <w:r w:rsidR="00057A1F" w:rsidRPr="00513BCB">
        <w:rPr>
          <w:b/>
          <w:sz w:val="22"/>
          <w:szCs w:val="22"/>
        </w:rPr>
        <w:t>: for the birth giver and child</w:t>
      </w:r>
    </w:p>
    <w:p w14:paraId="0BAE9041" w14:textId="717295F4" w:rsidR="00057A1F" w:rsidRPr="00513BCB" w:rsidRDefault="00057A1F" w:rsidP="007C6A1D">
      <w:pPr>
        <w:spacing w:line="360" w:lineRule="auto"/>
        <w:ind w:left="-17"/>
        <w:jc w:val="both"/>
        <w:outlineLvl w:val="0"/>
        <w:rPr>
          <w:b/>
          <w:i/>
          <w:sz w:val="22"/>
          <w:szCs w:val="22"/>
        </w:rPr>
      </w:pPr>
      <w:r w:rsidRPr="00513BCB">
        <w:rPr>
          <w:b/>
          <w:i/>
          <w:sz w:val="22"/>
          <w:szCs w:val="22"/>
        </w:rPr>
        <w:t>Care and Belonging</w:t>
      </w:r>
    </w:p>
    <w:p w14:paraId="020AC09B" w14:textId="19D2A4ED" w:rsidR="00EA5E2C" w:rsidRPr="00513BCB" w:rsidRDefault="00F87C31" w:rsidP="004D3080">
      <w:pPr>
        <w:spacing w:line="360" w:lineRule="auto"/>
        <w:ind w:left="-17"/>
        <w:jc w:val="both"/>
        <w:rPr>
          <w:bCs/>
          <w:sz w:val="22"/>
          <w:szCs w:val="22"/>
        </w:rPr>
      </w:pPr>
      <w:r w:rsidRPr="00513BCB">
        <w:rPr>
          <w:sz w:val="22"/>
          <w:szCs w:val="22"/>
        </w:rPr>
        <w:t>Invoking c</w:t>
      </w:r>
      <w:r w:rsidR="00EA5E2C" w:rsidRPr="00513BCB">
        <w:rPr>
          <w:sz w:val="22"/>
          <w:szCs w:val="22"/>
        </w:rPr>
        <w:t>are</w:t>
      </w:r>
      <w:r w:rsidR="00EA5E2C" w:rsidRPr="00513BCB">
        <w:rPr>
          <w:bCs/>
          <w:sz w:val="22"/>
          <w:szCs w:val="22"/>
        </w:rPr>
        <w:t xml:space="preserve"> and compassion</w:t>
      </w:r>
      <w:r w:rsidRPr="00513BCB">
        <w:rPr>
          <w:bCs/>
          <w:sz w:val="22"/>
          <w:szCs w:val="22"/>
        </w:rPr>
        <w:t xml:space="preserve"> when</w:t>
      </w:r>
      <w:r w:rsidR="00EA5E2C" w:rsidRPr="00513BCB">
        <w:rPr>
          <w:bCs/>
          <w:sz w:val="22"/>
          <w:szCs w:val="22"/>
        </w:rPr>
        <w:t xml:space="preserve"> making and interpreting the law</w:t>
      </w:r>
      <w:r w:rsidR="001E04AC" w:rsidRPr="00513BCB">
        <w:rPr>
          <w:bCs/>
          <w:sz w:val="22"/>
          <w:szCs w:val="22"/>
        </w:rPr>
        <w:t xml:space="preserve"> </w:t>
      </w:r>
      <w:r w:rsidRPr="00513BCB">
        <w:rPr>
          <w:bCs/>
          <w:sz w:val="22"/>
          <w:szCs w:val="22"/>
        </w:rPr>
        <w:t xml:space="preserve">can help </w:t>
      </w:r>
      <w:r w:rsidR="001E04AC" w:rsidRPr="00513BCB">
        <w:rPr>
          <w:bCs/>
          <w:sz w:val="22"/>
          <w:szCs w:val="22"/>
        </w:rPr>
        <w:t>to</w:t>
      </w:r>
      <w:r w:rsidR="00EA5E2C" w:rsidRPr="00513BCB">
        <w:rPr>
          <w:bCs/>
          <w:sz w:val="22"/>
          <w:szCs w:val="22"/>
        </w:rPr>
        <w:t xml:space="preserve"> prevent de</w:t>
      </w:r>
      <w:r w:rsidR="003C0903" w:rsidRPr="00513BCB">
        <w:rPr>
          <w:bCs/>
          <w:sz w:val="22"/>
          <w:szCs w:val="22"/>
        </w:rPr>
        <w:t>t</w:t>
      </w:r>
      <w:r w:rsidR="00EA5E2C" w:rsidRPr="00513BCB">
        <w:rPr>
          <w:bCs/>
          <w:sz w:val="22"/>
          <w:szCs w:val="22"/>
        </w:rPr>
        <w:t xml:space="preserve">achment, coldness and lack of understanding as to </w:t>
      </w:r>
      <w:r w:rsidR="00450431" w:rsidRPr="00513BCB">
        <w:rPr>
          <w:bCs/>
          <w:sz w:val="22"/>
          <w:szCs w:val="22"/>
        </w:rPr>
        <w:t xml:space="preserve">human </w:t>
      </w:r>
      <w:r w:rsidR="00EA5E2C" w:rsidRPr="00513BCB">
        <w:rPr>
          <w:bCs/>
          <w:sz w:val="22"/>
          <w:szCs w:val="22"/>
        </w:rPr>
        <w:t>frailty. As Jonathan Herring explains ‘[c]</w:t>
      </w:r>
      <w:r w:rsidR="00EA5E2C" w:rsidRPr="00513BCB">
        <w:rPr>
          <w:sz w:val="22"/>
          <w:szCs w:val="22"/>
        </w:rPr>
        <w:t xml:space="preserve">are </w:t>
      </w:r>
      <w:r w:rsidR="00EA5E2C" w:rsidRPr="00513BCB">
        <w:rPr>
          <w:sz w:val="22"/>
          <w:szCs w:val="22"/>
        </w:rPr>
        <w:lastRenderedPageBreak/>
        <w:t>seems the most</w:t>
      </w:r>
      <w:r w:rsidR="00EA5E2C" w:rsidRPr="00513BCB">
        <w:rPr>
          <w:i/>
          <w:sz w:val="22"/>
          <w:szCs w:val="22"/>
        </w:rPr>
        <w:t xml:space="preserve"> </w:t>
      </w:r>
      <w:r w:rsidR="00EA5E2C" w:rsidRPr="00513BCB">
        <w:rPr>
          <w:sz w:val="22"/>
          <w:szCs w:val="22"/>
        </w:rPr>
        <w:t>basic moral value...Without care…there would be no persons to respect and no families to improve.’</w:t>
      </w:r>
      <w:r w:rsidR="00EA5E2C" w:rsidRPr="00513BCB">
        <w:rPr>
          <w:rStyle w:val="FootnoteReference"/>
          <w:sz w:val="22"/>
          <w:szCs w:val="22"/>
        </w:rPr>
        <w:footnoteReference w:id="105"/>
      </w:r>
      <w:r w:rsidR="00EA5E2C" w:rsidRPr="00513BCB">
        <w:rPr>
          <w:bCs/>
          <w:sz w:val="22"/>
          <w:szCs w:val="22"/>
        </w:rPr>
        <w:t xml:space="preserve"> As such, care is the manifestation of love</w:t>
      </w:r>
      <w:r w:rsidR="00450431" w:rsidRPr="00513BCB">
        <w:rPr>
          <w:bCs/>
          <w:sz w:val="22"/>
          <w:szCs w:val="22"/>
        </w:rPr>
        <w:t xml:space="preserve">; it </w:t>
      </w:r>
      <w:r w:rsidR="00EA5E2C" w:rsidRPr="00513BCB">
        <w:rPr>
          <w:bCs/>
          <w:sz w:val="22"/>
          <w:szCs w:val="22"/>
        </w:rPr>
        <w:t>involves meeting the needs of others and accepting our vulnerability, which is ‘an aspect of many of the things people value most in their lives. Relationships; intimacy; care; all of these things in their nature render us vulnerable.’</w:t>
      </w:r>
      <w:r w:rsidR="00EA5E2C" w:rsidRPr="00513BCB">
        <w:rPr>
          <w:rStyle w:val="FootnoteReference"/>
          <w:bCs/>
          <w:sz w:val="22"/>
          <w:szCs w:val="22"/>
        </w:rPr>
        <w:footnoteReference w:id="106"/>
      </w:r>
      <w:r w:rsidR="00EA5E2C" w:rsidRPr="00513BCB">
        <w:rPr>
          <w:sz w:val="22"/>
          <w:szCs w:val="22"/>
        </w:rPr>
        <w:t xml:space="preserve"> </w:t>
      </w:r>
      <w:r w:rsidR="00EA5E2C" w:rsidRPr="00513BCB">
        <w:rPr>
          <w:bCs/>
          <w:sz w:val="22"/>
          <w:szCs w:val="22"/>
        </w:rPr>
        <w:t xml:space="preserve">I suggest </w:t>
      </w:r>
      <w:r w:rsidR="001E04AC" w:rsidRPr="00513BCB">
        <w:rPr>
          <w:bCs/>
          <w:sz w:val="22"/>
          <w:szCs w:val="22"/>
        </w:rPr>
        <w:t xml:space="preserve">that </w:t>
      </w:r>
      <w:r w:rsidR="00EA5E2C" w:rsidRPr="00513BCB">
        <w:rPr>
          <w:bCs/>
          <w:sz w:val="22"/>
          <w:szCs w:val="22"/>
        </w:rPr>
        <w:t>any human right to identity must be related to care and encourage an environment of belonging and inclusion for any newborn</w:t>
      </w:r>
      <w:r w:rsidR="00E37B6E" w:rsidRPr="00513BCB">
        <w:rPr>
          <w:bCs/>
          <w:sz w:val="22"/>
          <w:szCs w:val="22"/>
        </w:rPr>
        <w:t xml:space="preserve"> and birth</w:t>
      </w:r>
      <w:r w:rsidR="00216D48" w:rsidRPr="00513BCB">
        <w:rPr>
          <w:bCs/>
          <w:sz w:val="22"/>
          <w:szCs w:val="22"/>
        </w:rPr>
        <w:t xml:space="preserve"> </w:t>
      </w:r>
      <w:r w:rsidR="00E37B6E" w:rsidRPr="00513BCB">
        <w:rPr>
          <w:bCs/>
          <w:sz w:val="22"/>
          <w:szCs w:val="22"/>
        </w:rPr>
        <w:t>giver</w:t>
      </w:r>
      <w:r w:rsidR="00EA5E2C" w:rsidRPr="00513BCB">
        <w:rPr>
          <w:bCs/>
          <w:sz w:val="22"/>
          <w:szCs w:val="22"/>
        </w:rPr>
        <w:t>. This has potential to be a more empowering, positive and kinder way to proceed in this context of secrecy in pregnancy and birth</w:t>
      </w:r>
      <w:r w:rsidR="00216D48" w:rsidRPr="00513BCB">
        <w:rPr>
          <w:bCs/>
          <w:sz w:val="22"/>
          <w:szCs w:val="22"/>
        </w:rPr>
        <w:t xml:space="preserve"> and to help lead to a more gender</w:t>
      </w:r>
      <w:r w:rsidRPr="00513BCB">
        <w:rPr>
          <w:bCs/>
          <w:sz w:val="22"/>
          <w:szCs w:val="22"/>
        </w:rPr>
        <w:t>-equal</w:t>
      </w:r>
      <w:r w:rsidR="00216D48" w:rsidRPr="00513BCB">
        <w:rPr>
          <w:bCs/>
          <w:sz w:val="22"/>
          <w:szCs w:val="22"/>
        </w:rPr>
        <w:t xml:space="preserve"> world</w:t>
      </w:r>
      <w:r w:rsidR="00EA5E2C" w:rsidRPr="00513BCB">
        <w:rPr>
          <w:bCs/>
          <w:sz w:val="22"/>
          <w:szCs w:val="22"/>
        </w:rPr>
        <w:t xml:space="preserve">. </w:t>
      </w:r>
    </w:p>
    <w:p w14:paraId="718B9F78" w14:textId="77777777" w:rsidR="00EA5E2C" w:rsidRPr="00513BCB" w:rsidRDefault="00EA5E2C" w:rsidP="004D3080">
      <w:pPr>
        <w:pStyle w:val="BodyText"/>
        <w:spacing w:line="360" w:lineRule="auto"/>
        <w:rPr>
          <w:rFonts w:asciiTheme="minorHAnsi" w:hAnsiTheme="minorHAnsi"/>
          <w:bCs/>
          <w:sz w:val="22"/>
          <w:szCs w:val="22"/>
        </w:rPr>
      </w:pPr>
    </w:p>
    <w:p w14:paraId="35EA8E9E" w14:textId="7FEB1DC7" w:rsidR="00C47A15" w:rsidRPr="00513BCB" w:rsidRDefault="00EA5E2C" w:rsidP="004D3080">
      <w:pPr>
        <w:spacing w:line="360" w:lineRule="auto"/>
        <w:jc w:val="both"/>
        <w:rPr>
          <w:sz w:val="22"/>
          <w:szCs w:val="22"/>
        </w:rPr>
      </w:pPr>
      <w:r w:rsidRPr="00513BCB">
        <w:rPr>
          <w:rFonts w:cs="Times New Roman"/>
          <w:sz w:val="22"/>
          <w:szCs w:val="22"/>
        </w:rPr>
        <w:t>Herring and Foster argue that ‘[t]hose who trumpet the importance of the right to know genetic origins often come close to saying that genetic parenthood is more important than social parenthood.’</w:t>
      </w:r>
      <w:r w:rsidRPr="00513BCB">
        <w:rPr>
          <w:rStyle w:val="FootnoteReference"/>
          <w:rFonts w:cs="Times New Roman"/>
          <w:sz w:val="22"/>
          <w:szCs w:val="22"/>
        </w:rPr>
        <w:footnoteReference w:id="107"/>
      </w:r>
      <w:r w:rsidRPr="00513BCB">
        <w:rPr>
          <w:rFonts w:cs="Times New Roman"/>
          <w:sz w:val="22"/>
          <w:szCs w:val="22"/>
        </w:rPr>
        <w:t xml:space="preserve">  Jane </w:t>
      </w:r>
      <w:r w:rsidRPr="00513BCB">
        <w:rPr>
          <w:sz w:val="22"/>
          <w:szCs w:val="22"/>
        </w:rPr>
        <w:t xml:space="preserve">Fortin </w:t>
      </w:r>
      <w:r w:rsidR="00AF5CC5" w:rsidRPr="00513BCB">
        <w:rPr>
          <w:sz w:val="22"/>
          <w:szCs w:val="22"/>
        </w:rPr>
        <w:t>argues that</w:t>
      </w:r>
      <w:r w:rsidRPr="00513BCB">
        <w:rPr>
          <w:sz w:val="22"/>
          <w:szCs w:val="22"/>
        </w:rPr>
        <w:t xml:space="preserve"> the right to know one’s genetic origins is going ‘too far, too fast’.</w:t>
      </w:r>
      <w:r w:rsidRPr="00513BCB">
        <w:rPr>
          <w:sz w:val="22"/>
          <w:szCs w:val="22"/>
          <w:vertAlign w:val="superscript"/>
        </w:rPr>
        <w:footnoteReference w:id="108"/>
      </w:r>
      <w:r w:rsidRPr="00513BCB">
        <w:rPr>
          <w:rFonts w:cs="Times New Roman"/>
          <w:sz w:val="22"/>
          <w:szCs w:val="22"/>
        </w:rPr>
        <w:t xml:space="preserve"> Fortin</w:t>
      </w:r>
      <w:r w:rsidR="00FF429C" w:rsidRPr="00513BCB">
        <w:rPr>
          <w:rFonts w:cs="Times New Roman"/>
          <w:sz w:val="22"/>
          <w:szCs w:val="22"/>
        </w:rPr>
        <w:t xml:space="preserve"> sees </w:t>
      </w:r>
      <w:r w:rsidRPr="00513BCB">
        <w:rPr>
          <w:rFonts w:cs="Times New Roman"/>
          <w:sz w:val="22"/>
          <w:szCs w:val="22"/>
        </w:rPr>
        <w:t>a shift in judicial attitudes</w:t>
      </w:r>
      <w:r w:rsidR="00E8009B" w:rsidRPr="00513BCB">
        <w:rPr>
          <w:rFonts w:cs="Times New Roman"/>
          <w:sz w:val="22"/>
          <w:szCs w:val="22"/>
        </w:rPr>
        <w:t xml:space="preserve"> that</w:t>
      </w:r>
      <w:r w:rsidRPr="00513BCB">
        <w:rPr>
          <w:rFonts w:cs="Times New Roman"/>
          <w:sz w:val="22"/>
          <w:szCs w:val="22"/>
        </w:rPr>
        <w:t xml:space="preserve"> </w:t>
      </w:r>
      <w:r w:rsidR="001405D6" w:rsidRPr="00513BCB">
        <w:rPr>
          <w:rFonts w:cs="Times New Roman"/>
          <w:sz w:val="22"/>
          <w:szCs w:val="22"/>
        </w:rPr>
        <w:t>risk</w:t>
      </w:r>
      <w:r w:rsidR="00E8009B" w:rsidRPr="00513BCB">
        <w:rPr>
          <w:rFonts w:cs="Times New Roman"/>
          <w:sz w:val="22"/>
          <w:szCs w:val="22"/>
        </w:rPr>
        <w:t xml:space="preserve">s being </w:t>
      </w:r>
      <w:r w:rsidRPr="00513BCB">
        <w:rPr>
          <w:rFonts w:cs="Times New Roman"/>
          <w:sz w:val="22"/>
          <w:szCs w:val="22"/>
        </w:rPr>
        <w:t>exploit</w:t>
      </w:r>
      <w:r w:rsidR="00E8009B" w:rsidRPr="00513BCB">
        <w:rPr>
          <w:rFonts w:cs="Times New Roman"/>
          <w:sz w:val="22"/>
          <w:szCs w:val="22"/>
        </w:rPr>
        <w:t>ed</w:t>
      </w:r>
      <w:r w:rsidRPr="00513BCB">
        <w:rPr>
          <w:rFonts w:cs="Times New Roman"/>
          <w:sz w:val="22"/>
          <w:szCs w:val="22"/>
        </w:rPr>
        <w:t xml:space="preserve"> and manipulat</w:t>
      </w:r>
      <w:r w:rsidR="00E8009B" w:rsidRPr="00513BCB">
        <w:rPr>
          <w:rFonts w:cs="Times New Roman"/>
          <w:sz w:val="22"/>
          <w:szCs w:val="22"/>
        </w:rPr>
        <w:t>ed</w:t>
      </w:r>
      <w:r w:rsidRPr="00513BCB">
        <w:rPr>
          <w:rFonts w:cs="Times New Roman"/>
          <w:sz w:val="22"/>
          <w:szCs w:val="22"/>
        </w:rPr>
        <w:t>, for example, by biological fathers</w:t>
      </w:r>
      <w:r w:rsidR="001405D6" w:rsidRPr="00513BCB">
        <w:rPr>
          <w:rFonts w:cs="Times New Roman"/>
          <w:sz w:val="22"/>
          <w:szCs w:val="22"/>
        </w:rPr>
        <w:t xml:space="preserve"> claiming</w:t>
      </w:r>
      <w:r w:rsidRPr="00513BCB">
        <w:rPr>
          <w:rFonts w:cs="Times New Roman"/>
          <w:sz w:val="22"/>
          <w:szCs w:val="22"/>
        </w:rPr>
        <w:t xml:space="preserve"> that they should have a relationship with the child</w:t>
      </w:r>
      <w:r w:rsidR="00871DFD" w:rsidRPr="00513BCB">
        <w:rPr>
          <w:rFonts w:cs="Times New Roman"/>
          <w:sz w:val="22"/>
          <w:szCs w:val="22"/>
        </w:rPr>
        <w:t xml:space="preserve"> despite the opposition of the mother</w:t>
      </w:r>
      <w:r w:rsidRPr="00513BCB">
        <w:rPr>
          <w:rFonts w:cs="Times New Roman"/>
          <w:sz w:val="22"/>
          <w:szCs w:val="22"/>
        </w:rPr>
        <w:t xml:space="preserve">. </w:t>
      </w:r>
      <w:r w:rsidR="00645564" w:rsidRPr="00513BCB">
        <w:rPr>
          <w:sz w:val="22"/>
          <w:szCs w:val="22"/>
        </w:rPr>
        <w:t xml:space="preserve">John Eekelaar’s analysis of family law and personal life shows that English judges have increasingly taken the view that the best interests of the child are achieved </w:t>
      </w:r>
      <w:r w:rsidR="007B63C0" w:rsidRPr="00513BCB">
        <w:rPr>
          <w:sz w:val="22"/>
          <w:szCs w:val="22"/>
        </w:rPr>
        <w:t xml:space="preserve">by resolving </w:t>
      </w:r>
      <w:r w:rsidR="00645564" w:rsidRPr="00513BCB">
        <w:rPr>
          <w:sz w:val="22"/>
          <w:szCs w:val="22"/>
        </w:rPr>
        <w:t xml:space="preserve">disputes about the child’s ‘true’ genetic origins </w:t>
      </w:r>
      <w:r w:rsidR="003C0903" w:rsidRPr="00513BCB">
        <w:rPr>
          <w:sz w:val="22"/>
          <w:szCs w:val="22"/>
        </w:rPr>
        <w:t>through scientific means. He cites</w:t>
      </w:r>
      <w:r w:rsidR="00645564" w:rsidRPr="00513BCB">
        <w:rPr>
          <w:sz w:val="22"/>
          <w:szCs w:val="22"/>
        </w:rPr>
        <w:t xml:space="preserve"> as evidence case law dealing with paternity blood tests where judges have stated that a mother’s duty is to bring up her children to believe that </w:t>
      </w:r>
      <w:r w:rsidR="00645564" w:rsidRPr="00513BCB">
        <w:rPr>
          <w:i/>
          <w:sz w:val="22"/>
          <w:szCs w:val="22"/>
        </w:rPr>
        <w:t>honesty</w:t>
      </w:r>
      <w:r w:rsidR="00645564" w:rsidRPr="00513BCB">
        <w:rPr>
          <w:sz w:val="22"/>
          <w:szCs w:val="22"/>
        </w:rPr>
        <w:t xml:space="preserve"> is the best policy and so ‘she should not sabotage that…by living </w:t>
      </w:r>
      <w:r w:rsidR="00645564" w:rsidRPr="00513BCB">
        <w:rPr>
          <w:sz w:val="22"/>
          <w:szCs w:val="22"/>
        </w:rPr>
        <w:lastRenderedPageBreak/>
        <w:t>a lie’.</w:t>
      </w:r>
      <w:r w:rsidR="00645564" w:rsidRPr="00513BCB">
        <w:rPr>
          <w:rStyle w:val="FootnoteReference"/>
          <w:sz w:val="22"/>
          <w:szCs w:val="22"/>
        </w:rPr>
        <w:footnoteReference w:id="109"/>
      </w:r>
      <w:r w:rsidR="00645564" w:rsidRPr="00513BCB">
        <w:rPr>
          <w:color w:val="000000" w:themeColor="text1"/>
          <w:sz w:val="22"/>
          <w:szCs w:val="22"/>
        </w:rPr>
        <w:t xml:space="preserve"> Eekelaar argues that keeping secrets about paternity and parenthood gives the older generation power over ‘the innocent and vulnerable child’.</w:t>
      </w:r>
      <w:r w:rsidR="00645564" w:rsidRPr="00513BCB">
        <w:rPr>
          <w:rStyle w:val="FootnoteReference"/>
          <w:color w:val="000000" w:themeColor="text1"/>
          <w:sz w:val="22"/>
          <w:szCs w:val="22"/>
        </w:rPr>
        <w:footnoteReference w:id="110"/>
      </w:r>
      <w:r w:rsidR="00645564" w:rsidRPr="00513BCB">
        <w:rPr>
          <w:color w:val="000000" w:themeColor="text1"/>
          <w:sz w:val="22"/>
          <w:szCs w:val="22"/>
        </w:rPr>
        <w:t xml:space="preserve"> However, Carol Smart has questioned how significant genetic parentage has become and asks us to consider ‘how real people live with truths and untruths’.</w:t>
      </w:r>
      <w:r w:rsidR="00645564" w:rsidRPr="00513BCB">
        <w:rPr>
          <w:rStyle w:val="FootnoteReference"/>
          <w:color w:val="000000" w:themeColor="text1"/>
          <w:sz w:val="22"/>
          <w:szCs w:val="22"/>
        </w:rPr>
        <w:footnoteReference w:id="111"/>
      </w:r>
      <w:r w:rsidR="00645564" w:rsidRPr="00513BCB">
        <w:rPr>
          <w:color w:val="000000" w:themeColor="text1"/>
          <w:sz w:val="22"/>
          <w:szCs w:val="22"/>
        </w:rPr>
        <w:t xml:space="preserve"> </w:t>
      </w:r>
      <w:r w:rsidR="00C47A15" w:rsidRPr="00513BCB">
        <w:rPr>
          <w:rFonts w:cs="Times New Roman"/>
          <w:sz w:val="22"/>
          <w:szCs w:val="22"/>
        </w:rPr>
        <w:t>Smart and Petra Nordqvist in their empirical research on donor conception highlight how families try to create a sense of belonging, connectedness and bonding, ‘in the face of an increasingly unsympathetic popular culture that emphasises the predominance of genetic links.’</w:t>
      </w:r>
      <w:r w:rsidR="00C47A15" w:rsidRPr="00513BCB">
        <w:rPr>
          <w:rStyle w:val="FootnoteReference"/>
          <w:rFonts w:cs="Times New Roman"/>
          <w:sz w:val="22"/>
          <w:szCs w:val="22"/>
        </w:rPr>
        <w:footnoteReference w:id="112"/>
      </w:r>
      <w:r w:rsidR="00C47A15" w:rsidRPr="00513BCB">
        <w:rPr>
          <w:rFonts w:cs="Times New Roman"/>
          <w:sz w:val="22"/>
          <w:szCs w:val="22"/>
        </w:rPr>
        <w:t xml:space="preserve"> </w:t>
      </w:r>
      <w:r w:rsidR="00C47A15" w:rsidRPr="00513BCB">
        <w:rPr>
          <w:sz w:val="22"/>
          <w:szCs w:val="22"/>
        </w:rPr>
        <w:t>This research reveals that the concept of the gene, the modern day version of ‘blood’ ties,</w:t>
      </w:r>
      <w:r w:rsidR="00C47A15" w:rsidRPr="00513BCB">
        <w:rPr>
          <w:rStyle w:val="FootnoteReference"/>
          <w:sz w:val="22"/>
          <w:szCs w:val="22"/>
        </w:rPr>
        <w:footnoteReference w:id="113"/>
      </w:r>
      <w:r w:rsidR="00C47A15" w:rsidRPr="00513BCB">
        <w:rPr>
          <w:sz w:val="22"/>
          <w:szCs w:val="22"/>
        </w:rPr>
        <w:t xml:space="preserve"> is now</w:t>
      </w:r>
      <w:r w:rsidR="00C47A15" w:rsidRPr="00513BCB">
        <w:rPr>
          <w:bCs/>
          <w:sz w:val="22"/>
          <w:szCs w:val="22"/>
        </w:rPr>
        <w:t xml:space="preserve"> routinely invoked when talking about family relationships, reproduction and children. Yet, they also discovered that ‘what genes do is not terribly clear in people’s thinking…genes both matter a great deal and yet do not really matter at all.’ </w:t>
      </w:r>
      <w:r w:rsidR="00C47A15" w:rsidRPr="00513BCB">
        <w:rPr>
          <w:rStyle w:val="FootnoteReference"/>
          <w:bCs/>
          <w:sz w:val="22"/>
          <w:szCs w:val="22"/>
        </w:rPr>
        <w:footnoteReference w:id="114"/>
      </w:r>
      <w:r w:rsidR="00C47A15" w:rsidRPr="00513BCB">
        <w:rPr>
          <w:bCs/>
          <w:sz w:val="22"/>
          <w:szCs w:val="22"/>
        </w:rPr>
        <w:t xml:space="preserve"> Indeed, a</w:t>
      </w:r>
      <w:r w:rsidR="00C47A15" w:rsidRPr="00513BCB">
        <w:rPr>
          <w:sz w:val="22"/>
          <w:szCs w:val="22"/>
        </w:rPr>
        <w:t xml:space="preserve">s Nikolas Rose observed in 2007, ‘[t]he brute reductionism of much of the genomics of the closing decades of the 20th century already seems old-fashioned…” </w:t>
      </w:r>
      <w:r w:rsidR="00C47A15" w:rsidRPr="00513BCB">
        <w:rPr>
          <w:rStyle w:val="FootnoteReference"/>
          <w:sz w:val="22"/>
          <w:szCs w:val="22"/>
        </w:rPr>
        <w:footnoteReference w:id="115"/>
      </w:r>
      <w:r w:rsidR="00C47A15" w:rsidRPr="00513BCB">
        <w:rPr>
          <w:sz w:val="22"/>
          <w:szCs w:val="22"/>
        </w:rPr>
        <w:t xml:space="preserve"> </w:t>
      </w:r>
    </w:p>
    <w:p w14:paraId="291302C6" w14:textId="77777777" w:rsidR="00C47A15" w:rsidRPr="00513BCB" w:rsidRDefault="00C47A15" w:rsidP="004D3080">
      <w:pPr>
        <w:spacing w:line="360" w:lineRule="auto"/>
        <w:jc w:val="both"/>
        <w:rPr>
          <w:sz w:val="22"/>
          <w:szCs w:val="22"/>
        </w:rPr>
      </w:pPr>
    </w:p>
    <w:p w14:paraId="294D939C" w14:textId="5F0F7285" w:rsidR="00EA5E2C" w:rsidRPr="00513BCB" w:rsidRDefault="00EA5E2C" w:rsidP="004D3080">
      <w:pPr>
        <w:spacing w:after="57" w:line="360" w:lineRule="auto"/>
        <w:ind w:left="-5"/>
        <w:jc w:val="both"/>
        <w:rPr>
          <w:sz w:val="22"/>
          <w:szCs w:val="22"/>
        </w:rPr>
      </w:pPr>
      <w:r w:rsidRPr="00513BCB">
        <w:rPr>
          <w:sz w:val="22"/>
          <w:szCs w:val="22"/>
        </w:rPr>
        <w:t xml:space="preserve">In my context of secret births, the father </w:t>
      </w:r>
      <w:r w:rsidR="001E04AC" w:rsidRPr="00513BCB">
        <w:rPr>
          <w:sz w:val="22"/>
          <w:szCs w:val="22"/>
        </w:rPr>
        <w:t>may be unaware of</w:t>
      </w:r>
      <w:r w:rsidRPr="00513BCB">
        <w:rPr>
          <w:sz w:val="22"/>
          <w:szCs w:val="22"/>
        </w:rPr>
        <w:t xml:space="preserve"> the</w:t>
      </w:r>
      <w:r w:rsidR="001E04AC" w:rsidRPr="00513BCB">
        <w:rPr>
          <w:sz w:val="22"/>
          <w:szCs w:val="22"/>
        </w:rPr>
        <w:t xml:space="preserve"> child’s</w:t>
      </w:r>
      <w:r w:rsidRPr="00513BCB">
        <w:rPr>
          <w:sz w:val="22"/>
          <w:szCs w:val="22"/>
        </w:rPr>
        <w:t xml:space="preserve"> existence, and the child </w:t>
      </w:r>
      <w:r w:rsidR="001405D6" w:rsidRPr="00513BCB">
        <w:rPr>
          <w:sz w:val="22"/>
          <w:szCs w:val="22"/>
        </w:rPr>
        <w:t xml:space="preserve">is unlikely to have full knowledge of his or her parentage. </w:t>
      </w:r>
      <w:r w:rsidR="00F87C31" w:rsidRPr="00513BCB">
        <w:rPr>
          <w:sz w:val="22"/>
          <w:szCs w:val="22"/>
        </w:rPr>
        <w:t>P</w:t>
      </w:r>
      <w:r w:rsidRPr="00513BCB">
        <w:rPr>
          <w:sz w:val="22"/>
          <w:szCs w:val="22"/>
        </w:rPr>
        <w:t xml:space="preserve">erpetuating genetic and biological views of what constitutes a child’s identity right pits the child against a woman who wishes not to reveal </w:t>
      </w:r>
      <w:r w:rsidR="00E37B6E" w:rsidRPr="00513BCB">
        <w:rPr>
          <w:sz w:val="22"/>
          <w:szCs w:val="22"/>
        </w:rPr>
        <w:t xml:space="preserve">her own </w:t>
      </w:r>
      <w:r w:rsidR="00F87C31" w:rsidRPr="00513BCB">
        <w:rPr>
          <w:sz w:val="22"/>
          <w:szCs w:val="22"/>
        </w:rPr>
        <w:t xml:space="preserve">identity </w:t>
      </w:r>
      <w:r w:rsidR="00E37B6E" w:rsidRPr="00513BCB">
        <w:rPr>
          <w:sz w:val="22"/>
          <w:szCs w:val="22"/>
        </w:rPr>
        <w:t xml:space="preserve">and/or </w:t>
      </w:r>
      <w:r w:rsidRPr="00513BCB">
        <w:rPr>
          <w:sz w:val="22"/>
          <w:szCs w:val="22"/>
        </w:rPr>
        <w:t>the identity of the father</w:t>
      </w:r>
      <w:r w:rsidR="00DC65E8" w:rsidRPr="00513BCB">
        <w:rPr>
          <w:sz w:val="22"/>
          <w:szCs w:val="22"/>
        </w:rPr>
        <w:t>. It</w:t>
      </w:r>
      <w:r w:rsidRPr="00513BCB">
        <w:rPr>
          <w:sz w:val="22"/>
          <w:szCs w:val="22"/>
        </w:rPr>
        <w:t xml:space="preserve"> </w:t>
      </w:r>
      <w:r w:rsidR="001E04AC" w:rsidRPr="00513BCB">
        <w:rPr>
          <w:sz w:val="22"/>
          <w:szCs w:val="22"/>
        </w:rPr>
        <w:t xml:space="preserve">also </w:t>
      </w:r>
      <w:r w:rsidRPr="00513BCB">
        <w:rPr>
          <w:sz w:val="22"/>
          <w:szCs w:val="22"/>
        </w:rPr>
        <w:t>risks making the adopted child</w:t>
      </w:r>
      <w:r w:rsidR="00F87C31" w:rsidRPr="00513BCB">
        <w:rPr>
          <w:sz w:val="22"/>
          <w:szCs w:val="22"/>
        </w:rPr>
        <w:t xml:space="preserve">, who might </w:t>
      </w:r>
      <w:r w:rsidR="00F87C31" w:rsidRPr="00513BCB">
        <w:rPr>
          <w:sz w:val="22"/>
          <w:szCs w:val="22"/>
        </w:rPr>
        <w:lastRenderedPageBreak/>
        <w:t>otherwise have been content,</w:t>
      </w:r>
      <w:r w:rsidRPr="00513BCB">
        <w:rPr>
          <w:sz w:val="22"/>
          <w:szCs w:val="22"/>
        </w:rPr>
        <w:t xml:space="preserve"> feel he or she is living an inauthentic life, and that </w:t>
      </w:r>
      <w:r w:rsidR="00F87C31" w:rsidRPr="00513BCB">
        <w:rPr>
          <w:sz w:val="22"/>
          <w:szCs w:val="22"/>
        </w:rPr>
        <w:t>his or her</w:t>
      </w:r>
      <w:r w:rsidRPr="00513BCB">
        <w:rPr>
          <w:sz w:val="22"/>
          <w:szCs w:val="22"/>
        </w:rPr>
        <w:t xml:space="preserve"> right to identity is being contravened and damaged in some way. It could also be used, not only to argue for revelation of this information, but to make the woman feel her decision</w:t>
      </w:r>
      <w:r w:rsidR="00F87C31" w:rsidRPr="00513BCB">
        <w:rPr>
          <w:sz w:val="22"/>
          <w:szCs w:val="22"/>
        </w:rPr>
        <w:t xml:space="preserve"> to relinquish a child</w:t>
      </w:r>
      <w:r w:rsidRPr="00513BCB">
        <w:rPr>
          <w:sz w:val="22"/>
          <w:szCs w:val="22"/>
        </w:rPr>
        <w:t xml:space="preserve"> is inauthentic</w:t>
      </w:r>
      <w:r w:rsidR="00F87C31" w:rsidRPr="00513BCB">
        <w:rPr>
          <w:sz w:val="22"/>
          <w:szCs w:val="22"/>
        </w:rPr>
        <w:t xml:space="preserve"> and</w:t>
      </w:r>
      <w:r w:rsidRPr="00513BCB">
        <w:rPr>
          <w:sz w:val="22"/>
          <w:szCs w:val="22"/>
        </w:rPr>
        <w:t xml:space="preserve"> impermissible. </w:t>
      </w:r>
      <w:r w:rsidR="00DC65E8" w:rsidRPr="00513BCB">
        <w:rPr>
          <w:sz w:val="22"/>
          <w:szCs w:val="22"/>
        </w:rPr>
        <w:t>Th</w:t>
      </w:r>
      <w:r w:rsidR="00F87C31" w:rsidRPr="00513BCB">
        <w:rPr>
          <w:sz w:val="22"/>
          <w:szCs w:val="22"/>
        </w:rPr>
        <w:t xml:space="preserve">e </w:t>
      </w:r>
      <w:r w:rsidR="00DC65E8" w:rsidRPr="00513BCB">
        <w:rPr>
          <w:sz w:val="22"/>
          <w:szCs w:val="22"/>
        </w:rPr>
        <w:t xml:space="preserve">law </w:t>
      </w:r>
      <w:r w:rsidR="00F87C31" w:rsidRPr="00513BCB">
        <w:rPr>
          <w:sz w:val="22"/>
          <w:szCs w:val="22"/>
        </w:rPr>
        <w:t xml:space="preserve">could, </w:t>
      </w:r>
      <w:r w:rsidR="00DC65E8" w:rsidRPr="00513BCB">
        <w:rPr>
          <w:sz w:val="22"/>
          <w:szCs w:val="22"/>
        </w:rPr>
        <w:t>and should</w:t>
      </w:r>
      <w:r w:rsidR="00706844" w:rsidRPr="00513BCB">
        <w:rPr>
          <w:sz w:val="22"/>
          <w:szCs w:val="22"/>
        </w:rPr>
        <w:t>,</w:t>
      </w:r>
      <w:r w:rsidR="00DC65E8" w:rsidRPr="00513BCB">
        <w:rPr>
          <w:sz w:val="22"/>
          <w:szCs w:val="22"/>
        </w:rPr>
        <w:t xml:space="preserve"> </w:t>
      </w:r>
      <w:r w:rsidR="00F87C31" w:rsidRPr="00513BCB">
        <w:rPr>
          <w:sz w:val="22"/>
          <w:szCs w:val="22"/>
        </w:rPr>
        <w:t xml:space="preserve">instead </w:t>
      </w:r>
      <w:r w:rsidR="00DC65E8" w:rsidRPr="00513BCB">
        <w:rPr>
          <w:sz w:val="22"/>
          <w:szCs w:val="22"/>
        </w:rPr>
        <w:t>enable everyone</w:t>
      </w:r>
      <w:r w:rsidR="00057A1F" w:rsidRPr="00513BCB">
        <w:rPr>
          <w:sz w:val="22"/>
          <w:szCs w:val="22"/>
        </w:rPr>
        <w:t xml:space="preserve"> </w:t>
      </w:r>
      <w:r w:rsidR="00DC65E8" w:rsidRPr="00513BCB">
        <w:rPr>
          <w:sz w:val="22"/>
          <w:szCs w:val="22"/>
        </w:rPr>
        <w:t xml:space="preserve">to be safe, </w:t>
      </w:r>
      <w:r w:rsidR="00706844" w:rsidRPr="00513BCB">
        <w:rPr>
          <w:sz w:val="22"/>
          <w:szCs w:val="22"/>
        </w:rPr>
        <w:t>well</w:t>
      </w:r>
      <w:r w:rsidR="00DC65E8" w:rsidRPr="00513BCB">
        <w:rPr>
          <w:sz w:val="22"/>
          <w:szCs w:val="22"/>
        </w:rPr>
        <w:t xml:space="preserve">, </w:t>
      </w:r>
      <w:r w:rsidR="00057A1F" w:rsidRPr="00513BCB">
        <w:rPr>
          <w:sz w:val="22"/>
          <w:szCs w:val="22"/>
        </w:rPr>
        <w:t xml:space="preserve">and </w:t>
      </w:r>
      <w:r w:rsidR="00706844" w:rsidRPr="00513BCB">
        <w:rPr>
          <w:sz w:val="22"/>
          <w:szCs w:val="22"/>
        </w:rPr>
        <w:t>enabled to have a</w:t>
      </w:r>
      <w:r w:rsidR="00DC65E8" w:rsidRPr="00513BCB">
        <w:rPr>
          <w:sz w:val="22"/>
          <w:szCs w:val="22"/>
        </w:rPr>
        <w:t xml:space="preserve"> private life</w:t>
      </w:r>
      <w:r w:rsidR="00057A1F" w:rsidRPr="00513BCB">
        <w:rPr>
          <w:sz w:val="22"/>
          <w:szCs w:val="22"/>
        </w:rPr>
        <w:t xml:space="preserve"> through the provision of care</w:t>
      </w:r>
      <w:r w:rsidR="003C0903" w:rsidRPr="00513BCB">
        <w:rPr>
          <w:sz w:val="22"/>
          <w:szCs w:val="22"/>
        </w:rPr>
        <w:t xml:space="preserve"> and</w:t>
      </w:r>
      <w:r w:rsidR="00057A1F" w:rsidRPr="00513BCB">
        <w:rPr>
          <w:sz w:val="22"/>
          <w:szCs w:val="22"/>
        </w:rPr>
        <w:t xml:space="preserve"> support</w:t>
      </w:r>
      <w:r w:rsidR="003C0903" w:rsidRPr="00513BCB">
        <w:rPr>
          <w:sz w:val="22"/>
          <w:szCs w:val="22"/>
        </w:rPr>
        <w:t xml:space="preserve">. </w:t>
      </w:r>
      <w:r w:rsidR="00057A1F" w:rsidRPr="00513BCB">
        <w:rPr>
          <w:sz w:val="22"/>
          <w:szCs w:val="22"/>
        </w:rPr>
        <w:t xml:space="preserve"> </w:t>
      </w:r>
      <w:r w:rsidR="003C0903" w:rsidRPr="00513BCB">
        <w:rPr>
          <w:sz w:val="22"/>
          <w:szCs w:val="22"/>
        </w:rPr>
        <w:t xml:space="preserve">This could encourage </w:t>
      </w:r>
      <w:r w:rsidR="00057A1F" w:rsidRPr="00513BCB">
        <w:rPr>
          <w:sz w:val="22"/>
          <w:szCs w:val="22"/>
        </w:rPr>
        <w:t>a sense of belonging for both birth giver and children born secretly</w:t>
      </w:r>
      <w:r w:rsidR="00DC65E8" w:rsidRPr="00513BCB">
        <w:rPr>
          <w:sz w:val="22"/>
          <w:szCs w:val="22"/>
        </w:rPr>
        <w:t>.</w:t>
      </w:r>
    </w:p>
    <w:p w14:paraId="1631D9F2" w14:textId="77777777" w:rsidR="004F783F" w:rsidRPr="00513BCB" w:rsidRDefault="004F783F" w:rsidP="004D3080">
      <w:pPr>
        <w:pStyle w:val="BodyText"/>
        <w:spacing w:line="360" w:lineRule="auto"/>
        <w:rPr>
          <w:rFonts w:asciiTheme="minorHAnsi" w:hAnsiTheme="minorHAnsi"/>
          <w:sz w:val="22"/>
          <w:szCs w:val="22"/>
        </w:rPr>
      </w:pPr>
    </w:p>
    <w:p w14:paraId="45E71E09" w14:textId="2E62ADAF" w:rsidR="002624E4" w:rsidRPr="00513BCB" w:rsidRDefault="003D1C3B" w:rsidP="007C6A1D">
      <w:pPr>
        <w:widowControl w:val="0"/>
        <w:autoSpaceDE w:val="0"/>
        <w:autoSpaceDN w:val="0"/>
        <w:adjustRightInd w:val="0"/>
        <w:spacing w:line="360" w:lineRule="auto"/>
        <w:jc w:val="both"/>
        <w:outlineLvl w:val="0"/>
        <w:rPr>
          <w:b/>
          <w:i/>
          <w:sz w:val="22"/>
          <w:szCs w:val="22"/>
        </w:rPr>
      </w:pPr>
      <w:r w:rsidRPr="00513BCB">
        <w:rPr>
          <w:b/>
          <w:i/>
          <w:sz w:val="22"/>
          <w:szCs w:val="22"/>
        </w:rPr>
        <w:t>Care and belonging f</w:t>
      </w:r>
      <w:r w:rsidR="008D77F9" w:rsidRPr="00513BCB">
        <w:rPr>
          <w:b/>
          <w:i/>
          <w:sz w:val="22"/>
          <w:szCs w:val="22"/>
        </w:rPr>
        <w:t xml:space="preserve">or the </w:t>
      </w:r>
      <w:r w:rsidR="00F87C31" w:rsidRPr="00513BCB">
        <w:rPr>
          <w:b/>
          <w:i/>
          <w:sz w:val="22"/>
          <w:szCs w:val="22"/>
        </w:rPr>
        <w:t>b</w:t>
      </w:r>
      <w:r w:rsidR="008D77F9" w:rsidRPr="00513BCB">
        <w:rPr>
          <w:b/>
          <w:i/>
          <w:sz w:val="22"/>
          <w:szCs w:val="22"/>
        </w:rPr>
        <w:t>irth</w:t>
      </w:r>
      <w:r w:rsidR="00706844" w:rsidRPr="00513BCB">
        <w:rPr>
          <w:b/>
          <w:i/>
          <w:sz w:val="22"/>
          <w:szCs w:val="22"/>
        </w:rPr>
        <w:t xml:space="preserve"> </w:t>
      </w:r>
      <w:r w:rsidR="008D77F9" w:rsidRPr="00513BCB">
        <w:rPr>
          <w:b/>
          <w:i/>
          <w:sz w:val="22"/>
          <w:szCs w:val="22"/>
        </w:rPr>
        <w:t xml:space="preserve">giver </w:t>
      </w:r>
    </w:p>
    <w:p w14:paraId="0637B563" w14:textId="01891234" w:rsidR="00C2673F" w:rsidRPr="00513BCB" w:rsidRDefault="009E4685" w:rsidP="00F35101">
      <w:pPr>
        <w:pStyle w:val="NormalWeb"/>
        <w:spacing w:line="360" w:lineRule="auto"/>
        <w:jc w:val="both"/>
      </w:pPr>
      <w:r w:rsidRPr="00513BCB">
        <w:rPr>
          <w:sz w:val="22"/>
          <w:szCs w:val="22"/>
        </w:rPr>
        <w:t xml:space="preserve">The ideology of motherhood constructs maternity and motherhood in terms of connection, physically and emotionally, </w:t>
      </w:r>
      <w:r w:rsidR="003D1C3B" w:rsidRPr="00513BCB">
        <w:rPr>
          <w:sz w:val="22"/>
          <w:szCs w:val="22"/>
        </w:rPr>
        <w:t xml:space="preserve">to the child </w:t>
      </w:r>
      <w:r w:rsidRPr="00513BCB">
        <w:rPr>
          <w:sz w:val="22"/>
          <w:szCs w:val="22"/>
        </w:rPr>
        <w:t xml:space="preserve">and in ways </w:t>
      </w:r>
      <w:r w:rsidR="002F662E" w:rsidRPr="00513BCB">
        <w:rPr>
          <w:sz w:val="22"/>
          <w:szCs w:val="22"/>
        </w:rPr>
        <w:t>that can</w:t>
      </w:r>
      <w:r w:rsidRPr="00513BCB">
        <w:rPr>
          <w:sz w:val="22"/>
          <w:szCs w:val="22"/>
        </w:rPr>
        <w:t xml:space="preserve"> constrain women’s choices.</w:t>
      </w:r>
      <w:r w:rsidRPr="00513BCB">
        <w:rPr>
          <w:rStyle w:val="FootnoteReference"/>
          <w:sz w:val="22"/>
          <w:szCs w:val="22"/>
        </w:rPr>
        <w:footnoteReference w:id="116"/>
      </w:r>
      <w:r w:rsidRPr="00513BCB">
        <w:rPr>
          <w:sz w:val="22"/>
          <w:szCs w:val="22"/>
        </w:rPr>
        <w:t xml:space="preserve"> </w:t>
      </w:r>
      <w:r w:rsidR="00E65B72" w:rsidRPr="00513BCB">
        <w:rPr>
          <w:sz w:val="22"/>
          <w:szCs w:val="22"/>
        </w:rPr>
        <w:t>This affects</w:t>
      </w:r>
      <w:r w:rsidR="003E14A8" w:rsidRPr="00513BCB">
        <w:rPr>
          <w:sz w:val="22"/>
          <w:szCs w:val="22"/>
        </w:rPr>
        <w:t xml:space="preserve"> </w:t>
      </w:r>
      <w:r w:rsidRPr="00513BCB">
        <w:rPr>
          <w:sz w:val="22"/>
          <w:szCs w:val="22"/>
        </w:rPr>
        <w:t xml:space="preserve">interpretations of </w:t>
      </w:r>
      <w:r w:rsidR="00E65B72" w:rsidRPr="00513BCB">
        <w:rPr>
          <w:sz w:val="22"/>
          <w:szCs w:val="22"/>
        </w:rPr>
        <w:t xml:space="preserve">permissible </w:t>
      </w:r>
      <w:r w:rsidRPr="00513BCB">
        <w:rPr>
          <w:sz w:val="22"/>
          <w:szCs w:val="22"/>
        </w:rPr>
        <w:t>identities</w:t>
      </w:r>
      <w:r w:rsidR="00706844" w:rsidRPr="00513BCB">
        <w:rPr>
          <w:sz w:val="22"/>
          <w:szCs w:val="22"/>
        </w:rPr>
        <w:t xml:space="preserve"> </w:t>
      </w:r>
      <w:r w:rsidR="00E65B72" w:rsidRPr="00513BCB">
        <w:rPr>
          <w:sz w:val="22"/>
          <w:szCs w:val="22"/>
        </w:rPr>
        <w:t>as these are</w:t>
      </w:r>
      <w:r w:rsidRPr="00513BCB">
        <w:rPr>
          <w:sz w:val="22"/>
          <w:szCs w:val="22"/>
        </w:rPr>
        <w:t xml:space="preserve"> created in part by the attitudes of society</w:t>
      </w:r>
      <w:r w:rsidR="00E65B72" w:rsidRPr="00513BCB">
        <w:rPr>
          <w:sz w:val="22"/>
          <w:szCs w:val="22"/>
        </w:rPr>
        <w:t xml:space="preserve">, </w:t>
      </w:r>
      <w:r w:rsidR="003E14A8" w:rsidRPr="00513BCB">
        <w:rPr>
          <w:sz w:val="22"/>
          <w:szCs w:val="22"/>
        </w:rPr>
        <w:t xml:space="preserve">our </w:t>
      </w:r>
      <w:r w:rsidRPr="00513BCB">
        <w:rPr>
          <w:sz w:val="22"/>
          <w:szCs w:val="22"/>
        </w:rPr>
        <w:t xml:space="preserve">communities and the laws </w:t>
      </w:r>
      <w:r w:rsidR="00AA3FC9" w:rsidRPr="00513BCB">
        <w:rPr>
          <w:sz w:val="22"/>
          <w:szCs w:val="22"/>
        </w:rPr>
        <w:t xml:space="preserve">under </w:t>
      </w:r>
      <w:r w:rsidRPr="00513BCB">
        <w:rPr>
          <w:sz w:val="22"/>
          <w:szCs w:val="22"/>
        </w:rPr>
        <w:t xml:space="preserve">which </w:t>
      </w:r>
      <w:r w:rsidR="00AA3FC9" w:rsidRPr="00513BCB">
        <w:rPr>
          <w:sz w:val="22"/>
          <w:szCs w:val="22"/>
        </w:rPr>
        <w:t xml:space="preserve">we </w:t>
      </w:r>
      <w:r w:rsidRPr="00513BCB">
        <w:rPr>
          <w:sz w:val="22"/>
          <w:szCs w:val="22"/>
        </w:rPr>
        <w:t>live.</w:t>
      </w:r>
      <w:r w:rsidR="003D1C3B" w:rsidRPr="00513BCB">
        <w:rPr>
          <w:bCs/>
          <w:iCs/>
          <w:sz w:val="22"/>
          <w:szCs w:val="22"/>
        </w:rPr>
        <w:t xml:space="preserve"> </w:t>
      </w:r>
      <w:r w:rsidR="00706844" w:rsidRPr="00513BCB">
        <w:rPr>
          <w:sz w:val="22"/>
          <w:szCs w:val="22"/>
        </w:rPr>
        <w:t>B</w:t>
      </w:r>
      <w:r w:rsidR="00E40C55" w:rsidRPr="00513BCB">
        <w:rPr>
          <w:sz w:val="22"/>
          <w:szCs w:val="22"/>
        </w:rPr>
        <w:t>iology and love are assumed as natural</w:t>
      </w:r>
      <w:r w:rsidR="003C0903" w:rsidRPr="00513BCB">
        <w:rPr>
          <w:sz w:val="22"/>
          <w:szCs w:val="22"/>
        </w:rPr>
        <w:t>ly connected</w:t>
      </w:r>
      <w:r w:rsidR="00E40C55" w:rsidRPr="00513BCB">
        <w:rPr>
          <w:sz w:val="22"/>
          <w:szCs w:val="22"/>
        </w:rPr>
        <w:t>; blood and genes interlinked in the construction of maternal behaviour.</w:t>
      </w:r>
      <w:r w:rsidR="00E40C55" w:rsidRPr="00513BCB">
        <w:rPr>
          <w:rStyle w:val="FootnoteReference"/>
          <w:sz w:val="22"/>
          <w:szCs w:val="22"/>
        </w:rPr>
        <w:footnoteReference w:id="117"/>
      </w:r>
      <w:r w:rsidR="00E40C55" w:rsidRPr="00513BCB">
        <w:rPr>
          <w:sz w:val="22"/>
          <w:szCs w:val="22"/>
        </w:rPr>
        <w:t xml:space="preserve"> </w:t>
      </w:r>
      <w:r w:rsidR="00706844" w:rsidRPr="00513BCB">
        <w:rPr>
          <w:sz w:val="22"/>
          <w:szCs w:val="22"/>
        </w:rPr>
        <w:t>Many therefore</w:t>
      </w:r>
      <w:r w:rsidR="00E40C55" w:rsidRPr="00513BCB">
        <w:rPr>
          <w:sz w:val="22"/>
          <w:szCs w:val="22"/>
        </w:rPr>
        <w:t xml:space="preserve"> find it hard to understand that there </w:t>
      </w:r>
      <w:r w:rsidR="00D66855" w:rsidRPr="00513BCB">
        <w:rPr>
          <w:sz w:val="22"/>
          <w:szCs w:val="22"/>
        </w:rPr>
        <w:t xml:space="preserve">are </w:t>
      </w:r>
      <w:r w:rsidR="00E40C55" w:rsidRPr="00513BCB">
        <w:rPr>
          <w:sz w:val="22"/>
          <w:szCs w:val="22"/>
        </w:rPr>
        <w:t>girls and women who become pregnant, remain pregnant, give birth and wish to relinquish the baby</w:t>
      </w:r>
      <w:r w:rsidR="00E65B72" w:rsidRPr="00513BCB">
        <w:rPr>
          <w:sz w:val="22"/>
          <w:szCs w:val="22"/>
        </w:rPr>
        <w:t>, often in almost complete secrecy</w:t>
      </w:r>
      <w:r w:rsidR="00C2673F" w:rsidRPr="00513BCB">
        <w:rPr>
          <w:sz w:val="22"/>
          <w:szCs w:val="22"/>
        </w:rPr>
        <w:t xml:space="preserve"> and want to prevent that from happening</w:t>
      </w:r>
      <w:r w:rsidR="00E40C55" w:rsidRPr="00513BCB">
        <w:rPr>
          <w:sz w:val="22"/>
          <w:szCs w:val="22"/>
        </w:rPr>
        <w:t>.</w:t>
      </w:r>
      <w:r w:rsidR="00683698" w:rsidRPr="00513BCB">
        <w:rPr>
          <w:rStyle w:val="FootnoteReference"/>
          <w:sz w:val="22"/>
          <w:szCs w:val="22"/>
        </w:rPr>
        <w:footnoteReference w:id="118"/>
      </w:r>
      <w:r w:rsidR="00C2673F" w:rsidRPr="00513BCB">
        <w:rPr>
          <w:sz w:val="22"/>
          <w:szCs w:val="22"/>
        </w:rPr>
        <w:t xml:space="preserve"> </w:t>
      </w:r>
      <w:r w:rsidR="000A5A54" w:rsidRPr="00513BCB">
        <w:rPr>
          <w:sz w:val="22"/>
          <w:szCs w:val="22"/>
        </w:rPr>
        <w:t xml:space="preserve">For example, </w:t>
      </w:r>
      <w:r w:rsidR="005118D3" w:rsidRPr="00513BCB">
        <w:rPr>
          <w:sz w:val="22"/>
          <w:szCs w:val="22"/>
        </w:rPr>
        <w:t xml:space="preserve">as mentioned in Part 1, </w:t>
      </w:r>
      <w:r w:rsidR="000A5A54" w:rsidRPr="00513BCB">
        <w:rPr>
          <w:sz w:val="22"/>
          <w:szCs w:val="22"/>
        </w:rPr>
        <w:t>t</w:t>
      </w:r>
      <w:r w:rsidR="00C2673F" w:rsidRPr="00513BCB">
        <w:rPr>
          <w:sz w:val="22"/>
          <w:szCs w:val="22"/>
        </w:rPr>
        <w:t xml:space="preserve">he </w:t>
      </w:r>
      <w:r w:rsidR="00506E6E" w:rsidRPr="00513BCB">
        <w:rPr>
          <w:sz w:val="22"/>
          <w:szCs w:val="22"/>
        </w:rPr>
        <w:t xml:space="preserve">Child </w:t>
      </w:r>
      <w:r w:rsidR="00C2673F" w:rsidRPr="00513BCB">
        <w:rPr>
          <w:sz w:val="22"/>
          <w:szCs w:val="22"/>
        </w:rPr>
        <w:t>Abandonment Project</w:t>
      </w:r>
      <w:r w:rsidR="005118D3" w:rsidRPr="00513BCB">
        <w:rPr>
          <w:sz w:val="22"/>
          <w:szCs w:val="22"/>
        </w:rPr>
        <w:t xml:space="preserve"> </w:t>
      </w:r>
      <w:r w:rsidR="00C2673F" w:rsidRPr="00513BCB">
        <w:rPr>
          <w:sz w:val="22"/>
          <w:szCs w:val="22"/>
        </w:rPr>
        <w:t>states that</w:t>
      </w:r>
      <w:r w:rsidR="005118D3" w:rsidRPr="00513BCB">
        <w:rPr>
          <w:sz w:val="22"/>
          <w:szCs w:val="22"/>
        </w:rPr>
        <w:t xml:space="preserve"> ‘abandoning a child violates Article 7 of the CRC’ and that</w:t>
      </w:r>
      <w:r w:rsidR="00C2673F" w:rsidRPr="00513BCB">
        <w:rPr>
          <w:sz w:val="22"/>
          <w:szCs w:val="22"/>
        </w:rPr>
        <w:t xml:space="preserve"> their</w:t>
      </w:r>
      <w:r w:rsidR="00C2673F" w:rsidRPr="00513BCB">
        <w:rPr>
          <w:sz w:val="22"/>
          <w:szCs w:val="22"/>
          <w:shd w:val="clear" w:color="auto" w:fill="FFFFFF"/>
        </w:rPr>
        <w:t xml:space="preserve"> ‘…findings give some indication as to reasons why babies and infants may be given up for adoption in the UK. However, a lot more research is needed to explore this area in more detail, to allow us to learn more about why babies are placed for adoption and, therefore, to be able to work towards preventing this from happening.’</w:t>
      </w:r>
      <w:r w:rsidR="00C2673F" w:rsidRPr="00513BCB">
        <w:rPr>
          <w:rStyle w:val="FootnoteReference"/>
          <w:sz w:val="22"/>
          <w:szCs w:val="22"/>
          <w:shd w:val="clear" w:color="auto" w:fill="FFFFFF"/>
        </w:rPr>
        <w:footnoteReference w:id="119"/>
      </w:r>
      <w:r w:rsidR="00C2673F" w:rsidRPr="00513BCB">
        <w:rPr>
          <w:sz w:val="22"/>
          <w:szCs w:val="22"/>
          <w:shd w:val="clear" w:color="auto" w:fill="FFFFFF"/>
        </w:rPr>
        <w:t xml:space="preserve"> </w:t>
      </w:r>
      <w:r w:rsidR="00C2673F" w:rsidRPr="00513BCB">
        <w:rPr>
          <w:sz w:val="288"/>
          <w:szCs w:val="288"/>
          <w:shd w:val="clear" w:color="auto" w:fill="FFFFFF"/>
        </w:rPr>
        <w:t xml:space="preserve"> </w:t>
      </w:r>
    </w:p>
    <w:p w14:paraId="3EC1B3BC" w14:textId="77777777" w:rsidR="003D1C3B" w:rsidRPr="00513BCB" w:rsidRDefault="003D1C3B" w:rsidP="004D3080">
      <w:pPr>
        <w:widowControl w:val="0"/>
        <w:autoSpaceDE w:val="0"/>
        <w:autoSpaceDN w:val="0"/>
        <w:adjustRightInd w:val="0"/>
        <w:spacing w:line="360" w:lineRule="auto"/>
        <w:jc w:val="both"/>
        <w:rPr>
          <w:rFonts w:cs="Times New Roman"/>
          <w:color w:val="000000" w:themeColor="text1"/>
          <w:sz w:val="22"/>
          <w:szCs w:val="22"/>
        </w:rPr>
      </w:pPr>
    </w:p>
    <w:p w14:paraId="7D327985" w14:textId="6C01B8B7" w:rsidR="00683698" w:rsidRPr="00513BCB" w:rsidRDefault="009E4685" w:rsidP="004D3080">
      <w:pPr>
        <w:spacing w:line="360" w:lineRule="auto"/>
        <w:jc w:val="both"/>
        <w:rPr>
          <w:rFonts w:eastAsia="Times New Roman" w:cs="Times New Roman"/>
          <w:color w:val="404040"/>
          <w:sz w:val="22"/>
          <w:szCs w:val="22"/>
          <w:shd w:val="clear" w:color="auto" w:fill="FFFFFF"/>
          <w:lang w:val="en-GB"/>
        </w:rPr>
      </w:pPr>
      <w:r w:rsidRPr="00513BCB">
        <w:rPr>
          <w:rFonts w:cs="Times New Roman"/>
          <w:color w:val="000000" w:themeColor="text1"/>
          <w:sz w:val="22"/>
          <w:szCs w:val="22"/>
        </w:rPr>
        <w:lastRenderedPageBreak/>
        <w:t>The use of the word ‘abandonment’</w:t>
      </w:r>
      <w:r w:rsidR="00E8009B" w:rsidRPr="00513BCB">
        <w:rPr>
          <w:rFonts w:cs="Times New Roman"/>
          <w:color w:val="000000" w:themeColor="text1"/>
          <w:sz w:val="22"/>
          <w:szCs w:val="22"/>
        </w:rPr>
        <w:t xml:space="preserve"> to describe some of these cases</w:t>
      </w:r>
      <w:r w:rsidRPr="00513BCB">
        <w:rPr>
          <w:rFonts w:cs="Times New Roman"/>
          <w:color w:val="000000" w:themeColor="text1"/>
          <w:sz w:val="22"/>
          <w:szCs w:val="22"/>
        </w:rPr>
        <w:t xml:space="preserve"> indicates </w:t>
      </w:r>
      <w:r w:rsidR="00246B77" w:rsidRPr="00513BCB">
        <w:rPr>
          <w:rFonts w:cs="Times New Roman"/>
          <w:color w:val="000000" w:themeColor="text1"/>
          <w:sz w:val="22"/>
          <w:szCs w:val="22"/>
        </w:rPr>
        <w:t xml:space="preserve">a lack of sympathy for birth givers </w:t>
      </w:r>
      <w:r w:rsidRPr="00513BCB">
        <w:rPr>
          <w:rFonts w:cs="Times New Roman"/>
          <w:color w:val="000000" w:themeColor="text1"/>
          <w:sz w:val="22"/>
          <w:szCs w:val="22"/>
        </w:rPr>
        <w:t xml:space="preserve">– </w:t>
      </w:r>
      <w:r w:rsidR="00E65B72" w:rsidRPr="00513BCB">
        <w:rPr>
          <w:rFonts w:cs="Times New Roman"/>
          <w:color w:val="000000" w:themeColor="text1"/>
          <w:sz w:val="22"/>
          <w:szCs w:val="22"/>
        </w:rPr>
        <w:t>it assume</w:t>
      </w:r>
      <w:r w:rsidR="00246B77" w:rsidRPr="00513BCB">
        <w:rPr>
          <w:rFonts w:cs="Times New Roman"/>
          <w:color w:val="000000" w:themeColor="text1"/>
          <w:sz w:val="22"/>
          <w:szCs w:val="22"/>
        </w:rPr>
        <w:t>s</w:t>
      </w:r>
      <w:r w:rsidRPr="00513BCB">
        <w:rPr>
          <w:rFonts w:cs="Times New Roman"/>
          <w:color w:val="000000" w:themeColor="text1"/>
          <w:sz w:val="22"/>
          <w:szCs w:val="22"/>
        </w:rPr>
        <w:t xml:space="preserve"> </w:t>
      </w:r>
      <w:r w:rsidR="00246B77" w:rsidRPr="00513BCB">
        <w:rPr>
          <w:rFonts w:cs="Times New Roman"/>
          <w:color w:val="000000" w:themeColor="text1"/>
          <w:sz w:val="22"/>
          <w:szCs w:val="22"/>
        </w:rPr>
        <w:t xml:space="preserve">that </w:t>
      </w:r>
      <w:r w:rsidRPr="00513BCB">
        <w:rPr>
          <w:rFonts w:cs="Times New Roman"/>
          <w:color w:val="000000" w:themeColor="text1"/>
          <w:sz w:val="22"/>
          <w:szCs w:val="22"/>
        </w:rPr>
        <w:t>the child’s welfare will be damaged</w:t>
      </w:r>
      <w:r w:rsidR="00246B77" w:rsidRPr="00513BCB">
        <w:rPr>
          <w:rFonts w:cs="Times New Roman"/>
          <w:color w:val="000000" w:themeColor="text1"/>
          <w:sz w:val="22"/>
          <w:szCs w:val="22"/>
        </w:rPr>
        <w:t xml:space="preserve"> by relinquishment</w:t>
      </w:r>
      <w:r w:rsidRPr="00513BCB">
        <w:rPr>
          <w:rFonts w:cs="Times New Roman"/>
          <w:color w:val="000000" w:themeColor="text1"/>
          <w:sz w:val="22"/>
          <w:szCs w:val="22"/>
        </w:rPr>
        <w:t>.</w:t>
      </w:r>
      <w:r w:rsidRPr="00513BCB">
        <w:rPr>
          <w:rStyle w:val="FootnoteReference"/>
          <w:rFonts w:cs="Times New Roman"/>
          <w:color w:val="000000" w:themeColor="text1"/>
          <w:sz w:val="22"/>
          <w:szCs w:val="22"/>
        </w:rPr>
        <w:footnoteReference w:id="120"/>
      </w:r>
      <w:r w:rsidRPr="00513BCB">
        <w:rPr>
          <w:rFonts w:cs="Times New Roman"/>
          <w:color w:val="000000" w:themeColor="text1"/>
          <w:sz w:val="22"/>
          <w:szCs w:val="22"/>
        </w:rPr>
        <w:t xml:space="preserve"> </w:t>
      </w:r>
      <w:r w:rsidR="00513E1F" w:rsidRPr="00513BCB">
        <w:rPr>
          <w:rFonts w:cs="Times New Roman"/>
          <w:color w:val="000000" w:themeColor="text1"/>
          <w:sz w:val="22"/>
          <w:szCs w:val="22"/>
        </w:rPr>
        <w:t xml:space="preserve"> </w:t>
      </w:r>
      <w:r w:rsidR="00683698" w:rsidRPr="00513BCB">
        <w:rPr>
          <w:rFonts w:cs="Times New Roman"/>
          <w:color w:val="000000" w:themeColor="text1"/>
          <w:sz w:val="22"/>
          <w:szCs w:val="22"/>
        </w:rPr>
        <w:t>Media reporting of criminal abandonment show</w:t>
      </w:r>
      <w:r w:rsidR="00E8009B" w:rsidRPr="00513BCB">
        <w:rPr>
          <w:rFonts w:cs="Times New Roman"/>
          <w:color w:val="000000" w:themeColor="text1"/>
          <w:sz w:val="22"/>
          <w:szCs w:val="22"/>
        </w:rPr>
        <w:t>s</w:t>
      </w:r>
      <w:r w:rsidR="00683698" w:rsidRPr="00513BCB">
        <w:rPr>
          <w:rFonts w:cs="Times New Roman"/>
          <w:color w:val="000000" w:themeColor="text1"/>
          <w:sz w:val="22"/>
          <w:szCs w:val="22"/>
        </w:rPr>
        <w:t xml:space="preserve"> a mixture of attitudes. For example, i</w:t>
      </w:r>
      <w:r w:rsidR="00513E1F" w:rsidRPr="00513BCB">
        <w:rPr>
          <w:rFonts w:cs="Arial"/>
          <w:sz w:val="22"/>
          <w:szCs w:val="22"/>
        </w:rPr>
        <w:t>n</w:t>
      </w:r>
      <w:r w:rsidR="008D77F9" w:rsidRPr="00513BCB">
        <w:rPr>
          <w:sz w:val="22"/>
          <w:szCs w:val="22"/>
        </w:rPr>
        <w:t xml:space="preserve"> 2016, a woman was convicted in London for abandonment after being discovered </w:t>
      </w:r>
      <w:r w:rsidR="00506E6E" w:rsidRPr="00513BCB">
        <w:rPr>
          <w:sz w:val="22"/>
          <w:szCs w:val="22"/>
        </w:rPr>
        <w:t xml:space="preserve">six </w:t>
      </w:r>
      <w:r w:rsidR="008D77F9" w:rsidRPr="00513BCB">
        <w:rPr>
          <w:sz w:val="22"/>
          <w:szCs w:val="22"/>
        </w:rPr>
        <w:t xml:space="preserve">years after the event through DNA evidence on another case: the ‘genetic truth’ catches out the criminal woman. The headline in the English tabloid press was disparaging: ‘How Could She? </w:t>
      </w:r>
      <w:r w:rsidR="008D77F9" w:rsidRPr="00513BCB">
        <w:rPr>
          <w:color w:val="232327"/>
          <w:sz w:val="22"/>
          <w:szCs w:val="22"/>
        </w:rPr>
        <w:t xml:space="preserve">Mum who abandoned newborn baby on freezing doorstep in Tesco carrier bag is caught six years on by DNA evidence from fraud case.’ </w:t>
      </w:r>
      <w:r w:rsidR="008D77F9" w:rsidRPr="00513BCB">
        <w:rPr>
          <w:rStyle w:val="FootnoteReference"/>
          <w:rFonts w:cs="Arial"/>
          <w:sz w:val="22"/>
          <w:szCs w:val="22"/>
        </w:rPr>
        <w:footnoteReference w:id="121"/>
      </w:r>
      <w:r w:rsidR="008D77F9" w:rsidRPr="00513BCB">
        <w:rPr>
          <w:rFonts w:eastAsia="Times New Roman" w:cs="Times New Roman"/>
          <w:color w:val="232327"/>
          <w:sz w:val="22"/>
          <w:szCs w:val="22"/>
        </w:rPr>
        <w:t xml:space="preserve"> </w:t>
      </w:r>
      <w:r w:rsidR="00A42576" w:rsidRPr="00513BCB">
        <w:rPr>
          <w:rFonts w:eastAsia="Times New Roman" w:cs="Times New Roman"/>
          <w:color w:val="232327"/>
          <w:sz w:val="22"/>
          <w:szCs w:val="22"/>
        </w:rPr>
        <w:t>By contrast, reports of other abandonments show sympathy towards the birth giver’s situation as</w:t>
      </w:r>
      <w:r w:rsidR="008D77F9" w:rsidRPr="00513BCB">
        <w:rPr>
          <w:rFonts w:cs="Times"/>
          <w:color w:val="1A1A1A"/>
          <w:sz w:val="22"/>
          <w:szCs w:val="22"/>
        </w:rPr>
        <w:t xml:space="preserve"> happened recently in September 2017 in </w:t>
      </w:r>
      <w:r w:rsidR="00246B77" w:rsidRPr="00513BCB">
        <w:rPr>
          <w:rFonts w:cs="Times"/>
          <w:color w:val="1A1A1A"/>
          <w:sz w:val="22"/>
          <w:szCs w:val="22"/>
        </w:rPr>
        <w:t>E</w:t>
      </w:r>
      <w:r w:rsidR="008D77F9" w:rsidRPr="00513BCB">
        <w:rPr>
          <w:rFonts w:cs="Times"/>
          <w:color w:val="1A1A1A"/>
          <w:sz w:val="22"/>
          <w:szCs w:val="22"/>
        </w:rPr>
        <w:t>ast London. A baby,</w:t>
      </w:r>
      <w:r w:rsidR="008D77F9" w:rsidRPr="00513BCB">
        <w:rPr>
          <w:rFonts w:eastAsia="Times New Roman" w:cs="Times New Roman"/>
          <w:color w:val="404040"/>
          <w:sz w:val="22"/>
          <w:szCs w:val="22"/>
          <w:shd w:val="clear" w:color="auto" w:fill="FFFFFF"/>
          <w:lang w:val="en-GB"/>
        </w:rPr>
        <w:t xml:space="preserve"> named Harry by medical staff, was found wrapped in a white blanket in a bush</w:t>
      </w:r>
      <w:r w:rsidR="00C959D0" w:rsidRPr="00513BCB">
        <w:rPr>
          <w:rFonts w:eastAsia="Times New Roman" w:cs="Times New Roman"/>
          <w:color w:val="404040"/>
          <w:sz w:val="22"/>
          <w:szCs w:val="22"/>
          <w:shd w:val="clear" w:color="auto" w:fill="FFFFFF"/>
          <w:lang w:val="en-GB"/>
        </w:rPr>
        <w:t xml:space="preserve"> with coverage urging the birth giver to come forward for help and reconciliation</w:t>
      </w:r>
      <w:r w:rsidR="008D77F9" w:rsidRPr="00513BCB">
        <w:rPr>
          <w:rFonts w:eastAsia="Times New Roman" w:cs="Times New Roman"/>
          <w:color w:val="404040"/>
          <w:sz w:val="22"/>
          <w:szCs w:val="22"/>
          <w:shd w:val="clear" w:color="auto" w:fill="FFFFFF"/>
          <w:lang w:val="en-GB"/>
        </w:rPr>
        <w:t>.</w:t>
      </w:r>
      <w:r w:rsidR="00683698" w:rsidRPr="00513BCB">
        <w:rPr>
          <w:rStyle w:val="FootnoteReference"/>
          <w:rFonts w:cs="Arial"/>
          <w:sz w:val="22"/>
          <w:szCs w:val="22"/>
        </w:rPr>
        <w:t xml:space="preserve"> </w:t>
      </w:r>
      <w:r w:rsidR="00683698" w:rsidRPr="00513BCB">
        <w:rPr>
          <w:rStyle w:val="FootnoteReference"/>
          <w:rFonts w:cs="Arial"/>
          <w:sz w:val="22"/>
          <w:szCs w:val="22"/>
        </w:rPr>
        <w:footnoteReference w:id="122"/>
      </w:r>
      <w:r w:rsidR="00683698" w:rsidRPr="00513BCB">
        <w:rPr>
          <w:rStyle w:val="FootnoteReference"/>
          <w:rFonts w:cs="Arial"/>
          <w:sz w:val="22"/>
          <w:szCs w:val="22"/>
        </w:rPr>
        <w:t xml:space="preserve">   </w:t>
      </w:r>
    </w:p>
    <w:p w14:paraId="3F1B5898" w14:textId="77777777" w:rsidR="00C2673F" w:rsidRPr="00513BCB" w:rsidRDefault="00C2673F" w:rsidP="00C2673F">
      <w:pPr>
        <w:spacing w:line="360" w:lineRule="auto"/>
        <w:jc w:val="both"/>
        <w:rPr>
          <w:rFonts w:cs="Times"/>
          <w:sz w:val="22"/>
          <w:szCs w:val="22"/>
        </w:rPr>
      </w:pPr>
    </w:p>
    <w:p w14:paraId="32B94EFB" w14:textId="52B0E3AA" w:rsidR="00C2673F" w:rsidRPr="00513BCB" w:rsidRDefault="007B63C0" w:rsidP="00C2673F">
      <w:pPr>
        <w:spacing w:line="360" w:lineRule="auto"/>
        <w:jc w:val="both"/>
        <w:rPr>
          <w:sz w:val="22"/>
          <w:szCs w:val="22"/>
        </w:rPr>
      </w:pPr>
      <w:r w:rsidRPr="00513BCB">
        <w:rPr>
          <w:rFonts w:cs="Times"/>
          <w:sz w:val="22"/>
          <w:szCs w:val="22"/>
        </w:rPr>
        <w:t>Indeed, w</w:t>
      </w:r>
      <w:r w:rsidR="00C2673F" w:rsidRPr="00513BCB">
        <w:rPr>
          <w:rFonts w:cs="Times"/>
          <w:sz w:val="22"/>
          <w:szCs w:val="22"/>
        </w:rPr>
        <w:t>hen a</w:t>
      </w:r>
      <w:r w:rsidR="00C2673F" w:rsidRPr="00513BCB">
        <w:rPr>
          <w:rFonts w:cs="Times New Roman"/>
          <w:color w:val="000000" w:themeColor="text1"/>
          <w:sz w:val="22"/>
          <w:szCs w:val="22"/>
        </w:rPr>
        <w:t xml:space="preserve"> girl or woman who voluntarily relinquishes her child frames her decision in terms of the child’s welfare, this can be perceived as acceptable. In such circumstances, the acts of the ‘sacrificial mother’ are permitted, seen as good for the child, allowing the child to have a better life.</w:t>
      </w:r>
      <w:r w:rsidR="00C2673F" w:rsidRPr="00513BCB">
        <w:rPr>
          <w:rStyle w:val="FootnoteReference"/>
          <w:rFonts w:cs="Times New Roman"/>
          <w:color w:val="000000" w:themeColor="text1"/>
          <w:sz w:val="22"/>
          <w:szCs w:val="22"/>
        </w:rPr>
        <w:footnoteReference w:id="123"/>
      </w:r>
      <w:r w:rsidR="00C2673F" w:rsidRPr="00513BCB">
        <w:rPr>
          <w:rFonts w:cs="Times New Roman"/>
          <w:color w:val="000000" w:themeColor="text1"/>
          <w:sz w:val="22"/>
          <w:szCs w:val="22"/>
        </w:rPr>
        <w:t xml:space="preserve"> This birth giver is an object of sympathy. Alternatively, the act may be seen to be one of self</w:t>
      </w:r>
      <w:r w:rsidR="00A147A1" w:rsidRPr="00513BCB">
        <w:rPr>
          <w:rFonts w:cs="Times New Roman"/>
          <w:color w:val="000000" w:themeColor="text1"/>
          <w:sz w:val="22"/>
          <w:szCs w:val="22"/>
        </w:rPr>
        <w:t>-</w:t>
      </w:r>
      <w:r w:rsidR="00C2673F" w:rsidRPr="00513BCB">
        <w:rPr>
          <w:rFonts w:cs="Times New Roman"/>
          <w:color w:val="000000" w:themeColor="text1"/>
          <w:sz w:val="22"/>
          <w:szCs w:val="22"/>
        </w:rPr>
        <w:t xml:space="preserve">betrayal and personal disintegration: this is reflected in phrases like ‘you will regret that later’ or ‘it is not natural’, which send a message that her actions are against her true self and that they are inauthentic. So the act is acceptable if perceived to be in the child’s best interests, but selfish and irresponsible if explained as a woman’s ‘choice’. </w:t>
      </w:r>
    </w:p>
    <w:p w14:paraId="70F13813" w14:textId="77777777" w:rsidR="008D77F9" w:rsidRPr="00513BCB" w:rsidRDefault="008D77F9" w:rsidP="004D3080">
      <w:pPr>
        <w:spacing w:line="360" w:lineRule="auto"/>
        <w:jc w:val="both"/>
        <w:rPr>
          <w:rFonts w:cs="Times New Roman"/>
          <w:color w:val="000000" w:themeColor="text1"/>
          <w:sz w:val="22"/>
          <w:szCs w:val="22"/>
        </w:rPr>
      </w:pPr>
    </w:p>
    <w:p w14:paraId="49F8646C" w14:textId="6DD2A298" w:rsidR="00C959D0" w:rsidRPr="00513BCB" w:rsidRDefault="00C958C6" w:rsidP="004D3080">
      <w:pPr>
        <w:spacing w:line="360" w:lineRule="auto"/>
        <w:jc w:val="both"/>
        <w:rPr>
          <w:rFonts w:cs="Times New Roman"/>
          <w:color w:val="000000" w:themeColor="text1"/>
          <w:sz w:val="22"/>
          <w:szCs w:val="22"/>
        </w:rPr>
      </w:pPr>
      <w:r w:rsidRPr="00513BCB">
        <w:rPr>
          <w:sz w:val="22"/>
          <w:szCs w:val="22"/>
        </w:rPr>
        <w:t>Girls and women voluntarily relinquish for complex and manifold reasons.</w:t>
      </w:r>
      <w:r w:rsidRPr="00513BCB">
        <w:rPr>
          <w:rFonts w:cs="Times New Roman"/>
          <w:color w:val="000000" w:themeColor="text1"/>
          <w:sz w:val="22"/>
          <w:szCs w:val="22"/>
        </w:rPr>
        <w:t xml:space="preserve"> </w:t>
      </w:r>
      <w:r w:rsidR="008D77F9" w:rsidRPr="00513BCB">
        <w:rPr>
          <w:rFonts w:cs="Times New Roman"/>
          <w:color w:val="000000" w:themeColor="text1"/>
          <w:sz w:val="22"/>
          <w:szCs w:val="22"/>
        </w:rPr>
        <w:t>Many</w:t>
      </w:r>
      <w:r w:rsidR="003D1C3B" w:rsidRPr="00513BCB">
        <w:rPr>
          <w:rFonts w:cs="Times New Roman"/>
          <w:color w:val="000000" w:themeColor="text1"/>
          <w:sz w:val="22"/>
          <w:szCs w:val="22"/>
        </w:rPr>
        <w:t xml:space="preserve">, like Arden LJ in </w:t>
      </w:r>
      <w:r w:rsidR="003D1C3B" w:rsidRPr="00513BCB">
        <w:rPr>
          <w:rFonts w:cs="Times New Roman"/>
          <w:i/>
          <w:color w:val="000000" w:themeColor="text1"/>
          <w:sz w:val="22"/>
          <w:szCs w:val="22"/>
        </w:rPr>
        <w:t>Re C</w:t>
      </w:r>
      <w:r w:rsidR="003D1C3B" w:rsidRPr="00513BCB">
        <w:rPr>
          <w:rFonts w:cs="Times New Roman"/>
          <w:color w:val="000000" w:themeColor="text1"/>
          <w:sz w:val="22"/>
          <w:szCs w:val="22"/>
        </w:rPr>
        <w:t xml:space="preserve">, </w:t>
      </w:r>
      <w:r w:rsidR="003E14A8" w:rsidRPr="00513BCB">
        <w:rPr>
          <w:rFonts w:cs="Times New Roman"/>
          <w:color w:val="000000" w:themeColor="text1"/>
          <w:sz w:val="22"/>
          <w:szCs w:val="22"/>
        </w:rPr>
        <w:t xml:space="preserve">understandably </w:t>
      </w:r>
      <w:r w:rsidR="008D77F9" w:rsidRPr="00513BCB">
        <w:rPr>
          <w:rFonts w:cs="Times New Roman"/>
          <w:color w:val="000000" w:themeColor="text1"/>
          <w:sz w:val="22"/>
          <w:szCs w:val="22"/>
        </w:rPr>
        <w:t>often as</w:t>
      </w:r>
      <w:r w:rsidR="000A5A54" w:rsidRPr="00513BCB">
        <w:rPr>
          <w:rFonts w:cs="Times New Roman"/>
          <w:color w:val="000000" w:themeColor="text1"/>
          <w:sz w:val="22"/>
          <w:szCs w:val="22"/>
        </w:rPr>
        <w:t>s</w:t>
      </w:r>
      <w:r w:rsidR="008D77F9" w:rsidRPr="00513BCB">
        <w:rPr>
          <w:rFonts w:cs="Times New Roman"/>
          <w:color w:val="000000" w:themeColor="text1"/>
          <w:sz w:val="22"/>
          <w:szCs w:val="22"/>
        </w:rPr>
        <w:t xml:space="preserve">ume that if a girl or woman does not want a child and becomes pregnant, she will </w:t>
      </w:r>
      <w:r w:rsidR="00E65B72" w:rsidRPr="00513BCB">
        <w:rPr>
          <w:rFonts w:cs="Times New Roman"/>
          <w:color w:val="000000" w:themeColor="text1"/>
          <w:sz w:val="22"/>
          <w:szCs w:val="22"/>
        </w:rPr>
        <w:t xml:space="preserve">now </w:t>
      </w:r>
      <w:r w:rsidR="008D77F9" w:rsidRPr="00513BCB">
        <w:rPr>
          <w:rFonts w:cs="Times New Roman"/>
          <w:color w:val="000000" w:themeColor="text1"/>
          <w:sz w:val="22"/>
          <w:szCs w:val="22"/>
        </w:rPr>
        <w:t>have a termination.</w:t>
      </w:r>
      <w:r w:rsidR="008D77F9" w:rsidRPr="00513BCB">
        <w:rPr>
          <w:rStyle w:val="FootnoteReference"/>
          <w:rFonts w:cs="Times New Roman"/>
          <w:color w:val="000000" w:themeColor="text1"/>
          <w:sz w:val="22"/>
          <w:szCs w:val="22"/>
        </w:rPr>
        <w:footnoteReference w:id="124"/>
      </w:r>
      <w:r w:rsidR="008D77F9" w:rsidRPr="00513BCB">
        <w:rPr>
          <w:rFonts w:cs="Times New Roman"/>
          <w:color w:val="000000" w:themeColor="text1"/>
          <w:sz w:val="22"/>
          <w:szCs w:val="22"/>
        </w:rPr>
        <w:t xml:space="preserve"> However, empirical research shows that</w:t>
      </w:r>
      <w:r w:rsidR="00E65B72" w:rsidRPr="00513BCB">
        <w:rPr>
          <w:rFonts w:cs="Times New Roman"/>
          <w:color w:val="000000" w:themeColor="text1"/>
          <w:sz w:val="22"/>
          <w:szCs w:val="22"/>
        </w:rPr>
        <w:t>:</w:t>
      </w:r>
      <w:r w:rsidR="008D77F9" w:rsidRPr="00513BCB">
        <w:rPr>
          <w:rFonts w:cs="Times New Roman"/>
          <w:color w:val="000000" w:themeColor="text1"/>
          <w:sz w:val="22"/>
          <w:szCs w:val="22"/>
        </w:rPr>
        <w:t xml:space="preserve"> some girls and women do not seek an abortion for personal, including religious, reasons</w:t>
      </w:r>
      <w:r w:rsidR="00E65B72" w:rsidRPr="00513BCB">
        <w:rPr>
          <w:rFonts w:cs="Times New Roman"/>
          <w:color w:val="000000" w:themeColor="text1"/>
          <w:sz w:val="22"/>
          <w:szCs w:val="22"/>
        </w:rPr>
        <w:t>; s</w:t>
      </w:r>
      <w:r w:rsidR="008D77F9" w:rsidRPr="00513BCB">
        <w:rPr>
          <w:rFonts w:cs="Times New Roman"/>
          <w:color w:val="000000" w:themeColor="text1"/>
          <w:sz w:val="22"/>
          <w:szCs w:val="22"/>
        </w:rPr>
        <w:t>ome cannot obtain an abortion because of legal prohibitions</w:t>
      </w:r>
      <w:r w:rsidR="00E65B72" w:rsidRPr="00513BCB">
        <w:rPr>
          <w:rFonts w:cs="Times New Roman"/>
          <w:color w:val="000000" w:themeColor="text1"/>
          <w:sz w:val="22"/>
          <w:szCs w:val="22"/>
        </w:rPr>
        <w:t>; some</w:t>
      </w:r>
      <w:r w:rsidR="008D77F9" w:rsidRPr="00513BCB">
        <w:rPr>
          <w:rFonts w:cs="Times New Roman"/>
          <w:color w:val="000000" w:themeColor="text1"/>
          <w:sz w:val="22"/>
          <w:szCs w:val="22"/>
        </w:rPr>
        <w:t xml:space="preserve"> may be unaware they are pregnant</w:t>
      </w:r>
      <w:r w:rsidR="00F00152" w:rsidRPr="00513BCB">
        <w:rPr>
          <w:rFonts w:cs="Times New Roman"/>
          <w:color w:val="000000" w:themeColor="text1"/>
          <w:sz w:val="22"/>
          <w:szCs w:val="22"/>
        </w:rPr>
        <w:t>,</w:t>
      </w:r>
      <w:r w:rsidR="008D77F9" w:rsidRPr="00513BCB">
        <w:rPr>
          <w:rFonts w:cs="Times New Roman"/>
          <w:color w:val="000000" w:themeColor="text1"/>
          <w:sz w:val="22"/>
          <w:szCs w:val="22"/>
        </w:rPr>
        <w:t xml:space="preserve"> or only realize </w:t>
      </w:r>
      <w:r w:rsidR="00F00152" w:rsidRPr="00513BCB">
        <w:rPr>
          <w:rFonts w:cs="Times New Roman"/>
          <w:color w:val="000000" w:themeColor="text1"/>
          <w:sz w:val="22"/>
          <w:szCs w:val="22"/>
        </w:rPr>
        <w:t xml:space="preserve">at a stage </w:t>
      </w:r>
      <w:r w:rsidR="008D77F9" w:rsidRPr="00513BCB">
        <w:rPr>
          <w:rFonts w:cs="Times New Roman"/>
          <w:color w:val="000000" w:themeColor="text1"/>
          <w:sz w:val="22"/>
          <w:szCs w:val="22"/>
        </w:rPr>
        <w:t>when an abortion is not legally possible. Others enter into a state of denial</w:t>
      </w:r>
      <w:r w:rsidR="00E65B72" w:rsidRPr="00513BCB">
        <w:rPr>
          <w:rFonts w:cs="Times New Roman"/>
          <w:color w:val="000000" w:themeColor="text1"/>
          <w:sz w:val="22"/>
          <w:szCs w:val="22"/>
        </w:rPr>
        <w:t xml:space="preserve"> or</w:t>
      </w:r>
      <w:r w:rsidR="008D77F9" w:rsidRPr="00513BCB">
        <w:rPr>
          <w:rFonts w:cs="Times New Roman"/>
          <w:color w:val="000000" w:themeColor="text1"/>
          <w:sz w:val="22"/>
          <w:szCs w:val="22"/>
        </w:rPr>
        <w:t xml:space="preserve"> aware of their pregnancy, cannot cope with the steps necessary to terminate.</w:t>
      </w:r>
      <w:r w:rsidR="008D77F9" w:rsidRPr="00513BCB">
        <w:rPr>
          <w:rStyle w:val="FootnoteReference"/>
          <w:rFonts w:cs="Times New Roman"/>
          <w:color w:val="000000" w:themeColor="text1"/>
          <w:sz w:val="22"/>
          <w:szCs w:val="22"/>
        </w:rPr>
        <w:footnoteReference w:id="125"/>
      </w:r>
      <w:r w:rsidR="008D77F9" w:rsidRPr="00513BCB">
        <w:rPr>
          <w:rFonts w:cs="Times New Roman"/>
          <w:color w:val="000000" w:themeColor="text1"/>
          <w:sz w:val="22"/>
          <w:szCs w:val="22"/>
        </w:rPr>
        <w:t xml:space="preserve"> </w:t>
      </w:r>
      <w:r w:rsidRPr="00513BCB">
        <w:rPr>
          <w:sz w:val="22"/>
          <w:szCs w:val="22"/>
        </w:rPr>
        <w:t>The next two sections explore the reasons underpinning relinquishment,</w:t>
      </w:r>
      <w:r w:rsidR="00B852CA" w:rsidRPr="00513BCB">
        <w:rPr>
          <w:rFonts w:cs="Times New Roman"/>
          <w:color w:val="000000" w:themeColor="text1"/>
          <w:sz w:val="22"/>
          <w:szCs w:val="22"/>
        </w:rPr>
        <w:t xml:space="preserve"> suggest</w:t>
      </w:r>
      <w:r w:rsidRPr="00513BCB">
        <w:rPr>
          <w:rFonts w:cs="Times New Roman"/>
          <w:color w:val="000000" w:themeColor="text1"/>
          <w:sz w:val="22"/>
          <w:szCs w:val="22"/>
        </w:rPr>
        <w:t>ing</w:t>
      </w:r>
      <w:r w:rsidR="00B852CA" w:rsidRPr="00513BCB">
        <w:rPr>
          <w:rFonts w:cs="Times New Roman"/>
          <w:color w:val="000000" w:themeColor="text1"/>
          <w:sz w:val="22"/>
          <w:szCs w:val="22"/>
        </w:rPr>
        <w:t xml:space="preserve"> </w:t>
      </w:r>
      <w:r w:rsidRPr="00513BCB">
        <w:rPr>
          <w:rFonts w:cs="Times New Roman"/>
          <w:color w:val="000000" w:themeColor="text1"/>
          <w:sz w:val="22"/>
          <w:szCs w:val="22"/>
        </w:rPr>
        <w:t xml:space="preserve">a potential mixture of </w:t>
      </w:r>
      <w:r w:rsidR="00B852CA" w:rsidRPr="00513BCB">
        <w:rPr>
          <w:rFonts w:cs="Times New Roman"/>
          <w:color w:val="000000" w:themeColor="text1"/>
          <w:sz w:val="22"/>
          <w:szCs w:val="22"/>
        </w:rPr>
        <w:t>vulnerability but also an element of control</w:t>
      </w:r>
      <w:r w:rsidR="00520214" w:rsidRPr="00513BCB">
        <w:rPr>
          <w:rFonts w:cs="Times New Roman"/>
          <w:color w:val="000000" w:themeColor="text1"/>
          <w:sz w:val="22"/>
          <w:szCs w:val="22"/>
        </w:rPr>
        <w:t xml:space="preserve"> on the part of the birth</w:t>
      </w:r>
      <w:r w:rsidR="00706844" w:rsidRPr="00513BCB">
        <w:rPr>
          <w:rFonts w:cs="Times New Roman"/>
          <w:color w:val="000000" w:themeColor="text1"/>
          <w:sz w:val="22"/>
          <w:szCs w:val="22"/>
        </w:rPr>
        <w:t xml:space="preserve"> </w:t>
      </w:r>
      <w:r w:rsidR="00520214" w:rsidRPr="00513BCB">
        <w:rPr>
          <w:rFonts w:cs="Times New Roman"/>
          <w:color w:val="000000" w:themeColor="text1"/>
          <w:sz w:val="22"/>
          <w:szCs w:val="22"/>
        </w:rPr>
        <w:t>giver</w:t>
      </w:r>
      <w:r w:rsidR="00B852CA" w:rsidRPr="00513BCB">
        <w:rPr>
          <w:rFonts w:cs="Times New Roman"/>
          <w:color w:val="000000" w:themeColor="text1"/>
          <w:sz w:val="22"/>
          <w:szCs w:val="22"/>
        </w:rPr>
        <w:t xml:space="preserve">. </w:t>
      </w:r>
    </w:p>
    <w:p w14:paraId="11FD1891" w14:textId="77777777" w:rsidR="004433C0" w:rsidRPr="00513BCB" w:rsidRDefault="004433C0" w:rsidP="004D3080">
      <w:pPr>
        <w:spacing w:line="360" w:lineRule="auto"/>
        <w:jc w:val="both"/>
        <w:rPr>
          <w:rFonts w:cs="Times New Roman"/>
          <w:i/>
          <w:color w:val="000000" w:themeColor="text1"/>
          <w:sz w:val="22"/>
          <w:szCs w:val="22"/>
        </w:rPr>
      </w:pPr>
    </w:p>
    <w:p w14:paraId="2592F63C" w14:textId="486CFB8D" w:rsidR="004433C0" w:rsidRPr="00513BCB" w:rsidRDefault="003E14A8" w:rsidP="007C6A1D">
      <w:pPr>
        <w:spacing w:line="360" w:lineRule="auto"/>
        <w:jc w:val="both"/>
        <w:outlineLvl w:val="0"/>
        <w:rPr>
          <w:rFonts w:cs="Times New Roman"/>
          <w:i/>
          <w:color w:val="000000" w:themeColor="text1"/>
          <w:sz w:val="22"/>
          <w:szCs w:val="22"/>
        </w:rPr>
      </w:pPr>
      <w:r w:rsidRPr="00513BCB">
        <w:rPr>
          <w:rFonts w:cs="Times New Roman"/>
          <w:i/>
          <w:color w:val="000000" w:themeColor="text1"/>
          <w:sz w:val="22"/>
          <w:szCs w:val="22"/>
        </w:rPr>
        <w:t xml:space="preserve">Care through </w:t>
      </w:r>
      <w:r w:rsidR="004433C0" w:rsidRPr="00513BCB">
        <w:rPr>
          <w:rFonts w:cs="Times New Roman"/>
          <w:i/>
          <w:color w:val="000000" w:themeColor="text1"/>
          <w:sz w:val="22"/>
          <w:szCs w:val="22"/>
        </w:rPr>
        <w:t>acknowledging vulnerability and hardship</w:t>
      </w:r>
    </w:p>
    <w:p w14:paraId="103D2B80" w14:textId="4BCAB35D" w:rsidR="00A42576" w:rsidRPr="00513BCB" w:rsidRDefault="009E5718" w:rsidP="00C958C6">
      <w:pPr>
        <w:spacing w:line="360" w:lineRule="auto"/>
        <w:jc w:val="both"/>
        <w:rPr>
          <w:rFonts w:cs="Times New Roman"/>
          <w:sz w:val="22"/>
          <w:szCs w:val="22"/>
        </w:rPr>
      </w:pPr>
      <w:r w:rsidRPr="00513BCB">
        <w:rPr>
          <w:color w:val="000000" w:themeColor="text1"/>
          <w:sz w:val="22"/>
          <w:szCs w:val="22"/>
        </w:rPr>
        <w:t>Judge Greve in</w:t>
      </w:r>
      <w:r w:rsidR="00506E6E" w:rsidRPr="00513BCB">
        <w:rPr>
          <w:color w:val="000000" w:themeColor="text1"/>
          <w:sz w:val="22"/>
          <w:szCs w:val="22"/>
        </w:rPr>
        <w:t xml:space="preserve"> her concurring opinion in</w:t>
      </w:r>
      <w:r w:rsidRPr="00513BCB">
        <w:rPr>
          <w:color w:val="000000" w:themeColor="text1"/>
          <w:sz w:val="22"/>
          <w:szCs w:val="22"/>
        </w:rPr>
        <w:t xml:space="preserve"> </w:t>
      </w:r>
      <w:r w:rsidRPr="00513BCB">
        <w:rPr>
          <w:i/>
          <w:color w:val="000000" w:themeColor="text1"/>
          <w:sz w:val="22"/>
          <w:szCs w:val="22"/>
        </w:rPr>
        <w:t>Odièvre</w:t>
      </w:r>
      <w:r w:rsidRPr="00513BCB">
        <w:rPr>
          <w:color w:val="000000" w:themeColor="text1"/>
          <w:sz w:val="22"/>
          <w:szCs w:val="22"/>
        </w:rPr>
        <w:t xml:space="preserve"> </w:t>
      </w:r>
      <w:r w:rsidR="00706844" w:rsidRPr="00513BCB">
        <w:rPr>
          <w:color w:val="000000" w:themeColor="text1"/>
          <w:sz w:val="22"/>
          <w:szCs w:val="22"/>
        </w:rPr>
        <w:t>alludes to vulnerability in finding no violation of the applicant’s Article 8 right</w:t>
      </w:r>
      <w:r w:rsidR="00E65B72" w:rsidRPr="00513BCB">
        <w:rPr>
          <w:color w:val="000000" w:themeColor="text1"/>
          <w:sz w:val="22"/>
          <w:szCs w:val="22"/>
        </w:rPr>
        <w:t xml:space="preserve">. </w:t>
      </w:r>
      <w:r w:rsidR="00030380" w:rsidRPr="00513BCB">
        <w:rPr>
          <w:color w:val="000000" w:themeColor="text1"/>
          <w:sz w:val="22"/>
          <w:szCs w:val="22"/>
        </w:rPr>
        <w:t xml:space="preserve">She highlights the need for safe and humane medical provision for women in child birth and the primacy of </w:t>
      </w:r>
      <w:r w:rsidR="008A363D" w:rsidRPr="00513BCB">
        <w:rPr>
          <w:color w:val="000000" w:themeColor="text1"/>
          <w:sz w:val="22"/>
          <w:szCs w:val="22"/>
        </w:rPr>
        <w:t>their</w:t>
      </w:r>
      <w:r w:rsidR="00030380" w:rsidRPr="00513BCB">
        <w:rPr>
          <w:color w:val="000000" w:themeColor="text1"/>
          <w:sz w:val="22"/>
          <w:szCs w:val="22"/>
        </w:rPr>
        <w:t xml:space="preserve"> right to life.</w:t>
      </w:r>
      <w:r w:rsidRPr="00513BCB">
        <w:rPr>
          <w:rStyle w:val="FootnoteReference"/>
          <w:color w:val="000000" w:themeColor="text1"/>
          <w:sz w:val="22"/>
          <w:szCs w:val="22"/>
        </w:rPr>
        <w:footnoteReference w:id="126"/>
      </w:r>
      <w:r w:rsidRPr="00513BCB">
        <w:rPr>
          <w:color w:val="000000" w:themeColor="text1"/>
          <w:sz w:val="22"/>
          <w:szCs w:val="22"/>
        </w:rPr>
        <w:t xml:space="preserve"> </w:t>
      </w:r>
      <w:r w:rsidR="00C958C6" w:rsidRPr="00513BCB">
        <w:rPr>
          <w:color w:val="000000" w:themeColor="text1"/>
          <w:sz w:val="22"/>
          <w:szCs w:val="22"/>
        </w:rPr>
        <w:t>Permitting secrecy can thus offer s</w:t>
      </w:r>
      <w:r w:rsidRPr="00513BCB">
        <w:rPr>
          <w:color w:val="000000" w:themeColor="text1"/>
          <w:sz w:val="22"/>
          <w:szCs w:val="22"/>
        </w:rPr>
        <w:t xml:space="preserve">afety and support to those in difficult situations. </w:t>
      </w:r>
      <w:r w:rsidR="00C958C6" w:rsidRPr="00513BCB">
        <w:rPr>
          <w:color w:val="000000" w:themeColor="text1"/>
          <w:sz w:val="22"/>
          <w:szCs w:val="22"/>
        </w:rPr>
        <w:t>The French literature highlights h</w:t>
      </w:r>
      <w:r w:rsidR="004433C0" w:rsidRPr="00513BCB">
        <w:rPr>
          <w:color w:val="000000" w:themeColor="text1"/>
          <w:sz w:val="22"/>
          <w:szCs w:val="22"/>
        </w:rPr>
        <w:t xml:space="preserve">ardships of various kinds </w:t>
      </w:r>
      <w:r w:rsidR="00706844" w:rsidRPr="00513BCB">
        <w:rPr>
          <w:color w:val="000000" w:themeColor="text1"/>
          <w:sz w:val="22"/>
          <w:szCs w:val="22"/>
        </w:rPr>
        <w:t>and the</w:t>
      </w:r>
      <w:r w:rsidR="00C958C6" w:rsidRPr="00513BCB">
        <w:rPr>
          <w:color w:val="000000" w:themeColor="text1"/>
          <w:sz w:val="22"/>
          <w:szCs w:val="22"/>
        </w:rPr>
        <w:t xml:space="preserve"> potential for relinquishment to</w:t>
      </w:r>
      <w:r w:rsidR="00706844" w:rsidRPr="00513BCB">
        <w:rPr>
          <w:color w:val="000000" w:themeColor="text1"/>
          <w:sz w:val="22"/>
          <w:szCs w:val="22"/>
        </w:rPr>
        <w:t xml:space="preserve"> alleviat</w:t>
      </w:r>
      <w:r w:rsidR="00C958C6" w:rsidRPr="00513BCB">
        <w:rPr>
          <w:color w:val="000000" w:themeColor="text1"/>
          <w:sz w:val="22"/>
          <w:szCs w:val="22"/>
        </w:rPr>
        <w:t>e</w:t>
      </w:r>
      <w:r w:rsidR="00706844" w:rsidRPr="00513BCB">
        <w:rPr>
          <w:color w:val="000000" w:themeColor="text1"/>
          <w:sz w:val="22"/>
          <w:szCs w:val="22"/>
        </w:rPr>
        <w:t xml:space="preserve"> distress</w:t>
      </w:r>
      <w:r w:rsidR="004433C0" w:rsidRPr="00513BCB">
        <w:rPr>
          <w:color w:val="000000" w:themeColor="text1"/>
          <w:sz w:val="22"/>
          <w:szCs w:val="22"/>
        </w:rPr>
        <w:t>.</w:t>
      </w:r>
      <w:r w:rsidR="004433C0" w:rsidRPr="00513BCB">
        <w:rPr>
          <w:rStyle w:val="FootnoteReference"/>
          <w:sz w:val="22"/>
          <w:szCs w:val="22"/>
        </w:rPr>
        <w:footnoteReference w:id="127"/>
      </w:r>
      <w:r w:rsidR="004433C0" w:rsidRPr="00513BCB">
        <w:rPr>
          <w:sz w:val="22"/>
          <w:szCs w:val="22"/>
        </w:rPr>
        <w:t xml:space="preserve"> </w:t>
      </w:r>
      <w:r w:rsidR="00B852CA" w:rsidRPr="00513BCB">
        <w:rPr>
          <w:sz w:val="22"/>
          <w:szCs w:val="22"/>
        </w:rPr>
        <w:t>Evidence was presented by the French government of three main categories of women giv</w:t>
      </w:r>
      <w:r w:rsidR="00E65B72" w:rsidRPr="00513BCB">
        <w:rPr>
          <w:sz w:val="22"/>
          <w:szCs w:val="22"/>
        </w:rPr>
        <w:t>ing</w:t>
      </w:r>
      <w:r w:rsidR="00B852CA" w:rsidRPr="00513BCB">
        <w:rPr>
          <w:sz w:val="22"/>
          <w:szCs w:val="22"/>
        </w:rPr>
        <w:t xml:space="preserve"> birth anonymously: young women who were not yet independent; young women still living with parents in Muslim families originally from North African or Sub-Saharan African societies in which pregnancy outside marriage was a great dishonour; and isolated women with financial difficulties, some the victims of domestic violence. Reasons for seeking confidentiality sometimes included rape or incest.</w:t>
      </w:r>
      <w:r w:rsidR="00B852CA" w:rsidRPr="00513BCB">
        <w:rPr>
          <w:rStyle w:val="FootnoteReference"/>
          <w:sz w:val="22"/>
          <w:szCs w:val="22"/>
        </w:rPr>
        <w:footnoteReference w:id="128"/>
      </w:r>
      <w:r w:rsidR="00C958C6" w:rsidRPr="00513BCB">
        <w:rPr>
          <w:rFonts w:cs="Times New Roman"/>
          <w:sz w:val="22"/>
          <w:szCs w:val="22"/>
        </w:rPr>
        <w:t xml:space="preserve"> </w:t>
      </w:r>
    </w:p>
    <w:p w14:paraId="5850B90F" w14:textId="77777777" w:rsidR="00A42576" w:rsidRPr="00513BCB" w:rsidRDefault="00A42576" w:rsidP="00C958C6">
      <w:pPr>
        <w:spacing w:line="360" w:lineRule="auto"/>
        <w:jc w:val="both"/>
        <w:rPr>
          <w:rFonts w:cs="Times New Roman"/>
          <w:sz w:val="22"/>
          <w:szCs w:val="22"/>
        </w:rPr>
      </w:pPr>
    </w:p>
    <w:p w14:paraId="37189648" w14:textId="3A4FC430" w:rsidR="00B852CA" w:rsidRPr="00513BCB" w:rsidRDefault="00C958C6" w:rsidP="00C958C6">
      <w:pPr>
        <w:spacing w:line="360" w:lineRule="auto"/>
        <w:jc w:val="both"/>
        <w:rPr>
          <w:sz w:val="22"/>
          <w:szCs w:val="22"/>
        </w:rPr>
      </w:pPr>
      <w:r w:rsidRPr="00513BCB">
        <w:rPr>
          <w:rFonts w:cs="Times New Roman"/>
          <w:sz w:val="22"/>
          <w:szCs w:val="22"/>
        </w:rPr>
        <w:t>Cases such as these reflect the feminist insight that, w</w:t>
      </w:r>
      <w:r w:rsidRPr="00513BCB">
        <w:rPr>
          <w:rFonts w:cs="Times New Roman"/>
          <w:bCs/>
          <w:iCs/>
          <w:sz w:val="22"/>
          <w:szCs w:val="22"/>
        </w:rPr>
        <w:t>hilst bringing joy and happiness to many,</w:t>
      </w:r>
      <w:r w:rsidRPr="00513BCB">
        <w:rPr>
          <w:rFonts w:cs="Times New Roman"/>
          <w:sz w:val="22"/>
          <w:szCs w:val="22"/>
        </w:rPr>
        <w:t xml:space="preserve"> the family unit can be a structure of oppression and great harm.</w:t>
      </w:r>
      <w:r w:rsidRPr="00513BCB">
        <w:rPr>
          <w:rStyle w:val="FootnoteReference"/>
          <w:rFonts w:cs="Times New Roman"/>
          <w:sz w:val="22"/>
          <w:szCs w:val="22"/>
        </w:rPr>
        <w:footnoteReference w:id="129"/>
      </w:r>
    </w:p>
    <w:p w14:paraId="7EFC905D" w14:textId="1A6894B4" w:rsidR="004433C0" w:rsidRPr="00513BCB" w:rsidRDefault="004433C0" w:rsidP="004D3080">
      <w:pPr>
        <w:spacing w:line="360" w:lineRule="auto"/>
        <w:jc w:val="both"/>
        <w:rPr>
          <w:rFonts w:cs="Times New Roman"/>
          <w:color w:val="000000" w:themeColor="text1"/>
          <w:sz w:val="22"/>
          <w:szCs w:val="22"/>
        </w:rPr>
      </w:pPr>
    </w:p>
    <w:p w14:paraId="1C82CC58" w14:textId="0E6619E2" w:rsidR="00B852CA" w:rsidRPr="00513BCB" w:rsidRDefault="00B852CA" w:rsidP="004D3080">
      <w:pPr>
        <w:spacing w:line="360" w:lineRule="auto"/>
        <w:jc w:val="both"/>
        <w:rPr>
          <w:sz w:val="22"/>
          <w:szCs w:val="22"/>
        </w:rPr>
      </w:pPr>
      <w:r w:rsidRPr="00513BCB">
        <w:rPr>
          <w:sz w:val="22"/>
          <w:szCs w:val="22"/>
        </w:rPr>
        <w:t xml:space="preserve">The issue of ‘honour’ is </w:t>
      </w:r>
      <w:r w:rsidR="00C958C6" w:rsidRPr="00513BCB">
        <w:rPr>
          <w:sz w:val="22"/>
          <w:szCs w:val="22"/>
        </w:rPr>
        <w:t xml:space="preserve">also </w:t>
      </w:r>
      <w:r w:rsidRPr="00513BCB">
        <w:rPr>
          <w:sz w:val="22"/>
          <w:szCs w:val="22"/>
        </w:rPr>
        <w:t>raised in Julie Selwyn’s research in the UK</w:t>
      </w:r>
      <w:r w:rsidR="00F00152" w:rsidRPr="00513BCB">
        <w:rPr>
          <w:sz w:val="22"/>
          <w:szCs w:val="22"/>
        </w:rPr>
        <w:t xml:space="preserve">, which </w:t>
      </w:r>
      <w:r w:rsidRPr="00513BCB">
        <w:rPr>
          <w:sz w:val="22"/>
          <w:szCs w:val="22"/>
        </w:rPr>
        <w:t>conclude</w:t>
      </w:r>
      <w:r w:rsidR="00F00152" w:rsidRPr="00513BCB">
        <w:rPr>
          <w:sz w:val="22"/>
          <w:szCs w:val="22"/>
        </w:rPr>
        <w:t>d</w:t>
      </w:r>
      <w:r w:rsidRPr="00513BCB">
        <w:rPr>
          <w:sz w:val="22"/>
          <w:szCs w:val="22"/>
        </w:rPr>
        <w:t xml:space="preserve"> that </w:t>
      </w:r>
      <w:r w:rsidR="00F00152" w:rsidRPr="00513BCB">
        <w:rPr>
          <w:sz w:val="22"/>
          <w:szCs w:val="22"/>
        </w:rPr>
        <w:t>the concept of family honour ‘izzat’ played a significant part in decisions by Asian birth</w:t>
      </w:r>
      <w:r w:rsidR="00E65B72" w:rsidRPr="00513BCB">
        <w:rPr>
          <w:sz w:val="22"/>
          <w:szCs w:val="22"/>
        </w:rPr>
        <w:t xml:space="preserve"> </w:t>
      </w:r>
      <w:r w:rsidR="00F00152" w:rsidRPr="00513BCB">
        <w:rPr>
          <w:sz w:val="22"/>
          <w:szCs w:val="22"/>
        </w:rPr>
        <w:t>givers to relinquish their</w:t>
      </w:r>
      <w:r w:rsidRPr="00513BCB">
        <w:rPr>
          <w:sz w:val="22"/>
          <w:szCs w:val="22"/>
        </w:rPr>
        <w:t xml:space="preserve"> babies</w:t>
      </w:r>
      <w:r w:rsidR="00F00152" w:rsidRPr="00513BCB">
        <w:rPr>
          <w:sz w:val="22"/>
          <w:szCs w:val="22"/>
        </w:rPr>
        <w:t>; it was noted that the mothers often expressed fear for their lives.</w:t>
      </w:r>
      <w:r w:rsidR="00F00152" w:rsidRPr="00513BCB">
        <w:rPr>
          <w:rStyle w:val="FootnoteReference"/>
          <w:sz w:val="22"/>
          <w:szCs w:val="22"/>
        </w:rPr>
        <w:footnoteReference w:id="130"/>
      </w:r>
      <w:r w:rsidR="00F00152" w:rsidRPr="00513BCB">
        <w:rPr>
          <w:sz w:val="22"/>
          <w:szCs w:val="22"/>
        </w:rPr>
        <w:t>.</w:t>
      </w:r>
      <w:r w:rsidR="00204C23" w:rsidRPr="00513BCB">
        <w:rPr>
          <w:sz w:val="22"/>
          <w:szCs w:val="22"/>
        </w:rPr>
        <w:t xml:space="preserve"> Selwyn and her co-authors analyse ‘honour’ in certain ‘communities’ in a way comparable to case histories from the 1960s: a young single mother with a child born out of wedlock brings shame on the family</w:t>
      </w:r>
      <w:r w:rsidR="00204C23" w:rsidRPr="00513BCB">
        <w:rPr>
          <w:rFonts w:ascii="ArialMT+T42+EECKAN" w:hAnsi="ArialMT+T42+EECKAN"/>
          <w:sz w:val="22"/>
          <w:szCs w:val="22"/>
        </w:rPr>
        <w:t>.</w:t>
      </w:r>
      <w:r w:rsidR="00204C23" w:rsidRPr="00513BCB">
        <w:rPr>
          <w:rStyle w:val="FootnoteReference"/>
          <w:rFonts w:ascii="ArialMT+T42+EECKAN" w:hAnsi="ArialMT+T42+EECKAN" w:hint="eastAsia"/>
          <w:sz w:val="22"/>
          <w:szCs w:val="22"/>
        </w:rPr>
        <w:footnoteReference w:id="131"/>
      </w:r>
      <w:r w:rsidR="00204C23" w:rsidRPr="00513BCB">
        <w:rPr>
          <w:rFonts w:ascii="ArialMT+T42+EECKAN" w:hAnsi="ArialMT+T42+EECKAN"/>
          <w:sz w:val="22"/>
          <w:szCs w:val="22"/>
        </w:rPr>
        <w:t xml:space="preserve"> </w:t>
      </w:r>
    </w:p>
    <w:p w14:paraId="0CBC8DFA" w14:textId="77777777" w:rsidR="004433C0" w:rsidRPr="00513BCB" w:rsidRDefault="004433C0" w:rsidP="004D3080">
      <w:pPr>
        <w:spacing w:line="360" w:lineRule="auto"/>
        <w:jc w:val="both"/>
        <w:rPr>
          <w:rFonts w:cs="Times New Roman"/>
          <w:color w:val="000000" w:themeColor="text1"/>
          <w:sz w:val="22"/>
          <w:szCs w:val="22"/>
        </w:rPr>
      </w:pPr>
    </w:p>
    <w:p w14:paraId="7AB06842" w14:textId="70E636A8" w:rsidR="00C959D0" w:rsidRPr="00513BCB" w:rsidRDefault="00B852CA" w:rsidP="004D3080">
      <w:pPr>
        <w:spacing w:line="360" w:lineRule="auto"/>
        <w:jc w:val="both"/>
        <w:rPr>
          <w:rFonts w:cs="Times New Roman"/>
          <w:color w:val="000000" w:themeColor="text1"/>
          <w:sz w:val="22"/>
          <w:szCs w:val="22"/>
        </w:rPr>
      </w:pPr>
      <w:r w:rsidRPr="00513BCB">
        <w:rPr>
          <w:rFonts w:cs="Times New Roman"/>
          <w:color w:val="000000" w:themeColor="text1"/>
          <w:sz w:val="22"/>
          <w:szCs w:val="22"/>
        </w:rPr>
        <w:t xml:space="preserve">The vulnerability of young mothers is also evident in </w:t>
      </w:r>
      <w:r w:rsidR="00C958C6" w:rsidRPr="00513BCB">
        <w:rPr>
          <w:rFonts w:cs="Times New Roman"/>
          <w:color w:val="000000" w:themeColor="text1"/>
          <w:sz w:val="22"/>
          <w:szCs w:val="22"/>
        </w:rPr>
        <w:t xml:space="preserve">a recent study identifying the </w:t>
      </w:r>
      <w:r w:rsidR="00C959D0" w:rsidRPr="00513BCB">
        <w:rPr>
          <w:rFonts w:cs="Times New Roman"/>
          <w:color w:val="000000" w:themeColor="text1"/>
          <w:sz w:val="22"/>
          <w:szCs w:val="22"/>
        </w:rPr>
        <w:t>prevalence of</w:t>
      </w:r>
      <w:r w:rsidR="008D77F9" w:rsidRPr="00513BCB">
        <w:rPr>
          <w:rFonts w:cs="Times New Roman"/>
          <w:color w:val="000000" w:themeColor="text1"/>
          <w:sz w:val="22"/>
          <w:szCs w:val="22"/>
        </w:rPr>
        <w:t xml:space="preserve"> recurrent care proceedings</w:t>
      </w:r>
      <w:r w:rsidRPr="00513BCB">
        <w:rPr>
          <w:rFonts w:cs="Times New Roman"/>
          <w:color w:val="000000" w:themeColor="text1"/>
          <w:sz w:val="22"/>
          <w:szCs w:val="22"/>
        </w:rPr>
        <w:t>.</w:t>
      </w:r>
      <w:r w:rsidR="00513E1F" w:rsidRPr="00513BCB">
        <w:rPr>
          <w:rStyle w:val="FootnoteReference"/>
          <w:rFonts w:cs="Times New Roman"/>
          <w:color w:val="000000" w:themeColor="text1"/>
          <w:sz w:val="22"/>
          <w:szCs w:val="22"/>
        </w:rPr>
        <w:footnoteReference w:id="132"/>
      </w:r>
      <w:r w:rsidR="00513E1F" w:rsidRPr="00513BCB">
        <w:rPr>
          <w:rFonts w:cs="Times New Roman"/>
          <w:color w:val="000000" w:themeColor="text1"/>
          <w:sz w:val="22"/>
          <w:szCs w:val="22"/>
        </w:rPr>
        <w:t xml:space="preserve">  </w:t>
      </w:r>
      <w:r w:rsidR="006B5BAC" w:rsidRPr="00513BCB">
        <w:rPr>
          <w:rFonts w:cs="Times New Roman"/>
          <w:i/>
          <w:color w:val="000000" w:themeColor="text1"/>
          <w:sz w:val="22"/>
          <w:szCs w:val="22"/>
        </w:rPr>
        <w:t xml:space="preserve">Re </w:t>
      </w:r>
      <w:r w:rsidR="00513E1F" w:rsidRPr="00513BCB">
        <w:rPr>
          <w:rFonts w:cs="Times New Roman"/>
          <w:i/>
          <w:color w:val="000000" w:themeColor="text1"/>
          <w:sz w:val="22"/>
          <w:szCs w:val="22"/>
        </w:rPr>
        <w:t>W (a child)</w:t>
      </w:r>
      <w:r w:rsidR="00C959D0" w:rsidRPr="00513BCB">
        <w:rPr>
          <w:rFonts w:cs="Times New Roman"/>
          <w:i/>
          <w:color w:val="000000" w:themeColor="text1"/>
          <w:sz w:val="22"/>
          <w:szCs w:val="22"/>
        </w:rPr>
        <w:t>,</w:t>
      </w:r>
      <w:r w:rsidR="00513E1F" w:rsidRPr="00513BCB">
        <w:rPr>
          <w:rFonts w:cs="Times New Roman"/>
          <w:color w:val="000000" w:themeColor="text1"/>
          <w:sz w:val="22"/>
          <w:szCs w:val="22"/>
        </w:rPr>
        <w:t xml:space="preserve"> discussed</w:t>
      </w:r>
      <w:r w:rsidR="00C959D0" w:rsidRPr="00513BCB">
        <w:rPr>
          <w:rFonts w:cs="Times New Roman"/>
          <w:color w:val="000000" w:themeColor="text1"/>
          <w:sz w:val="22"/>
          <w:szCs w:val="22"/>
        </w:rPr>
        <w:t xml:space="preserve"> in Part 1, i</w:t>
      </w:r>
      <w:r w:rsidR="00513E1F" w:rsidRPr="00513BCB">
        <w:rPr>
          <w:rFonts w:cs="Times New Roman"/>
          <w:color w:val="000000" w:themeColor="text1"/>
          <w:sz w:val="22"/>
          <w:szCs w:val="22"/>
        </w:rPr>
        <w:t>s one such case, with all three of the birth giver’s children being consecutively removed from her.</w:t>
      </w:r>
      <w:r w:rsidR="00513E1F" w:rsidRPr="00513BCB">
        <w:rPr>
          <w:rStyle w:val="FootnoteReference"/>
          <w:rFonts w:cs="Times New Roman"/>
          <w:color w:val="000000" w:themeColor="text1"/>
          <w:sz w:val="22"/>
          <w:szCs w:val="22"/>
        </w:rPr>
        <w:footnoteReference w:id="133"/>
      </w:r>
      <w:r w:rsidR="008D77F9" w:rsidRPr="00513BCB">
        <w:rPr>
          <w:rFonts w:cs="Times New Roman"/>
          <w:color w:val="000000" w:themeColor="text1"/>
          <w:sz w:val="22"/>
          <w:szCs w:val="22"/>
        </w:rPr>
        <w:t xml:space="preserve"> </w:t>
      </w:r>
      <w:r w:rsidR="00204C23" w:rsidRPr="00513BCB">
        <w:rPr>
          <w:rFonts w:cs="Times New Roman"/>
          <w:color w:val="000000" w:themeColor="text1"/>
          <w:sz w:val="22"/>
          <w:szCs w:val="22"/>
        </w:rPr>
        <w:t>Ellie</w:t>
      </w:r>
      <w:r w:rsidR="00E65B72" w:rsidRPr="00513BCB">
        <w:rPr>
          <w:rFonts w:cs="Times New Roman"/>
          <w:color w:val="000000" w:themeColor="text1"/>
          <w:sz w:val="22"/>
          <w:szCs w:val="22"/>
        </w:rPr>
        <w:t xml:space="preserve"> </w:t>
      </w:r>
      <w:r w:rsidR="008D77F9" w:rsidRPr="00513BCB">
        <w:rPr>
          <w:rFonts w:cs="Times New Roman"/>
          <w:color w:val="000000" w:themeColor="text1"/>
          <w:sz w:val="22"/>
          <w:szCs w:val="22"/>
        </w:rPr>
        <w:t>Lee’s research on abortion decisions indicates that young women from areas of social deprivation are more likely to become pregnant and are less likely to have an abortion. In contrast, young women from more affluent back</w:t>
      </w:r>
      <w:r w:rsidR="008D77F9" w:rsidRPr="00513BCB">
        <w:rPr>
          <w:rFonts w:cs="Times New Roman"/>
          <w:color w:val="000000" w:themeColor="text1"/>
          <w:sz w:val="22"/>
          <w:szCs w:val="22"/>
        </w:rPr>
        <w:lastRenderedPageBreak/>
        <w:t>grounds are less likely to become pregnant</w:t>
      </w:r>
      <w:r w:rsidR="00891EE9" w:rsidRPr="00513BCB">
        <w:rPr>
          <w:rFonts w:cs="Times New Roman"/>
          <w:color w:val="000000" w:themeColor="text1"/>
          <w:sz w:val="22"/>
          <w:szCs w:val="22"/>
        </w:rPr>
        <w:t>, but,</w:t>
      </w:r>
      <w:r w:rsidR="008D77F9" w:rsidRPr="00513BCB">
        <w:rPr>
          <w:rFonts w:cs="Times New Roman"/>
          <w:color w:val="000000" w:themeColor="text1"/>
          <w:sz w:val="22"/>
          <w:szCs w:val="22"/>
        </w:rPr>
        <w:t xml:space="preserve"> once they do, are more likely to terminate the pregnancy.</w:t>
      </w:r>
      <w:r w:rsidR="008D77F9" w:rsidRPr="00513BCB">
        <w:rPr>
          <w:rStyle w:val="FootnoteReference"/>
          <w:rFonts w:cs="Times New Roman"/>
          <w:color w:val="000000" w:themeColor="text1"/>
          <w:sz w:val="22"/>
          <w:szCs w:val="22"/>
        </w:rPr>
        <w:footnoteReference w:id="134"/>
      </w:r>
      <w:r w:rsidR="008D77F9" w:rsidRPr="00513BCB">
        <w:rPr>
          <w:rFonts w:cs="Times New Roman"/>
          <w:color w:val="000000" w:themeColor="text1"/>
          <w:sz w:val="22"/>
          <w:szCs w:val="22"/>
        </w:rPr>
        <w:t xml:space="preserve"> </w:t>
      </w:r>
      <w:r w:rsidR="008D77F9" w:rsidRPr="00513BCB">
        <w:rPr>
          <w:sz w:val="22"/>
          <w:szCs w:val="22"/>
        </w:rPr>
        <w:t xml:space="preserve">In </w:t>
      </w:r>
      <w:r w:rsidRPr="00513BCB">
        <w:rPr>
          <w:sz w:val="22"/>
          <w:szCs w:val="22"/>
        </w:rPr>
        <w:t xml:space="preserve">the context of </w:t>
      </w:r>
      <w:r w:rsidRPr="00513BCB">
        <w:rPr>
          <w:rFonts w:cs="Times New Roman"/>
          <w:color w:val="000000" w:themeColor="text1"/>
          <w:sz w:val="22"/>
          <w:szCs w:val="22"/>
        </w:rPr>
        <w:t>birth registration proposals to require fathers to be named on birth registration - never fully implemented</w:t>
      </w:r>
      <w:r w:rsidR="00C958C6" w:rsidRPr="00513BCB">
        <w:rPr>
          <w:rFonts w:cs="Times New Roman"/>
          <w:color w:val="000000" w:themeColor="text1"/>
          <w:sz w:val="22"/>
          <w:szCs w:val="22"/>
        </w:rPr>
        <w:t>,</w:t>
      </w:r>
      <w:r w:rsidRPr="00513BCB">
        <w:rPr>
          <w:rFonts w:cs="Times New Roman"/>
          <w:color w:val="000000" w:themeColor="text1"/>
          <w:sz w:val="22"/>
          <w:szCs w:val="22"/>
        </w:rPr>
        <w:t xml:space="preserve"> but set out in the </w:t>
      </w:r>
      <w:r w:rsidR="008D77F9" w:rsidRPr="00513BCB">
        <w:rPr>
          <w:sz w:val="22"/>
          <w:szCs w:val="22"/>
        </w:rPr>
        <w:t xml:space="preserve">Welfare Reform Act 2009 </w:t>
      </w:r>
      <w:r w:rsidR="00AA3FC9" w:rsidRPr="00513BCB">
        <w:rPr>
          <w:sz w:val="22"/>
          <w:szCs w:val="22"/>
        </w:rPr>
        <w:t xml:space="preserve">- </w:t>
      </w:r>
      <w:r w:rsidR="008D77F9" w:rsidRPr="00513BCB">
        <w:rPr>
          <w:rFonts w:cs="Times New Roman"/>
          <w:color w:val="000000" w:themeColor="text1"/>
          <w:sz w:val="22"/>
          <w:szCs w:val="22"/>
        </w:rPr>
        <w:t xml:space="preserve">Sally Sheldon and Julie Wallbank, in separate </w:t>
      </w:r>
      <w:r w:rsidRPr="00513BCB">
        <w:rPr>
          <w:rFonts w:cs="Times New Roman"/>
          <w:color w:val="000000" w:themeColor="text1"/>
          <w:sz w:val="22"/>
          <w:szCs w:val="22"/>
        </w:rPr>
        <w:t>work,</w:t>
      </w:r>
      <w:r w:rsidR="008D77F9" w:rsidRPr="00513BCB">
        <w:rPr>
          <w:rFonts w:cs="Times New Roman"/>
          <w:color w:val="000000" w:themeColor="text1"/>
          <w:sz w:val="22"/>
          <w:szCs w:val="22"/>
        </w:rPr>
        <w:t xml:space="preserve"> pointed to the vulnerability of many unmarried mothers, including in terms of their educational disadvantage, their young age and social class.</w:t>
      </w:r>
      <w:r w:rsidR="008D77F9" w:rsidRPr="00513BCB">
        <w:rPr>
          <w:rStyle w:val="FootnoteReference"/>
          <w:rFonts w:cs="Times New Roman"/>
          <w:color w:val="000000" w:themeColor="text1"/>
          <w:sz w:val="22"/>
          <w:szCs w:val="22"/>
        </w:rPr>
        <w:t xml:space="preserve"> </w:t>
      </w:r>
      <w:r w:rsidR="008B5AC4" w:rsidRPr="00513BCB">
        <w:rPr>
          <w:rStyle w:val="FootnoteReference"/>
          <w:rFonts w:cs="Times New Roman"/>
          <w:color w:val="000000" w:themeColor="text1"/>
          <w:sz w:val="22"/>
          <w:szCs w:val="22"/>
        </w:rPr>
        <w:footnoteReference w:id="135"/>
      </w:r>
      <w:r w:rsidRPr="00513BCB">
        <w:rPr>
          <w:rFonts w:cs="Times New Roman"/>
          <w:color w:val="000000" w:themeColor="text1"/>
          <w:sz w:val="22"/>
          <w:szCs w:val="22"/>
        </w:rPr>
        <w:t xml:space="preserve"> </w:t>
      </w:r>
      <w:r w:rsidR="00C958C6" w:rsidRPr="00513BCB">
        <w:rPr>
          <w:rFonts w:cs="Times New Roman"/>
          <w:color w:val="000000" w:themeColor="text1"/>
          <w:sz w:val="22"/>
          <w:szCs w:val="22"/>
        </w:rPr>
        <w:t>T</w:t>
      </w:r>
      <w:r w:rsidR="008B5AC4" w:rsidRPr="00513BCB">
        <w:rPr>
          <w:rFonts w:cs="Times New Roman"/>
          <w:color w:val="000000" w:themeColor="text1"/>
          <w:sz w:val="22"/>
          <w:szCs w:val="22"/>
        </w:rPr>
        <w:t>he facts of some of the English cases and</w:t>
      </w:r>
      <w:r w:rsidR="00C958C6" w:rsidRPr="00513BCB">
        <w:rPr>
          <w:rFonts w:cs="Times New Roman"/>
          <w:color w:val="000000" w:themeColor="text1"/>
          <w:sz w:val="22"/>
          <w:szCs w:val="22"/>
        </w:rPr>
        <w:t xml:space="preserve"> the French</w:t>
      </w:r>
      <w:r w:rsidR="008B5AC4" w:rsidRPr="00513BCB">
        <w:rPr>
          <w:rFonts w:cs="Times New Roman"/>
          <w:color w:val="000000" w:themeColor="text1"/>
          <w:sz w:val="22"/>
          <w:szCs w:val="22"/>
        </w:rPr>
        <w:t xml:space="preserve"> literature </w:t>
      </w:r>
      <w:r w:rsidR="00C958C6" w:rsidRPr="00513BCB">
        <w:rPr>
          <w:rFonts w:cs="Times New Roman"/>
          <w:color w:val="000000" w:themeColor="text1"/>
          <w:sz w:val="22"/>
          <w:szCs w:val="22"/>
        </w:rPr>
        <w:t xml:space="preserve">suggest </w:t>
      </w:r>
      <w:r w:rsidR="008B5AC4" w:rsidRPr="00513BCB">
        <w:rPr>
          <w:rFonts w:cs="Times New Roman"/>
          <w:color w:val="000000" w:themeColor="text1"/>
          <w:sz w:val="22"/>
          <w:szCs w:val="22"/>
        </w:rPr>
        <w:t>that g</w:t>
      </w:r>
      <w:r w:rsidR="009E5718" w:rsidRPr="00513BCB">
        <w:rPr>
          <w:rFonts w:cs="Times New Roman"/>
          <w:color w:val="000000" w:themeColor="text1"/>
          <w:sz w:val="22"/>
          <w:szCs w:val="22"/>
        </w:rPr>
        <w:t xml:space="preserve">irls </w:t>
      </w:r>
      <w:r w:rsidRPr="00513BCB">
        <w:rPr>
          <w:rFonts w:cs="Times New Roman"/>
          <w:color w:val="000000" w:themeColor="text1"/>
          <w:sz w:val="22"/>
          <w:szCs w:val="22"/>
        </w:rPr>
        <w:t xml:space="preserve">and women who seek secrecy in births </w:t>
      </w:r>
      <w:r w:rsidR="008B5AC4" w:rsidRPr="00513BCB">
        <w:rPr>
          <w:rFonts w:cs="Times New Roman"/>
          <w:color w:val="000000" w:themeColor="text1"/>
          <w:sz w:val="22"/>
          <w:szCs w:val="22"/>
        </w:rPr>
        <w:t>are</w:t>
      </w:r>
      <w:r w:rsidR="009E5718" w:rsidRPr="00513BCB">
        <w:rPr>
          <w:rFonts w:cs="Times New Roman"/>
          <w:color w:val="000000" w:themeColor="text1"/>
          <w:sz w:val="22"/>
          <w:szCs w:val="22"/>
        </w:rPr>
        <w:t xml:space="preserve"> amongst those who find themselves in such </w:t>
      </w:r>
      <w:r w:rsidRPr="00513BCB">
        <w:rPr>
          <w:rFonts w:cs="Times New Roman"/>
          <w:color w:val="000000" w:themeColor="text1"/>
          <w:sz w:val="22"/>
          <w:szCs w:val="22"/>
        </w:rPr>
        <w:t>vulnerable position</w:t>
      </w:r>
      <w:r w:rsidR="009E5718" w:rsidRPr="00513BCB">
        <w:rPr>
          <w:rFonts w:cs="Times New Roman"/>
          <w:color w:val="000000" w:themeColor="text1"/>
          <w:sz w:val="22"/>
          <w:szCs w:val="22"/>
        </w:rPr>
        <w:t>s.</w:t>
      </w:r>
    </w:p>
    <w:p w14:paraId="1233C922" w14:textId="712589CF" w:rsidR="008B5AC4" w:rsidRPr="00513BCB" w:rsidRDefault="00EC1F83" w:rsidP="004D3080">
      <w:pPr>
        <w:pStyle w:val="NormalWeb"/>
        <w:spacing w:line="360" w:lineRule="auto"/>
        <w:jc w:val="both"/>
        <w:rPr>
          <w:rFonts w:asciiTheme="minorHAnsi" w:hAnsiTheme="minorHAnsi"/>
          <w:sz w:val="22"/>
          <w:szCs w:val="22"/>
        </w:rPr>
      </w:pPr>
      <w:r w:rsidRPr="00513BCB">
        <w:rPr>
          <w:rFonts w:asciiTheme="minorHAnsi" w:hAnsiTheme="minorHAnsi"/>
          <w:color w:val="000000" w:themeColor="text1"/>
          <w:sz w:val="22"/>
          <w:szCs w:val="22"/>
        </w:rPr>
        <w:t>Analysing</w:t>
      </w:r>
      <w:r w:rsidR="00776E58" w:rsidRPr="00513BCB">
        <w:rPr>
          <w:rFonts w:asciiTheme="minorHAnsi" w:hAnsiTheme="minorHAnsi"/>
          <w:color w:val="000000" w:themeColor="text1"/>
          <w:sz w:val="22"/>
          <w:szCs w:val="22"/>
        </w:rPr>
        <w:t xml:space="preserve"> historical data </w:t>
      </w:r>
      <w:r w:rsidR="00C958C6" w:rsidRPr="00513BCB">
        <w:rPr>
          <w:rFonts w:asciiTheme="minorHAnsi" w:hAnsiTheme="minorHAnsi"/>
          <w:color w:val="000000" w:themeColor="text1"/>
          <w:sz w:val="22"/>
          <w:szCs w:val="22"/>
        </w:rPr>
        <w:t>about</w:t>
      </w:r>
      <w:r w:rsidR="00776E58" w:rsidRPr="00513BCB">
        <w:rPr>
          <w:rFonts w:asciiTheme="minorHAnsi" w:hAnsiTheme="minorHAnsi"/>
          <w:color w:val="000000" w:themeColor="text1"/>
          <w:sz w:val="22"/>
          <w:szCs w:val="22"/>
        </w:rPr>
        <w:t xml:space="preserve"> family secrets over biological parentage – for example, pretending a certain man is the biological father </w:t>
      </w:r>
      <w:r w:rsidR="00891EE9" w:rsidRPr="00513BCB">
        <w:rPr>
          <w:rFonts w:asciiTheme="minorHAnsi" w:hAnsiTheme="minorHAnsi"/>
          <w:color w:val="000000" w:themeColor="text1"/>
          <w:sz w:val="22"/>
          <w:szCs w:val="22"/>
        </w:rPr>
        <w:t xml:space="preserve">– </w:t>
      </w:r>
      <w:r w:rsidR="007A2654" w:rsidRPr="00513BCB">
        <w:rPr>
          <w:rFonts w:asciiTheme="minorHAnsi" w:hAnsiTheme="minorHAnsi"/>
          <w:color w:val="000000" w:themeColor="text1"/>
          <w:sz w:val="22"/>
          <w:szCs w:val="22"/>
        </w:rPr>
        <w:t xml:space="preserve">Carol Smart argues that </w:t>
      </w:r>
      <w:r w:rsidR="00776E58" w:rsidRPr="00513BCB">
        <w:rPr>
          <w:rFonts w:asciiTheme="minorHAnsi" w:hAnsiTheme="minorHAnsi"/>
          <w:color w:val="000000" w:themeColor="text1"/>
          <w:sz w:val="22"/>
          <w:szCs w:val="22"/>
        </w:rPr>
        <w:t>the personal and social conditions under which women were living made it very hard for them to tell the possible truth about the child’s paternity.</w:t>
      </w:r>
      <w:r w:rsidRPr="00513BCB">
        <w:rPr>
          <w:rStyle w:val="FootnoteReference"/>
          <w:rFonts w:asciiTheme="minorHAnsi" w:hAnsiTheme="minorHAnsi"/>
          <w:color w:val="000000" w:themeColor="text1"/>
          <w:sz w:val="22"/>
          <w:szCs w:val="22"/>
        </w:rPr>
        <w:footnoteReference w:id="136"/>
      </w:r>
      <w:r w:rsidR="00776E58" w:rsidRPr="00513BCB">
        <w:rPr>
          <w:sz w:val="22"/>
          <w:szCs w:val="22"/>
        </w:rPr>
        <w:t xml:space="preserve"> </w:t>
      </w:r>
      <w:r w:rsidR="008B5AC4" w:rsidRPr="00513BCB">
        <w:rPr>
          <w:color w:val="000000" w:themeColor="text1"/>
          <w:sz w:val="22"/>
          <w:szCs w:val="22"/>
        </w:rPr>
        <w:t xml:space="preserve">Smart’s </w:t>
      </w:r>
      <w:r w:rsidRPr="00513BCB">
        <w:rPr>
          <w:color w:val="000000" w:themeColor="text1"/>
          <w:sz w:val="22"/>
          <w:szCs w:val="22"/>
        </w:rPr>
        <w:t xml:space="preserve">analysis </w:t>
      </w:r>
      <w:r w:rsidR="002F662E" w:rsidRPr="00513BCB">
        <w:rPr>
          <w:rFonts w:asciiTheme="minorHAnsi" w:hAnsiTheme="minorHAnsi"/>
          <w:color w:val="000000" w:themeColor="text1"/>
          <w:sz w:val="22"/>
          <w:szCs w:val="22"/>
        </w:rPr>
        <w:t>is based on</w:t>
      </w:r>
      <w:r w:rsidR="00F00152" w:rsidRPr="00513BCB">
        <w:rPr>
          <w:rFonts w:asciiTheme="minorHAnsi" w:hAnsiTheme="minorHAnsi"/>
          <w:color w:val="000000" w:themeColor="text1"/>
          <w:sz w:val="22"/>
          <w:szCs w:val="22"/>
        </w:rPr>
        <w:t xml:space="preserve"> </w:t>
      </w:r>
      <w:r w:rsidR="002F662E" w:rsidRPr="00513BCB">
        <w:rPr>
          <w:rFonts w:asciiTheme="minorHAnsi" w:hAnsiTheme="minorHAnsi"/>
          <w:color w:val="000000" w:themeColor="text1"/>
          <w:sz w:val="22"/>
          <w:szCs w:val="22"/>
        </w:rPr>
        <w:t>reflections</w:t>
      </w:r>
      <w:r w:rsidR="00627040" w:rsidRPr="00513BCB">
        <w:rPr>
          <w:rFonts w:asciiTheme="minorHAnsi" w:hAnsiTheme="minorHAnsi"/>
          <w:color w:val="000000" w:themeColor="text1"/>
          <w:sz w:val="22"/>
          <w:szCs w:val="22"/>
        </w:rPr>
        <w:t xml:space="preserve"> on past eras</w:t>
      </w:r>
      <w:r w:rsidRPr="00513BCB">
        <w:rPr>
          <w:rFonts w:asciiTheme="minorHAnsi" w:hAnsiTheme="minorHAnsi"/>
          <w:color w:val="000000" w:themeColor="text1"/>
          <w:sz w:val="22"/>
          <w:szCs w:val="22"/>
        </w:rPr>
        <w:t xml:space="preserve"> and it</w:t>
      </w:r>
      <w:r w:rsidR="008B5AC4" w:rsidRPr="00513BCB">
        <w:rPr>
          <w:rFonts w:asciiTheme="minorHAnsi" w:hAnsiTheme="minorHAnsi"/>
          <w:sz w:val="22"/>
          <w:szCs w:val="22"/>
        </w:rPr>
        <w:t xml:space="preserve"> is widely perceived that the parameters of culturally and socially ‘acceptable’ behaviour have changed over time (see for example the references by Munby LJ and Lord Wilson cited above to the advent of the contraceptive pill, abortion etc). Yet the research findings referred to in this section indicate that that change is not universally received</w:t>
      </w:r>
      <w:r w:rsidR="006A41D8" w:rsidRPr="00513BCB">
        <w:rPr>
          <w:rFonts w:asciiTheme="minorHAnsi" w:hAnsiTheme="minorHAnsi"/>
          <w:sz w:val="22"/>
          <w:szCs w:val="22"/>
        </w:rPr>
        <w:t xml:space="preserve"> and that caution must be exercised in assuming and judging in these circumstances</w:t>
      </w:r>
      <w:r w:rsidRPr="00513BCB">
        <w:rPr>
          <w:rFonts w:asciiTheme="minorHAnsi" w:hAnsiTheme="minorHAnsi"/>
          <w:sz w:val="22"/>
          <w:szCs w:val="22"/>
        </w:rPr>
        <w:t xml:space="preserve"> when care and support are needed instead</w:t>
      </w:r>
      <w:r w:rsidR="006A41D8" w:rsidRPr="00513BCB">
        <w:rPr>
          <w:rFonts w:asciiTheme="minorHAnsi" w:hAnsiTheme="minorHAnsi"/>
          <w:sz w:val="22"/>
          <w:szCs w:val="22"/>
        </w:rPr>
        <w:t>.</w:t>
      </w:r>
    </w:p>
    <w:p w14:paraId="2DFE5C9D" w14:textId="77777777" w:rsidR="008B5AC4" w:rsidRPr="00513BCB" w:rsidRDefault="008B5AC4" w:rsidP="007C6A1D">
      <w:pPr>
        <w:pStyle w:val="BodyText"/>
        <w:spacing w:line="360" w:lineRule="auto"/>
        <w:outlineLvl w:val="0"/>
        <w:rPr>
          <w:rFonts w:asciiTheme="minorHAnsi" w:hAnsiTheme="minorHAnsi"/>
          <w:color w:val="000000" w:themeColor="text1"/>
          <w:sz w:val="22"/>
          <w:szCs w:val="22"/>
        </w:rPr>
      </w:pPr>
      <w:r w:rsidRPr="00513BCB">
        <w:rPr>
          <w:rFonts w:asciiTheme="minorHAnsi" w:hAnsiTheme="minorHAnsi"/>
          <w:i/>
          <w:color w:val="000000" w:themeColor="text1"/>
          <w:sz w:val="22"/>
          <w:szCs w:val="22"/>
        </w:rPr>
        <w:t xml:space="preserve">Care through allowing personal control </w:t>
      </w:r>
    </w:p>
    <w:p w14:paraId="74730151" w14:textId="4484599D" w:rsidR="002F662E" w:rsidRPr="00513BCB" w:rsidRDefault="00520214" w:rsidP="004D3080">
      <w:pPr>
        <w:pStyle w:val="BodyText"/>
        <w:spacing w:line="360" w:lineRule="auto"/>
        <w:rPr>
          <w:rFonts w:asciiTheme="minorHAnsi" w:hAnsiTheme="minorHAnsi"/>
          <w:color w:val="000000" w:themeColor="text1"/>
          <w:sz w:val="22"/>
          <w:szCs w:val="22"/>
        </w:rPr>
      </w:pPr>
      <w:r w:rsidRPr="00513BCB">
        <w:rPr>
          <w:rFonts w:asciiTheme="minorHAnsi" w:hAnsiTheme="minorHAnsi"/>
          <w:color w:val="000000" w:themeColor="text1"/>
          <w:sz w:val="22"/>
          <w:szCs w:val="22"/>
        </w:rPr>
        <w:t xml:space="preserve">Smart’s work </w:t>
      </w:r>
      <w:r w:rsidR="002F662E" w:rsidRPr="00513BCB">
        <w:rPr>
          <w:rFonts w:asciiTheme="minorHAnsi" w:hAnsiTheme="minorHAnsi"/>
          <w:color w:val="000000" w:themeColor="text1"/>
          <w:sz w:val="22"/>
          <w:szCs w:val="22"/>
        </w:rPr>
        <w:t>draws on Lynn Turney’s interviews with women who had experience of ‘paternity uncertainty’.</w:t>
      </w:r>
      <w:r w:rsidR="002F662E" w:rsidRPr="00513BCB">
        <w:rPr>
          <w:rStyle w:val="FootnoteReference"/>
          <w:rFonts w:asciiTheme="minorHAnsi" w:hAnsiTheme="minorHAnsi"/>
          <w:color w:val="000000" w:themeColor="text1"/>
          <w:sz w:val="22"/>
          <w:szCs w:val="22"/>
        </w:rPr>
        <w:footnoteReference w:id="137"/>
      </w:r>
      <w:r w:rsidR="002F662E" w:rsidRPr="00513BCB">
        <w:rPr>
          <w:rFonts w:asciiTheme="minorHAnsi" w:hAnsiTheme="minorHAnsi"/>
          <w:color w:val="000000" w:themeColor="text1"/>
          <w:sz w:val="22"/>
          <w:szCs w:val="22"/>
        </w:rPr>
        <w:t xml:space="preserve"> </w:t>
      </w:r>
      <w:r w:rsidR="007A2654" w:rsidRPr="00513BCB">
        <w:rPr>
          <w:rFonts w:asciiTheme="minorHAnsi" w:hAnsiTheme="minorHAnsi"/>
          <w:color w:val="000000" w:themeColor="text1"/>
          <w:sz w:val="22"/>
          <w:szCs w:val="22"/>
        </w:rPr>
        <w:t>T</w:t>
      </w:r>
      <w:r w:rsidR="002F662E" w:rsidRPr="00513BCB">
        <w:rPr>
          <w:rFonts w:asciiTheme="minorHAnsi" w:hAnsiTheme="minorHAnsi"/>
          <w:color w:val="000000" w:themeColor="text1"/>
          <w:sz w:val="22"/>
          <w:szCs w:val="22"/>
        </w:rPr>
        <w:t xml:space="preserve">urney discovered a mixture of reasons for </w:t>
      </w:r>
      <w:r w:rsidR="006A41D8" w:rsidRPr="00513BCB">
        <w:rPr>
          <w:rFonts w:asciiTheme="minorHAnsi" w:hAnsiTheme="minorHAnsi"/>
          <w:color w:val="000000" w:themeColor="text1"/>
          <w:sz w:val="22"/>
          <w:szCs w:val="22"/>
        </w:rPr>
        <w:t xml:space="preserve">women </w:t>
      </w:r>
      <w:r w:rsidR="002F662E" w:rsidRPr="00513BCB">
        <w:rPr>
          <w:rFonts w:asciiTheme="minorHAnsi" w:hAnsiTheme="minorHAnsi"/>
          <w:color w:val="000000" w:themeColor="text1"/>
          <w:sz w:val="22"/>
          <w:szCs w:val="22"/>
        </w:rPr>
        <w:t xml:space="preserve">keeping secrets in sexual liaisons </w:t>
      </w:r>
      <w:r w:rsidR="002F662E" w:rsidRPr="00513BCB">
        <w:rPr>
          <w:rFonts w:asciiTheme="minorHAnsi" w:hAnsiTheme="minorHAnsi"/>
          <w:color w:val="000000" w:themeColor="text1"/>
          <w:sz w:val="22"/>
          <w:szCs w:val="22"/>
        </w:rPr>
        <w:lastRenderedPageBreak/>
        <w:t>and paternity uncertainty, including fear of their existing partner leaving them and fear of violence.</w:t>
      </w:r>
      <w:r w:rsidR="002F662E" w:rsidRPr="00513BCB">
        <w:rPr>
          <w:rStyle w:val="FootnoteReference"/>
          <w:rFonts w:asciiTheme="minorHAnsi" w:hAnsiTheme="minorHAnsi"/>
          <w:color w:val="000000" w:themeColor="text1"/>
          <w:sz w:val="22"/>
          <w:szCs w:val="22"/>
        </w:rPr>
        <w:footnoteReference w:id="138"/>
      </w:r>
      <w:r w:rsidR="002F662E" w:rsidRPr="00513BCB">
        <w:rPr>
          <w:rFonts w:asciiTheme="minorHAnsi" w:hAnsiTheme="minorHAnsi"/>
          <w:color w:val="000000" w:themeColor="text1"/>
          <w:sz w:val="22"/>
          <w:szCs w:val="22"/>
        </w:rPr>
        <w:t xml:space="preserve"> </w:t>
      </w:r>
      <w:r w:rsidR="00C958C6" w:rsidRPr="00513BCB">
        <w:rPr>
          <w:rFonts w:asciiTheme="minorHAnsi" w:hAnsiTheme="minorHAnsi"/>
          <w:color w:val="000000" w:themeColor="text1"/>
          <w:sz w:val="22"/>
          <w:szCs w:val="22"/>
        </w:rPr>
        <w:t xml:space="preserve">It </w:t>
      </w:r>
      <w:r w:rsidRPr="00513BCB">
        <w:rPr>
          <w:rFonts w:asciiTheme="minorHAnsi" w:hAnsiTheme="minorHAnsi"/>
          <w:color w:val="000000" w:themeColor="text1"/>
          <w:sz w:val="22"/>
          <w:szCs w:val="22"/>
        </w:rPr>
        <w:t xml:space="preserve">is suggested </w:t>
      </w:r>
      <w:r w:rsidR="00C958C6" w:rsidRPr="00513BCB">
        <w:rPr>
          <w:rFonts w:asciiTheme="minorHAnsi" w:hAnsiTheme="minorHAnsi"/>
          <w:color w:val="000000" w:themeColor="text1"/>
          <w:sz w:val="22"/>
          <w:szCs w:val="22"/>
        </w:rPr>
        <w:t xml:space="preserve">that there is </w:t>
      </w:r>
      <w:r w:rsidRPr="00513BCB">
        <w:rPr>
          <w:rFonts w:asciiTheme="minorHAnsi" w:hAnsiTheme="minorHAnsi"/>
          <w:color w:val="000000" w:themeColor="text1"/>
          <w:sz w:val="22"/>
          <w:szCs w:val="22"/>
        </w:rPr>
        <w:t xml:space="preserve">an element of control </w:t>
      </w:r>
      <w:r w:rsidRPr="00513BCB">
        <w:rPr>
          <w:rFonts w:asciiTheme="minorHAnsi" w:hAnsiTheme="minorHAnsi"/>
          <w:i/>
          <w:color w:val="000000" w:themeColor="text1"/>
          <w:sz w:val="22"/>
          <w:szCs w:val="22"/>
        </w:rPr>
        <w:t>in and through</w:t>
      </w:r>
      <w:r w:rsidRPr="00513BCB">
        <w:rPr>
          <w:rFonts w:asciiTheme="minorHAnsi" w:hAnsiTheme="minorHAnsi"/>
          <w:color w:val="000000" w:themeColor="text1"/>
          <w:sz w:val="22"/>
          <w:szCs w:val="22"/>
        </w:rPr>
        <w:t xml:space="preserve"> the keeping of secrets. </w:t>
      </w:r>
      <w:r w:rsidR="002F662E" w:rsidRPr="00513BCB">
        <w:rPr>
          <w:rFonts w:asciiTheme="minorHAnsi" w:hAnsiTheme="minorHAnsi"/>
          <w:color w:val="000000" w:themeColor="text1"/>
          <w:sz w:val="22"/>
          <w:szCs w:val="22"/>
        </w:rPr>
        <w:t>Smart explains:</w:t>
      </w:r>
    </w:p>
    <w:p w14:paraId="7B067E61" w14:textId="77777777" w:rsidR="002F662E" w:rsidRPr="00513BCB" w:rsidRDefault="002F662E" w:rsidP="004D3080">
      <w:pPr>
        <w:spacing w:line="360" w:lineRule="auto"/>
        <w:jc w:val="both"/>
        <w:rPr>
          <w:rFonts w:cs="Times New Roman"/>
          <w:color w:val="000000" w:themeColor="text1"/>
          <w:sz w:val="22"/>
          <w:szCs w:val="22"/>
        </w:rPr>
      </w:pPr>
    </w:p>
    <w:p w14:paraId="432B361D" w14:textId="4D46BE33" w:rsidR="002F662E" w:rsidRPr="00513BCB" w:rsidRDefault="00776E58" w:rsidP="004D3080">
      <w:pPr>
        <w:spacing w:line="360" w:lineRule="auto"/>
        <w:ind w:left="720"/>
        <w:jc w:val="both"/>
        <w:rPr>
          <w:rFonts w:cs="Times New Roman"/>
          <w:color w:val="000000" w:themeColor="text1"/>
          <w:sz w:val="22"/>
          <w:szCs w:val="22"/>
        </w:rPr>
      </w:pPr>
      <w:r w:rsidRPr="00513BCB">
        <w:rPr>
          <w:rFonts w:cs="Times New Roman"/>
          <w:color w:val="000000" w:themeColor="text1"/>
          <w:sz w:val="22"/>
          <w:szCs w:val="22"/>
        </w:rPr>
        <w:t>‘</w:t>
      </w:r>
      <w:r w:rsidR="002F662E" w:rsidRPr="00513BCB">
        <w:rPr>
          <w:rFonts w:cs="Times New Roman"/>
          <w:color w:val="000000" w:themeColor="text1"/>
          <w:sz w:val="22"/>
          <w:szCs w:val="22"/>
        </w:rPr>
        <w:t>in families, secrets may be felt to be necessary for the preservation of relationships, and the ‘truth’ may be taken to be less important than stabilising fictions…</w:t>
      </w:r>
    </w:p>
    <w:p w14:paraId="6BC7DF82" w14:textId="77777777" w:rsidR="002F662E" w:rsidRPr="00513BCB" w:rsidRDefault="002F662E" w:rsidP="004D3080">
      <w:pPr>
        <w:spacing w:line="360" w:lineRule="auto"/>
        <w:ind w:firstLine="720"/>
        <w:jc w:val="both"/>
        <w:rPr>
          <w:rFonts w:cs="Times New Roman"/>
          <w:color w:val="000000" w:themeColor="text1"/>
          <w:sz w:val="22"/>
          <w:szCs w:val="22"/>
        </w:rPr>
      </w:pPr>
    </w:p>
    <w:p w14:paraId="6DD66A6C" w14:textId="246EB367" w:rsidR="002F662E" w:rsidRPr="00513BCB" w:rsidRDefault="00C958C6" w:rsidP="004D3080">
      <w:pPr>
        <w:spacing w:line="360" w:lineRule="auto"/>
        <w:ind w:left="720"/>
        <w:jc w:val="both"/>
        <w:rPr>
          <w:rFonts w:cs="Times New Roman"/>
          <w:color w:val="000000" w:themeColor="text1"/>
          <w:sz w:val="22"/>
          <w:szCs w:val="22"/>
        </w:rPr>
      </w:pPr>
      <w:r w:rsidRPr="00513BCB">
        <w:rPr>
          <w:rFonts w:cs="Times New Roman"/>
          <w:color w:val="000000" w:themeColor="text1"/>
          <w:sz w:val="22"/>
          <w:szCs w:val="22"/>
        </w:rPr>
        <w:t>[T]</w:t>
      </w:r>
      <w:r w:rsidR="002F662E" w:rsidRPr="00513BCB">
        <w:rPr>
          <w:rFonts w:cs="Times New Roman"/>
          <w:color w:val="000000" w:themeColor="text1"/>
          <w:sz w:val="22"/>
          <w:szCs w:val="22"/>
        </w:rPr>
        <w:t>here is another way to interpret the relationships between culturally elevated truths, secrets and forms of knowing. The need for a certain kind of secrecy at different times and in different circumstances can be interpreted as a response to social vulnerability. In this way, secrets might serve as a form of protection against economic hardship, social rejection or personal denunciation.</w:t>
      </w:r>
      <w:r w:rsidR="00776E58" w:rsidRPr="00513BCB">
        <w:rPr>
          <w:rFonts w:cs="Times New Roman"/>
          <w:color w:val="000000" w:themeColor="text1"/>
          <w:sz w:val="22"/>
          <w:szCs w:val="22"/>
        </w:rPr>
        <w:t>’</w:t>
      </w:r>
      <w:r w:rsidR="002F662E" w:rsidRPr="00513BCB">
        <w:rPr>
          <w:rStyle w:val="FootnoteReference"/>
          <w:rFonts w:cs="Times New Roman"/>
          <w:color w:val="000000" w:themeColor="text1"/>
          <w:sz w:val="22"/>
          <w:szCs w:val="22"/>
        </w:rPr>
        <w:footnoteReference w:id="139"/>
      </w:r>
    </w:p>
    <w:p w14:paraId="55BD9629" w14:textId="77777777" w:rsidR="002F662E" w:rsidRPr="00513BCB" w:rsidRDefault="002F662E" w:rsidP="004D3080">
      <w:pPr>
        <w:spacing w:line="360" w:lineRule="auto"/>
        <w:ind w:left="720"/>
        <w:jc w:val="both"/>
        <w:rPr>
          <w:rFonts w:cs="Times New Roman"/>
          <w:color w:val="000000" w:themeColor="text1"/>
          <w:sz w:val="22"/>
          <w:szCs w:val="22"/>
        </w:rPr>
      </w:pPr>
    </w:p>
    <w:p w14:paraId="1EBA8FAC" w14:textId="45E54851" w:rsidR="0072239D" w:rsidRPr="00513BCB" w:rsidRDefault="00C958C6" w:rsidP="004D3080">
      <w:pPr>
        <w:spacing w:line="360" w:lineRule="auto"/>
        <w:jc w:val="both"/>
        <w:rPr>
          <w:rFonts w:cs="Times New Roman"/>
          <w:sz w:val="22"/>
          <w:szCs w:val="22"/>
        </w:rPr>
      </w:pPr>
      <w:r w:rsidRPr="00513BCB">
        <w:rPr>
          <w:rFonts w:cs="Times New Roman"/>
          <w:sz w:val="22"/>
          <w:szCs w:val="22"/>
        </w:rPr>
        <w:t>T</w:t>
      </w:r>
      <w:r w:rsidR="00C47A15" w:rsidRPr="00513BCB">
        <w:rPr>
          <w:rFonts w:cs="Times New Roman"/>
          <w:sz w:val="22"/>
          <w:szCs w:val="22"/>
        </w:rPr>
        <w:t>he</w:t>
      </w:r>
      <w:r w:rsidR="00520214" w:rsidRPr="00513BCB">
        <w:rPr>
          <w:rFonts w:cs="Times New Roman"/>
          <w:sz w:val="22"/>
          <w:szCs w:val="22"/>
        </w:rPr>
        <w:t xml:space="preserve"> response</w:t>
      </w:r>
      <w:r w:rsidR="00C47A15" w:rsidRPr="00513BCB">
        <w:rPr>
          <w:rFonts w:cs="Times New Roman"/>
          <w:sz w:val="22"/>
          <w:szCs w:val="22"/>
        </w:rPr>
        <w:t xml:space="preserve"> of secrecy</w:t>
      </w:r>
      <w:r w:rsidR="00520214" w:rsidRPr="00513BCB">
        <w:rPr>
          <w:rFonts w:cs="Times New Roman"/>
          <w:sz w:val="22"/>
          <w:szCs w:val="22"/>
        </w:rPr>
        <w:t xml:space="preserve"> forming protection can </w:t>
      </w:r>
      <w:r w:rsidRPr="00513BCB">
        <w:rPr>
          <w:rFonts w:cs="Times New Roman"/>
          <w:sz w:val="22"/>
          <w:szCs w:val="22"/>
        </w:rPr>
        <w:t xml:space="preserve">therefore </w:t>
      </w:r>
      <w:r w:rsidR="00520214" w:rsidRPr="00513BCB">
        <w:rPr>
          <w:rFonts w:cs="Times New Roman"/>
          <w:sz w:val="22"/>
          <w:szCs w:val="22"/>
        </w:rPr>
        <w:t xml:space="preserve">provide </w:t>
      </w:r>
      <w:r w:rsidRPr="00513BCB">
        <w:rPr>
          <w:rFonts w:cs="Times New Roman"/>
          <w:sz w:val="22"/>
          <w:szCs w:val="22"/>
        </w:rPr>
        <w:t xml:space="preserve">the birth giver </w:t>
      </w:r>
      <w:r w:rsidR="00520214" w:rsidRPr="00513BCB">
        <w:rPr>
          <w:rFonts w:cs="Times New Roman"/>
          <w:sz w:val="22"/>
          <w:szCs w:val="22"/>
        </w:rPr>
        <w:t xml:space="preserve">some form of control </w:t>
      </w:r>
      <w:r w:rsidRPr="00513BCB">
        <w:rPr>
          <w:rFonts w:cs="Times New Roman"/>
          <w:sz w:val="22"/>
          <w:szCs w:val="22"/>
        </w:rPr>
        <w:t xml:space="preserve">over </w:t>
      </w:r>
      <w:r w:rsidR="00520214" w:rsidRPr="00513BCB">
        <w:rPr>
          <w:rFonts w:cs="Times New Roman"/>
          <w:sz w:val="22"/>
          <w:szCs w:val="22"/>
        </w:rPr>
        <w:t>her own decisions.</w:t>
      </w:r>
      <w:r w:rsidR="00C47A15" w:rsidRPr="00513BCB">
        <w:rPr>
          <w:color w:val="000000" w:themeColor="text1"/>
          <w:sz w:val="22"/>
          <w:szCs w:val="22"/>
        </w:rPr>
        <w:t xml:space="preserve"> Anonymity in the French system is recognized as a </w:t>
      </w:r>
      <w:r w:rsidR="00C47A15" w:rsidRPr="00513BCB">
        <w:rPr>
          <w:i/>
          <w:iCs/>
          <w:color w:val="000000" w:themeColor="text1"/>
          <w:sz w:val="22"/>
          <w:szCs w:val="22"/>
        </w:rPr>
        <w:t>choice</w:t>
      </w:r>
      <w:r w:rsidR="00C47A15" w:rsidRPr="00513BCB">
        <w:rPr>
          <w:iCs/>
          <w:color w:val="000000" w:themeColor="text1"/>
          <w:sz w:val="22"/>
          <w:szCs w:val="22"/>
        </w:rPr>
        <w:t xml:space="preserve"> </w:t>
      </w:r>
      <w:r w:rsidR="00C47A15" w:rsidRPr="00513BCB">
        <w:rPr>
          <w:color w:val="000000" w:themeColor="text1"/>
          <w:sz w:val="22"/>
          <w:szCs w:val="22"/>
        </w:rPr>
        <w:t>for birth</w:t>
      </w:r>
      <w:r w:rsidR="00506E6E" w:rsidRPr="00513BCB">
        <w:rPr>
          <w:color w:val="000000" w:themeColor="text1"/>
          <w:sz w:val="22"/>
          <w:szCs w:val="22"/>
        </w:rPr>
        <w:t xml:space="preserve"> </w:t>
      </w:r>
      <w:r w:rsidR="00C47A15" w:rsidRPr="00513BCB">
        <w:rPr>
          <w:color w:val="000000" w:themeColor="text1"/>
          <w:sz w:val="22"/>
          <w:szCs w:val="22"/>
        </w:rPr>
        <w:t>givers exercised as a right, a fundamental freedom, linked to privacy. It</w:t>
      </w:r>
      <w:r w:rsidR="00C47A15" w:rsidRPr="00513BCB">
        <w:rPr>
          <w:sz w:val="22"/>
          <w:szCs w:val="22"/>
        </w:rPr>
        <w:t xml:space="preserve"> is a breach of an aspect of private life to publish without the birth</w:t>
      </w:r>
      <w:r w:rsidR="008B5AC4" w:rsidRPr="00513BCB">
        <w:rPr>
          <w:sz w:val="22"/>
          <w:szCs w:val="22"/>
        </w:rPr>
        <w:t xml:space="preserve"> </w:t>
      </w:r>
      <w:r w:rsidR="00C47A15" w:rsidRPr="00513BCB">
        <w:rPr>
          <w:sz w:val="22"/>
          <w:szCs w:val="22"/>
        </w:rPr>
        <w:t xml:space="preserve">giver’s consent information that she is pregnant, even though her condition is publicly visible. </w:t>
      </w:r>
      <w:r w:rsidR="00520214" w:rsidRPr="00513BCB">
        <w:rPr>
          <w:rFonts w:cs="Times New Roman"/>
          <w:sz w:val="22"/>
          <w:szCs w:val="22"/>
        </w:rPr>
        <w:t xml:space="preserve"> </w:t>
      </w:r>
      <w:r w:rsidR="008B5AC4" w:rsidRPr="00513BCB">
        <w:rPr>
          <w:rFonts w:cs="Times New Roman"/>
          <w:sz w:val="22"/>
          <w:szCs w:val="22"/>
        </w:rPr>
        <w:t>This provides a</w:t>
      </w:r>
      <w:r w:rsidR="00520214" w:rsidRPr="00513BCB">
        <w:rPr>
          <w:rFonts w:cs="Times New Roman"/>
          <w:sz w:val="22"/>
          <w:szCs w:val="22"/>
        </w:rPr>
        <w:t xml:space="preserve"> limited </w:t>
      </w:r>
      <w:r w:rsidR="008B5AC4" w:rsidRPr="00513BCB">
        <w:rPr>
          <w:rFonts w:cs="Times New Roman"/>
          <w:sz w:val="22"/>
          <w:szCs w:val="22"/>
        </w:rPr>
        <w:t>level of personal</w:t>
      </w:r>
      <w:r w:rsidR="00520214" w:rsidRPr="00513BCB">
        <w:rPr>
          <w:rFonts w:cs="Times New Roman"/>
          <w:sz w:val="22"/>
          <w:szCs w:val="22"/>
        </w:rPr>
        <w:t xml:space="preserve"> control and </w:t>
      </w:r>
      <w:r w:rsidRPr="00513BCB">
        <w:rPr>
          <w:rFonts w:cs="Times New Roman"/>
          <w:sz w:val="22"/>
          <w:szCs w:val="22"/>
        </w:rPr>
        <w:t xml:space="preserve">so the </w:t>
      </w:r>
      <w:r w:rsidR="00520214" w:rsidRPr="00513BCB">
        <w:rPr>
          <w:rFonts w:cs="Times New Roman"/>
          <w:sz w:val="22"/>
          <w:szCs w:val="22"/>
        </w:rPr>
        <w:t>starting point to freedom</w:t>
      </w:r>
      <w:r w:rsidR="00AD47D4" w:rsidRPr="00513BCB">
        <w:rPr>
          <w:rFonts w:cs="Times New Roman"/>
          <w:sz w:val="22"/>
          <w:szCs w:val="22"/>
        </w:rPr>
        <w:t xml:space="preserve"> (and thus choice)</w:t>
      </w:r>
      <w:r w:rsidR="00520214" w:rsidRPr="00513BCB">
        <w:rPr>
          <w:rFonts w:cs="Times New Roman"/>
          <w:sz w:val="22"/>
          <w:szCs w:val="22"/>
        </w:rPr>
        <w:t xml:space="preserve"> </w:t>
      </w:r>
      <w:r w:rsidRPr="00513BCB">
        <w:rPr>
          <w:rFonts w:cs="Times New Roman"/>
          <w:sz w:val="22"/>
          <w:szCs w:val="22"/>
        </w:rPr>
        <w:t xml:space="preserve">for </w:t>
      </w:r>
      <w:r w:rsidR="00C47A15" w:rsidRPr="00513BCB">
        <w:rPr>
          <w:rFonts w:cs="Times New Roman"/>
          <w:sz w:val="22"/>
          <w:szCs w:val="22"/>
        </w:rPr>
        <w:t>the birth</w:t>
      </w:r>
      <w:r w:rsidR="008B5AC4" w:rsidRPr="00513BCB">
        <w:rPr>
          <w:rFonts w:cs="Times New Roman"/>
          <w:sz w:val="22"/>
          <w:szCs w:val="22"/>
        </w:rPr>
        <w:t xml:space="preserve"> </w:t>
      </w:r>
      <w:r w:rsidR="00C47A15" w:rsidRPr="00513BCB">
        <w:rPr>
          <w:rFonts w:cs="Times New Roman"/>
          <w:sz w:val="22"/>
          <w:szCs w:val="22"/>
        </w:rPr>
        <w:t>giver</w:t>
      </w:r>
      <w:r w:rsidRPr="00513BCB">
        <w:rPr>
          <w:rFonts w:cs="Times New Roman"/>
          <w:sz w:val="22"/>
          <w:szCs w:val="22"/>
        </w:rPr>
        <w:t>:</w:t>
      </w:r>
      <w:r w:rsidR="00C47A15" w:rsidRPr="00513BCB">
        <w:rPr>
          <w:rFonts w:cs="Times New Roman"/>
          <w:sz w:val="22"/>
          <w:szCs w:val="22"/>
        </w:rPr>
        <w:t xml:space="preserve"> her views </w:t>
      </w:r>
      <w:r w:rsidR="00AD47D4" w:rsidRPr="00513BCB">
        <w:rPr>
          <w:rFonts w:cs="Times New Roman"/>
          <w:sz w:val="22"/>
          <w:szCs w:val="22"/>
        </w:rPr>
        <w:t xml:space="preserve">are </w:t>
      </w:r>
      <w:r w:rsidR="00C47A15" w:rsidRPr="00513BCB">
        <w:rPr>
          <w:rFonts w:cs="Times New Roman"/>
          <w:sz w:val="22"/>
          <w:szCs w:val="22"/>
        </w:rPr>
        <w:t>being listened</w:t>
      </w:r>
      <w:r w:rsidR="00520214" w:rsidRPr="00513BCB">
        <w:rPr>
          <w:rFonts w:cs="Times New Roman"/>
          <w:sz w:val="22"/>
          <w:szCs w:val="22"/>
        </w:rPr>
        <w:t xml:space="preserve"> to</w:t>
      </w:r>
      <w:r w:rsidR="00C47A15" w:rsidRPr="00513BCB">
        <w:rPr>
          <w:rFonts w:cs="Times New Roman"/>
          <w:sz w:val="22"/>
          <w:szCs w:val="22"/>
        </w:rPr>
        <w:t>,</w:t>
      </w:r>
      <w:r w:rsidR="00520214" w:rsidRPr="00513BCB">
        <w:rPr>
          <w:rFonts w:cs="Times New Roman"/>
          <w:sz w:val="22"/>
          <w:szCs w:val="22"/>
        </w:rPr>
        <w:t xml:space="preserve"> and </w:t>
      </w:r>
      <w:r w:rsidR="00C47A15" w:rsidRPr="00513BCB">
        <w:rPr>
          <w:rFonts w:cs="Times New Roman"/>
          <w:sz w:val="22"/>
          <w:szCs w:val="22"/>
        </w:rPr>
        <w:t xml:space="preserve">her experience being </w:t>
      </w:r>
      <w:r w:rsidR="00520214" w:rsidRPr="00513BCB">
        <w:rPr>
          <w:rFonts w:cs="Times New Roman"/>
          <w:sz w:val="22"/>
          <w:szCs w:val="22"/>
        </w:rPr>
        <w:t>tak</w:t>
      </w:r>
      <w:r w:rsidR="00C47A15" w:rsidRPr="00513BCB">
        <w:rPr>
          <w:rFonts w:cs="Times New Roman"/>
          <w:sz w:val="22"/>
          <w:szCs w:val="22"/>
        </w:rPr>
        <w:t>en</w:t>
      </w:r>
      <w:r w:rsidR="00520214" w:rsidRPr="00513BCB">
        <w:rPr>
          <w:rFonts w:cs="Times New Roman"/>
          <w:sz w:val="22"/>
          <w:szCs w:val="22"/>
        </w:rPr>
        <w:t xml:space="preserve"> seriously</w:t>
      </w:r>
      <w:r w:rsidR="00C47A15" w:rsidRPr="00513BCB">
        <w:rPr>
          <w:rFonts w:cs="Times New Roman"/>
          <w:sz w:val="22"/>
          <w:szCs w:val="22"/>
        </w:rPr>
        <w:t>, in a non</w:t>
      </w:r>
      <w:r w:rsidRPr="00513BCB">
        <w:rPr>
          <w:rFonts w:cs="Times New Roman"/>
          <w:sz w:val="22"/>
          <w:szCs w:val="22"/>
        </w:rPr>
        <w:t>-</w:t>
      </w:r>
      <w:r w:rsidR="00C47A15" w:rsidRPr="00513BCB">
        <w:rPr>
          <w:rFonts w:cs="Times New Roman"/>
          <w:sz w:val="22"/>
          <w:szCs w:val="22"/>
        </w:rPr>
        <w:t>judgmental</w:t>
      </w:r>
      <w:r w:rsidR="00D008AD" w:rsidRPr="00513BCB">
        <w:rPr>
          <w:rFonts w:cs="Times New Roman"/>
          <w:sz w:val="22"/>
          <w:szCs w:val="22"/>
        </w:rPr>
        <w:t>,</w:t>
      </w:r>
      <w:r w:rsidR="00C47A15" w:rsidRPr="00513BCB">
        <w:rPr>
          <w:rFonts w:cs="Times New Roman"/>
          <w:sz w:val="22"/>
          <w:szCs w:val="22"/>
        </w:rPr>
        <w:t xml:space="preserve"> caring way</w:t>
      </w:r>
      <w:r w:rsidR="00AD47D4" w:rsidRPr="00513BCB">
        <w:rPr>
          <w:rFonts w:cs="Times New Roman"/>
          <w:sz w:val="22"/>
          <w:szCs w:val="22"/>
        </w:rPr>
        <w:t xml:space="preserve">. The focus </w:t>
      </w:r>
      <w:r w:rsidR="00D008AD" w:rsidRPr="00513BCB">
        <w:rPr>
          <w:rFonts w:cs="Times New Roman"/>
          <w:sz w:val="22"/>
          <w:szCs w:val="22"/>
        </w:rPr>
        <w:t xml:space="preserve">is then on </w:t>
      </w:r>
      <w:r w:rsidR="00C47A15" w:rsidRPr="00513BCB">
        <w:rPr>
          <w:rFonts w:cs="Times New Roman"/>
          <w:sz w:val="22"/>
          <w:szCs w:val="22"/>
        </w:rPr>
        <w:t>support</w:t>
      </w:r>
      <w:r w:rsidR="00D008AD" w:rsidRPr="00513BCB">
        <w:rPr>
          <w:rFonts w:cs="Times New Roman"/>
          <w:sz w:val="22"/>
          <w:szCs w:val="22"/>
        </w:rPr>
        <w:t>ing</w:t>
      </w:r>
      <w:r w:rsidR="00C47A15" w:rsidRPr="00513BCB">
        <w:rPr>
          <w:rFonts w:cs="Times New Roman"/>
          <w:sz w:val="22"/>
          <w:szCs w:val="22"/>
        </w:rPr>
        <w:t xml:space="preserve"> her health and well</w:t>
      </w:r>
      <w:r w:rsidR="00D008AD" w:rsidRPr="00513BCB">
        <w:rPr>
          <w:rFonts w:cs="Times New Roman"/>
          <w:sz w:val="22"/>
          <w:szCs w:val="22"/>
        </w:rPr>
        <w:t>-</w:t>
      </w:r>
      <w:r w:rsidR="00C47A15" w:rsidRPr="00513BCB">
        <w:rPr>
          <w:rFonts w:cs="Times New Roman"/>
          <w:sz w:val="22"/>
          <w:szCs w:val="22"/>
        </w:rPr>
        <w:t>being</w:t>
      </w:r>
      <w:r w:rsidR="008B5AC4" w:rsidRPr="00513BCB">
        <w:rPr>
          <w:rFonts w:cs="Times New Roman"/>
          <w:sz w:val="22"/>
          <w:szCs w:val="22"/>
        </w:rPr>
        <w:t>.</w:t>
      </w:r>
      <w:r w:rsidR="00D008AD" w:rsidRPr="00513BCB">
        <w:rPr>
          <w:color w:val="000000" w:themeColor="text1"/>
          <w:sz w:val="22"/>
          <w:szCs w:val="22"/>
        </w:rPr>
        <w:t xml:space="preserve"> A</w:t>
      </w:r>
      <w:r w:rsidR="002D4D44" w:rsidRPr="00513BCB">
        <w:rPr>
          <w:color w:val="000000" w:themeColor="text1"/>
          <w:sz w:val="22"/>
          <w:szCs w:val="22"/>
        </w:rPr>
        <w:t xml:space="preserve">ims of preventing harm to the birth giver and new born, and ensuring a safe environment for them both, </w:t>
      </w:r>
      <w:r w:rsidR="00D008AD" w:rsidRPr="00513BCB">
        <w:rPr>
          <w:color w:val="000000" w:themeColor="text1"/>
          <w:sz w:val="22"/>
          <w:szCs w:val="22"/>
        </w:rPr>
        <w:t xml:space="preserve">also underpin the provision of </w:t>
      </w:r>
      <w:r w:rsidR="002D4D44" w:rsidRPr="00513BCB">
        <w:rPr>
          <w:color w:val="000000" w:themeColor="text1"/>
          <w:sz w:val="22"/>
          <w:szCs w:val="22"/>
        </w:rPr>
        <w:t>safe havens in the USA.</w:t>
      </w:r>
      <w:r w:rsidR="002D4D44" w:rsidRPr="00513BCB">
        <w:rPr>
          <w:rStyle w:val="FootnoteReference"/>
          <w:color w:val="000000" w:themeColor="text1"/>
          <w:sz w:val="22"/>
          <w:szCs w:val="22"/>
        </w:rPr>
        <w:footnoteReference w:id="140"/>
      </w:r>
      <w:r w:rsidR="002D4D44" w:rsidRPr="00513BCB">
        <w:rPr>
          <w:color w:val="000000" w:themeColor="text1"/>
          <w:sz w:val="22"/>
          <w:szCs w:val="22"/>
        </w:rPr>
        <w:t xml:space="preserve"> </w:t>
      </w:r>
      <w:r w:rsidR="0072239D" w:rsidRPr="00513BCB">
        <w:rPr>
          <w:rFonts w:cs="Times New Roman"/>
          <w:sz w:val="22"/>
          <w:szCs w:val="22"/>
        </w:rPr>
        <w:t>Respecting</w:t>
      </w:r>
      <w:r w:rsidR="008B5AC4" w:rsidRPr="00513BCB">
        <w:rPr>
          <w:rFonts w:cs="Times New Roman"/>
          <w:sz w:val="22"/>
          <w:szCs w:val="22"/>
        </w:rPr>
        <w:t xml:space="preserve"> </w:t>
      </w:r>
      <w:r w:rsidR="002D4D44" w:rsidRPr="00513BCB">
        <w:rPr>
          <w:rFonts w:cs="Times New Roman"/>
          <w:sz w:val="22"/>
          <w:szCs w:val="22"/>
        </w:rPr>
        <w:t xml:space="preserve">the </w:t>
      </w:r>
      <w:r w:rsidR="002D4D44" w:rsidRPr="00513BCB">
        <w:rPr>
          <w:rFonts w:cs="Times New Roman"/>
          <w:sz w:val="22"/>
          <w:szCs w:val="22"/>
        </w:rPr>
        <w:lastRenderedPageBreak/>
        <w:t xml:space="preserve">birth giver’s </w:t>
      </w:r>
      <w:r w:rsidR="00AD47D4" w:rsidRPr="00513BCB">
        <w:rPr>
          <w:rFonts w:cs="Times New Roman"/>
          <w:sz w:val="22"/>
          <w:szCs w:val="22"/>
        </w:rPr>
        <w:t>decisions, not forc</w:t>
      </w:r>
      <w:r w:rsidR="008B5AC4" w:rsidRPr="00513BCB">
        <w:rPr>
          <w:rFonts w:cs="Times New Roman"/>
          <w:sz w:val="22"/>
          <w:szCs w:val="22"/>
        </w:rPr>
        <w:t>ing</w:t>
      </w:r>
      <w:r w:rsidR="00AD47D4" w:rsidRPr="00513BCB">
        <w:rPr>
          <w:rFonts w:cs="Times New Roman"/>
          <w:sz w:val="22"/>
          <w:szCs w:val="22"/>
        </w:rPr>
        <w:t xml:space="preserve"> her </w:t>
      </w:r>
      <w:r w:rsidR="0072239D" w:rsidRPr="00513BCB">
        <w:rPr>
          <w:rFonts w:cs="Times New Roman"/>
          <w:sz w:val="22"/>
          <w:szCs w:val="22"/>
        </w:rPr>
        <w:t xml:space="preserve">through </w:t>
      </w:r>
      <w:r w:rsidR="00EC1F83" w:rsidRPr="00513BCB">
        <w:rPr>
          <w:rFonts w:cs="Times New Roman"/>
          <w:sz w:val="22"/>
          <w:szCs w:val="22"/>
        </w:rPr>
        <w:t xml:space="preserve">threats of </w:t>
      </w:r>
      <w:r w:rsidR="0072239D" w:rsidRPr="00513BCB">
        <w:rPr>
          <w:rFonts w:cs="Times New Roman"/>
          <w:sz w:val="22"/>
          <w:szCs w:val="22"/>
        </w:rPr>
        <w:t>legal penal</w:t>
      </w:r>
      <w:r w:rsidR="00EC1F83" w:rsidRPr="00513BCB">
        <w:rPr>
          <w:rFonts w:cs="Times New Roman"/>
          <w:sz w:val="22"/>
          <w:szCs w:val="22"/>
        </w:rPr>
        <w:t>ties for impermissible ‘abandonment’</w:t>
      </w:r>
      <w:r w:rsidR="0072239D" w:rsidRPr="00513BCB">
        <w:rPr>
          <w:rFonts w:cs="Times New Roman"/>
          <w:sz w:val="22"/>
          <w:szCs w:val="22"/>
        </w:rPr>
        <w:t xml:space="preserve">, </w:t>
      </w:r>
      <w:r w:rsidR="00D008AD" w:rsidRPr="00513BCB">
        <w:rPr>
          <w:rFonts w:cs="Times New Roman"/>
          <w:sz w:val="22"/>
          <w:szCs w:val="22"/>
        </w:rPr>
        <w:t xml:space="preserve">itself constitutes </w:t>
      </w:r>
      <w:r w:rsidR="0072239D" w:rsidRPr="00513BCB">
        <w:rPr>
          <w:rFonts w:cs="Times New Roman"/>
          <w:sz w:val="22"/>
          <w:szCs w:val="22"/>
        </w:rPr>
        <w:t xml:space="preserve">support </w:t>
      </w:r>
      <w:r w:rsidR="00D008AD" w:rsidRPr="00513BCB">
        <w:rPr>
          <w:rFonts w:cs="Times New Roman"/>
          <w:sz w:val="22"/>
          <w:szCs w:val="22"/>
        </w:rPr>
        <w:t>as she decides whether or not to relinquish the child</w:t>
      </w:r>
      <w:r w:rsidR="0072239D" w:rsidRPr="00513BCB">
        <w:rPr>
          <w:rFonts w:cs="Times New Roman"/>
          <w:sz w:val="22"/>
          <w:szCs w:val="22"/>
        </w:rPr>
        <w:t>.</w:t>
      </w:r>
    </w:p>
    <w:p w14:paraId="367DE70C" w14:textId="77777777" w:rsidR="00AA3FC9" w:rsidRPr="00513BCB" w:rsidRDefault="00AA3FC9" w:rsidP="004D3080">
      <w:pPr>
        <w:spacing w:line="360" w:lineRule="auto"/>
        <w:jc w:val="both"/>
        <w:rPr>
          <w:sz w:val="22"/>
          <w:szCs w:val="22"/>
        </w:rPr>
      </w:pPr>
    </w:p>
    <w:p w14:paraId="6F1441C0" w14:textId="4E82CE07" w:rsidR="00AA3FC9" w:rsidRPr="00513BCB" w:rsidRDefault="00AA3FC9" w:rsidP="007C6A1D">
      <w:pPr>
        <w:spacing w:line="360" w:lineRule="auto"/>
        <w:ind w:left="-15"/>
        <w:jc w:val="both"/>
        <w:outlineLvl w:val="0"/>
        <w:rPr>
          <w:b/>
          <w:i/>
          <w:sz w:val="22"/>
          <w:szCs w:val="22"/>
        </w:rPr>
      </w:pPr>
      <w:r w:rsidRPr="00513BCB">
        <w:rPr>
          <w:b/>
          <w:i/>
          <w:sz w:val="22"/>
          <w:szCs w:val="22"/>
        </w:rPr>
        <w:t xml:space="preserve">Care and </w:t>
      </w:r>
      <w:r w:rsidR="00627040" w:rsidRPr="00513BCB">
        <w:rPr>
          <w:b/>
          <w:i/>
          <w:sz w:val="22"/>
          <w:szCs w:val="22"/>
        </w:rPr>
        <w:t>b</w:t>
      </w:r>
      <w:r w:rsidRPr="00513BCB">
        <w:rPr>
          <w:b/>
          <w:i/>
          <w:sz w:val="22"/>
          <w:szCs w:val="22"/>
        </w:rPr>
        <w:t xml:space="preserve">elonging </w:t>
      </w:r>
      <w:r w:rsidR="006B5BAC" w:rsidRPr="00513BCB">
        <w:rPr>
          <w:b/>
          <w:i/>
          <w:sz w:val="22"/>
          <w:szCs w:val="22"/>
        </w:rPr>
        <w:t>f</w:t>
      </w:r>
      <w:r w:rsidRPr="00513BCB">
        <w:rPr>
          <w:b/>
          <w:i/>
          <w:sz w:val="22"/>
          <w:szCs w:val="22"/>
        </w:rPr>
        <w:t>or the children born secretly</w:t>
      </w:r>
    </w:p>
    <w:p w14:paraId="25B4CEA5" w14:textId="4E1C0606" w:rsidR="00216D48" w:rsidRPr="00513BCB" w:rsidRDefault="00216D48" w:rsidP="004D3080">
      <w:pPr>
        <w:spacing w:line="360" w:lineRule="auto"/>
        <w:jc w:val="both"/>
        <w:rPr>
          <w:sz w:val="22"/>
          <w:szCs w:val="22"/>
        </w:rPr>
      </w:pPr>
      <w:r w:rsidRPr="00513BCB">
        <w:rPr>
          <w:sz w:val="22"/>
          <w:szCs w:val="22"/>
        </w:rPr>
        <w:t>In times of armed conflicts and forced detention</w:t>
      </w:r>
      <w:r w:rsidR="00D008AD" w:rsidRPr="00513BCB">
        <w:rPr>
          <w:sz w:val="22"/>
          <w:szCs w:val="22"/>
        </w:rPr>
        <w:t xml:space="preserve"> (such as </w:t>
      </w:r>
      <w:r w:rsidRPr="00513BCB">
        <w:rPr>
          <w:sz w:val="22"/>
          <w:szCs w:val="22"/>
        </w:rPr>
        <w:t>in the former Yugoslavia and Rwanda in the 1990s</w:t>
      </w:r>
      <w:r w:rsidR="00D008AD" w:rsidRPr="00513BCB">
        <w:rPr>
          <w:sz w:val="22"/>
          <w:szCs w:val="22"/>
        </w:rPr>
        <w:t>)</w:t>
      </w:r>
      <w:r w:rsidRPr="00513BCB">
        <w:rPr>
          <w:sz w:val="22"/>
          <w:szCs w:val="22"/>
        </w:rPr>
        <w:t xml:space="preserve">, pregnancies have occurred and babies have been born as a result of rapes in conflict. It is common for the birth giver to </w:t>
      </w:r>
      <w:r w:rsidR="0072239D" w:rsidRPr="00513BCB">
        <w:rPr>
          <w:sz w:val="22"/>
          <w:szCs w:val="22"/>
        </w:rPr>
        <w:t>reject</w:t>
      </w:r>
      <w:r w:rsidRPr="00513BCB">
        <w:rPr>
          <w:sz w:val="22"/>
          <w:szCs w:val="22"/>
        </w:rPr>
        <w:t xml:space="preserve"> the child.</w:t>
      </w:r>
      <w:r w:rsidR="00EC1F83" w:rsidRPr="00513BCB">
        <w:rPr>
          <w:rStyle w:val="FootnoteReference"/>
          <w:sz w:val="22"/>
          <w:szCs w:val="22"/>
        </w:rPr>
        <w:footnoteReference w:id="141"/>
      </w:r>
      <w:r w:rsidRPr="00513BCB">
        <w:rPr>
          <w:sz w:val="22"/>
          <w:szCs w:val="22"/>
        </w:rPr>
        <w:t xml:space="preserve"> Quite apart from conflict situations, rapes also occur regularly globally. Many think that, in such situations, the child is better knowing nothing about the circumstances of his or her birth, and encouraged to forge his or her own identity in and through lived experience. These issues are complex and beyond the scope of this article. But surely it is worth reflecting as to why these attitudes towards anonymity are so sparse in times of peace</w:t>
      </w:r>
      <w:r w:rsidR="00D008AD" w:rsidRPr="00513BCB">
        <w:rPr>
          <w:sz w:val="22"/>
          <w:szCs w:val="22"/>
        </w:rPr>
        <w:t xml:space="preserve"> and beyond the case of rape</w:t>
      </w:r>
      <w:r w:rsidRPr="00513BCB">
        <w:rPr>
          <w:sz w:val="22"/>
          <w:szCs w:val="22"/>
        </w:rPr>
        <w:t xml:space="preserve">. </w:t>
      </w:r>
    </w:p>
    <w:p w14:paraId="54B1CF33" w14:textId="77777777" w:rsidR="00216D48" w:rsidRPr="00513BCB" w:rsidRDefault="00216D48" w:rsidP="004D3080">
      <w:pPr>
        <w:spacing w:line="360" w:lineRule="auto"/>
        <w:jc w:val="both"/>
        <w:rPr>
          <w:sz w:val="22"/>
          <w:szCs w:val="22"/>
        </w:rPr>
      </w:pPr>
    </w:p>
    <w:p w14:paraId="4C171259" w14:textId="780686F8" w:rsidR="00D008AD" w:rsidRPr="00513BCB" w:rsidRDefault="002D4D44" w:rsidP="004D3080">
      <w:pPr>
        <w:spacing w:line="360" w:lineRule="auto"/>
        <w:jc w:val="both"/>
        <w:rPr>
          <w:sz w:val="22"/>
          <w:szCs w:val="22"/>
        </w:rPr>
      </w:pPr>
      <w:r w:rsidRPr="00513BCB">
        <w:rPr>
          <w:color w:val="000000" w:themeColor="text1"/>
          <w:sz w:val="22"/>
          <w:szCs w:val="22"/>
        </w:rPr>
        <w:t xml:space="preserve">Family love and connection from birth are ongoing activities and experiences throughout our lives, forming part of the creation of our identity as </w:t>
      </w:r>
      <w:r w:rsidR="006A41D8" w:rsidRPr="00513BCB">
        <w:rPr>
          <w:color w:val="000000" w:themeColor="text1"/>
          <w:sz w:val="22"/>
          <w:szCs w:val="22"/>
        </w:rPr>
        <w:t>a</w:t>
      </w:r>
      <w:r w:rsidRPr="00513BCB">
        <w:rPr>
          <w:color w:val="000000" w:themeColor="text1"/>
          <w:sz w:val="22"/>
          <w:szCs w:val="22"/>
        </w:rPr>
        <w:t xml:space="preserve"> project within relationships.  The family love involved does not have to originate in biology. Some r</w:t>
      </w:r>
      <w:r w:rsidR="00AD47D4" w:rsidRPr="00513BCB">
        <w:rPr>
          <w:sz w:val="22"/>
          <w:szCs w:val="22"/>
        </w:rPr>
        <w:t xml:space="preserve">esearch has </w:t>
      </w:r>
      <w:r w:rsidR="00AD47D4" w:rsidRPr="00513BCB">
        <w:rPr>
          <w:color w:val="000000" w:themeColor="text1"/>
          <w:sz w:val="22"/>
          <w:szCs w:val="22"/>
        </w:rPr>
        <w:t>shown that birth</w:t>
      </w:r>
      <w:r w:rsidRPr="00513BCB">
        <w:rPr>
          <w:color w:val="000000" w:themeColor="text1"/>
          <w:sz w:val="22"/>
          <w:szCs w:val="22"/>
        </w:rPr>
        <w:t xml:space="preserve"> </w:t>
      </w:r>
      <w:r w:rsidR="00AD47D4" w:rsidRPr="00513BCB">
        <w:rPr>
          <w:color w:val="000000" w:themeColor="text1"/>
          <w:sz w:val="22"/>
          <w:szCs w:val="22"/>
        </w:rPr>
        <w:t>givers may give up their children to protect them, as, in Bonnet’s words, ‘a gesture of love’.</w:t>
      </w:r>
      <w:r w:rsidR="00AD47D4" w:rsidRPr="00513BCB">
        <w:rPr>
          <w:rStyle w:val="FootnoteReference"/>
          <w:color w:val="000000" w:themeColor="text1"/>
          <w:sz w:val="22"/>
          <w:szCs w:val="22"/>
        </w:rPr>
        <w:footnoteReference w:id="142"/>
      </w:r>
      <w:r w:rsidR="00AD47D4" w:rsidRPr="00513BCB">
        <w:rPr>
          <w:color w:val="000000" w:themeColor="text1"/>
          <w:sz w:val="22"/>
          <w:szCs w:val="22"/>
        </w:rPr>
        <w:t xml:space="preserve"> </w:t>
      </w:r>
      <w:r w:rsidR="00D008AD" w:rsidRPr="00513BCB">
        <w:rPr>
          <w:color w:val="000000" w:themeColor="text1"/>
          <w:sz w:val="22"/>
          <w:szCs w:val="22"/>
        </w:rPr>
        <w:t xml:space="preserve">Safe relinquishment can therefore </w:t>
      </w:r>
      <w:r w:rsidR="00AD47D4" w:rsidRPr="00513BCB">
        <w:rPr>
          <w:color w:val="000000" w:themeColor="text1"/>
          <w:sz w:val="22"/>
          <w:szCs w:val="22"/>
        </w:rPr>
        <w:t>safeguard</w:t>
      </w:r>
      <w:r w:rsidR="00D008AD" w:rsidRPr="00513BCB">
        <w:rPr>
          <w:color w:val="000000" w:themeColor="text1"/>
          <w:sz w:val="22"/>
          <w:szCs w:val="22"/>
        </w:rPr>
        <w:t xml:space="preserve"> children</w:t>
      </w:r>
      <w:r w:rsidR="00AD47D4" w:rsidRPr="00513BCB">
        <w:rPr>
          <w:color w:val="000000" w:themeColor="text1"/>
          <w:sz w:val="22"/>
          <w:szCs w:val="22"/>
        </w:rPr>
        <w:t xml:space="preserve"> from infanticide and abuse, abortion, and </w:t>
      </w:r>
      <w:r w:rsidR="00627040" w:rsidRPr="00513BCB">
        <w:rPr>
          <w:color w:val="000000" w:themeColor="text1"/>
          <w:sz w:val="22"/>
          <w:szCs w:val="22"/>
        </w:rPr>
        <w:t>abandonment</w:t>
      </w:r>
      <w:r w:rsidRPr="00513BCB">
        <w:rPr>
          <w:color w:val="000000" w:themeColor="text1"/>
          <w:sz w:val="22"/>
          <w:szCs w:val="22"/>
        </w:rPr>
        <w:t xml:space="preserve"> on the street</w:t>
      </w:r>
      <w:r w:rsidR="00627040" w:rsidRPr="00513BCB">
        <w:rPr>
          <w:color w:val="000000" w:themeColor="text1"/>
          <w:sz w:val="22"/>
          <w:szCs w:val="22"/>
        </w:rPr>
        <w:t>.</w:t>
      </w:r>
      <w:r w:rsidR="00AD47D4" w:rsidRPr="00513BCB">
        <w:rPr>
          <w:rStyle w:val="FootnoteReference"/>
          <w:color w:val="000000" w:themeColor="text1"/>
          <w:sz w:val="22"/>
          <w:szCs w:val="22"/>
        </w:rPr>
        <w:footnoteReference w:id="143"/>
      </w:r>
      <w:r w:rsidR="00AD47D4" w:rsidRPr="00513BCB">
        <w:rPr>
          <w:color w:val="000000" w:themeColor="text1"/>
          <w:sz w:val="22"/>
          <w:szCs w:val="22"/>
        </w:rPr>
        <w:t xml:space="preserve"> </w:t>
      </w:r>
      <w:r w:rsidR="00627040" w:rsidRPr="00513BCB">
        <w:rPr>
          <w:color w:val="000000" w:themeColor="text1"/>
          <w:sz w:val="22"/>
          <w:szCs w:val="22"/>
        </w:rPr>
        <w:t xml:space="preserve"> L</w:t>
      </w:r>
      <w:r w:rsidR="00AD47D4" w:rsidRPr="00513BCB">
        <w:rPr>
          <w:sz w:val="22"/>
          <w:szCs w:val="22"/>
        </w:rPr>
        <w:t xml:space="preserve">ove, care and belonging from birth </w:t>
      </w:r>
      <w:r w:rsidR="00AA3FC9" w:rsidRPr="00513BCB">
        <w:rPr>
          <w:sz w:val="22"/>
          <w:szCs w:val="22"/>
        </w:rPr>
        <w:t xml:space="preserve">can be </w:t>
      </w:r>
      <w:r w:rsidR="00D008AD" w:rsidRPr="00513BCB">
        <w:rPr>
          <w:sz w:val="22"/>
          <w:szCs w:val="22"/>
        </w:rPr>
        <w:t xml:space="preserve">further </w:t>
      </w:r>
      <w:r w:rsidR="00AA3FC9" w:rsidRPr="00513BCB">
        <w:rPr>
          <w:sz w:val="22"/>
          <w:szCs w:val="22"/>
        </w:rPr>
        <w:t xml:space="preserve">assisted through recording as much information </w:t>
      </w:r>
      <w:r w:rsidR="00D008AD" w:rsidRPr="00513BCB">
        <w:rPr>
          <w:sz w:val="22"/>
          <w:szCs w:val="22"/>
        </w:rPr>
        <w:t xml:space="preserve">as possible </w:t>
      </w:r>
      <w:r w:rsidR="00AA3FC9" w:rsidRPr="00513BCB">
        <w:rPr>
          <w:sz w:val="22"/>
          <w:szCs w:val="22"/>
        </w:rPr>
        <w:t>about a relinquished child and enabling him or her to be secure in a loving environment.</w:t>
      </w:r>
      <w:r w:rsidR="0072239D" w:rsidRPr="00513BCB">
        <w:rPr>
          <w:sz w:val="22"/>
          <w:szCs w:val="22"/>
        </w:rPr>
        <w:t xml:space="preserve"> </w:t>
      </w:r>
    </w:p>
    <w:p w14:paraId="41C9EA48" w14:textId="77777777" w:rsidR="00D008AD" w:rsidRPr="00513BCB" w:rsidRDefault="00D008AD" w:rsidP="004D3080">
      <w:pPr>
        <w:spacing w:line="360" w:lineRule="auto"/>
        <w:jc w:val="both"/>
        <w:rPr>
          <w:sz w:val="22"/>
          <w:szCs w:val="22"/>
        </w:rPr>
      </w:pPr>
    </w:p>
    <w:p w14:paraId="6A55CF09" w14:textId="03D104D9" w:rsidR="00534AF1" w:rsidRPr="00513BCB" w:rsidRDefault="00AA3FC9" w:rsidP="004638C5">
      <w:pPr>
        <w:spacing w:line="360" w:lineRule="auto"/>
        <w:jc w:val="both"/>
        <w:rPr>
          <w:rFonts w:eastAsia="Times New Roman" w:cs="Times New Roman"/>
          <w:sz w:val="22"/>
          <w:szCs w:val="22"/>
          <w:lang w:val="en-GB"/>
        </w:rPr>
      </w:pPr>
      <w:r w:rsidRPr="00513BCB">
        <w:rPr>
          <w:rFonts w:cs="Times New Roman"/>
          <w:sz w:val="22"/>
          <w:szCs w:val="22"/>
        </w:rPr>
        <w:lastRenderedPageBreak/>
        <w:t>Mueller and Sherr</w:t>
      </w:r>
      <w:r w:rsidR="0072239D" w:rsidRPr="00513BCB">
        <w:rPr>
          <w:rFonts w:cs="Times New Roman"/>
          <w:sz w:val="22"/>
          <w:szCs w:val="22"/>
        </w:rPr>
        <w:t>’s research</w:t>
      </w:r>
      <w:r w:rsidRPr="00513BCB">
        <w:rPr>
          <w:rFonts w:cs="Times New Roman"/>
          <w:sz w:val="22"/>
          <w:szCs w:val="22"/>
        </w:rPr>
        <w:t xml:space="preserve"> studying baby abandonment</w:t>
      </w:r>
      <w:r w:rsidR="0072239D" w:rsidRPr="00513BCB">
        <w:rPr>
          <w:rFonts w:cs="Times New Roman"/>
          <w:sz w:val="22"/>
          <w:szCs w:val="22"/>
        </w:rPr>
        <w:t xml:space="preserve"> in the UK explains</w:t>
      </w:r>
      <w:r w:rsidRPr="00513BCB">
        <w:rPr>
          <w:rFonts w:cs="Times New Roman"/>
          <w:sz w:val="22"/>
          <w:szCs w:val="22"/>
        </w:rPr>
        <w:t xml:space="preserve"> that few studies have </w:t>
      </w:r>
      <w:r w:rsidR="00627040" w:rsidRPr="00513BCB">
        <w:rPr>
          <w:rFonts w:cs="Times New Roman"/>
          <w:sz w:val="22"/>
          <w:szCs w:val="22"/>
        </w:rPr>
        <w:t xml:space="preserve">systematically </w:t>
      </w:r>
      <w:r w:rsidRPr="00513BCB">
        <w:rPr>
          <w:rFonts w:cs="Times New Roman"/>
          <w:sz w:val="22"/>
          <w:szCs w:val="22"/>
        </w:rPr>
        <w:t>examined the e</w:t>
      </w:r>
      <w:r w:rsidR="0072239D" w:rsidRPr="00513BCB">
        <w:rPr>
          <w:rFonts w:cs="Times New Roman"/>
          <w:sz w:val="22"/>
          <w:szCs w:val="22"/>
        </w:rPr>
        <w:t>m</w:t>
      </w:r>
      <w:r w:rsidRPr="00513BCB">
        <w:rPr>
          <w:rFonts w:cs="Times New Roman"/>
          <w:sz w:val="22"/>
          <w:szCs w:val="22"/>
        </w:rPr>
        <w:t>otions or experiences of the now grown</w:t>
      </w:r>
      <w:r w:rsidR="00627040" w:rsidRPr="00513BCB">
        <w:rPr>
          <w:rFonts w:cs="Times New Roman"/>
          <w:sz w:val="22"/>
          <w:szCs w:val="22"/>
        </w:rPr>
        <w:t>-</w:t>
      </w:r>
      <w:r w:rsidRPr="00513BCB">
        <w:rPr>
          <w:rFonts w:cs="Times New Roman"/>
          <w:sz w:val="22"/>
          <w:szCs w:val="22"/>
        </w:rPr>
        <w:t xml:space="preserve">up children who are adult survivors of abandonment. </w:t>
      </w:r>
      <w:r w:rsidRPr="00513BCB">
        <w:rPr>
          <w:rStyle w:val="FootnoteReference"/>
          <w:rFonts w:cs="Times New Roman"/>
          <w:bCs/>
          <w:sz w:val="22"/>
          <w:szCs w:val="22"/>
        </w:rPr>
        <w:footnoteReference w:id="144"/>
      </w:r>
      <w:r w:rsidRPr="00513BCB">
        <w:rPr>
          <w:rFonts w:cs="Times New Roman"/>
          <w:bCs/>
          <w:sz w:val="22"/>
          <w:szCs w:val="22"/>
        </w:rPr>
        <w:t xml:space="preserve"> </w:t>
      </w:r>
      <w:r w:rsidRPr="00513BCB">
        <w:rPr>
          <w:rFonts w:cs="Times New Roman"/>
          <w:sz w:val="22"/>
          <w:szCs w:val="22"/>
        </w:rPr>
        <w:t xml:space="preserve">They </w:t>
      </w:r>
      <w:r w:rsidR="0072239D" w:rsidRPr="00513BCB">
        <w:rPr>
          <w:rFonts w:cs="Times New Roman"/>
          <w:sz w:val="22"/>
          <w:szCs w:val="22"/>
        </w:rPr>
        <w:t>note</w:t>
      </w:r>
      <w:r w:rsidRPr="00513BCB">
        <w:rPr>
          <w:rFonts w:cs="Times New Roman"/>
          <w:sz w:val="22"/>
          <w:szCs w:val="22"/>
        </w:rPr>
        <w:t xml:space="preserve"> that there </w:t>
      </w:r>
      <w:r w:rsidR="004638C5" w:rsidRPr="00513BCB">
        <w:rPr>
          <w:rFonts w:cs="Times New Roman"/>
          <w:sz w:val="22"/>
          <w:szCs w:val="22"/>
        </w:rPr>
        <w:t>is no evidence of the conditions or effects of abandonment on birth giver</w:t>
      </w:r>
      <w:r w:rsidRPr="00513BCB">
        <w:rPr>
          <w:rFonts w:cs="Times New Roman"/>
          <w:sz w:val="22"/>
          <w:szCs w:val="22"/>
        </w:rPr>
        <w:t xml:space="preserve"> or baby</w:t>
      </w:r>
      <w:r w:rsidR="004638C5" w:rsidRPr="00513BCB">
        <w:rPr>
          <w:rFonts w:cs="Times New Roman"/>
          <w:sz w:val="22"/>
          <w:szCs w:val="22"/>
        </w:rPr>
        <w:t xml:space="preserve"> and </w:t>
      </w:r>
      <w:r w:rsidR="00A147A1" w:rsidRPr="00513BCB">
        <w:rPr>
          <w:rFonts w:cs="Times New Roman"/>
          <w:sz w:val="22"/>
          <w:szCs w:val="22"/>
        </w:rPr>
        <w:t xml:space="preserve">the available </w:t>
      </w:r>
      <w:r w:rsidR="004638C5" w:rsidRPr="00513BCB">
        <w:rPr>
          <w:rFonts w:cs="Times New Roman"/>
          <w:sz w:val="22"/>
          <w:szCs w:val="22"/>
        </w:rPr>
        <w:t xml:space="preserve">literature </w:t>
      </w:r>
      <w:r w:rsidR="004638C5" w:rsidRPr="00513BCB">
        <w:rPr>
          <w:rFonts w:eastAsia="Times New Roman" w:cs="Arial"/>
          <w:color w:val="111111"/>
          <w:sz w:val="22"/>
          <w:szCs w:val="22"/>
          <w:shd w:val="clear" w:color="auto" w:fill="FFFFFF"/>
          <w:lang w:val="en-GB"/>
        </w:rPr>
        <w:t>indicates an absence of clear provision</w:t>
      </w:r>
      <w:r w:rsidR="000A4E97" w:rsidRPr="00513BCB">
        <w:rPr>
          <w:rFonts w:eastAsia="Times New Roman" w:cs="Arial"/>
          <w:color w:val="111111"/>
          <w:sz w:val="22"/>
          <w:szCs w:val="22"/>
          <w:shd w:val="clear" w:color="auto" w:fill="FFFFFF"/>
          <w:lang w:val="en-GB"/>
        </w:rPr>
        <w:t xml:space="preserve"> </w:t>
      </w:r>
      <w:r w:rsidR="00B20978" w:rsidRPr="00513BCB">
        <w:rPr>
          <w:rFonts w:eastAsia="Times New Roman" w:cs="Arial"/>
          <w:color w:val="111111"/>
          <w:sz w:val="22"/>
          <w:szCs w:val="22"/>
          <w:shd w:val="clear" w:color="auto" w:fill="FFFFFF"/>
          <w:lang w:val="en-GB"/>
        </w:rPr>
        <w:t>as to how to support</w:t>
      </w:r>
      <w:r w:rsidR="000A4E97" w:rsidRPr="00513BCB">
        <w:rPr>
          <w:rFonts w:eastAsia="Times New Roman" w:cs="Arial"/>
          <w:color w:val="111111"/>
          <w:sz w:val="22"/>
          <w:szCs w:val="22"/>
          <w:shd w:val="clear" w:color="auto" w:fill="FFFFFF"/>
          <w:lang w:val="en-GB"/>
        </w:rPr>
        <w:t xml:space="preserve"> these individuals, and an absence of </w:t>
      </w:r>
      <w:r w:rsidR="004638C5" w:rsidRPr="00513BCB">
        <w:rPr>
          <w:rFonts w:eastAsia="Times New Roman" w:cs="Arial"/>
          <w:color w:val="111111"/>
          <w:sz w:val="22"/>
          <w:szCs w:val="22"/>
          <w:shd w:val="clear" w:color="auto" w:fill="FFFFFF"/>
          <w:lang w:val="en-GB"/>
        </w:rPr>
        <w:t xml:space="preserve">research </w:t>
      </w:r>
      <w:r w:rsidRPr="00513BCB">
        <w:rPr>
          <w:rFonts w:cs="Times New Roman"/>
          <w:sz w:val="22"/>
          <w:szCs w:val="22"/>
        </w:rPr>
        <w:t xml:space="preserve">that could inform policy. </w:t>
      </w:r>
      <w:r w:rsidR="0072239D" w:rsidRPr="00513BCB">
        <w:rPr>
          <w:rFonts w:cs="Times New Roman"/>
          <w:sz w:val="22"/>
          <w:szCs w:val="22"/>
        </w:rPr>
        <w:t>P</w:t>
      </w:r>
      <w:r w:rsidRPr="00513BCB">
        <w:rPr>
          <w:rFonts w:cs="Times New Roman"/>
          <w:sz w:val="22"/>
          <w:szCs w:val="22"/>
        </w:rPr>
        <w:t xml:space="preserve">ending any such evidence, they </w:t>
      </w:r>
      <w:r w:rsidRPr="00513BCB">
        <w:rPr>
          <w:rFonts w:cs="Times New Roman"/>
          <w:bCs/>
          <w:sz w:val="22"/>
          <w:szCs w:val="22"/>
        </w:rPr>
        <w:t xml:space="preserve">suggest certain procedures could be implemented at the time of finding an abandoned baby to minimise identity and belonging problems </w:t>
      </w:r>
      <w:r w:rsidR="00823EB4" w:rsidRPr="00513BCB">
        <w:rPr>
          <w:rFonts w:cs="Times New Roman"/>
          <w:bCs/>
          <w:sz w:val="22"/>
          <w:szCs w:val="22"/>
        </w:rPr>
        <w:t>that appear to</w:t>
      </w:r>
      <w:r w:rsidRPr="00513BCB">
        <w:rPr>
          <w:rFonts w:cs="Times New Roman"/>
          <w:bCs/>
          <w:sz w:val="22"/>
          <w:szCs w:val="22"/>
        </w:rPr>
        <w:t xml:space="preserve"> face those abandoned at birth. </w:t>
      </w:r>
      <w:r w:rsidR="00823EB4" w:rsidRPr="00513BCB">
        <w:rPr>
          <w:rFonts w:cs="Times New Roman"/>
          <w:bCs/>
          <w:sz w:val="22"/>
          <w:szCs w:val="22"/>
        </w:rPr>
        <w:t>I suggest t</w:t>
      </w:r>
      <w:r w:rsidR="006A41D8" w:rsidRPr="00513BCB">
        <w:rPr>
          <w:rFonts w:cs="Times New Roman"/>
          <w:bCs/>
          <w:sz w:val="22"/>
          <w:szCs w:val="22"/>
        </w:rPr>
        <w:t>hese</w:t>
      </w:r>
      <w:r w:rsidR="00AD47D4" w:rsidRPr="00513BCB">
        <w:rPr>
          <w:rFonts w:cs="Times New Roman"/>
          <w:bCs/>
          <w:sz w:val="22"/>
          <w:szCs w:val="22"/>
        </w:rPr>
        <w:t xml:space="preserve"> ‘</w:t>
      </w:r>
      <w:r w:rsidRPr="00513BCB">
        <w:rPr>
          <w:rFonts w:cs="Times New Roman"/>
          <w:bCs/>
          <w:sz w:val="22"/>
          <w:szCs w:val="22"/>
        </w:rPr>
        <w:t>procedures</w:t>
      </w:r>
      <w:r w:rsidR="00AD47D4" w:rsidRPr="00513BCB">
        <w:rPr>
          <w:rFonts w:cs="Times New Roman"/>
          <w:bCs/>
          <w:sz w:val="22"/>
          <w:szCs w:val="22"/>
        </w:rPr>
        <w:t>’</w:t>
      </w:r>
      <w:r w:rsidRPr="00513BCB">
        <w:rPr>
          <w:rFonts w:cs="Times New Roman"/>
          <w:bCs/>
          <w:sz w:val="22"/>
          <w:szCs w:val="22"/>
        </w:rPr>
        <w:t xml:space="preserve"> can </w:t>
      </w:r>
      <w:r w:rsidR="00AD47D4" w:rsidRPr="00513BCB">
        <w:rPr>
          <w:rFonts w:cs="Times New Roman"/>
          <w:bCs/>
          <w:sz w:val="22"/>
          <w:szCs w:val="22"/>
        </w:rPr>
        <w:t>be extended to all children born in concealed circumstances</w:t>
      </w:r>
      <w:r w:rsidR="006A41D8" w:rsidRPr="00513BCB">
        <w:rPr>
          <w:rFonts w:cs="Times New Roman"/>
          <w:bCs/>
          <w:sz w:val="22"/>
          <w:szCs w:val="22"/>
        </w:rPr>
        <w:t xml:space="preserve"> and can</w:t>
      </w:r>
      <w:r w:rsidR="00AD47D4" w:rsidRPr="00513BCB">
        <w:rPr>
          <w:rFonts w:cs="Times New Roman"/>
          <w:bCs/>
          <w:sz w:val="22"/>
          <w:szCs w:val="22"/>
        </w:rPr>
        <w:t xml:space="preserve"> </w:t>
      </w:r>
      <w:r w:rsidRPr="00513BCB">
        <w:rPr>
          <w:rFonts w:cs="Times New Roman"/>
          <w:bCs/>
          <w:sz w:val="22"/>
          <w:szCs w:val="22"/>
        </w:rPr>
        <w:t>include</w:t>
      </w:r>
      <w:r w:rsidR="00534AF1" w:rsidRPr="00513BCB">
        <w:rPr>
          <w:rFonts w:cs="Times New Roman"/>
          <w:bCs/>
          <w:sz w:val="22"/>
          <w:szCs w:val="22"/>
        </w:rPr>
        <w:t>, for example,</w:t>
      </w:r>
      <w:r w:rsidR="00AD47D4" w:rsidRPr="00513BCB">
        <w:rPr>
          <w:rFonts w:cs="Times New Roman"/>
          <w:bCs/>
          <w:sz w:val="22"/>
          <w:szCs w:val="22"/>
        </w:rPr>
        <w:t xml:space="preserve"> any</w:t>
      </w:r>
      <w:r w:rsidR="00534AF1" w:rsidRPr="00513BCB">
        <w:rPr>
          <w:rFonts w:cs="Times New Roman"/>
          <w:bCs/>
          <w:sz w:val="22"/>
          <w:szCs w:val="22"/>
        </w:rPr>
        <w:t xml:space="preserve"> letters, information or </w:t>
      </w:r>
      <w:r w:rsidR="00AD47D4" w:rsidRPr="00513BCB">
        <w:rPr>
          <w:rFonts w:cs="Times New Roman"/>
          <w:bCs/>
          <w:sz w:val="22"/>
          <w:szCs w:val="22"/>
        </w:rPr>
        <w:t>tokens left by the birth</w:t>
      </w:r>
      <w:r w:rsidR="002D4D44" w:rsidRPr="00513BCB">
        <w:rPr>
          <w:rFonts w:cs="Times New Roman"/>
          <w:bCs/>
          <w:sz w:val="22"/>
          <w:szCs w:val="22"/>
        </w:rPr>
        <w:t xml:space="preserve"> </w:t>
      </w:r>
      <w:r w:rsidR="00AD47D4" w:rsidRPr="00513BCB">
        <w:rPr>
          <w:rFonts w:cs="Times New Roman"/>
          <w:bCs/>
          <w:sz w:val="22"/>
          <w:szCs w:val="22"/>
        </w:rPr>
        <w:t>giver,</w:t>
      </w:r>
      <w:r w:rsidR="00AD47D4" w:rsidRPr="00513BCB">
        <w:rPr>
          <w:rStyle w:val="FootnoteReference"/>
          <w:rFonts w:cs="Times New Roman"/>
          <w:bCs/>
          <w:sz w:val="22"/>
          <w:szCs w:val="22"/>
        </w:rPr>
        <w:footnoteReference w:id="145"/>
      </w:r>
      <w:r w:rsidRPr="00513BCB">
        <w:rPr>
          <w:rFonts w:cs="Times New Roman"/>
          <w:bCs/>
          <w:sz w:val="22"/>
          <w:szCs w:val="22"/>
        </w:rPr>
        <w:t xml:space="preserve"> or photographs, </w:t>
      </w:r>
      <w:r w:rsidR="00627040" w:rsidRPr="00513BCB">
        <w:rPr>
          <w:rFonts w:cs="Times New Roman"/>
          <w:bCs/>
          <w:sz w:val="22"/>
          <w:szCs w:val="22"/>
        </w:rPr>
        <w:t xml:space="preserve">whether </w:t>
      </w:r>
      <w:r w:rsidR="00AD47D4" w:rsidRPr="00513BCB">
        <w:rPr>
          <w:rFonts w:cs="Times New Roman"/>
          <w:bCs/>
          <w:sz w:val="22"/>
          <w:szCs w:val="22"/>
        </w:rPr>
        <w:t>left by the birth</w:t>
      </w:r>
      <w:r w:rsidR="006A41D8" w:rsidRPr="00513BCB">
        <w:rPr>
          <w:rFonts w:cs="Times New Roman"/>
          <w:bCs/>
          <w:sz w:val="22"/>
          <w:szCs w:val="22"/>
        </w:rPr>
        <w:t xml:space="preserve"> </w:t>
      </w:r>
      <w:r w:rsidR="00AD47D4" w:rsidRPr="00513BCB">
        <w:rPr>
          <w:rFonts w:cs="Times New Roman"/>
          <w:bCs/>
          <w:sz w:val="22"/>
          <w:szCs w:val="22"/>
        </w:rPr>
        <w:t xml:space="preserve">giver or taken immediately </w:t>
      </w:r>
      <w:r w:rsidR="00534AF1" w:rsidRPr="00513BCB">
        <w:rPr>
          <w:rFonts w:cs="Times New Roman"/>
          <w:bCs/>
          <w:sz w:val="22"/>
          <w:szCs w:val="22"/>
        </w:rPr>
        <w:t xml:space="preserve">when the baby is </w:t>
      </w:r>
      <w:r w:rsidR="00AD47D4" w:rsidRPr="00513BCB">
        <w:rPr>
          <w:rFonts w:cs="Times New Roman"/>
          <w:bCs/>
          <w:sz w:val="22"/>
          <w:szCs w:val="22"/>
        </w:rPr>
        <w:t>found</w:t>
      </w:r>
      <w:r w:rsidR="00627040" w:rsidRPr="00513BCB">
        <w:rPr>
          <w:rFonts w:cs="Times New Roman"/>
          <w:bCs/>
          <w:sz w:val="22"/>
          <w:szCs w:val="22"/>
        </w:rPr>
        <w:t xml:space="preserve">, </w:t>
      </w:r>
      <w:r w:rsidRPr="00513BCB">
        <w:rPr>
          <w:rFonts w:cs="Times New Roman"/>
          <w:bCs/>
          <w:sz w:val="22"/>
          <w:szCs w:val="22"/>
        </w:rPr>
        <w:t xml:space="preserve">and life books </w:t>
      </w:r>
      <w:r w:rsidR="00627040" w:rsidRPr="00513BCB">
        <w:rPr>
          <w:rFonts w:cs="Times New Roman"/>
          <w:bCs/>
          <w:sz w:val="22"/>
          <w:szCs w:val="22"/>
        </w:rPr>
        <w:t xml:space="preserve">with photographs </w:t>
      </w:r>
      <w:r w:rsidRPr="00513BCB">
        <w:rPr>
          <w:rFonts w:cs="Times New Roman"/>
          <w:bCs/>
          <w:sz w:val="22"/>
          <w:szCs w:val="22"/>
        </w:rPr>
        <w:t xml:space="preserve">made by </w:t>
      </w:r>
      <w:r w:rsidR="00627040" w:rsidRPr="00513BCB">
        <w:rPr>
          <w:rFonts w:cs="Times New Roman"/>
          <w:bCs/>
          <w:sz w:val="22"/>
          <w:szCs w:val="22"/>
        </w:rPr>
        <w:t xml:space="preserve">social care, healthcare staff or </w:t>
      </w:r>
      <w:r w:rsidRPr="00513BCB">
        <w:rPr>
          <w:rFonts w:cs="Times New Roman"/>
          <w:bCs/>
          <w:sz w:val="22"/>
          <w:szCs w:val="22"/>
        </w:rPr>
        <w:t>police</w:t>
      </w:r>
      <w:r w:rsidR="00534AF1" w:rsidRPr="00513BCB">
        <w:rPr>
          <w:rFonts w:cs="Times New Roman"/>
          <w:bCs/>
          <w:sz w:val="22"/>
          <w:szCs w:val="22"/>
        </w:rPr>
        <w:t xml:space="preserve">. These can help </w:t>
      </w:r>
      <w:r w:rsidRPr="00513BCB">
        <w:rPr>
          <w:rFonts w:cs="Times New Roman"/>
          <w:bCs/>
          <w:sz w:val="22"/>
          <w:szCs w:val="22"/>
        </w:rPr>
        <w:t>strengthen</w:t>
      </w:r>
      <w:r w:rsidR="00534AF1" w:rsidRPr="00513BCB">
        <w:rPr>
          <w:rFonts w:cs="Times New Roman"/>
          <w:bCs/>
          <w:sz w:val="22"/>
          <w:szCs w:val="22"/>
        </w:rPr>
        <w:t xml:space="preserve"> the </w:t>
      </w:r>
      <w:r w:rsidRPr="00513BCB">
        <w:rPr>
          <w:rFonts w:cs="Times New Roman"/>
          <w:bCs/>
          <w:sz w:val="22"/>
          <w:szCs w:val="22"/>
        </w:rPr>
        <w:t xml:space="preserve">child’s sense of </w:t>
      </w:r>
      <w:r w:rsidR="00823EB4" w:rsidRPr="00513BCB">
        <w:rPr>
          <w:rFonts w:cs="Times New Roman"/>
          <w:bCs/>
          <w:sz w:val="22"/>
          <w:szCs w:val="22"/>
        </w:rPr>
        <w:t>rootedness</w:t>
      </w:r>
      <w:r w:rsidRPr="00513BCB">
        <w:rPr>
          <w:rFonts w:cs="Times New Roman"/>
          <w:bCs/>
          <w:sz w:val="22"/>
          <w:szCs w:val="22"/>
        </w:rPr>
        <w:t xml:space="preserve">. Sherr and Mueller advocate recording a specific date as a birth date, even if an estimate, on </w:t>
      </w:r>
      <w:r w:rsidR="006A41D8" w:rsidRPr="00513BCB">
        <w:rPr>
          <w:rFonts w:cs="Times New Roman"/>
          <w:bCs/>
          <w:sz w:val="22"/>
          <w:szCs w:val="22"/>
        </w:rPr>
        <w:t>the</w:t>
      </w:r>
      <w:r w:rsidRPr="00513BCB">
        <w:rPr>
          <w:rFonts w:cs="Times New Roman"/>
          <w:bCs/>
          <w:sz w:val="22"/>
          <w:szCs w:val="22"/>
        </w:rPr>
        <w:t xml:space="preserve"> child’s birth certificate. </w:t>
      </w:r>
      <w:r w:rsidR="00534AF1" w:rsidRPr="00513BCB">
        <w:rPr>
          <w:rFonts w:cs="Times"/>
          <w:sz w:val="22"/>
          <w:szCs w:val="22"/>
        </w:rPr>
        <w:t xml:space="preserve">Such measures provide </w:t>
      </w:r>
      <w:r w:rsidR="00D008AD" w:rsidRPr="00513BCB">
        <w:rPr>
          <w:rFonts w:cs="Times"/>
          <w:sz w:val="22"/>
          <w:szCs w:val="22"/>
        </w:rPr>
        <w:t>child</w:t>
      </w:r>
      <w:r w:rsidR="00B20978" w:rsidRPr="00513BCB">
        <w:rPr>
          <w:rFonts w:cs="Times"/>
          <w:sz w:val="22"/>
          <w:szCs w:val="22"/>
        </w:rPr>
        <w:t>ren</w:t>
      </w:r>
      <w:r w:rsidR="00D008AD" w:rsidRPr="00513BCB">
        <w:rPr>
          <w:rFonts w:cs="Times"/>
          <w:sz w:val="22"/>
          <w:szCs w:val="22"/>
        </w:rPr>
        <w:t xml:space="preserve"> in the care system following any form of secret birth </w:t>
      </w:r>
      <w:r w:rsidR="00534AF1" w:rsidRPr="00513BCB">
        <w:rPr>
          <w:rFonts w:cs="Times"/>
          <w:sz w:val="22"/>
          <w:szCs w:val="22"/>
        </w:rPr>
        <w:t xml:space="preserve">a foundation </w:t>
      </w:r>
      <w:r w:rsidR="00D008AD" w:rsidRPr="00513BCB">
        <w:rPr>
          <w:rFonts w:cs="Times"/>
          <w:sz w:val="22"/>
          <w:szCs w:val="22"/>
        </w:rPr>
        <w:t xml:space="preserve">on which to build </w:t>
      </w:r>
      <w:r w:rsidR="00534AF1" w:rsidRPr="00513BCB">
        <w:rPr>
          <w:rFonts w:cs="Times"/>
          <w:sz w:val="22"/>
          <w:szCs w:val="22"/>
        </w:rPr>
        <w:t xml:space="preserve">a </w:t>
      </w:r>
      <w:r w:rsidRPr="00513BCB">
        <w:rPr>
          <w:rFonts w:cs="Times"/>
          <w:sz w:val="22"/>
          <w:szCs w:val="22"/>
        </w:rPr>
        <w:t>fresh outlook</w:t>
      </w:r>
      <w:r w:rsidR="00D008AD" w:rsidRPr="00513BCB">
        <w:rPr>
          <w:rFonts w:cs="Times"/>
          <w:sz w:val="22"/>
          <w:szCs w:val="22"/>
        </w:rPr>
        <w:t xml:space="preserve"> that</w:t>
      </w:r>
      <w:r w:rsidR="007C3814" w:rsidRPr="00513BCB">
        <w:rPr>
          <w:rFonts w:cs="Times"/>
          <w:sz w:val="22"/>
          <w:szCs w:val="22"/>
        </w:rPr>
        <w:t xml:space="preserve"> could assist the formation of</w:t>
      </w:r>
      <w:r w:rsidRPr="00513BCB">
        <w:rPr>
          <w:rFonts w:cs="Times"/>
          <w:sz w:val="22"/>
          <w:szCs w:val="22"/>
        </w:rPr>
        <w:t xml:space="preserve"> their own strong </w:t>
      </w:r>
      <w:r w:rsidR="007C3814" w:rsidRPr="00513BCB">
        <w:rPr>
          <w:rFonts w:cs="Times"/>
          <w:sz w:val="22"/>
          <w:szCs w:val="22"/>
        </w:rPr>
        <w:t xml:space="preserve">and positive </w:t>
      </w:r>
      <w:r w:rsidRPr="00513BCB">
        <w:rPr>
          <w:rFonts w:cs="Times"/>
          <w:sz w:val="22"/>
          <w:szCs w:val="22"/>
        </w:rPr>
        <w:t xml:space="preserve">sense of identity. </w:t>
      </w:r>
    </w:p>
    <w:p w14:paraId="56B58709" w14:textId="77777777" w:rsidR="00534AF1" w:rsidRPr="00513BCB" w:rsidRDefault="00534AF1" w:rsidP="004D3080">
      <w:pPr>
        <w:pStyle w:val="FootnoteText"/>
        <w:spacing w:line="360" w:lineRule="auto"/>
        <w:jc w:val="both"/>
        <w:rPr>
          <w:rFonts w:cs="Times"/>
          <w:sz w:val="22"/>
          <w:szCs w:val="22"/>
        </w:rPr>
      </w:pPr>
    </w:p>
    <w:p w14:paraId="4444298A" w14:textId="0E25064E" w:rsidR="00AA3FC9" w:rsidRPr="00513BCB" w:rsidRDefault="00037802" w:rsidP="004D3080">
      <w:pPr>
        <w:pStyle w:val="FootnoteText"/>
        <w:spacing w:line="360" w:lineRule="auto"/>
        <w:jc w:val="both"/>
        <w:rPr>
          <w:sz w:val="22"/>
          <w:szCs w:val="22"/>
        </w:rPr>
      </w:pPr>
      <w:r w:rsidRPr="00513BCB">
        <w:rPr>
          <w:color w:val="000000"/>
          <w:sz w:val="22"/>
          <w:szCs w:val="22"/>
        </w:rPr>
        <w:t xml:space="preserve">Details </w:t>
      </w:r>
      <w:r w:rsidR="00D008AD" w:rsidRPr="00513BCB">
        <w:rPr>
          <w:color w:val="000000"/>
          <w:sz w:val="22"/>
          <w:szCs w:val="22"/>
        </w:rPr>
        <w:t xml:space="preserve">can also be </w:t>
      </w:r>
      <w:r w:rsidRPr="00513BCB">
        <w:rPr>
          <w:color w:val="000000"/>
          <w:sz w:val="22"/>
          <w:szCs w:val="22"/>
        </w:rPr>
        <w:t>left for the birth giver to collect in baby boxes. These a</w:t>
      </w:r>
      <w:r w:rsidR="007C3814" w:rsidRPr="00513BCB">
        <w:rPr>
          <w:color w:val="000000"/>
          <w:sz w:val="22"/>
          <w:szCs w:val="22"/>
        </w:rPr>
        <w:t>im to provi</w:t>
      </w:r>
      <w:r w:rsidRPr="00513BCB">
        <w:rPr>
          <w:color w:val="000000"/>
          <w:sz w:val="22"/>
          <w:szCs w:val="22"/>
        </w:rPr>
        <w:t>de</w:t>
      </w:r>
      <w:r w:rsidR="007C3814" w:rsidRPr="00513BCB">
        <w:rPr>
          <w:color w:val="000000"/>
          <w:sz w:val="22"/>
          <w:szCs w:val="22"/>
        </w:rPr>
        <w:t xml:space="preserve"> care and belonging for the birth giver</w:t>
      </w:r>
      <w:r w:rsidR="00D008AD" w:rsidRPr="00513BCB">
        <w:rPr>
          <w:color w:val="000000"/>
          <w:sz w:val="22"/>
          <w:szCs w:val="22"/>
        </w:rPr>
        <w:t>,</w:t>
      </w:r>
      <w:r w:rsidR="007C3814" w:rsidRPr="00513BCB">
        <w:rPr>
          <w:color w:val="000000"/>
          <w:sz w:val="22"/>
          <w:szCs w:val="22"/>
        </w:rPr>
        <w:t xml:space="preserve"> and </w:t>
      </w:r>
      <w:r w:rsidR="00D008AD" w:rsidRPr="00513BCB">
        <w:rPr>
          <w:color w:val="000000"/>
          <w:sz w:val="22"/>
          <w:szCs w:val="22"/>
        </w:rPr>
        <w:t xml:space="preserve">by extension </w:t>
      </w:r>
      <w:r w:rsidR="007C3814" w:rsidRPr="00513BCB">
        <w:rPr>
          <w:color w:val="000000"/>
          <w:sz w:val="22"/>
          <w:szCs w:val="22"/>
        </w:rPr>
        <w:t>the chil</w:t>
      </w:r>
      <w:r w:rsidRPr="00513BCB">
        <w:rPr>
          <w:color w:val="000000"/>
          <w:sz w:val="22"/>
          <w:szCs w:val="22"/>
        </w:rPr>
        <w:t>d</w:t>
      </w:r>
      <w:r w:rsidR="00D008AD" w:rsidRPr="00513BCB">
        <w:rPr>
          <w:color w:val="000000"/>
          <w:sz w:val="22"/>
          <w:szCs w:val="22"/>
        </w:rPr>
        <w:t>,</w:t>
      </w:r>
      <w:r w:rsidRPr="00513BCB">
        <w:rPr>
          <w:color w:val="000000"/>
          <w:sz w:val="22"/>
          <w:szCs w:val="22"/>
        </w:rPr>
        <w:t xml:space="preserve"> through showing </w:t>
      </w:r>
      <w:r w:rsidR="00D008AD" w:rsidRPr="00513BCB">
        <w:rPr>
          <w:color w:val="000000"/>
          <w:sz w:val="22"/>
          <w:szCs w:val="22"/>
        </w:rPr>
        <w:t xml:space="preserve">the </w:t>
      </w:r>
      <w:r w:rsidRPr="00513BCB">
        <w:rPr>
          <w:color w:val="000000"/>
          <w:sz w:val="22"/>
          <w:szCs w:val="22"/>
        </w:rPr>
        <w:t xml:space="preserve">support available from </w:t>
      </w:r>
      <w:r w:rsidR="00AA3FC9" w:rsidRPr="00513BCB">
        <w:rPr>
          <w:rFonts w:cs="Times New Roman"/>
          <w:bCs/>
          <w:sz w:val="22"/>
          <w:szCs w:val="22"/>
        </w:rPr>
        <w:t>the hospital</w:t>
      </w:r>
      <w:r w:rsidRPr="00513BCB">
        <w:rPr>
          <w:rFonts w:cs="Times New Roman"/>
          <w:bCs/>
          <w:sz w:val="22"/>
          <w:szCs w:val="22"/>
        </w:rPr>
        <w:t>.</w:t>
      </w:r>
      <w:r w:rsidR="007C3814" w:rsidRPr="00513BCB">
        <w:rPr>
          <w:rFonts w:cs="Times New Roman"/>
          <w:bCs/>
          <w:sz w:val="22"/>
          <w:szCs w:val="22"/>
        </w:rPr>
        <w:t xml:space="preserve"> </w:t>
      </w:r>
      <w:r w:rsidRPr="00513BCB">
        <w:rPr>
          <w:rFonts w:cs="Times New Roman"/>
          <w:bCs/>
          <w:sz w:val="22"/>
          <w:szCs w:val="22"/>
        </w:rPr>
        <w:t>The woman is</w:t>
      </w:r>
      <w:r w:rsidR="007C3814" w:rsidRPr="00513BCB">
        <w:rPr>
          <w:rFonts w:cs="Times New Roman"/>
          <w:bCs/>
          <w:sz w:val="22"/>
          <w:szCs w:val="22"/>
        </w:rPr>
        <w:t xml:space="preserve"> </w:t>
      </w:r>
      <w:r w:rsidR="00AA3FC9" w:rsidRPr="00513BCB">
        <w:rPr>
          <w:rFonts w:cs="Times New Roman"/>
          <w:bCs/>
          <w:sz w:val="22"/>
          <w:szCs w:val="22"/>
        </w:rPr>
        <w:t>encouraged to leave information about herself and her background</w:t>
      </w:r>
      <w:r w:rsidR="007C3814" w:rsidRPr="00513BCB">
        <w:rPr>
          <w:color w:val="000000"/>
          <w:sz w:val="22"/>
          <w:szCs w:val="22"/>
        </w:rPr>
        <w:t xml:space="preserve">, </w:t>
      </w:r>
      <w:r w:rsidRPr="00513BCB">
        <w:rPr>
          <w:color w:val="000000"/>
          <w:sz w:val="22"/>
          <w:szCs w:val="22"/>
        </w:rPr>
        <w:t xml:space="preserve">as this letter </w:t>
      </w:r>
      <w:r w:rsidR="00AA3FC9" w:rsidRPr="00513BCB">
        <w:rPr>
          <w:color w:val="000000"/>
          <w:sz w:val="22"/>
          <w:szCs w:val="22"/>
        </w:rPr>
        <w:t>from Germany</w:t>
      </w:r>
      <w:r w:rsidRPr="00513BCB">
        <w:rPr>
          <w:color w:val="000000"/>
          <w:sz w:val="22"/>
          <w:szCs w:val="22"/>
        </w:rPr>
        <w:t xml:space="preserve"> illustrates</w:t>
      </w:r>
      <w:r w:rsidR="00AA3FC9" w:rsidRPr="00513BCB">
        <w:rPr>
          <w:color w:val="000000"/>
          <w:sz w:val="22"/>
          <w:szCs w:val="22"/>
        </w:rPr>
        <w:t>:</w:t>
      </w:r>
    </w:p>
    <w:p w14:paraId="05FA621C" w14:textId="77777777" w:rsidR="00AA3FC9" w:rsidRPr="00513BCB" w:rsidRDefault="00AA3FC9" w:rsidP="004D3080">
      <w:pPr>
        <w:pStyle w:val="FootnoteText"/>
        <w:spacing w:line="360" w:lineRule="auto"/>
        <w:jc w:val="both"/>
        <w:rPr>
          <w:sz w:val="22"/>
          <w:szCs w:val="22"/>
        </w:rPr>
      </w:pPr>
    </w:p>
    <w:p w14:paraId="719290E1" w14:textId="77777777" w:rsidR="00AA3FC9" w:rsidRPr="00513BCB" w:rsidRDefault="00AA3FC9" w:rsidP="004D3080">
      <w:pPr>
        <w:pStyle w:val="FootnoteText"/>
        <w:spacing w:line="360" w:lineRule="auto"/>
        <w:ind w:firstLine="720"/>
        <w:jc w:val="both"/>
        <w:rPr>
          <w:sz w:val="22"/>
          <w:szCs w:val="22"/>
        </w:rPr>
      </w:pPr>
      <w:r w:rsidRPr="00513BCB">
        <w:rPr>
          <w:sz w:val="22"/>
          <w:szCs w:val="22"/>
        </w:rPr>
        <w:t>‘Dear Mother of a foundling,</w:t>
      </w:r>
    </w:p>
    <w:p w14:paraId="1ECCF73C" w14:textId="77777777" w:rsidR="00AA3FC9" w:rsidRPr="00513BCB" w:rsidRDefault="00AA3FC9" w:rsidP="004D3080">
      <w:pPr>
        <w:pStyle w:val="FootnoteText"/>
        <w:spacing w:line="360" w:lineRule="auto"/>
        <w:ind w:left="720"/>
        <w:jc w:val="both"/>
        <w:rPr>
          <w:sz w:val="22"/>
          <w:szCs w:val="22"/>
        </w:rPr>
      </w:pPr>
      <w:r w:rsidRPr="00513BCB">
        <w:rPr>
          <w:sz w:val="22"/>
          <w:szCs w:val="22"/>
        </w:rPr>
        <w:t xml:space="preserve">We realise that taking the step of giving away your child wasn't easy for you. Please be assured that we will take loving care of your baby to the best of our ability and as such will give him/her </w:t>
      </w:r>
      <w:r w:rsidRPr="00513BCB">
        <w:rPr>
          <w:sz w:val="22"/>
          <w:szCs w:val="22"/>
        </w:rPr>
        <w:lastRenderedPageBreak/>
        <w:t>a good start in life. Also, the baby should be given a chance to live! Should you change your mind and want your baby back, you can come back to us with full trust. We will gladly help you and are pleased when mother and child are able to be together. Even if you don't, we will still help you with advice. Rest assured that you don't need to worry about the police looking for you. Call us. We are there for you.</w:t>
      </w:r>
    </w:p>
    <w:p w14:paraId="38357710" w14:textId="77777777" w:rsidR="00AA3FC9" w:rsidRPr="00513BCB" w:rsidRDefault="00AA3FC9" w:rsidP="004D3080">
      <w:pPr>
        <w:pStyle w:val="FootnoteText"/>
        <w:spacing w:line="360" w:lineRule="auto"/>
        <w:ind w:left="720"/>
        <w:jc w:val="both"/>
        <w:rPr>
          <w:sz w:val="22"/>
          <w:szCs w:val="22"/>
        </w:rPr>
      </w:pPr>
      <w:r w:rsidRPr="00513BCB">
        <w:rPr>
          <w:sz w:val="22"/>
          <w:szCs w:val="22"/>
        </w:rPr>
        <w:t>Remember, one day your child will want to know at the very least the name of his/her mother. If you wish to leave this vital piece of information, we'll be glad to help.’</w:t>
      </w:r>
      <w:r w:rsidRPr="00513BCB">
        <w:rPr>
          <w:rStyle w:val="FootnoteReference"/>
          <w:sz w:val="22"/>
          <w:szCs w:val="22"/>
        </w:rPr>
        <w:footnoteReference w:id="146"/>
      </w:r>
    </w:p>
    <w:p w14:paraId="7625787A" w14:textId="77777777" w:rsidR="00AA3FC9" w:rsidRPr="00513BCB" w:rsidRDefault="00AA3FC9" w:rsidP="004D3080">
      <w:pPr>
        <w:spacing w:line="360" w:lineRule="auto"/>
        <w:jc w:val="both"/>
        <w:rPr>
          <w:sz w:val="22"/>
          <w:szCs w:val="22"/>
        </w:rPr>
      </w:pPr>
    </w:p>
    <w:p w14:paraId="0C6E263E" w14:textId="76CFCA16" w:rsidR="00AA3FC9" w:rsidRPr="00513BCB" w:rsidRDefault="00D008AD" w:rsidP="004D3080">
      <w:pPr>
        <w:pStyle w:val="BodyText"/>
        <w:spacing w:line="360" w:lineRule="auto"/>
        <w:rPr>
          <w:rFonts w:asciiTheme="minorHAnsi" w:hAnsiTheme="minorHAnsi"/>
          <w:sz w:val="22"/>
          <w:szCs w:val="22"/>
        </w:rPr>
      </w:pPr>
      <w:r w:rsidRPr="00513BCB">
        <w:rPr>
          <w:rFonts w:asciiTheme="minorHAnsi" w:hAnsiTheme="minorHAnsi"/>
          <w:sz w:val="22"/>
          <w:szCs w:val="22"/>
        </w:rPr>
        <w:t xml:space="preserve">A </w:t>
      </w:r>
      <w:r w:rsidR="00AA3FC9" w:rsidRPr="00513BCB">
        <w:rPr>
          <w:rFonts w:asciiTheme="minorHAnsi" w:hAnsiTheme="minorHAnsi"/>
          <w:sz w:val="22"/>
          <w:szCs w:val="22"/>
        </w:rPr>
        <w:t xml:space="preserve">sense of identity can be developed based on the encouragement and support provided to a newborn child, infant and young person through love, care and nurturance and building a sense of </w:t>
      </w:r>
      <w:r w:rsidRPr="00513BCB">
        <w:rPr>
          <w:rFonts w:asciiTheme="minorHAnsi" w:hAnsiTheme="minorHAnsi"/>
          <w:sz w:val="22"/>
          <w:szCs w:val="22"/>
        </w:rPr>
        <w:t xml:space="preserve">their </w:t>
      </w:r>
      <w:r w:rsidR="00AA3FC9" w:rsidRPr="00513BCB">
        <w:rPr>
          <w:rFonts w:asciiTheme="minorHAnsi" w:hAnsiTheme="minorHAnsi"/>
          <w:sz w:val="22"/>
          <w:szCs w:val="22"/>
        </w:rPr>
        <w:t>own identity</w:t>
      </w:r>
      <w:r w:rsidRPr="00513BCB">
        <w:rPr>
          <w:rFonts w:asciiTheme="minorHAnsi" w:hAnsiTheme="minorHAnsi"/>
          <w:sz w:val="22"/>
          <w:szCs w:val="22"/>
        </w:rPr>
        <w:t xml:space="preserve"> throughout life</w:t>
      </w:r>
      <w:r w:rsidR="00AA3FC9" w:rsidRPr="00513BCB">
        <w:rPr>
          <w:rFonts w:asciiTheme="minorHAnsi" w:hAnsiTheme="minorHAnsi"/>
          <w:sz w:val="22"/>
          <w:szCs w:val="22"/>
        </w:rPr>
        <w:t>, through the development of self</w:t>
      </w:r>
      <w:r w:rsidR="00766585" w:rsidRPr="00513BCB">
        <w:rPr>
          <w:rFonts w:asciiTheme="minorHAnsi" w:hAnsiTheme="minorHAnsi"/>
          <w:sz w:val="22"/>
          <w:szCs w:val="22"/>
        </w:rPr>
        <w:t>-</w:t>
      </w:r>
      <w:r w:rsidR="00AA3FC9" w:rsidRPr="00513BCB">
        <w:rPr>
          <w:rFonts w:asciiTheme="minorHAnsi" w:hAnsiTheme="minorHAnsi"/>
          <w:sz w:val="22"/>
          <w:szCs w:val="22"/>
        </w:rPr>
        <w:t>esteem and self</w:t>
      </w:r>
      <w:r w:rsidR="00766585" w:rsidRPr="00513BCB">
        <w:rPr>
          <w:rFonts w:asciiTheme="minorHAnsi" w:hAnsiTheme="minorHAnsi"/>
          <w:sz w:val="22"/>
          <w:szCs w:val="22"/>
        </w:rPr>
        <w:t>-</w:t>
      </w:r>
      <w:r w:rsidR="00AA3FC9" w:rsidRPr="00513BCB">
        <w:rPr>
          <w:rFonts w:asciiTheme="minorHAnsi" w:hAnsiTheme="minorHAnsi"/>
          <w:sz w:val="22"/>
          <w:szCs w:val="22"/>
        </w:rPr>
        <w:t>confidence.</w:t>
      </w:r>
      <w:r w:rsidR="00AA3FC9" w:rsidRPr="00513BCB">
        <w:rPr>
          <w:rStyle w:val="FootnoteReference"/>
          <w:rFonts w:asciiTheme="minorHAnsi" w:hAnsiTheme="minorHAnsi"/>
          <w:sz w:val="22"/>
          <w:szCs w:val="22"/>
        </w:rPr>
        <w:footnoteReference w:id="147"/>
      </w:r>
      <w:r w:rsidR="00AA3FC9" w:rsidRPr="00513BCB">
        <w:rPr>
          <w:rFonts w:asciiTheme="minorHAnsi" w:hAnsiTheme="minorHAnsi"/>
          <w:sz w:val="22"/>
          <w:szCs w:val="22"/>
        </w:rPr>
        <w:t xml:space="preserve"> This support </w:t>
      </w:r>
      <w:r w:rsidRPr="00513BCB">
        <w:rPr>
          <w:rFonts w:asciiTheme="minorHAnsi" w:hAnsiTheme="minorHAnsi"/>
          <w:sz w:val="22"/>
          <w:szCs w:val="22"/>
        </w:rPr>
        <w:t xml:space="preserve">can be </w:t>
      </w:r>
      <w:r w:rsidR="00AA3FC9" w:rsidRPr="00513BCB">
        <w:rPr>
          <w:rFonts w:asciiTheme="minorHAnsi" w:hAnsiTheme="minorHAnsi"/>
          <w:sz w:val="22"/>
          <w:szCs w:val="22"/>
        </w:rPr>
        <w:t xml:space="preserve">enabled through the legal and political system </w:t>
      </w:r>
      <w:r w:rsidR="00766585" w:rsidRPr="00513BCB">
        <w:rPr>
          <w:rFonts w:asciiTheme="minorHAnsi" w:hAnsiTheme="minorHAnsi"/>
          <w:sz w:val="22"/>
          <w:szCs w:val="22"/>
        </w:rPr>
        <w:t xml:space="preserve">creating </w:t>
      </w:r>
      <w:r w:rsidR="00AA3FC9" w:rsidRPr="00513BCB">
        <w:rPr>
          <w:rFonts w:asciiTheme="minorHAnsi" w:hAnsiTheme="minorHAnsi"/>
          <w:sz w:val="22"/>
          <w:szCs w:val="22"/>
        </w:rPr>
        <w:t xml:space="preserve">and sustaining policies of inclusion, provision of resources and safety from birth. </w:t>
      </w:r>
    </w:p>
    <w:p w14:paraId="4824D73C" w14:textId="77777777" w:rsidR="002F662E" w:rsidRPr="00513BCB" w:rsidRDefault="002F662E" w:rsidP="004D3080">
      <w:pPr>
        <w:spacing w:line="360" w:lineRule="auto"/>
        <w:jc w:val="both"/>
        <w:rPr>
          <w:rFonts w:cs="Times New Roman"/>
          <w:color w:val="000000" w:themeColor="text1"/>
          <w:sz w:val="22"/>
          <w:szCs w:val="22"/>
        </w:rPr>
      </w:pPr>
    </w:p>
    <w:p w14:paraId="21FB27E3" w14:textId="360CBE79" w:rsidR="00776E58" w:rsidRPr="00513BCB" w:rsidRDefault="00776E58" w:rsidP="007C6A1D">
      <w:pPr>
        <w:pStyle w:val="BodyText"/>
        <w:spacing w:line="360" w:lineRule="auto"/>
        <w:outlineLvl w:val="0"/>
        <w:rPr>
          <w:rFonts w:asciiTheme="minorHAnsi" w:hAnsiTheme="minorHAnsi"/>
          <w:b/>
          <w:sz w:val="22"/>
          <w:szCs w:val="22"/>
        </w:rPr>
      </w:pPr>
      <w:r w:rsidRPr="00513BCB">
        <w:rPr>
          <w:rFonts w:asciiTheme="minorHAnsi" w:hAnsiTheme="minorHAnsi"/>
          <w:b/>
          <w:sz w:val="22"/>
          <w:szCs w:val="22"/>
        </w:rPr>
        <w:t xml:space="preserve">Conclusion </w:t>
      </w:r>
    </w:p>
    <w:p w14:paraId="787312FD" w14:textId="270A4FEF" w:rsidR="00F64114" w:rsidRPr="00513BCB" w:rsidRDefault="00F64114" w:rsidP="004D3080">
      <w:pPr>
        <w:spacing w:line="360" w:lineRule="auto"/>
        <w:jc w:val="both"/>
        <w:rPr>
          <w:sz w:val="22"/>
          <w:szCs w:val="22"/>
        </w:rPr>
      </w:pPr>
      <w:r w:rsidRPr="00513BCB">
        <w:rPr>
          <w:sz w:val="22"/>
          <w:szCs w:val="22"/>
        </w:rPr>
        <w:t>In 1976, Adrienne Rich observed that the free exercise by all women of sexual and procreative choice would bring about enormous social changes together with other claims denied to women and certain men for centuries.</w:t>
      </w:r>
      <w:r w:rsidRPr="00513BCB">
        <w:rPr>
          <w:rStyle w:val="FootnoteReference"/>
          <w:sz w:val="22"/>
          <w:szCs w:val="22"/>
        </w:rPr>
        <w:footnoteReference w:id="148"/>
      </w:r>
      <w:r w:rsidRPr="00513BCB">
        <w:rPr>
          <w:sz w:val="22"/>
          <w:szCs w:val="22"/>
        </w:rPr>
        <w:t xml:space="preserve"> Over forty years later, such freedom still seems somewhat distant. Whilst the availability of free and confidential family planning, contraceptives, abortion and supportive social attitudes towards all forms of family life are to be encouraged, these services do not always exist and are not uniformly used if they do. Meanwhile, rights to identity are conflated with rights to know biological origins, which inform a particular understanding of the child’s best interests and of what will improve his or her welfare. Girls and women are told that pregnancy, childbirth and childrearing </w:t>
      </w:r>
      <w:r w:rsidRPr="00513BCB">
        <w:rPr>
          <w:sz w:val="22"/>
          <w:szCs w:val="22"/>
        </w:rPr>
        <w:lastRenderedPageBreak/>
        <w:t>as currently experienced in a gendered world are ‘natural’, and that giving birth but refusing motherhood is unnatural and unacceptable with sanctions for behaving in such a way. All this perpetuates unfreedom.</w:t>
      </w:r>
    </w:p>
    <w:p w14:paraId="2CFCA828" w14:textId="77777777" w:rsidR="00F64114" w:rsidRPr="00513BCB" w:rsidRDefault="00F64114" w:rsidP="004D3080">
      <w:pPr>
        <w:spacing w:line="360" w:lineRule="auto"/>
        <w:jc w:val="both"/>
        <w:rPr>
          <w:sz w:val="22"/>
          <w:szCs w:val="22"/>
        </w:rPr>
      </w:pPr>
    </w:p>
    <w:p w14:paraId="3C9794C9" w14:textId="545E1B83" w:rsidR="006255DA" w:rsidRPr="00681454" w:rsidRDefault="00F64114" w:rsidP="004D3080">
      <w:pPr>
        <w:pStyle w:val="BodyText"/>
        <w:spacing w:line="360" w:lineRule="auto"/>
        <w:rPr>
          <w:rFonts w:asciiTheme="minorHAnsi" w:hAnsiTheme="minorHAnsi"/>
          <w:sz w:val="22"/>
          <w:szCs w:val="22"/>
        </w:rPr>
      </w:pPr>
      <w:r w:rsidRPr="00513BCB">
        <w:rPr>
          <w:color w:val="000000" w:themeColor="text1"/>
          <w:sz w:val="22"/>
          <w:szCs w:val="22"/>
        </w:rPr>
        <w:t>T</w:t>
      </w:r>
      <w:r w:rsidR="00126707" w:rsidRPr="00513BCB">
        <w:rPr>
          <w:color w:val="000000" w:themeColor="text1"/>
          <w:sz w:val="22"/>
          <w:szCs w:val="22"/>
        </w:rPr>
        <w:t>here are</w:t>
      </w:r>
      <w:r w:rsidRPr="00513BCB">
        <w:rPr>
          <w:color w:val="000000" w:themeColor="text1"/>
          <w:sz w:val="22"/>
          <w:szCs w:val="22"/>
        </w:rPr>
        <w:t>, therefore,</w:t>
      </w:r>
      <w:r w:rsidR="00126707" w:rsidRPr="00513BCB">
        <w:rPr>
          <w:color w:val="000000" w:themeColor="text1"/>
          <w:sz w:val="22"/>
          <w:szCs w:val="22"/>
        </w:rPr>
        <w:t xml:space="preserve"> many girls and women whose lives, as Smart says, ‘are still incongruous with the new stringent requirement for truth’,</w:t>
      </w:r>
      <w:r w:rsidR="007A2654" w:rsidRPr="00513BCB">
        <w:rPr>
          <w:rStyle w:val="FootnoteReference"/>
          <w:color w:val="000000" w:themeColor="text1"/>
          <w:sz w:val="22"/>
          <w:szCs w:val="22"/>
        </w:rPr>
        <w:t xml:space="preserve"> </w:t>
      </w:r>
      <w:r w:rsidR="007A2654" w:rsidRPr="00513BCB">
        <w:rPr>
          <w:rStyle w:val="FootnoteReference"/>
          <w:color w:val="000000" w:themeColor="text1"/>
          <w:sz w:val="22"/>
          <w:szCs w:val="22"/>
        </w:rPr>
        <w:footnoteReference w:id="149"/>
      </w:r>
      <w:r w:rsidR="007A2654" w:rsidRPr="00513BCB">
        <w:rPr>
          <w:color w:val="000000" w:themeColor="text1"/>
          <w:sz w:val="22"/>
          <w:szCs w:val="22"/>
        </w:rPr>
        <w:t xml:space="preserve"> </w:t>
      </w:r>
      <w:r w:rsidR="00126707" w:rsidRPr="00513BCB">
        <w:rPr>
          <w:color w:val="000000" w:themeColor="text1"/>
          <w:sz w:val="22"/>
          <w:szCs w:val="22"/>
        </w:rPr>
        <w:t xml:space="preserve">openness and acceptance. </w:t>
      </w:r>
      <w:r w:rsidR="00126707" w:rsidRPr="00513BCB">
        <w:rPr>
          <w:sz w:val="22"/>
          <w:szCs w:val="22"/>
        </w:rPr>
        <w:t xml:space="preserve">Showing care and respect by listening to, and acting upon, a </w:t>
      </w:r>
      <w:r w:rsidR="007A2654" w:rsidRPr="00513BCB">
        <w:rPr>
          <w:sz w:val="22"/>
          <w:szCs w:val="22"/>
        </w:rPr>
        <w:t xml:space="preserve">girl’s or </w:t>
      </w:r>
      <w:r w:rsidR="00126707" w:rsidRPr="00513BCB">
        <w:rPr>
          <w:sz w:val="22"/>
          <w:szCs w:val="22"/>
        </w:rPr>
        <w:t>woman’s choice</w:t>
      </w:r>
      <w:r w:rsidR="007A2654" w:rsidRPr="00513BCB">
        <w:rPr>
          <w:sz w:val="22"/>
          <w:szCs w:val="22"/>
        </w:rPr>
        <w:t xml:space="preserve"> to relinquish and to keep her pregnancy and birth secret</w:t>
      </w:r>
      <w:r w:rsidR="00126707" w:rsidRPr="00513BCB">
        <w:rPr>
          <w:sz w:val="22"/>
          <w:szCs w:val="22"/>
        </w:rPr>
        <w:t xml:space="preserve"> </w:t>
      </w:r>
      <w:r w:rsidR="007A2654" w:rsidRPr="00513BCB">
        <w:rPr>
          <w:sz w:val="22"/>
          <w:szCs w:val="22"/>
        </w:rPr>
        <w:t>can coincide with</w:t>
      </w:r>
      <w:r w:rsidR="00126707" w:rsidRPr="00513BCB">
        <w:rPr>
          <w:sz w:val="22"/>
          <w:szCs w:val="22"/>
        </w:rPr>
        <w:t xml:space="preserve"> a child’s best interests and identity </w:t>
      </w:r>
      <w:r w:rsidR="007A2654" w:rsidRPr="00513BCB">
        <w:rPr>
          <w:sz w:val="22"/>
          <w:szCs w:val="22"/>
        </w:rPr>
        <w:t xml:space="preserve">rights </w:t>
      </w:r>
      <w:r w:rsidR="00766585" w:rsidRPr="00513BCB">
        <w:rPr>
          <w:sz w:val="22"/>
          <w:szCs w:val="22"/>
        </w:rPr>
        <w:t>by</w:t>
      </w:r>
      <w:r w:rsidR="00126707" w:rsidRPr="00513BCB">
        <w:rPr>
          <w:sz w:val="22"/>
          <w:szCs w:val="22"/>
        </w:rPr>
        <w:t xml:space="preserve"> assist</w:t>
      </w:r>
      <w:r w:rsidR="00766585" w:rsidRPr="00513BCB">
        <w:rPr>
          <w:sz w:val="22"/>
          <w:szCs w:val="22"/>
        </w:rPr>
        <w:t>ing</w:t>
      </w:r>
      <w:r w:rsidR="00126707" w:rsidRPr="00513BCB">
        <w:rPr>
          <w:sz w:val="22"/>
          <w:szCs w:val="22"/>
        </w:rPr>
        <w:t xml:space="preserve"> </w:t>
      </w:r>
      <w:r w:rsidR="007A2654" w:rsidRPr="00513BCB">
        <w:rPr>
          <w:sz w:val="22"/>
          <w:szCs w:val="22"/>
        </w:rPr>
        <w:t>the child</w:t>
      </w:r>
      <w:r w:rsidR="00126707" w:rsidRPr="00513BCB">
        <w:rPr>
          <w:sz w:val="22"/>
          <w:szCs w:val="22"/>
        </w:rPr>
        <w:t xml:space="preserve"> </w:t>
      </w:r>
      <w:r w:rsidR="00766585" w:rsidRPr="00513BCB">
        <w:rPr>
          <w:sz w:val="22"/>
          <w:szCs w:val="22"/>
        </w:rPr>
        <w:t xml:space="preserve">to live </w:t>
      </w:r>
      <w:r w:rsidR="00126707" w:rsidRPr="00513BCB">
        <w:rPr>
          <w:sz w:val="22"/>
          <w:szCs w:val="22"/>
        </w:rPr>
        <w:t>in security</w:t>
      </w:r>
      <w:r w:rsidR="00766585" w:rsidRPr="00513BCB">
        <w:rPr>
          <w:sz w:val="22"/>
          <w:szCs w:val="22"/>
        </w:rPr>
        <w:t xml:space="preserve"> and to be</w:t>
      </w:r>
      <w:r w:rsidR="00126707" w:rsidRPr="00513BCB">
        <w:rPr>
          <w:sz w:val="22"/>
          <w:szCs w:val="22"/>
        </w:rPr>
        <w:t xml:space="preserve"> cared for by those who love</w:t>
      </w:r>
      <w:r w:rsidR="00766585" w:rsidRPr="00513BCB">
        <w:rPr>
          <w:sz w:val="22"/>
          <w:szCs w:val="22"/>
        </w:rPr>
        <w:t>,</w:t>
      </w:r>
      <w:r w:rsidR="00126707" w:rsidRPr="00513BCB">
        <w:rPr>
          <w:sz w:val="22"/>
          <w:szCs w:val="22"/>
        </w:rPr>
        <w:t xml:space="preserve"> want</w:t>
      </w:r>
      <w:r w:rsidR="007A2654" w:rsidRPr="00513BCB">
        <w:rPr>
          <w:sz w:val="22"/>
          <w:szCs w:val="22"/>
        </w:rPr>
        <w:t>, support</w:t>
      </w:r>
      <w:r w:rsidR="00126707" w:rsidRPr="00513BCB">
        <w:rPr>
          <w:sz w:val="22"/>
          <w:szCs w:val="22"/>
        </w:rPr>
        <w:t xml:space="preserve">, and are capable of looking after </w:t>
      </w:r>
      <w:r w:rsidR="007A2654" w:rsidRPr="00513BCB">
        <w:rPr>
          <w:sz w:val="22"/>
          <w:szCs w:val="22"/>
        </w:rPr>
        <w:t>the child</w:t>
      </w:r>
      <w:r w:rsidR="00126707" w:rsidRPr="00513BCB">
        <w:rPr>
          <w:sz w:val="22"/>
          <w:szCs w:val="22"/>
        </w:rPr>
        <w:t xml:space="preserve">. </w:t>
      </w:r>
      <w:r w:rsidR="00126707" w:rsidRPr="00513BCB">
        <w:rPr>
          <w:rFonts w:asciiTheme="minorHAnsi" w:hAnsiTheme="minorHAnsi"/>
          <w:sz w:val="22"/>
          <w:szCs w:val="22"/>
        </w:rPr>
        <w:t xml:space="preserve">Providing social conditions to </w:t>
      </w:r>
      <w:r w:rsidR="007A2654" w:rsidRPr="00513BCB">
        <w:rPr>
          <w:rFonts w:asciiTheme="minorHAnsi" w:hAnsiTheme="minorHAnsi"/>
          <w:sz w:val="22"/>
          <w:szCs w:val="22"/>
        </w:rPr>
        <w:t>improve</w:t>
      </w:r>
      <w:r w:rsidR="00126707" w:rsidRPr="00513BCB">
        <w:rPr>
          <w:rFonts w:asciiTheme="minorHAnsi" w:hAnsiTheme="minorHAnsi"/>
          <w:sz w:val="22"/>
          <w:szCs w:val="22"/>
        </w:rPr>
        <w:t xml:space="preserve"> care and belonging for both the child born secretly and the secret birth</w:t>
      </w:r>
      <w:r w:rsidR="00037802" w:rsidRPr="00513BCB">
        <w:rPr>
          <w:rFonts w:asciiTheme="minorHAnsi" w:hAnsiTheme="minorHAnsi"/>
          <w:sz w:val="22"/>
          <w:szCs w:val="22"/>
        </w:rPr>
        <w:t xml:space="preserve"> </w:t>
      </w:r>
      <w:r w:rsidR="00126707" w:rsidRPr="00513BCB">
        <w:rPr>
          <w:rFonts w:asciiTheme="minorHAnsi" w:hAnsiTheme="minorHAnsi"/>
          <w:sz w:val="22"/>
          <w:szCs w:val="22"/>
        </w:rPr>
        <w:t xml:space="preserve">giver </w:t>
      </w:r>
      <w:r w:rsidR="00B22A8B" w:rsidRPr="00513BCB">
        <w:rPr>
          <w:rFonts w:asciiTheme="minorHAnsi" w:hAnsiTheme="minorHAnsi"/>
          <w:sz w:val="22"/>
          <w:szCs w:val="22"/>
        </w:rPr>
        <w:t>can be</w:t>
      </w:r>
      <w:r w:rsidR="00126707" w:rsidRPr="00513BCB">
        <w:rPr>
          <w:rFonts w:asciiTheme="minorHAnsi" w:hAnsiTheme="minorHAnsi"/>
          <w:sz w:val="22"/>
          <w:szCs w:val="22"/>
        </w:rPr>
        <w:t xml:space="preserve"> part of a process to bring about such freedom.</w:t>
      </w:r>
    </w:p>
    <w:sectPr w:rsidR="006255DA" w:rsidRPr="00681454" w:rsidSect="0003051A">
      <w:headerReference w:type="even" r:id="rId8"/>
      <w:footerReference w:type="even" r:id="rId9"/>
      <w:footerReference w:type="default" r:id="rId10"/>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E672D" w14:textId="77777777" w:rsidR="007A2B82" w:rsidRDefault="007A2B82" w:rsidP="000F0C18">
      <w:r>
        <w:separator/>
      </w:r>
    </w:p>
  </w:endnote>
  <w:endnote w:type="continuationSeparator" w:id="0">
    <w:p w14:paraId="6B033A2E" w14:textId="77777777" w:rsidR="007A2B82" w:rsidRDefault="007A2B82" w:rsidP="000F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T42+EECKAN">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7884" w14:textId="77777777" w:rsidR="005118D3" w:rsidRDefault="005118D3" w:rsidP="004F6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8BCD2" w14:textId="77777777" w:rsidR="005118D3" w:rsidRDefault="005118D3" w:rsidP="004F6B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A4CE7" w14:textId="18DB62E9" w:rsidR="005118D3" w:rsidRDefault="005118D3" w:rsidP="004F6B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A99">
      <w:rPr>
        <w:rStyle w:val="PageNumber"/>
        <w:noProof/>
      </w:rPr>
      <w:t>1</w:t>
    </w:r>
    <w:r>
      <w:rPr>
        <w:rStyle w:val="PageNumber"/>
      </w:rPr>
      <w:fldChar w:fldCharType="end"/>
    </w:r>
  </w:p>
  <w:p w14:paraId="65FA83AC" w14:textId="77777777" w:rsidR="005118D3" w:rsidRDefault="005118D3" w:rsidP="004F6B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5D8B" w14:textId="77777777" w:rsidR="007A2B82" w:rsidRDefault="007A2B82" w:rsidP="000F0C18">
      <w:r>
        <w:separator/>
      </w:r>
    </w:p>
  </w:footnote>
  <w:footnote w:type="continuationSeparator" w:id="0">
    <w:p w14:paraId="1327AB85" w14:textId="77777777" w:rsidR="007A2B82" w:rsidRDefault="007A2B82" w:rsidP="000F0C18">
      <w:r>
        <w:continuationSeparator/>
      </w:r>
    </w:p>
  </w:footnote>
  <w:footnote w:id="1">
    <w:p w14:paraId="6C45285B" w14:textId="05BC3ABC" w:rsidR="009C6C75" w:rsidRPr="009C6C75" w:rsidRDefault="009C6C75" w:rsidP="009C6C75">
      <w:pPr>
        <w:pStyle w:val="FootnoteText"/>
        <w:rPr>
          <w:sz w:val="18"/>
          <w:szCs w:val="18"/>
          <w:lang w:val="en-GB"/>
        </w:rPr>
      </w:pPr>
      <w:r>
        <w:rPr>
          <w:rStyle w:val="FootnoteReference"/>
        </w:rPr>
        <w:t>*</w:t>
      </w:r>
      <w:r>
        <w:t xml:space="preserve"> </w:t>
      </w:r>
      <w:r w:rsidRPr="009C6C75">
        <w:rPr>
          <w:sz w:val="18"/>
          <w:szCs w:val="18"/>
        </w:rPr>
        <w:t>Professor of Law, Royal Holloway, University of London</w:t>
      </w:r>
      <w:r>
        <w:rPr>
          <w:sz w:val="18"/>
          <w:szCs w:val="18"/>
        </w:rPr>
        <w:t xml:space="preserve">; </w:t>
      </w:r>
      <w:hyperlink r:id="rId1" w:history="1">
        <w:r w:rsidR="00EF2948" w:rsidRPr="007D0C89">
          <w:rPr>
            <w:rStyle w:val="Hyperlink"/>
            <w:sz w:val="18"/>
            <w:szCs w:val="18"/>
          </w:rPr>
          <w:t>jill.marshall@rhul.ac.uk</w:t>
        </w:r>
      </w:hyperlink>
      <w:r w:rsidR="00EF2948">
        <w:rPr>
          <w:sz w:val="18"/>
          <w:szCs w:val="18"/>
        </w:rPr>
        <w:t xml:space="preserve"> with thanks to Jo Miles and the anonymous reviewers for their comments and helpful suggestions. </w:t>
      </w:r>
    </w:p>
  </w:footnote>
  <w:footnote w:id="2">
    <w:p w14:paraId="7C68CCEB" w14:textId="75825796"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analysis in J Fortin, “Children’s Right to Know their Origins – Too far, too fast?” (2009) 21 </w:t>
      </w:r>
      <w:r w:rsidRPr="00681454">
        <w:rPr>
          <w:i/>
          <w:sz w:val="18"/>
          <w:szCs w:val="18"/>
        </w:rPr>
        <w:t>Child and Family Law</w:t>
      </w:r>
      <w:r w:rsidRPr="00681454">
        <w:rPr>
          <w:sz w:val="18"/>
          <w:szCs w:val="18"/>
        </w:rPr>
        <w:t xml:space="preserve"> </w:t>
      </w:r>
      <w:r w:rsidRPr="00681454">
        <w:rPr>
          <w:i/>
          <w:sz w:val="18"/>
          <w:szCs w:val="18"/>
        </w:rPr>
        <w:t>Quarterly</w:t>
      </w:r>
      <w:r w:rsidRPr="00681454">
        <w:rPr>
          <w:sz w:val="18"/>
          <w:szCs w:val="18"/>
        </w:rPr>
        <w:t xml:space="preserve"> 336</w:t>
      </w:r>
      <w:r>
        <w:rPr>
          <w:sz w:val="18"/>
          <w:szCs w:val="18"/>
        </w:rPr>
        <w:t>.</w:t>
      </w:r>
    </w:p>
  </w:footnote>
  <w:footnote w:id="3">
    <w:p w14:paraId="58453E31" w14:textId="648A97BD"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United Nations Convention on the Rights of the Child adopted by General Assembly Resolution 44/25 of 20 November 1989.</w:t>
      </w:r>
    </w:p>
  </w:footnote>
  <w:footnote w:id="4">
    <w:p w14:paraId="2B8B044E" w14:textId="7AB34360"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 Besson, “Enforcing the Child’s Right to Know her Origins: Contrasting Approaches under the Convention on the rights of the child and the European Court of Human Rights (2007) 21 </w:t>
      </w:r>
      <w:r w:rsidRPr="00681454">
        <w:rPr>
          <w:i/>
          <w:sz w:val="18"/>
          <w:szCs w:val="18"/>
        </w:rPr>
        <w:t>International Journal of Law, Policy and the Family</w:t>
      </w:r>
      <w:r w:rsidRPr="00681454">
        <w:rPr>
          <w:sz w:val="18"/>
          <w:szCs w:val="18"/>
        </w:rPr>
        <w:t xml:space="preserve"> 137.</w:t>
      </w:r>
    </w:p>
  </w:footnote>
  <w:footnote w:id="5">
    <w:p w14:paraId="650D8C9C" w14:textId="2466FADF"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Pr>
          <w:sz w:val="18"/>
          <w:szCs w:val="18"/>
        </w:rPr>
        <w:t>For a consideration of openness and disclosure requirements in</w:t>
      </w:r>
      <w:r w:rsidRPr="00681454">
        <w:rPr>
          <w:sz w:val="18"/>
          <w:szCs w:val="18"/>
        </w:rPr>
        <w:t xml:space="preserve"> </w:t>
      </w:r>
      <w:r>
        <w:rPr>
          <w:sz w:val="18"/>
          <w:szCs w:val="18"/>
        </w:rPr>
        <w:t>other</w:t>
      </w:r>
      <w:r w:rsidRPr="00681454">
        <w:rPr>
          <w:sz w:val="18"/>
          <w:szCs w:val="18"/>
        </w:rPr>
        <w:t xml:space="preserve"> t</w:t>
      </w:r>
      <w:r>
        <w:rPr>
          <w:sz w:val="18"/>
          <w:szCs w:val="18"/>
        </w:rPr>
        <w:t>opics such as gender identity s</w:t>
      </w:r>
      <w:r w:rsidRPr="00681454">
        <w:rPr>
          <w:sz w:val="18"/>
          <w:szCs w:val="18"/>
        </w:rPr>
        <w:t xml:space="preserve">ee A Sharpe ‘Transgender Marriage and the Legal Obligation to Disclose Gender History’ (2012) 75 </w:t>
      </w:r>
      <w:r w:rsidRPr="00681454">
        <w:rPr>
          <w:i/>
          <w:sz w:val="18"/>
          <w:szCs w:val="18"/>
        </w:rPr>
        <w:t>Modern Law Review</w:t>
      </w:r>
      <w:r w:rsidRPr="00681454">
        <w:rPr>
          <w:sz w:val="18"/>
          <w:szCs w:val="18"/>
        </w:rPr>
        <w:t xml:space="preserve"> 33.</w:t>
      </w:r>
    </w:p>
  </w:footnote>
  <w:footnote w:id="6">
    <w:p w14:paraId="44B3AA00" w14:textId="1DB30DB6" w:rsidR="005118D3" w:rsidRPr="00C67A86" w:rsidRDefault="005118D3" w:rsidP="00007752">
      <w:pPr>
        <w:pStyle w:val="footnotedescription"/>
        <w:spacing w:line="240" w:lineRule="auto"/>
        <w:ind w:left="0"/>
        <w:jc w:val="both"/>
        <w:rPr>
          <w:rFonts w:asciiTheme="minorHAnsi" w:hAnsiTheme="minorHAnsi"/>
          <w:sz w:val="18"/>
          <w:szCs w:val="18"/>
        </w:rPr>
      </w:pPr>
      <w:r w:rsidRPr="00681454">
        <w:rPr>
          <w:rStyle w:val="footnotemark"/>
          <w:rFonts w:asciiTheme="minorHAnsi" w:hAnsiTheme="minorHAnsi"/>
          <w:sz w:val="18"/>
          <w:szCs w:val="18"/>
        </w:rPr>
        <w:footnoteRef/>
      </w:r>
      <w:r w:rsidRPr="00681454">
        <w:rPr>
          <w:rFonts w:asciiTheme="minorHAnsi" w:hAnsiTheme="minorHAnsi"/>
          <w:sz w:val="18"/>
          <w:szCs w:val="18"/>
        </w:rPr>
        <w:t xml:space="preserve"> K O’Donovan, </w:t>
      </w:r>
      <w:r w:rsidRPr="00681454">
        <w:rPr>
          <w:rFonts w:asciiTheme="minorHAnsi" w:hAnsiTheme="minorHAnsi"/>
          <w:i/>
          <w:sz w:val="18"/>
          <w:szCs w:val="18"/>
        </w:rPr>
        <w:t>Sexual Divisions in the Law</w:t>
      </w:r>
      <w:r w:rsidRPr="00681454">
        <w:rPr>
          <w:rFonts w:asciiTheme="minorHAnsi" w:hAnsiTheme="minorHAnsi"/>
          <w:sz w:val="18"/>
          <w:szCs w:val="18"/>
        </w:rPr>
        <w:t xml:space="preserve"> (London, 1985); E. Jackson </w:t>
      </w:r>
      <w:r w:rsidRPr="00681454">
        <w:rPr>
          <w:rFonts w:asciiTheme="minorHAnsi" w:hAnsiTheme="minorHAnsi"/>
          <w:i/>
          <w:sz w:val="18"/>
          <w:szCs w:val="18"/>
        </w:rPr>
        <w:t>Regulating Reproduction: Law,</w:t>
      </w:r>
      <w:r w:rsidRPr="00681454">
        <w:rPr>
          <w:rFonts w:asciiTheme="minorHAnsi" w:hAnsiTheme="minorHAnsi"/>
          <w:sz w:val="18"/>
          <w:szCs w:val="18"/>
        </w:rPr>
        <w:t xml:space="preserve"> </w:t>
      </w:r>
      <w:r w:rsidRPr="00681454">
        <w:rPr>
          <w:rFonts w:asciiTheme="minorHAnsi" w:hAnsiTheme="minorHAnsi"/>
          <w:i/>
          <w:sz w:val="18"/>
          <w:szCs w:val="18"/>
        </w:rPr>
        <w:t>Technology and Autonomy</w:t>
      </w:r>
      <w:r w:rsidRPr="00681454">
        <w:rPr>
          <w:rFonts w:asciiTheme="minorHAnsi" w:hAnsiTheme="minorHAnsi"/>
          <w:sz w:val="18"/>
          <w:szCs w:val="18"/>
        </w:rPr>
        <w:t xml:space="preserve"> (Oxford, 2001); Report of the Committee of Inquiry into Human Fertilisation and Embryology (Cmnd. 9314), paras 4.21–4.22, 6.6, 7.7; D Feldman, </w:t>
      </w:r>
      <w:r w:rsidRPr="00681454">
        <w:rPr>
          <w:rFonts w:asciiTheme="minorHAnsi" w:hAnsiTheme="minorHAnsi"/>
          <w:i/>
          <w:sz w:val="18"/>
          <w:szCs w:val="18"/>
        </w:rPr>
        <w:t>Civil Liberties and Human Rights in England and Wales</w:t>
      </w:r>
      <w:r w:rsidRPr="00681454">
        <w:rPr>
          <w:rFonts w:asciiTheme="minorHAnsi" w:hAnsiTheme="minorHAnsi"/>
          <w:sz w:val="18"/>
          <w:szCs w:val="18"/>
        </w:rPr>
        <w:t>, 2nd edn. (Oxford, 2002) at 748</w:t>
      </w:r>
      <w:r>
        <w:rPr>
          <w:rFonts w:asciiTheme="minorHAnsi" w:hAnsiTheme="minorHAnsi"/>
          <w:sz w:val="18"/>
          <w:szCs w:val="18"/>
        </w:rPr>
        <w:t xml:space="preserve">; </w:t>
      </w:r>
      <w:r w:rsidRPr="00681454">
        <w:rPr>
          <w:rFonts w:asciiTheme="minorHAnsi" w:hAnsiTheme="minorHAnsi"/>
          <w:sz w:val="18"/>
          <w:szCs w:val="18"/>
        </w:rPr>
        <w:t>Human Fertilisation and Embryology Authority (Disclosure of Donor Information) Regulations 2004. See also Human Fertilisation and Embryology Authority Act 2008, ss. 31ZA ff.</w:t>
      </w:r>
    </w:p>
  </w:footnote>
  <w:footnote w:id="7">
    <w:p w14:paraId="142BDDF8" w14:textId="7921CAA4" w:rsidR="005118D3" w:rsidRPr="00681454" w:rsidRDefault="005118D3" w:rsidP="004D3080">
      <w:pPr>
        <w:pStyle w:val="footnotedescription"/>
        <w:spacing w:line="240" w:lineRule="auto"/>
        <w:ind w:left="198" w:hanging="198"/>
        <w:jc w:val="both"/>
        <w:rPr>
          <w:rFonts w:asciiTheme="minorHAnsi" w:hAnsiTheme="minorHAnsi"/>
          <w:sz w:val="18"/>
          <w:szCs w:val="18"/>
        </w:rPr>
      </w:pPr>
      <w:r w:rsidRPr="00681454">
        <w:rPr>
          <w:rStyle w:val="footnotemark"/>
          <w:rFonts w:asciiTheme="minorHAnsi" w:hAnsiTheme="minorHAnsi"/>
          <w:sz w:val="18"/>
          <w:szCs w:val="18"/>
        </w:rPr>
        <w:footnoteRef/>
      </w:r>
      <w:r w:rsidRPr="00681454">
        <w:rPr>
          <w:rFonts w:asciiTheme="minorHAnsi" w:hAnsiTheme="minorHAnsi"/>
          <w:sz w:val="18"/>
          <w:szCs w:val="18"/>
        </w:rPr>
        <w:t xml:space="preserve"> House of Lords debates 9 June 2004 </w:t>
      </w:r>
      <w:hyperlink r:id="rId2" w:history="1">
        <w:r w:rsidRPr="00681454">
          <w:rPr>
            <w:rStyle w:val="Hyperlink"/>
            <w:rFonts w:asciiTheme="minorHAnsi" w:hAnsiTheme="minorHAnsi"/>
            <w:sz w:val="18"/>
            <w:szCs w:val="18"/>
          </w:rPr>
          <w:t>http://hansard.millbanksystems.com/lords/2004/jun/09/human-fertilisation-and-embryology</w:t>
        </w:r>
      </w:hyperlink>
      <w:r w:rsidRPr="00681454">
        <w:rPr>
          <w:rFonts w:asciiTheme="minorHAnsi" w:hAnsiTheme="minorHAnsi"/>
          <w:sz w:val="18"/>
          <w:szCs w:val="18"/>
        </w:rPr>
        <w:t xml:space="preserve"> </w:t>
      </w:r>
      <w:r w:rsidRPr="00272094">
        <w:rPr>
          <w:rFonts w:asciiTheme="minorHAnsi" w:hAnsiTheme="minorHAnsi"/>
          <w:sz w:val="18"/>
          <w:szCs w:val="18"/>
        </w:rPr>
        <w:t>last accessed</w:t>
      </w:r>
      <w:r w:rsidRPr="00681454">
        <w:rPr>
          <w:rFonts w:asciiTheme="minorHAnsi" w:hAnsiTheme="minorHAnsi"/>
          <w:sz w:val="18"/>
          <w:szCs w:val="18"/>
        </w:rPr>
        <w:t xml:space="preserve"> </w:t>
      </w:r>
      <w:r>
        <w:rPr>
          <w:rFonts w:asciiTheme="minorHAnsi" w:hAnsiTheme="minorHAnsi"/>
          <w:sz w:val="18"/>
          <w:szCs w:val="18"/>
        </w:rPr>
        <w:t>9 April</w:t>
      </w:r>
      <w:r w:rsidRPr="00681454">
        <w:rPr>
          <w:rFonts w:asciiTheme="minorHAnsi" w:hAnsiTheme="minorHAnsi"/>
          <w:sz w:val="18"/>
          <w:szCs w:val="18"/>
        </w:rPr>
        <w:t xml:space="preserve"> 2018. </w:t>
      </w:r>
      <w:r>
        <w:rPr>
          <w:rFonts w:asciiTheme="minorHAnsi" w:hAnsiTheme="minorHAnsi"/>
          <w:sz w:val="18"/>
          <w:szCs w:val="18"/>
        </w:rPr>
        <w:t xml:space="preserve">Similar language can be seen in </w:t>
      </w:r>
      <w:r w:rsidRPr="00681454">
        <w:rPr>
          <w:rFonts w:asciiTheme="minorHAnsi" w:hAnsiTheme="minorHAnsi"/>
          <w:i/>
          <w:sz w:val="18"/>
          <w:szCs w:val="18"/>
        </w:rPr>
        <w:t xml:space="preserve">Rose and another v Secretary of State for Health and another </w:t>
      </w:r>
      <w:r w:rsidRPr="00681454">
        <w:rPr>
          <w:rFonts w:asciiTheme="minorHAnsi" w:hAnsiTheme="minorHAnsi"/>
          <w:sz w:val="18"/>
          <w:szCs w:val="18"/>
        </w:rPr>
        <w:t xml:space="preserve">[2002] EWHC 1593 (Admin). As Article 8 incorporates the concept of personal identity, in </w:t>
      </w:r>
      <w:r>
        <w:rPr>
          <w:rFonts w:asciiTheme="minorHAnsi" w:hAnsiTheme="minorHAnsi"/>
          <w:sz w:val="18"/>
          <w:szCs w:val="18"/>
        </w:rPr>
        <w:t xml:space="preserve">Scott Baker J’s </w:t>
      </w:r>
      <w:r w:rsidRPr="00681454">
        <w:rPr>
          <w:rFonts w:asciiTheme="minorHAnsi" w:hAnsiTheme="minorHAnsi"/>
          <w:sz w:val="18"/>
          <w:szCs w:val="18"/>
        </w:rPr>
        <w:t xml:space="preserve">interpretation, this </w:t>
      </w:r>
      <w:r>
        <w:rPr>
          <w:rFonts w:asciiTheme="minorHAnsi" w:hAnsiTheme="minorHAnsi"/>
          <w:sz w:val="18"/>
          <w:szCs w:val="18"/>
        </w:rPr>
        <w:t>‘</w:t>
      </w:r>
      <w:r w:rsidRPr="00681454">
        <w:rPr>
          <w:rFonts w:asciiTheme="minorHAnsi" w:hAnsiTheme="minorHAnsi"/>
          <w:sz w:val="18"/>
          <w:szCs w:val="18"/>
        </w:rPr>
        <w:t>plainly included</w:t>
      </w:r>
      <w:r>
        <w:rPr>
          <w:rFonts w:asciiTheme="minorHAnsi" w:hAnsiTheme="minorHAnsi"/>
          <w:sz w:val="18"/>
          <w:szCs w:val="18"/>
        </w:rPr>
        <w:t>’</w:t>
      </w:r>
      <w:r w:rsidRPr="00681454">
        <w:rPr>
          <w:rFonts w:asciiTheme="minorHAnsi" w:hAnsiTheme="minorHAnsi"/>
          <w:sz w:val="18"/>
          <w:szCs w:val="18"/>
        </w:rPr>
        <w:t xml:space="preserve"> the right to obtain information about a bio</w:t>
      </w:r>
      <w:r>
        <w:rPr>
          <w:rFonts w:asciiTheme="minorHAnsi" w:hAnsiTheme="minorHAnsi"/>
          <w:sz w:val="18"/>
          <w:szCs w:val="18"/>
        </w:rPr>
        <w:t>logical parent. In his view, this</w:t>
      </w:r>
      <w:r w:rsidRPr="00681454">
        <w:rPr>
          <w:rFonts w:asciiTheme="minorHAnsi" w:hAnsiTheme="minorHAnsi"/>
          <w:sz w:val="18"/>
          <w:szCs w:val="18"/>
        </w:rPr>
        <w:t xml:space="preserve"> information went to </w:t>
      </w:r>
      <w:r>
        <w:rPr>
          <w:rFonts w:asciiTheme="minorHAnsi" w:hAnsiTheme="minorHAnsi"/>
          <w:sz w:val="18"/>
          <w:szCs w:val="18"/>
        </w:rPr>
        <w:t>‘</w:t>
      </w:r>
      <w:r w:rsidRPr="00681454">
        <w:rPr>
          <w:rFonts w:asciiTheme="minorHAnsi" w:hAnsiTheme="minorHAnsi"/>
          <w:sz w:val="18"/>
          <w:szCs w:val="18"/>
        </w:rPr>
        <w:t>the very heart of the claimants’ identity and to their make up</w:t>
      </w:r>
      <w:r>
        <w:rPr>
          <w:rFonts w:asciiTheme="minorHAnsi" w:hAnsiTheme="minorHAnsi"/>
          <w:sz w:val="18"/>
          <w:szCs w:val="18"/>
        </w:rPr>
        <w:t xml:space="preserve"> as human beings’. See further J Marshall </w:t>
      </w:r>
      <w:r w:rsidRPr="00E209AF">
        <w:rPr>
          <w:rFonts w:asciiTheme="minorHAnsi" w:hAnsiTheme="minorHAnsi"/>
          <w:i/>
          <w:sz w:val="18"/>
          <w:szCs w:val="18"/>
        </w:rPr>
        <w:t>Personal Freedom Through Human Rights Law? Autonomy, Identity and Integrity under the European Convention on Human Rights</w:t>
      </w:r>
      <w:r>
        <w:rPr>
          <w:rFonts w:asciiTheme="minorHAnsi" w:hAnsiTheme="minorHAnsi"/>
          <w:sz w:val="18"/>
          <w:szCs w:val="18"/>
        </w:rPr>
        <w:t xml:space="preserve"> (Martinus Nijhoff, 2009)</w:t>
      </w:r>
      <w:r w:rsidRPr="00681454">
        <w:rPr>
          <w:rFonts w:asciiTheme="minorHAnsi" w:hAnsiTheme="minorHAnsi"/>
          <w:sz w:val="18"/>
          <w:szCs w:val="18"/>
        </w:rPr>
        <w:t>.</w:t>
      </w:r>
    </w:p>
  </w:footnote>
  <w:footnote w:id="8">
    <w:p w14:paraId="43291E0B" w14:textId="4FD6C532"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w:t>
      </w:r>
      <w:r w:rsidRPr="00681454">
        <w:rPr>
          <w:rFonts w:cs="Times New Roman"/>
          <w:sz w:val="18"/>
          <w:szCs w:val="18"/>
        </w:rPr>
        <w:t xml:space="preserve">K O’Donovan and J Marshall “After Birth: decisions about becoming a mother” in A Diduck and K O’Donovan (eds) </w:t>
      </w:r>
      <w:r w:rsidRPr="00681454">
        <w:rPr>
          <w:rFonts w:cs="Times New Roman"/>
          <w:i/>
          <w:iCs/>
          <w:sz w:val="18"/>
          <w:szCs w:val="18"/>
        </w:rPr>
        <w:t>Feminist Perspectives on Family Law</w:t>
      </w:r>
      <w:r w:rsidRPr="00681454">
        <w:rPr>
          <w:rFonts w:cs="Times New Roman"/>
          <w:sz w:val="18"/>
          <w:szCs w:val="18"/>
        </w:rPr>
        <w:t xml:space="preserve"> (London: Cavendish 2006). </w:t>
      </w:r>
      <w:r>
        <w:rPr>
          <w:sz w:val="18"/>
          <w:szCs w:val="18"/>
        </w:rPr>
        <w:t xml:space="preserve">This has been followed in the context </w:t>
      </w:r>
      <w:r w:rsidRPr="00681454">
        <w:rPr>
          <w:sz w:val="18"/>
          <w:szCs w:val="18"/>
        </w:rPr>
        <w:t xml:space="preserve">of surrogacy </w:t>
      </w:r>
      <w:r>
        <w:rPr>
          <w:sz w:val="18"/>
          <w:szCs w:val="18"/>
        </w:rPr>
        <w:t>by</w:t>
      </w:r>
      <w:r w:rsidRPr="00681454">
        <w:rPr>
          <w:sz w:val="18"/>
          <w:szCs w:val="18"/>
        </w:rPr>
        <w:t xml:space="preserve"> R D’Alton Harrison, ‘</w:t>
      </w:r>
      <w:r w:rsidRPr="00681454">
        <w:rPr>
          <w:rFonts w:cs="Arial"/>
          <w:i/>
          <w:color w:val="000000"/>
          <w:sz w:val="18"/>
          <w:szCs w:val="18"/>
        </w:rPr>
        <w:t>Mater semper incertus est</w:t>
      </w:r>
      <w:r w:rsidRPr="00681454">
        <w:rPr>
          <w:rFonts w:cs="Arial"/>
          <w:color w:val="000000"/>
          <w:sz w:val="18"/>
          <w:szCs w:val="18"/>
        </w:rPr>
        <w:t>: who's your mummy?’</w:t>
      </w:r>
      <w:r w:rsidRPr="00681454">
        <w:rPr>
          <w:sz w:val="18"/>
          <w:szCs w:val="18"/>
        </w:rPr>
        <w:t xml:space="preserve"> (2014) 22 </w:t>
      </w:r>
      <w:r w:rsidRPr="00681454">
        <w:rPr>
          <w:i/>
          <w:sz w:val="18"/>
          <w:szCs w:val="18"/>
        </w:rPr>
        <w:t>Med Law Rev</w:t>
      </w:r>
      <w:r w:rsidRPr="00681454">
        <w:rPr>
          <w:sz w:val="18"/>
          <w:szCs w:val="18"/>
        </w:rPr>
        <w:t xml:space="preserve"> 357; </w:t>
      </w:r>
      <w:r>
        <w:rPr>
          <w:sz w:val="18"/>
          <w:szCs w:val="18"/>
        </w:rPr>
        <w:t xml:space="preserve">see also </w:t>
      </w:r>
      <w:r w:rsidRPr="00681454">
        <w:rPr>
          <w:sz w:val="18"/>
          <w:szCs w:val="18"/>
        </w:rPr>
        <w:t xml:space="preserve">K </w:t>
      </w:r>
      <w:r w:rsidRPr="00681454">
        <w:rPr>
          <w:color w:val="000000"/>
          <w:sz w:val="18"/>
          <w:szCs w:val="18"/>
        </w:rPr>
        <w:t xml:space="preserve">Christiansen, ‘Who is the mother? Negotiating identity in an Irish surrogacy case in relation to Irish case law’ (2015) 18 </w:t>
      </w:r>
      <w:r w:rsidRPr="00681454">
        <w:rPr>
          <w:i/>
          <w:color w:val="000000"/>
          <w:sz w:val="18"/>
          <w:szCs w:val="18"/>
        </w:rPr>
        <w:t>Med Health Care Philos</w:t>
      </w:r>
      <w:r w:rsidRPr="00681454">
        <w:rPr>
          <w:color w:val="000000"/>
          <w:sz w:val="18"/>
          <w:szCs w:val="18"/>
        </w:rPr>
        <w:t xml:space="preserve"> 317.</w:t>
      </w:r>
    </w:p>
  </w:footnote>
  <w:footnote w:id="9">
    <w:p w14:paraId="2AFB4B69"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J Nedelsky, ‘Reconceiving Autonomy: sources, thoughts and possibilities’ (1989) 1 </w:t>
      </w:r>
      <w:r w:rsidRPr="00681454">
        <w:rPr>
          <w:i/>
          <w:sz w:val="18"/>
          <w:szCs w:val="18"/>
        </w:rPr>
        <w:t>Yale Journal of Law and Feminism</w:t>
      </w:r>
      <w:r w:rsidRPr="00681454">
        <w:rPr>
          <w:sz w:val="18"/>
          <w:szCs w:val="18"/>
        </w:rPr>
        <w:t xml:space="preserve"> 7.</w:t>
      </w:r>
    </w:p>
  </w:footnote>
  <w:footnote w:id="10">
    <w:p w14:paraId="1B72628A" w14:textId="74BEFF53"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 De Beauvoir, </w:t>
      </w:r>
      <w:r w:rsidRPr="00681454">
        <w:rPr>
          <w:i/>
          <w:sz w:val="18"/>
          <w:szCs w:val="18"/>
        </w:rPr>
        <w:t>The Second Sex</w:t>
      </w:r>
      <w:r w:rsidRPr="00681454">
        <w:rPr>
          <w:sz w:val="18"/>
          <w:szCs w:val="18"/>
        </w:rPr>
        <w:t xml:space="preserve"> (Jonathan Cape, 1953, Vintage, 1997) S Firestone, </w:t>
      </w:r>
      <w:r w:rsidRPr="00681454">
        <w:rPr>
          <w:i/>
          <w:sz w:val="18"/>
          <w:szCs w:val="18"/>
        </w:rPr>
        <w:t>The Dialectic of Sex: The Case for Feminist Revolution</w:t>
      </w:r>
      <w:r w:rsidRPr="00681454">
        <w:rPr>
          <w:sz w:val="18"/>
          <w:szCs w:val="18"/>
        </w:rPr>
        <w:t xml:space="preserve"> (Bantham Books, 1971).</w:t>
      </w:r>
    </w:p>
  </w:footnote>
  <w:footnote w:id="11">
    <w:p w14:paraId="0E3B1A1C" w14:textId="2BE170FA"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A Rich, </w:t>
      </w:r>
      <w:r w:rsidRPr="00681454">
        <w:rPr>
          <w:i/>
          <w:sz w:val="18"/>
          <w:szCs w:val="18"/>
        </w:rPr>
        <w:t>Of Woman Born</w:t>
      </w:r>
      <w:r w:rsidRPr="00681454">
        <w:rPr>
          <w:sz w:val="18"/>
          <w:szCs w:val="18"/>
        </w:rPr>
        <w:t xml:space="preserve"> (Virago, 1976) at p 280</w:t>
      </w:r>
    </w:p>
  </w:footnote>
  <w:footnote w:id="12">
    <w:p w14:paraId="0C654CB6" w14:textId="24813413" w:rsidR="005118D3" w:rsidRPr="00010481"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for example, N Chodorow, </w:t>
      </w:r>
      <w:r w:rsidRPr="00681454">
        <w:rPr>
          <w:i/>
          <w:sz w:val="18"/>
          <w:szCs w:val="18"/>
        </w:rPr>
        <w:t>The Reproduction of Mothering: Psychoanalysis and the Sociology of Gender</w:t>
      </w:r>
      <w:r w:rsidRPr="00681454">
        <w:rPr>
          <w:sz w:val="18"/>
          <w:szCs w:val="18"/>
        </w:rPr>
        <w:t xml:space="preserve"> (University of California Press, 1978)</w:t>
      </w:r>
      <w:r>
        <w:rPr>
          <w:sz w:val="18"/>
          <w:szCs w:val="18"/>
        </w:rPr>
        <w:t>.</w:t>
      </w:r>
    </w:p>
  </w:footnote>
  <w:footnote w:id="13">
    <w:p w14:paraId="7A359648" w14:textId="7D57E986" w:rsidR="005118D3" w:rsidRPr="00C960FA" w:rsidRDefault="005118D3" w:rsidP="004D3080">
      <w:pPr>
        <w:pStyle w:val="FootnoteText"/>
        <w:rPr>
          <w:sz w:val="18"/>
          <w:szCs w:val="18"/>
          <w:lang w:val="en-GB"/>
        </w:rPr>
      </w:pPr>
      <w:r w:rsidRPr="00C960FA">
        <w:rPr>
          <w:rStyle w:val="FootnoteReference"/>
          <w:sz w:val="18"/>
          <w:szCs w:val="18"/>
        </w:rPr>
        <w:footnoteRef/>
      </w:r>
      <w:r w:rsidRPr="00C960FA">
        <w:rPr>
          <w:sz w:val="18"/>
          <w:szCs w:val="18"/>
        </w:rPr>
        <w:t xml:space="preserve"> </w:t>
      </w:r>
      <w:r w:rsidRPr="00C960FA">
        <w:rPr>
          <w:sz w:val="18"/>
          <w:szCs w:val="18"/>
          <w:lang w:val="en-GB"/>
        </w:rPr>
        <w:t xml:space="preserve">See also </w:t>
      </w:r>
      <w:r w:rsidRPr="00010481">
        <w:rPr>
          <w:rFonts w:cs="Times New Roman"/>
          <w:sz w:val="18"/>
          <w:szCs w:val="18"/>
        </w:rPr>
        <w:t xml:space="preserve">J Marshall ‘Giving Birth but refusing motherhood: inauthentic choice or self-determining identity?’ (2008) 4 </w:t>
      </w:r>
      <w:r w:rsidRPr="00010481">
        <w:rPr>
          <w:rFonts w:cs="Times New Roman"/>
          <w:i/>
          <w:sz w:val="18"/>
          <w:szCs w:val="18"/>
        </w:rPr>
        <w:t>International Journal of Law in Context</w:t>
      </w:r>
      <w:r w:rsidRPr="00204C23">
        <w:rPr>
          <w:rFonts w:cs="Times New Roman"/>
          <w:sz w:val="18"/>
          <w:szCs w:val="18"/>
        </w:rPr>
        <w:t xml:space="preserve"> 169 and</w:t>
      </w:r>
      <w:r w:rsidRPr="006A41D8">
        <w:rPr>
          <w:sz w:val="18"/>
          <w:szCs w:val="18"/>
        </w:rPr>
        <w:t xml:space="preserve"> J Marshall “Con</w:t>
      </w:r>
      <w:r w:rsidRPr="00546C76">
        <w:rPr>
          <w:sz w:val="18"/>
          <w:szCs w:val="18"/>
        </w:rPr>
        <w:t xml:space="preserve">cealed Births, Adoption and Human Rights Law: Being wary of seeking to open windows into people’s souls” (2012) 71 </w:t>
      </w:r>
      <w:r w:rsidRPr="00546C76">
        <w:rPr>
          <w:i/>
          <w:sz w:val="18"/>
          <w:szCs w:val="18"/>
        </w:rPr>
        <w:t>Cambridge Law Journal</w:t>
      </w:r>
      <w:r w:rsidRPr="00546C76">
        <w:rPr>
          <w:sz w:val="18"/>
          <w:szCs w:val="18"/>
        </w:rPr>
        <w:t xml:space="preserve"> 325.</w:t>
      </w:r>
    </w:p>
  </w:footnote>
  <w:footnote w:id="14">
    <w:p w14:paraId="253C9FDC" w14:textId="0BB78CDB" w:rsidR="005118D3" w:rsidRPr="00681454" w:rsidRDefault="005118D3" w:rsidP="004D3080">
      <w:pPr>
        <w:pStyle w:val="FootnoteText"/>
        <w:jc w:val="both"/>
        <w:rPr>
          <w:sz w:val="18"/>
          <w:szCs w:val="18"/>
        </w:rPr>
      </w:pPr>
      <w:r w:rsidRPr="00010481">
        <w:rPr>
          <w:rStyle w:val="FootnoteReference"/>
          <w:sz w:val="18"/>
          <w:szCs w:val="18"/>
        </w:rPr>
        <w:footnoteRef/>
      </w:r>
      <w:r w:rsidRPr="00010481">
        <w:rPr>
          <w:sz w:val="18"/>
          <w:szCs w:val="18"/>
        </w:rPr>
        <w:t xml:space="preserve"> See S D Sclater et al,</w:t>
      </w:r>
      <w:r w:rsidRPr="00010481">
        <w:rPr>
          <w:i/>
          <w:sz w:val="18"/>
          <w:szCs w:val="18"/>
        </w:rPr>
        <w:t xml:space="preserve"> Regulating Autonomy: Sex, Reproduction and Family</w:t>
      </w:r>
      <w:r w:rsidRPr="00204C23">
        <w:rPr>
          <w:sz w:val="18"/>
          <w:szCs w:val="18"/>
        </w:rPr>
        <w:t xml:space="preserve"> (Hart, 2009), especially</w:t>
      </w:r>
      <w:r w:rsidRPr="00681454">
        <w:rPr>
          <w:sz w:val="18"/>
          <w:szCs w:val="18"/>
        </w:rPr>
        <w:t xml:space="preserve"> chapter 5,  E Lee and J Bristow, ‘Rules for Feeding Babies’.</w:t>
      </w:r>
    </w:p>
  </w:footnote>
  <w:footnote w:id="15">
    <w:p w14:paraId="6BB7CE23" w14:textId="2FCE1135"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This is not meant as a</w:t>
      </w:r>
      <w:r>
        <w:rPr>
          <w:sz w:val="18"/>
          <w:szCs w:val="18"/>
        </w:rPr>
        <w:t xml:space="preserve"> comprehensive</w:t>
      </w:r>
      <w:r w:rsidRPr="00681454">
        <w:rPr>
          <w:sz w:val="18"/>
          <w:szCs w:val="18"/>
        </w:rPr>
        <w:t xml:space="preserve"> comparative law piece</w:t>
      </w:r>
      <w:r>
        <w:rPr>
          <w:sz w:val="18"/>
          <w:szCs w:val="18"/>
        </w:rPr>
        <w:t xml:space="preserve">; for fuller comparative work on adoption see </w:t>
      </w:r>
      <w:r w:rsidRPr="00681454">
        <w:rPr>
          <w:sz w:val="18"/>
          <w:szCs w:val="18"/>
        </w:rPr>
        <w:t xml:space="preserve"> Council of Europe, Commissioner for Human Rights </w:t>
      </w:r>
      <w:r w:rsidRPr="00681454">
        <w:rPr>
          <w:i/>
          <w:sz w:val="18"/>
          <w:szCs w:val="18"/>
        </w:rPr>
        <w:t xml:space="preserve">Adoption and Children: A Human Rights Perspective </w:t>
      </w:r>
      <w:r w:rsidRPr="00681454">
        <w:rPr>
          <w:sz w:val="18"/>
          <w:szCs w:val="18"/>
        </w:rPr>
        <w:t xml:space="preserve">CommDH/Issue Paper (2011) 2 28 April 2011; European Commission, Joint Council of Europe and European Commission Conference: </w:t>
      </w:r>
      <w:r w:rsidRPr="00681454">
        <w:rPr>
          <w:i/>
          <w:sz w:val="18"/>
          <w:szCs w:val="18"/>
        </w:rPr>
        <w:t>Challenges in Adoption Procedures in Europe: Ensuring the best interests of the child</w:t>
      </w:r>
      <w:r w:rsidRPr="00681454">
        <w:rPr>
          <w:sz w:val="18"/>
          <w:szCs w:val="18"/>
        </w:rPr>
        <w:t xml:space="preserve"> 30 Nov-1 Dec 2009 Strasbourg. </w:t>
      </w:r>
    </w:p>
  </w:footnote>
  <w:footnote w:id="16">
    <w:p w14:paraId="31878E51" w14:textId="1AC7C383"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Secret abandonment is a crime: see the Offences against the Person Act 1861</w:t>
      </w:r>
      <w:r>
        <w:rPr>
          <w:sz w:val="18"/>
          <w:szCs w:val="18"/>
        </w:rPr>
        <w:t>,</w:t>
      </w:r>
      <w:r w:rsidRPr="00681454">
        <w:rPr>
          <w:sz w:val="18"/>
          <w:szCs w:val="18"/>
        </w:rPr>
        <w:t xml:space="preserve"> s 27; the Children and Young Persons Act 1933</w:t>
      </w:r>
      <w:r>
        <w:rPr>
          <w:sz w:val="18"/>
          <w:szCs w:val="18"/>
        </w:rPr>
        <w:t>,</w:t>
      </w:r>
      <w:r w:rsidRPr="00681454">
        <w:rPr>
          <w:sz w:val="18"/>
          <w:szCs w:val="18"/>
        </w:rPr>
        <w:t xml:space="preserve"> s 1.</w:t>
      </w:r>
    </w:p>
  </w:footnote>
  <w:footnote w:id="17">
    <w:p w14:paraId="4B63D1B7"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Human Fertilisation and Embryology Act 2008, s 33. </w:t>
      </w:r>
    </w:p>
  </w:footnote>
  <w:footnote w:id="18">
    <w:p w14:paraId="4F713A70" w14:textId="77777777" w:rsidR="005118D3" w:rsidRPr="00506C63" w:rsidRDefault="005118D3" w:rsidP="004D3080">
      <w:pPr>
        <w:pStyle w:val="FootnoteText"/>
        <w:rPr>
          <w:sz w:val="18"/>
          <w:szCs w:val="18"/>
          <w:lang w:val="en-GB"/>
        </w:rPr>
      </w:pPr>
      <w:r w:rsidRPr="004D3080">
        <w:rPr>
          <w:rStyle w:val="FootnoteReference"/>
          <w:sz w:val="22"/>
        </w:rPr>
        <w:footnoteRef/>
      </w:r>
      <w:r>
        <w:rPr>
          <w:sz w:val="18"/>
          <w:szCs w:val="18"/>
          <w:lang w:val="en-GB"/>
        </w:rPr>
        <w:t xml:space="preserve"> Adoption and Children Act 2002, s 1(2).</w:t>
      </w:r>
    </w:p>
  </w:footnote>
  <w:footnote w:id="19">
    <w:p w14:paraId="32B2624B" w14:textId="016AF1BF" w:rsidR="005118D3" w:rsidRPr="00681454" w:rsidRDefault="005118D3" w:rsidP="004D3080">
      <w:pPr>
        <w:jc w:val="both"/>
        <w:rPr>
          <w:sz w:val="18"/>
          <w:szCs w:val="18"/>
        </w:rPr>
      </w:pPr>
      <w:r w:rsidRPr="00681454">
        <w:rPr>
          <w:rStyle w:val="FootnoteReference"/>
          <w:sz w:val="18"/>
          <w:szCs w:val="18"/>
        </w:rPr>
        <w:footnoteRef/>
      </w:r>
      <w:r w:rsidRPr="00681454">
        <w:rPr>
          <w:sz w:val="18"/>
          <w:szCs w:val="18"/>
        </w:rPr>
        <w:t xml:space="preserve"> See ‘Birth Statistics Metadata’ July 2015 (ONS 2015) available at </w:t>
      </w:r>
      <w:hyperlink r:id="rId3" w:history="1">
        <w:r w:rsidRPr="00681454">
          <w:rPr>
            <w:rStyle w:val="Hyperlink"/>
            <w:sz w:val="18"/>
            <w:szCs w:val="18"/>
          </w:rPr>
          <w:t>www.ons.gov.uk</w:t>
        </w:r>
      </w:hyperlink>
      <w:r w:rsidRPr="00681454">
        <w:rPr>
          <w:sz w:val="18"/>
          <w:szCs w:val="18"/>
        </w:rPr>
        <w:t xml:space="preserve"> </w:t>
      </w:r>
      <w:r w:rsidRPr="00272094">
        <w:rPr>
          <w:sz w:val="18"/>
          <w:szCs w:val="18"/>
        </w:rPr>
        <w:t>last accesse</w:t>
      </w:r>
      <w:r w:rsidRPr="00741FF0">
        <w:rPr>
          <w:sz w:val="18"/>
          <w:szCs w:val="18"/>
        </w:rPr>
        <w:t>d</w:t>
      </w:r>
      <w:r w:rsidRPr="00681454">
        <w:rPr>
          <w:sz w:val="18"/>
          <w:szCs w:val="18"/>
        </w:rPr>
        <w:t xml:space="preserve"> </w:t>
      </w:r>
      <w:r>
        <w:rPr>
          <w:sz w:val="18"/>
          <w:szCs w:val="18"/>
        </w:rPr>
        <w:t>9 April</w:t>
      </w:r>
      <w:r w:rsidRPr="00681454">
        <w:rPr>
          <w:sz w:val="18"/>
          <w:szCs w:val="18"/>
        </w:rPr>
        <w:t xml:space="preserve"> 2018.</w:t>
      </w:r>
    </w:p>
  </w:footnote>
  <w:footnote w:id="20">
    <w:p w14:paraId="18A3F47A" w14:textId="70066D96"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Sherr, Mueller and Fox, ‘Abandoned babies in the UK - a review utilizing media reports.’  (2009) </w:t>
      </w:r>
      <w:r w:rsidRPr="00681454">
        <w:rPr>
          <w:i/>
          <w:sz w:val="18"/>
          <w:szCs w:val="18"/>
        </w:rPr>
        <w:t>Child Care Health and Development</w:t>
      </w:r>
      <w:r w:rsidRPr="00681454">
        <w:rPr>
          <w:sz w:val="18"/>
          <w:szCs w:val="18"/>
        </w:rPr>
        <w:t xml:space="preserve"> 419 – see further Part 3 below</w:t>
      </w:r>
      <w:r>
        <w:rPr>
          <w:sz w:val="18"/>
          <w:szCs w:val="18"/>
        </w:rPr>
        <w:t>.</w:t>
      </w:r>
    </w:p>
  </w:footnote>
  <w:footnote w:id="21">
    <w:p w14:paraId="416A2F76" w14:textId="078C20F9" w:rsidR="005118D3" w:rsidRPr="00681454" w:rsidRDefault="005118D3" w:rsidP="00007752">
      <w:pPr>
        <w:pStyle w:val="FootnoteText"/>
        <w:rPr>
          <w:sz w:val="18"/>
          <w:szCs w:val="18"/>
        </w:rPr>
      </w:pPr>
      <w:r w:rsidRPr="00681454">
        <w:rPr>
          <w:rStyle w:val="FootnoteReference"/>
          <w:sz w:val="18"/>
          <w:szCs w:val="18"/>
        </w:rPr>
        <w:footnoteRef/>
      </w:r>
      <w:r w:rsidRPr="00681454">
        <w:rPr>
          <w:sz w:val="18"/>
          <w:szCs w:val="18"/>
        </w:rPr>
        <w:t xml:space="preserve"> See </w:t>
      </w:r>
      <w:r>
        <w:rPr>
          <w:sz w:val="18"/>
          <w:szCs w:val="18"/>
        </w:rPr>
        <w:t>‘</w:t>
      </w:r>
      <w:r w:rsidRPr="00681454">
        <w:rPr>
          <w:sz w:val="18"/>
          <w:szCs w:val="18"/>
        </w:rPr>
        <w:t xml:space="preserve">Child Abandonment </w:t>
      </w:r>
      <w:r>
        <w:rPr>
          <w:sz w:val="18"/>
          <w:szCs w:val="18"/>
        </w:rPr>
        <w:t xml:space="preserve">and its Prevention in Europe’ (University of Nottingham 2012) ‘the Child Abandonment </w:t>
      </w:r>
      <w:r w:rsidRPr="00681454">
        <w:rPr>
          <w:sz w:val="18"/>
          <w:szCs w:val="18"/>
        </w:rPr>
        <w:t>Project</w:t>
      </w:r>
      <w:r>
        <w:rPr>
          <w:sz w:val="18"/>
          <w:szCs w:val="18"/>
        </w:rPr>
        <w:t>’</w:t>
      </w:r>
      <w:r w:rsidRPr="00681454">
        <w:rPr>
          <w:sz w:val="18"/>
          <w:szCs w:val="18"/>
        </w:rPr>
        <w:t xml:space="preserve"> at </w:t>
      </w:r>
      <w:r w:rsidRPr="00667ACC">
        <w:rPr>
          <w:sz w:val="18"/>
          <w:szCs w:val="18"/>
        </w:rPr>
        <w:t>bettercarenetwork.org/sites/default/files/attachments/Child%20Abandonment%20and%20Its%20Prevention%20in%20Europe.pdf</w:t>
      </w:r>
      <w:r w:rsidRPr="00667ACC" w:rsidDel="00667ACC">
        <w:rPr>
          <w:sz w:val="18"/>
          <w:szCs w:val="18"/>
        </w:rPr>
        <w:t xml:space="preserve"> </w:t>
      </w:r>
      <w:r>
        <w:rPr>
          <w:sz w:val="18"/>
          <w:szCs w:val="18"/>
        </w:rPr>
        <w:t xml:space="preserve"> </w:t>
      </w:r>
      <w:r w:rsidRPr="00681454">
        <w:rPr>
          <w:sz w:val="18"/>
          <w:szCs w:val="18"/>
        </w:rPr>
        <w:t xml:space="preserve">last accessed  </w:t>
      </w:r>
      <w:r>
        <w:rPr>
          <w:sz w:val="18"/>
          <w:szCs w:val="18"/>
        </w:rPr>
        <w:t>6 April</w:t>
      </w:r>
      <w:r w:rsidRPr="00681454">
        <w:rPr>
          <w:sz w:val="18"/>
          <w:szCs w:val="18"/>
        </w:rPr>
        <w:t xml:space="preserve"> 2018 at p 3</w:t>
      </w:r>
      <w:r>
        <w:rPr>
          <w:sz w:val="18"/>
          <w:szCs w:val="18"/>
        </w:rPr>
        <w:t>47</w:t>
      </w:r>
      <w:r w:rsidRPr="00681454">
        <w:rPr>
          <w:sz w:val="18"/>
          <w:szCs w:val="18"/>
        </w:rPr>
        <w:t xml:space="preserve">. </w:t>
      </w:r>
    </w:p>
  </w:footnote>
  <w:footnote w:id="22">
    <w:p w14:paraId="7925AC30" w14:textId="5769E6FE"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Ibid. </w:t>
      </w:r>
    </w:p>
  </w:footnote>
  <w:footnote w:id="23">
    <w:p w14:paraId="299592D0" w14:textId="7E0DE53E"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Baker J in the jointly heard cases of JL and AO,</w:t>
      </w:r>
      <w:r w:rsidRPr="00681454">
        <w:rPr>
          <w:i/>
          <w:sz w:val="18"/>
          <w:szCs w:val="18"/>
        </w:rPr>
        <w:t xml:space="preserve"> A London Borough Council v JL and A Western Circuit Local Authority v A Mother and A Father </w:t>
      </w:r>
      <w:r w:rsidRPr="00681454">
        <w:rPr>
          <w:sz w:val="18"/>
          <w:szCs w:val="18"/>
        </w:rPr>
        <w:t xml:space="preserve">[2016] EWHC 440 (Fam) (‘hereafter </w:t>
      </w:r>
      <w:r w:rsidRPr="00681454">
        <w:rPr>
          <w:i/>
          <w:sz w:val="18"/>
          <w:szCs w:val="18"/>
        </w:rPr>
        <w:t>JL and AO’</w:t>
      </w:r>
      <w:r w:rsidRPr="00681454">
        <w:rPr>
          <w:sz w:val="18"/>
          <w:szCs w:val="18"/>
        </w:rPr>
        <w:t>) at [46].</w:t>
      </w:r>
    </w:p>
  </w:footnote>
  <w:footnote w:id="24">
    <w:p w14:paraId="6A2DEE0E" w14:textId="14AE9A9F"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The quotation is cited at paragraphs 44-45 of Baker J’s judgment in </w:t>
      </w:r>
      <w:r w:rsidRPr="00681454">
        <w:rPr>
          <w:i/>
          <w:sz w:val="18"/>
          <w:szCs w:val="18"/>
        </w:rPr>
        <w:t xml:space="preserve">A London Borough Council v JL and A Western Circuit Local Authority v A Mother and A Father </w:t>
      </w:r>
      <w:r w:rsidRPr="00681454">
        <w:rPr>
          <w:sz w:val="18"/>
          <w:szCs w:val="18"/>
        </w:rPr>
        <w:t xml:space="preserve">[2016] EWHC 440 (Fam) from </w:t>
      </w:r>
      <w:r w:rsidRPr="00681454">
        <w:rPr>
          <w:i/>
          <w:sz w:val="18"/>
          <w:szCs w:val="18"/>
        </w:rPr>
        <w:t>Re N</w:t>
      </w:r>
      <w:r w:rsidRPr="00681454">
        <w:rPr>
          <w:sz w:val="18"/>
          <w:szCs w:val="18"/>
        </w:rPr>
        <w:t xml:space="preserve"> [2015] EWCA Civ 1112.</w:t>
      </w:r>
    </w:p>
  </w:footnote>
  <w:footnote w:id="25">
    <w:p w14:paraId="7F128DA3" w14:textId="29253CFD"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This quotation is also cited at paragraphs 44-45 of Baker J’s judgment in the case of </w:t>
      </w:r>
      <w:r w:rsidRPr="00681454">
        <w:rPr>
          <w:i/>
          <w:sz w:val="18"/>
          <w:szCs w:val="18"/>
        </w:rPr>
        <w:t>JL and AO,</w:t>
      </w:r>
      <w:r w:rsidRPr="00681454">
        <w:rPr>
          <w:sz w:val="18"/>
          <w:szCs w:val="18"/>
        </w:rPr>
        <w:t xml:space="preserve"> from Lord Wilson’s speech to the Denning Society on 13 November 2014. Non-consensual adoption is not the focus of this article. </w:t>
      </w:r>
      <w:r>
        <w:rPr>
          <w:sz w:val="18"/>
          <w:szCs w:val="18"/>
        </w:rPr>
        <w:t>S</w:t>
      </w:r>
      <w:r w:rsidRPr="00681454">
        <w:rPr>
          <w:sz w:val="18"/>
          <w:szCs w:val="18"/>
        </w:rPr>
        <w:t xml:space="preserve">ee B Sloan ‘Conflicting rights: the English adoption law and the implementation of the UN Convention on the Rights of the Child (2013) 25 </w:t>
      </w:r>
      <w:r w:rsidRPr="00681454">
        <w:rPr>
          <w:i/>
          <w:sz w:val="18"/>
          <w:szCs w:val="18"/>
        </w:rPr>
        <w:t>Child and Family Law Quarterly</w:t>
      </w:r>
      <w:r w:rsidRPr="00681454">
        <w:rPr>
          <w:sz w:val="18"/>
          <w:szCs w:val="18"/>
        </w:rPr>
        <w:t xml:space="preserve"> 40; J Doughty ‘Myths and Misunderstanding in adoption law and policy’ (2015) 27 </w:t>
      </w:r>
      <w:r w:rsidRPr="00681454">
        <w:rPr>
          <w:i/>
          <w:sz w:val="18"/>
          <w:szCs w:val="18"/>
        </w:rPr>
        <w:t>Child and Family Law Quarterly</w:t>
      </w:r>
      <w:r w:rsidRPr="00681454">
        <w:rPr>
          <w:sz w:val="18"/>
          <w:szCs w:val="18"/>
        </w:rPr>
        <w:t xml:space="preserve"> 331</w:t>
      </w:r>
      <w:r>
        <w:rPr>
          <w:sz w:val="18"/>
          <w:szCs w:val="18"/>
        </w:rPr>
        <w:t>.</w:t>
      </w:r>
    </w:p>
  </w:footnote>
  <w:footnote w:id="26">
    <w:p w14:paraId="79EFCEAF" w14:textId="426196DB" w:rsidR="005118D3" w:rsidRPr="00513BCB" w:rsidRDefault="005118D3">
      <w:pPr>
        <w:pStyle w:val="FootnoteText"/>
        <w:rPr>
          <w:lang w:val="en-GB"/>
        </w:rPr>
      </w:pPr>
      <w:r w:rsidRPr="001161BB">
        <w:rPr>
          <w:rStyle w:val="FootnoteReference"/>
          <w:sz w:val="22"/>
        </w:rPr>
        <w:footnoteRef/>
      </w:r>
      <w:r>
        <w:t xml:space="preserve"> </w:t>
      </w:r>
      <w:r w:rsidRPr="001161BB">
        <w:rPr>
          <w:rFonts w:cs="Times New Roman"/>
          <w:sz w:val="18"/>
          <w:szCs w:val="18"/>
        </w:rPr>
        <w:t xml:space="preserve">In my </w:t>
      </w:r>
      <w:r>
        <w:rPr>
          <w:rFonts w:cs="Times New Roman"/>
          <w:sz w:val="18"/>
          <w:szCs w:val="18"/>
        </w:rPr>
        <w:t>view</w:t>
      </w:r>
      <w:r w:rsidRPr="001161BB">
        <w:rPr>
          <w:rFonts w:cs="Times New Roman"/>
          <w:sz w:val="18"/>
          <w:szCs w:val="18"/>
        </w:rPr>
        <w:t>, the man who contributes sperm to create the child is not a father by this act</w:t>
      </w:r>
      <w:r>
        <w:rPr>
          <w:rFonts w:cs="Times New Roman"/>
          <w:sz w:val="18"/>
          <w:szCs w:val="18"/>
        </w:rPr>
        <w:t xml:space="preserve"> alone</w:t>
      </w:r>
      <w:r w:rsidRPr="001161BB">
        <w:rPr>
          <w:rFonts w:cs="Times New Roman"/>
          <w:sz w:val="18"/>
          <w:szCs w:val="18"/>
        </w:rPr>
        <w:t xml:space="preserve">. As </w:t>
      </w:r>
      <w:r>
        <w:rPr>
          <w:rFonts w:cs="Times New Roman"/>
          <w:sz w:val="18"/>
          <w:szCs w:val="18"/>
        </w:rPr>
        <w:t xml:space="preserve">I have done with </w:t>
      </w:r>
      <w:r w:rsidRPr="001161BB">
        <w:rPr>
          <w:rFonts w:cs="Times New Roman"/>
          <w:sz w:val="18"/>
          <w:szCs w:val="18"/>
        </w:rPr>
        <w:t xml:space="preserve">the expression birth giver, I would like a different word to denote the distinction </w:t>
      </w:r>
      <w:r>
        <w:rPr>
          <w:rFonts w:cs="Times New Roman"/>
          <w:sz w:val="18"/>
          <w:szCs w:val="18"/>
        </w:rPr>
        <w:t xml:space="preserve">between this and true </w:t>
      </w:r>
      <w:r w:rsidRPr="001161BB">
        <w:rPr>
          <w:rFonts w:cs="Times New Roman"/>
          <w:sz w:val="18"/>
          <w:szCs w:val="18"/>
        </w:rPr>
        <w:t xml:space="preserve">fatherhood. However, for ease of reference, I use the term </w:t>
      </w:r>
      <w:r>
        <w:rPr>
          <w:rFonts w:cs="Times New Roman"/>
          <w:sz w:val="18"/>
          <w:szCs w:val="18"/>
        </w:rPr>
        <w:t>‘</w:t>
      </w:r>
      <w:r w:rsidRPr="001161BB">
        <w:rPr>
          <w:rFonts w:cs="Times New Roman"/>
          <w:sz w:val="18"/>
          <w:szCs w:val="18"/>
        </w:rPr>
        <w:t>father</w:t>
      </w:r>
      <w:r>
        <w:rPr>
          <w:rFonts w:cs="Times New Roman"/>
          <w:sz w:val="18"/>
          <w:szCs w:val="18"/>
        </w:rPr>
        <w:t>’</w:t>
      </w:r>
      <w:r w:rsidRPr="001161BB">
        <w:rPr>
          <w:rFonts w:cs="Times New Roman"/>
          <w:sz w:val="18"/>
          <w:szCs w:val="18"/>
        </w:rPr>
        <w:t xml:space="preserve"> in this article.</w:t>
      </w:r>
    </w:p>
  </w:footnote>
  <w:footnote w:id="27">
    <w:p w14:paraId="4779B2B8" w14:textId="330584F0" w:rsidR="005118D3" w:rsidRPr="001161BB" w:rsidRDefault="005118D3" w:rsidP="001161BB">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See Holman J in </w:t>
      </w:r>
      <w:r w:rsidRPr="00681454">
        <w:rPr>
          <w:rFonts w:cs="Times New Roman"/>
          <w:i/>
          <w:sz w:val="18"/>
          <w:szCs w:val="18"/>
        </w:rPr>
        <w:t>Z County Council v R</w:t>
      </w:r>
      <w:r w:rsidRPr="00681454">
        <w:rPr>
          <w:rFonts w:cs="Times New Roman"/>
          <w:sz w:val="18"/>
          <w:szCs w:val="18"/>
        </w:rPr>
        <w:t xml:space="preserve"> [2001] 1 FLR 365. </w:t>
      </w:r>
    </w:p>
  </w:footnote>
  <w:footnote w:id="28">
    <w:p w14:paraId="22CA1C4E" w14:textId="74B9A915"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Pr>
          <w:sz w:val="18"/>
          <w:szCs w:val="18"/>
        </w:rPr>
        <w:t>I am a</w:t>
      </w:r>
      <w:r w:rsidRPr="00681454">
        <w:rPr>
          <w:sz w:val="18"/>
          <w:szCs w:val="18"/>
        </w:rPr>
        <w:t>ssuming the pregnancy is not a result of reproductive technology: this is unlikely in a case of secret relinquishment.</w:t>
      </w:r>
    </w:p>
  </w:footnote>
  <w:footnote w:id="29">
    <w:p w14:paraId="226DB018" w14:textId="4D244D35"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Per Arden LJ in </w:t>
      </w:r>
      <w:r w:rsidRPr="00681454">
        <w:rPr>
          <w:rFonts w:cs="Times New Roman"/>
          <w:i/>
          <w:sz w:val="18"/>
          <w:szCs w:val="18"/>
        </w:rPr>
        <w:t xml:space="preserve">Re C (a child) (adoption: duty of local authority) </w:t>
      </w:r>
      <w:r w:rsidRPr="00681454">
        <w:rPr>
          <w:rFonts w:cs="Times New Roman"/>
          <w:sz w:val="18"/>
          <w:szCs w:val="18"/>
        </w:rPr>
        <w:t>[2007] EWCA Civ 1206.</w:t>
      </w:r>
    </w:p>
  </w:footnote>
  <w:footnote w:id="30">
    <w:p w14:paraId="39ED12DF" w14:textId="07919AD9" w:rsidR="005118D3" w:rsidRPr="00C960FA" w:rsidRDefault="005118D3" w:rsidP="004D3080">
      <w:pPr>
        <w:rPr>
          <w:rFonts w:ascii="Times New Roman" w:eastAsia="Times New Roman" w:hAnsi="Times New Roman" w:cs="Times New Roman"/>
          <w:lang w:val="en-GB" w:eastAsia="en-GB"/>
        </w:rPr>
      </w:pPr>
      <w:r w:rsidRPr="00970519">
        <w:rPr>
          <w:rStyle w:val="FootnoteReference"/>
          <w:sz w:val="18"/>
          <w:szCs w:val="18"/>
        </w:rPr>
        <w:footnoteRef/>
      </w:r>
      <w:r w:rsidRPr="00970519">
        <w:rPr>
          <w:sz w:val="18"/>
          <w:szCs w:val="18"/>
        </w:rPr>
        <w:t xml:space="preserve"> See </w:t>
      </w:r>
      <w:r w:rsidRPr="00970519">
        <w:rPr>
          <w:i/>
          <w:sz w:val="18"/>
          <w:szCs w:val="18"/>
        </w:rPr>
        <w:t>Anayo v Germany</w:t>
      </w:r>
      <w:r w:rsidRPr="00970519">
        <w:rPr>
          <w:sz w:val="18"/>
          <w:szCs w:val="18"/>
        </w:rPr>
        <w:t xml:space="preserve"> </w:t>
      </w:r>
      <w:r>
        <w:rPr>
          <w:sz w:val="18"/>
          <w:szCs w:val="18"/>
        </w:rPr>
        <w:t xml:space="preserve">[2010] </w:t>
      </w:r>
      <w:r w:rsidRPr="00970519">
        <w:rPr>
          <w:sz w:val="18"/>
          <w:szCs w:val="18"/>
        </w:rPr>
        <w:t>ECHR</w:t>
      </w:r>
      <w:r>
        <w:rPr>
          <w:sz w:val="18"/>
          <w:szCs w:val="18"/>
        </w:rPr>
        <w:t xml:space="preserve"> 2083, Application no. 20578/07, Judgment </w:t>
      </w:r>
      <w:r w:rsidRPr="00681454">
        <w:rPr>
          <w:sz w:val="18"/>
          <w:szCs w:val="18"/>
        </w:rPr>
        <w:t>21 December 2010.</w:t>
      </w:r>
    </w:p>
  </w:footnote>
  <w:footnote w:id="31">
    <w:p w14:paraId="28FC6C7B" w14:textId="6E984BB9"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Ibid, see especially [62].</w:t>
      </w:r>
    </w:p>
  </w:footnote>
  <w:footnote w:id="32">
    <w:p w14:paraId="1026B593" w14:textId="129846F2"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w:t>
      </w:r>
      <w:r w:rsidRPr="00681454">
        <w:rPr>
          <w:rFonts w:cs="Times New Roman"/>
          <w:i/>
          <w:sz w:val="18"/>
          <w:szCs w:val="18"/>
        </w:rPr>
        <w:t>Re H; Re G</w:t>
      </w:r>
      <w:r w:rsidRPr="00681454">
        <w:rPr>
          <w:rFonts w:cs="Times New Roman"/>
          <w:sz w:val="18"/>
          <w:szCs w:val="18"/>
        </w:rPr>
        <w:t xml:space="preserve"> </w:t>
      </w:r>
      <w:r w:rsidRPr="00681454">
        <w:rPr>
          <w:rFonts w:cs="Times New Roman"/>
          <w:i/>
          <w:sz w:val="18"/>
          <w:szCs w:val="18"/>
        </w:rPr>
        <w:t>(Adoption: Consultation of Unmarried Fathers)</w:t>
      </w:r>
      <w:r w:rsidRPr="00681454">
        <w:rPr>
          <w:rFonts w:cs="Times New Roman"/>
          <w:sz w:val="18"/>
          <w:szCs w:val="18"/>
        </w:rPr>
        <w:t xml:space="preserve"> [2001] 1 FCR 726. Thorpe LJ in </w:t>
      </w:r>
      <w:r w:rsidRPr="00681454">
        <w:rPr>
          <w:rFonts w:cs="Times New Roman"/>
          <w:i/>
          <w:sz w:val="18"/>
          <w:szCs w:val="18"/>
        </w:rPr>
        <w:t>Re S (A child) (adoption proceedings: joinder of father)</w:t>
      </w:r>
      <w:r w:rsidRPr="00681454">
        <w:rPr>
          <w:rFonts w:cs="Times New Roman"/>
          <w:sz w:val="18"/>
          <w:szCs w:val="18"/>
        </w:rPr>
        <w:t xml:space="preserve"> [2001] 1 FCR 158 (CA)</w:t>
      </w:r>
      <w:r>
        <w:rPr>
          <w:rFonts w:cs="Times New Roman"/>
          <w:sz w:val="18"/>
          <w:szCs w:val="18"/>
        </w:rPr>
        <w:t xml:space="preserve"> at</w:t>
      </w:r>
      <w:r w:rsidRPr="00681454">
        <w:rPr>
          <w:rFonts w:cs="Times New Roman"/>
          <w:sz w:val="18"/>
          <w:szCs w:val="18"/>
        </w:rPr>
        <w:t xml:space="preserve"> [20-21] refers to the shift in attitudes to the role of unmarried fathers ‘where the father has intermittently but transiently sought to play a part in the child’s life’ and it seems wise to ensure he has notice of proceedings.</w:t>
      </w:r>
    </w:p>
  </w:footnote>
  <w:footnote w:id="33">
    <w:p w14:paraId="38108013" w14:textId="6BBE962C"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w:t>
      </w:r>
      <w:r w:rsidRPr="00681454">
        <w:rPr>
          <w:rFonts w:cs="Times New Roman"/>
          <w:i/>
          <w:sz w:val="18"/>
          <w:szCs w:val="18"/>
        </w:rPr>
        <w:t>Re H; Re G</w:t>
      </w:r>
      <w:r w:rsidRPr="00681454">
        <w:rPr>
          <w:rFonts w:cs="Times New Roman"/>
          <w:sz w:val="18"/>
          <w:szCs w:val="18"/>
        </w:rPr>
        <w:t xml:space="preserve"> </w:t>
      </w:r>
      <w:r w:rsidRPr="00681454">
        <w:rPr>
          <w:rFonts w:cs="Times New Roman"/>
          <w:i/>
          <w:sz w:val="18"/>
          <w:szCs w:val="18"/>
        </w:rPr>
        <w:t>(Adoption: Consultation of Unmarried Fathers)</w:t>
      </w:r>
      <w:r w:rsidRPr="00681454">
        <w:rPr>
          <w:rFonts w:cs="Times New Roman"/>
          <w:sz w:val="18"/>
          <w:szCs w:val="18"/>
        </w:rPr>
        <w:t xml:space="preserve"> [2001] 1 FCR 726.</w:t>
      </w:r>
    </w:p>
  </w:footnote>
  <w:footnote w:id="34">
    <w:p w14:paraId="6C0E312A" w14:textId="034796EA"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Pr>
          <w:rFonts w:cs="Times New Roman"/>
          <w:sz w:val="18"/>
          <w:szCs w:val="18"/>
        </w:rPr>
        <w:t xml:space="preserve"> C</w:t>
      </w:r>
      <w:r w:rsidRPr="00681454">
        <w:rPr>
          <w:rFonts w:cs="Times New Roman"/>
          <w:sz w:val="18"/>
          <w:szCs w:val="18"/>
        </w:rPr>
        <w:t xml:space="preserve">ited </w:t>
      </w:r>
      <w:r>
        <w:rPr>
          <w:rFonts w:cs="Times New Roman"/>
          <w:sz w:val="18"/>
          <w:szCs w:val="18"/>
        </w:rPr>
        <w:t xml:space="preserve">by Thorpe LJ in </w:t>
      </w:r>
      <w:r w:rsidRPr="00681454">
        <w:rPr>
          <w:rFonts w:cs="Times New Roman"/>
          <w:i/>
          <w:sz w:val="18"/>
          <w:szCs w:val="18"/>
        </w:rPr>
        <w:t>M v F</w:t>
      </w:r>
      <w:r w:rsidRPr="00681454">
        <w:rPr>
          <w:rFonts w:cs="Times New Roman"/>
          <w:sz w:val="18"/>
          <w:szCs w:val="18"/>
        </w:rPr>
        <w:t xml:space="preserve"> [2011] EWCA Civ 273 at [7].</w:t>
      </w:r>
    </w:p>
  </w:footnote>
  <w:footnote w:id="35">
    <w:p w14:paraId="77811768" w14:textId="5C7A47E1"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i/>
          <w:sz w:val="18"/>
          <w:szCs w:val="18"/>
        </w:rPr>
        <w:t xml:space="preserve"> Re C (a child) (adoption: duty of local authority) </w:t>
      </w:r>
      <w:r w:rsidRPr="00681454">
        <w:rPr>
          <w:rFonts w:cs="Times New Roman"/>
          <w:sz w:val="18"/>
          <w:szCs w:val="18"/>
        </w:rPr>
        <w:t>[2007] EWCA Civ 1206.</w:t>
      </w:r>
    </w:p>
  </w:footnote>
  <w:footnote w:id="36">
    <w:p w14:paraId="5078F5F0" w14:textId="07C8F356"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rFonts w:cs="Times New Roman"/>
          <w:i/>
          <w:sz w:val="18"/>
          <w:szCs w:val="18"/>
        </w:rPr>
        <w:t>Re S (A child) (adoption proceedings: joinder of father)</w:t>
      </w:r>
      <w:r w:rsidRPr="00681454">
        <w:rPr>
          <w:rFonts w:cs="Times New Roman"/>
          <w:sz w:val="18"/>
          <w:szCs w:val="18"/>
        </w:rPr>
        <w:t xml:space="preserve"> [2001] 1</w:t>
      </w:r>
      <w:r>
        <w:rPr>
          <w:rFonts w:cs="Times New Roman"/>
          <w:sz w:val="18"/>
          <w:szCs w:val="18"/>
        </w:rPr>
        <w:t xml:space="preserve"> </w:t>
      </w:r>
      <w:r w:rsidRPr="00681454">
        <w:rPr>
          <w:rFonts w:cs="Times New Roman"/>
          <w:sz w:val="18"/>
          <w:szCs w:val="18"/>
        </w:rPr>
        <w:t>FCR 158 (CA)at [</w:t>
      </w:r>
      <w:r w:rsidRPr="00681454">
        <w:rPr>
          <w:sz w:val="18"/>
          <w:szCs w:val="18"/>
        </w:rPr>
        <w:t>20].</w:t>
      </w:r>
    </w:p>
  </w:footnote>
  <w:footnote w:id="37">
    <w:p w14:paraId="1596FB0E" w14:textId="77777777" w:rsidR="005118D3" w:rsidRPr="00681454" w:rsidRDefault="005118D3" w:rsidP="004D3080">
      <w:pPr>
        <w:pStyle w:val="BodyText"/>
        <w:rPr>
          <w:rFonts w:asciiTheme="minorHAnsi" w:hAnsiTheme="minorHAnsi"/>
          <w:sz w:val="18"/>
          <w:szCs w:val="18"/>
        </w:rPr>
      </w:pPr>
      <w:r w:rsidRPr="00681454">
        <w:rPr>
          <w:rStyle w:val="FootnoteReference"/>
          <w:rFonts w:asciiTheme="minorHAnsi" w:hAnsiTheme="minorHAnsi"/>
          <w:sz w:val="18"/>
          <w:szCs w:val="18"/>
        </w:rPr>
        <w:footnoteRef/>
      </w:r>
      <w:r w:rsidRPr="00681454">
        <w:rPr>
          <w:rFonts w:asciiTheme="minorHAnsi" w:hAnsiTheme="minorHAnsi"/>
          <w:sz w:val="18"/>
          <w:szCs w:val="18"/>
        </w:rPr>
        <w:t xml:space="preserve"> </w:t>
      </w:r>
      <w:r w:rsidRPr="000A4E97">
        <w:rPr>
          <w:sz w:val="18"/>
          <w:szCs w:val="22"/>
        </w:rPr>
        <w:t xml:space="preserve">In </w:t>
      </w:r>
      <w:r w:rsidRPr="000A4E97">
        <w:rPr>
          <w:i/>
          <w:sz w:val="18"/>
          <w:szCs w:val="22"/>
        </w:rPr>
        <w:t>X (Care: Notice of Proceedings)</w:t>
      </w:r>
      <w:r w:rsidRPr="000A4E97">
        <w:rPr>
          <w:rStyle w:val="FootnoteReference"/>
          <w:sz w:val="18"/>
          <w:szCs w:val="22"/>
        </w:rPr>
        <w:t xml:space="preserve"> </w:t>
      </w:r>
      <w:r w:rsidRPr="00681454">
        <w:rPr>
          <w:rFonts w:asciiTheme="minorHAnsi" w:hAnsiTheme="minorHAnsi"/>
          <w:sz w:val="18"/>
          <w:szCs w:val="18"/>
        </w:rPr>
        <w:t>[1996] 1 FLR 186.</w:t>
      </w:r>
    </w:p>
  </w:footnote>
  <w:footnote w:id="38">
    <w:p w14:paraId="7CB56633" w14:textId="2DAE2B45"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rFonts w:cs="Times New Roman"/>
          <w:i/>
          <w:sz w:val="18"/>
          <w:szCs w:val="18"/>
        </w:rPr>
        <w:t>Re S (A child) (adoption proceedings: joinder of father)</w:t>
      </w:r>
      <w:r w:rsidRPr="00681454">
        <w:rPr>
          <w:rFonts w:cs="Times New Roman"/>
          <w:sz w:val="18"/>
          <w:szCs w:val="18"/>
        </w:rPr>
        <w:t xml:space="preserve"> [2001] 1</w:t>
      </w:r>
      <w:r>
        <w:rPr>
          <w:rFonts w:cs="Times New Roman"/>
          <w:sz w:val="18"/>
          <w:szCs w:val="18"/>
        </w:rPr>
        <w:t xml:space="preserve"> </w:t>
      </w:r>
      <w:r w:rsidRPr="00681454">
        <w:rPr>
          <w:rFonts w:cs="Times New Roman"/>
          <w:sz w:val="18"/>
          <w:szCs w:val="18"/>
        </w:rPr>
        <w:t>FCR 158 (CA) at [20]</w:t>
      </w:r>
      <w:r w:rsidRPr="00681454">
        <w:rPr>
          <w:sz w:val="18"/>
          <w:szCs w:val="18"/>
        </w:rPr>
        <w:t>.</w:t>
      </w:r>
    </w:p>
  </w:footnote>
  <w:footnote w:id="39">
    <w:p w14:paraId="5F99057B" w14:textId="2EA3C0BD"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i/>
          <w:sz w:val="18"/>
          <w:szCs w:val="18"/>
        </w:rPr>
        <w:t xml:space="preserve">Re C (a child) (adoption: duty of local authority) </w:t>
      </w:r>
      <w:r w:rsidRPr="00681454">
        <w:rPr>
          <w:rFonts w:cs="Times New Roman"/>
          <w:sz w:val="18"/>
          <w:szCs w:val="18"/>
        </w:rPr>
        <w:t>[2007] EWCA Civ 1206 at [25].</w:t>
      </w:r>
    </w:p>
  </w:footnote>
  <w:footnote w:id="40">
    <w:p w14:paraId="673275FA" w14:textId="2DCE3464"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Pr>
          <w:rFonts w:cs="Times New Roman"/>
          <w:sz w:val="18"/>
          <w:szCs w:val="18"/>
        </w:rPr>
        <w:t xml:space="preserve"> </w:t>
      </w:r>
      <w:r w:rsidRPr="00681454">
        <w:rPr>
          <w:rFonts w:cs="Times New Roman"/>
          <w:sz w:val="18"/>
          <w:szCs w:val="18"/>
        </w:rPr>
        <w:t>Ibid at [1] and [3].</w:t>
      </w:r>
    </w:p>
  </w:footnote>
  <w:footnote w:id="41">
    <w:p w14:paraId="5A2F0CCE" w14:textId="3DC922A6"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Pr>
          <w:rFonts w:cs="Times New Roman"/>
          <w:sz w:val="18"/>
          <w:szCs w:val="18"/>
        </w:rPr>
        <w:t xml:space="preserve"> </w:t>
      </w:r>
      <w:r w:rsidRPr="00681454">
        <w:rPr>
          <w:rFonts w:cs="Times New Roman"/>
          <w:sz w:val="18"/>
          <w:szCs w:val="18"/>
        </w:rPr>
        <w:t>Ibid at [43].</w:t>
      </w:r>
    </w:p>
  </w:footnote>
  <w:footnote w:id="42">
    <w:p w14:paraId="5A0B2EE6" w14:textId="0FEE5F72"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Ibid at [15], referring to the ACA 2002 s 1.</w:t>
      </w:r>
    </w:p>
  </w:footnote>
  <w:footnote w:id="43">
    <w:p w14:paraId="7A131541" w14:textId="34E52ECB" w:rsidR="005118D3" w:rsidRPr="00681454" w:rsidRDefault="005118D3" w:rsidP="004D3080">
      <w:pPr>
        <w:pStyle w:val="Title"/>
        <w:jc w:val="both"/>
        <w:rPr>
          <w:rFonts w:asciiTheme="minorHAnsi" w:hAnsiTheme="minorHAnsi"/>
          <w:b w:val="0"/>
          <w:sz w:val="18"/>
          <w:szCs w:val="18"/>
        </w:rPr>
      </w:pPr>
      <w:r w:rsidRPr="00681454">
        <w:rPr>
          <w:rStyle w:val="FootnoteReference"/>
          <w:rFonts w:asciiTheme="minorHAnsi" w:hAnsiTheme="minorHAnsi"/>
          <w:b w:val="0"/>
          <w:sz w:val="18"/>
          <w:szCs w:val="18"/>
        </w:rPr>
        <w:footnoteRef/>
      </w:r>
      <w:r w:rsidRPr="00681454">
        <w:rPr>
          <w:rFonts w:asciiTheme="minorHAnsi" w:hAnsiTheme="minorHAnsi"/>
          <w:b w:val="0"/>
          <w:sz w:val="18"/>
          <w:szCs w:val="18"/>
        </w:rPr>
        <w:t xml:space="preserve"> See further analysis of these issues in J Marshall “Concealed Births, Adoption and Human Rights Law: Being wary of seeking to open windows into people’s souls” (2012) 71 </w:t>
      </w:r>
      <w:r w:rsidRPr="00681454">
        <w:rPr>
          <w:rFonts w:asciiTheme="minorHAnsi" w:hAnsiTheme="minorHAnsi"/>
          <w:b w:val="0"/>
          <w:i/>
          <w:sz w:val="18"/>
          <w:szCs w:val="18"/>
        </w:rPr>
        <w:t>Cambridge Law Journal</w:t>
      </w:r>
      <w:r w:rsidRPr="00681454">
        <w:rPr>
          <w:rFonts w:asciiTheme="minorHAnsi" w:hAnsiTheme="minorHAnsi"/>
          <w:b w:val="0"/>
          <w:sz w:val="18"/>
          <w:szCs w:val="18"/>
        </w:rPr>
        <w:t xml:space="preserve"> 325</w:t>
      </w:r>
      <w:r>
        <w:rPr>
          <w:rFonts w:asciiTheme="minorHAnsi" w:hAnsiTheme="minorHAnsi"/>
          <w:b w:val="0"/>
          <w:sz w:val="18"/>
          <w:szCs w:val="18"/>
        </w:rPr>
        <w:t xml:space="preserve"> and in Part 2 below</w:t>
      </w:r>
      <w:r w:rsidRPr="00681454">
        <w:rPr>
          <w:rFonts w:asciiTheme="minorHAnsi" w:hAnsiTheme="minorHAnsi"/>
          <w:b w:val="0"/>
          <w:sz w:val="18"/>
          <w:szCs w:val="18"/>
        </w:rPr>
        <w:t>.</w:t>
      </w:r>
    </w:p>
  </w:footnote>
  <w:footnote w:id="44">
    <w:p w14:paraId="7F72F4FF" w14:textId="3B874931"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Z County Council v R</w:t>
      </w:r>
      <w:r w:rsidRPr="00681454">
        <w:rPr>
          <w:sz w:val="18"/>
          <w:szCs w:val="18"/>
        </w:rPr>
        <w:t xml:space="preserve"> [2001] 1 FCR</w:t>
      </w:r>
      <w:r>
        <w:rPr>
          <w:sz w:val="18"/>
          <w:szCs w:val="18"/>
        </w:rPr>
        <w:t xml:space="preserve"> </w:t>
      </w:r>
      <w:r w:rsidRPr="00681454">
        <w:rPr>
          <w:sz w:val="18"/>
          <w:szCs w:val="18"/>
        </w:rPr>
        <w:t>365.</w:t>
      </w:r>
    </w:p>
  </w:footnote>
  <w:footnote w:id="45">
    <w:p w14:paraId="782DCCD3"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Re L</w:t>
      </w:r>
      <w:r w:rsidRPr="00681454">
        <w:rPr>
          <w:sz w:val="18"/>
          <w:szCs w:val="18"/>
        </w:rPr>
        <w:t xml:space="preserve"> [2007] EWHC 1771.</w:t>
      </w:r>
    </w:p>
  </w:footnote>
  <w:footnote w:id="46">
    <w:p w14:paraId="1017B3F7" w14:textId="3EBB4623"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Ibid at [38]</w:t>
      </w:r>
    </w:p>
  </w:footnote>
  <w:footnote w:id="47">
    <w:p w14:paraId="7AFCDA33" w14:textId="16D57E09"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w:t>
      </w:r>
      <w:r w:rsidRPr="00681454">
        <w:rPr>
          <w:rFonts w:cs="Times New Roman"/>
          <w:i/>
          <w:sz w:val="18"/>
          <w:szCs w:val="18"/>
        </w:rPr>
        <w:t>X v M. Also known as MM (An Adult), Re A Local Authority v MM</w:t>
      </w:r>
      <w:r w:rsidRPr="00681454">
        <w:rPr>
          <w:rFonts w:cs="Times New Roman"/>
          <w:sz w:val="18"/>
          <w:szCs w:val="18"/>
        </w:rPr>
        <w:t xml:space="preserve"> [2007] EWHC 2003 (Fam) 21 August 2007 Family Division, Munby J at [100].  See also </w:t>
      </w:r>
      <w:r>
        <w:rPr>
          <w:rFonts w:cs="Times New Roman"/>
          <w:sz w:val="18"/>
          <w:szCs w:val="18"/>
        </w:rPr>
        <w:t>remarks</w:t>
      </w:r>
      <w:r w:rsidRPr="00681454">
        <w:rPr>
          <w:rFonts w:cs="Times New Roman"/>
          <w:sz w:val="18"/>
          <w:szCs w:val="18"/>
        </w:rPr>
        <w:t xml:space="preserve"> by Munby LJ in </w:t>
      </w:r>
      <w:r w:rsidRPr="00681454">
        <w:rPr>
          <w:rFonts w:cs="Times New Roman"/>
          <w:i/>
          <w:sz w:val="18"/>
          <w:szCs w:val="18"/>
        </w:rPr>
        <w:t>R (on the application of) v Derby City Council &amp; Anor</w:t>
      </w:r>
      <w:r w:rsidRPr="00681454">
        <w:rPr>
          <w:rFonts w:cs="Times New Roman"/>
          <w:sz w:val="18"/>
          <w:szCs w:val="18"/>
        </w:rPr>
        <w:t xml:space="preserve"> [2011] EWHC 375 (Admin). </w:t>
      </w:r>
    </w:p>
  </w:footnote>
  <w:footnote w:id="48">
    <w:p w14:paraId="383793B4"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LG (A Child) A v A Local Authority and others</w:t>
      </w:r>
      <w:r w:rsidRPr="00681454">
        <w:rPr>
          <w:sz w:val="18"/>
          <w:szCs w:val="18"/>
        </w:rPr>
        <w:t xml:space="preserve"> [2015] EWFC 52 (‘LG (A Child)’).</w:t>
      </w:r>
    </w:p>
  </w:footnote>
  <w:footnote w:id="49">
    <w:p w14:paraId="245BB99E"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Re B (Care Proceedings: Appeal)</w:t>
      </w:r>
      <w:r w:rsidRPr="00681454">
        <w:rPr>
          <w:sz w:val="18"/>
          <w:szCs w:val="18"/>
        </w:rPr>
        <w:t xml:space="preserve"> [2013] UKSC 33.</w:t>
      </w:r>
    </w:p>
  </w:footnote>
  <w:footnote w:id="50">
    <w:p w14:paraId="5C14F88A"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Re B-S</w:t>
      </w:r>
      <w:r w:rsidRPr="00681454">
        <w:rPr>
          <w:sz w:val="18"/>
          <w:szCs w:val="18"/>
        </w:rPr>
        <w:t xml:space="preserve"> (Permission to oppose adoption order) [2013] EWCA Civ 813.</w:t>
      </w:r>
    </w:p>
  </w:footnote>
  <w:footnote w:id="51">
    <w:p w14:paraId="1BDB9C0F" w14:textId="5BEB4C74"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LG (A Child) A v A Local Authority and others</w:t>
      </w:r>
      <w:r w:rsidRPr="00681454">
        <w:rPr>
          <w:sz w:val="18"/>
          <w:szCs w:val="18"/>
        </w:rPr>
        <w:t xml:space="preserve"> [2015] EWFC 52</w:t>
      </w:r>
      <w:r>
        <w:rPr>
          <w:sz w:val="18"/>
          <w:szCs w:val="18"/>
        </w:rPr>
        <w:t>, at</w:t>
      </w:r>
      <w:r w:rsidRPr="00681454">
        <w:rPr>
          <w:sz w:val="18"/>
          <w:szCs w:val="18"/>
        </w:rPr>
        <w:t xml:space="preserve"> [54].</w:t>
      </w:r>
    </w:p>
  </w:footnote>
  <w:footnote w:id="52">
    <w:p w14:paraId="20CC37A8" w14:textId="2A225142"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Ibid at [31]. </w:t>
      </w:r>
    </w:p>
  </w:footnote>
  <w:footnote w:id="53">
    <w:p w14:paraId="30620CC1" w14:textId="2C6F2345"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Ibid at [35-37].</w:t>
      </w:r>
    </w:p>
  </w:footnote>
  <w:footnote w:id="54">
    <w:p w14:paraId="6C49FADD" w14:textId="4718855E"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 xml:space="preserve">A London Borough Council v JL and A Western Circuit Local Authority v A Mother and A Father </w:t>
      </w:r>
      <w:r w:rsidRPr="00681454">
        <w:rPr>
          <w:sz w:val="18"/>
          <w:szCs w:val="18"/>
        </w:rPr>
        <w:t>[2016] EWHC 440 (Fam) at [46].</w:t>
      </w:r>
    </w:p>
  </w:footnote>
  <w:footnote w:id="55">
    <w:p w14:paraId="633B2F2B" w14:textId="2A7D34CF"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Pr>
          <w:sz w:val="18"/>
          <w:szCs w:val="18"/>
        </w:rPr>
        <w:t>I</w:t>
      </w:r>
      <w:r w:rsidRPr="00681454">
        <w:rPr>
          <w:sz w:val="18"/>
          <w:szCs w:val="18"/>
        </w:rPr>
        <w:t>bid at [47].</w:t>
      </w:r>
    </w:p>
  </w:footnote>
  <w:footnote w:id="56">
    <w:p w14:paraId="3451315A" w14:textId="0DEBAF3D"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W (A child)</w:t>
      </w:r>
      <w:r w:rsidRPr="00681454">
        <w:rPr>
          <w:sz w:val="18"/>
          <w:szCs w:val="18"/>
        </w:rPr>
        <w:t xml:space="preserve"> [2016] EWCA Civ 793.</w:t>
      </w:r>
    </w:p>
  </w:footnote>
  <w:footnote w:id="57">
    <w:p w14:paraId="29DF0C62" w14:textId="324B9DB6" w:rsidR="005118D3" w:rsidRPr="00681454" w:rsidRDefault="005118D3" w:rsidP="004D3080">
      <w:pPr>
        <w:pStyle w:val="FootnoteText"/>
        <w:jc w:val="both"/>
        <w:rPr>
          <w:sz w:val="18"/>
          <w:szCs w:val="18"/>
        </w:rPr>
      </w:pPr>
      <w:r w:rsidRPr="009B3C0A">
        <w:rPr>
          <w:rStyle w:val="FootnoteReference"/>
          <w:sz w:val="18"/>
          <w:szCs w:val="18"/>
        </w:rPr>
        <w:footnoteRef/>
      </w:r>
      <w:r w:rsidRPr="00681454">
        <w:rPr>
          <w:sz w:val="18"/>
          <w:szCs w:val="18"/>
        </w:rPr>
        <w:t xml:space="preserve"> </w:t>
      </w:r>
      <w:r>
        <w:rPr>
          <w:sz w:val="18"/>
          <w:szCs w:val="18"/>
        </w:rPr>
        <w:t xml:space="preserve">Ibid, </w:t>
      </w:r>
      <w:r w:rsidRPr="00681454">
        <w:rPr>
          <w:sz w:val="18"/>
          <w:szCs w:val="18"/>
        </w:rPr>
        <w:t>at [11].</w:t>
      </w:r>
      <w:r>
        <w:rPr>
          <w:sz w:val="18"/>
          <w:szCs w:val="18"/>
        </w:rPr>
        <w:t xml:space="preserve"> </w:t>
      </w:r>
      <w:r w:rsidRPr="00681454">
        <w:rPr>
          <w:sz w:val="18"/>
          <w:szCs w:val="18"/>
        </w:rPr>
        <w:t>See further, in the context of vulnerability and recurrent care proceedings, Part 3 below.</w:t>
      </w:r>
    </w:p>
  </w:footnote>
  <w:footnote w:id="58">
    <w:p w14:paraId="3114D1B5" w14:textId="2A7FCC7B" w:rsidR="005118D3" w:rsidRPr="000A4E97" w:rsidRDefault="005118D3">
      <w:pPr>
        <w:pStyle w:val="FootnoteText"/>
        <w:rPr>
          <w:lang w:val="en-GB"/>
        </w:rPr>
      </w:pPr>
      <w:r w:rsidRPr="000A4E97">
        <w:rPr>
          <w:rStyle w:val="FootnoteReference"/>
          <w:sz w:val="18"/>
        </w:rPr>
        <w:footnoteRef/>
      </w:r>
      <w:r>
        <w:t xml:space="preserve"> </w:t>
      </w:r>
      <w:r w:rsidRPr="00681454">
        <w:rPr>
          <w:i/>
          <w:sz w:val="18"/>
          <w:szCs w:val="18"/>
        </w:rPr>
        <w:t>W (A child)</w:t>
      </w:r>
      <w:r w:rsidRPr="00681454">
        <w:rPr>
          <w:sz w:val="18"/>
          <w:szCs w:val="18"/>
        </w:rPr>
        <w:t xml:space="preserve"> [2016] EWCA Civ 793 at </w:t>
      </w:r>
      <w:r>
        <w:rPr>
          <w:sz w:val="18"/>
          <w:szCs w:val="18"/>
        </w:rPr>
        <w:t>[</w:t>
      </w:r>
      <w:r w:rsidRPr="00681454">
        <w:rPr>
          <w:sz w:val="18"/>
          <w:szCs w:val="18"/>
        </w:rPr>
        <w:t>71</w:t>
      </w:r>
      <w:r>
        <w:rPr>
          <w:sz w:val="18"/>
          <w:szCs w:val="18"/>
        </w:rPr>
        <w:t>]</w:t>
      </w:r>
      <w:r w:rsidRPr="00681454">
        <w:rPr>
          <w:sz w:val="18"/>
          <w:szCs w:val="18"/>
        </w:rPr>
        <w:t xml:space="preserve">, following </w:t>
      </w:r>
      <w:r w:rsidRPr="00681454">
        <w:rPr>
          <w:i/>
          <w:sz w:val="18"/>
          <w:szCs w:val="18"/>
        </w:rPr>
        <w:t xml:space="preserve">Re H (A Child) </w:t>
      </w:r>
      <w:r w:rsidRPr="00681454">
        <w:rPr>
          <w:sz w:val="18"/>
          <w:szCs w:val="18"/>
        </w:rPr>
        <w:t>[2015] EWCA Civ 1284</w:t>
      </w:r>
      <w:r>
        <w:rPr>
          <w:sz w:val="18"/>
          <w:szCs w:val="18"/>
        </w:rPr>
        <w:t>, at</w:t>
      </w:r>
      <w:r w:rsidRPr="00681454">
        <w:rPr>
          <w:sz w:val="18"/>
          <w:szCs w:val="18"/>
        </w:rPr>
        <w:t xml:space="preserve"> </w:t>
      </w:r>
      <w:r>
        <w:rPr>
          <w:sz w:val="18"/>
          <w:szCs w:val="18"/>
        </w:rPr>
        <w:t>[</w:t>
      </w:r>
      <w:r w:rsidRPr="00681454">
        <w:rPr>
          <w:sz w:val="18"/>
          <w:szCs w:val="18"/>
        </w:rPr>
        <w:t>89-94</w:t>
      </w:r>
      <w:r>
        <w:rPr>
          <w:sz w:val="18"/>
          <w:szCs w:val="18"/>
        </w:rPr>
        <w:t>]</w:t>
      </w:r>
      <w:r w:rsidRPr="00681454">
        <w:rPr>
          <w:sz w:val="18"/>
          <w:szCs w:val="18"/>
        </w:rPr>
        <w:t>.</w:t>
      </w:r>
    </w:p>
  </w:footnote>
  <w:footnote w:id="59">
    <w:p w14:paraId="7F523BAE" w14:textId="6FBFDDFF"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Godelli v Italy</w:t>
      </w:r>
      <w:r w:rsidRPr="00681454">
        <w:rPr>
          <w:sz w:val="18"/>
          <w:szCs w:val="18"/>
        </w:rPr>
        <w:t xml:space="preserve"> , (</w:t>
      </w:r>
      <w:r w:rsidRPr="00681454">
        <w:rPr>
          <w:iCs/>
          <w:sz w:val="18"/>
          <w:szCs w:val="18"/>
        </w:rPr>
        <w:t>Application no. 33783/09</w:t>
      </w:r>
      <w:r w:rsidRPr="00681454">
        <w:rPr>
          <w:sz w:val="18"/>
          <w:szCs w:val="18"/>
        </w:rPr>
        <w:t xml:space="preserve">) Judgment </w:t>
      </w:r>
      <w:r w:rsidRPr="00681454">
        <w:rPr>
          <w:bCs/>
          <w:sz w:val="18"/>
          <w:szCs w:val="18"/>
        </w:rPr>
        <w:t xml:space="preserve">25 September 2012 </w:t>
      </w:r>
      <w:r w:rsidRPr="00681454">
        <w:rPr>
          <w:sz w:val="18"/>
          <w:szCs w:val="18"/>
        </w:rPr>
        <w:t>at [28-32].</w:t>
      </w:r>
    </w:p>
  </w:footnote>
  <w:footnote w:id="60">
    <w:p w14:paraId="0DC1D983" w14:textId="7D1485F1"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Pr>
          <w:sz w:val="18"/>
          <w:szCs w:val="18"/>
        </w:rPr>
        <w:t>Ibid.</w:t>
      </w:r>
    </w:p>
  </w:footnote>
  <w:footnote w:id="61">
    <w:p w14:paraId="7F1C1F3D" w14:textId="48D5365E" w:rsidR="005118D3" w:rsidRPr="00681454" w:rsidRDefault="005118D3" w:rsidP="004D3080">
      <w:pPr>
        <w:pStyle w:val="FootnoteText"/>
        <w:jc w:val="both"/>
        <w:rPr>
          <w:sz w:val="18"/>
          <w:szCs w:val="18"/>
        </w:rPr>
      </w:pPr>
      <w:r w:rsidRPr="00681454">
        <w:rPr>
          <w:rStyle w:val="FootnoteReference"/>
          <w:sz w:val="18"/>
          <w:szCs w:val="18"/>
        </w:rPr>
        <w:footnoteRef/>
      </w:r>
      <w:r>
        <w:rPr>
          <w:sz w:val="18"/>
          <w:szCs w:val="18"/>
        </w:rPr>
        <w:t xml:space="preserve"> </w:t>
      </w:r>
      <w:r w:rsidRPr="00681454">
        <w:rPr>
          <w:sz w:val="18"/>
          <w:szCs w:val="18"/>
        </w:rPr>
        <w:t>See Law no. 93-22 of 8 January 1993, Article L.222-6 of the Social Action and Families Code, as amended by Law no.2002-93 of 22 January 2002 on ‘access by adopted persons and people in State care to information about their origins’, at paragraphs 15-18.</w:t>
      </w:r>
    </w:p>
  </w:footnote>
  <w:footnote w:id="62">
    <w:p w14:paraId="463C5194"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D Kertzer, </w:t>
      </w:r>
      <w:r w:rsidRPr="00681454">
        <w:rPr>
          <w:i/>
          <w:sz w:val="18"/>
          <w:szCs w:val="18"/>
        </w:rPr>
        <w:t>Sacrificed for Honor</w:t>
      </w:r>
      <w:r w:rsidRPr="00681454">
        <w:rPr>
          <w:sz w:val="18"/>
          <w:szCs w:val="18"/>
        </w:rPr>
        <w:t xml:space="preserve"> (Beacon Press, 1994)  </w:t>
      </w:r>
    </w:p>
  </w:footnote>
  <w:footnote w:id="63">
    <w:p w14:paraId="74E75BE5" w14:textId="41C74831"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lang w:val="en"/>
        </w:rPr>
        <w:t>Odi</w:t>
      </w:r>
      <w:r w:rsidRPr="00681454">
        <w:rPr>
          <w:i/>
          <w:sz w:val="18"/>
          <w:szCs w:val="18"/>
          <w:lang w:val="fr-FR"/>
        </w:rPr>
        <w:t>è</w:t>
      </w:r>
      <w:r w:rsidRPr="00681454">
        <w:rPr>
          <w:i/>
          <w:sz w:val="18"/>
          <w:szCs w:val="18"/>
          <w:lang w:val="en"/>
        </w:rPr>
        <w:t>vre v France</w:t>
      </w:r>
      <w:r w:rsidRPr="00681454">
        <w:rPr>
          <w:sz w:val="18"/>
          <w:szCs w:val="18"/>
        </w:rPr>
        <w:t xml:space="preserve"> (Application no. 42326/98) Judgment 13 February 2003 at [15].</w:t>
      </w:r>
    </w:p>
  </w:footnote>
  <w:footnote w:id="64">
    <w:p w14:paraId="36714B63" w14:textId="1684AB6D"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Law no.2002-93 of 22 January 2002 on ‘access by adopted persons and people in State care to information about their origins’, and </w:t>
      </w:r>
      <w:r w:rsidRPr="00681454">
        <w:rPr>
          <w:i/>
          <w:sz w:val="18"/>
          <w:szCs w:val="18"/>
          <w:lang w:val="en"/>
        </w:rPr>
        <w:t>Odi</w:t>
      </w:r>
      <w:r w:rsidRPr="00681454">
        <w:rPr>
          <w:i/>
          <w:sz w:val="18"/>
          <w:szCs w:val="18"/>
          <w:lang w:val="fr-FR"/>
        </w:rPr>
        <w:t>è</w:t>
      </w:r>
      <w:r w:rsidRPr="00681454">
        <w:rPr>
          <w:i/>
          <w:sz w:val="18"/>
          <w:szCs w:val="18"/>
          <w:lang w:val="en"/>
        </w:rPr>
        <w:t>vre v France</w:t>
      </w:r>
      <w:r w:rsidRPr="00681454">
        <w:rPr>
          <w:sz w:val="18"/>
          <w:szCs w:val="18"/>
        </w:rPr>
        <w:t xml:space="preserve"> </w:t>
      </w:r>
      <w:r>
        <w:rPr>
          <w:sz w:val="18"/>
          <w:szCs w:val="18"/>
        </w:rPr>
        <w:t>ibid,</w:t>
      </w:r>
      <w:r w:rsidRPr="00681454">
        <w:rPr>
          <w:sz w:val="18"/>
          <w:szCs w:val="18"/>
        </w:rPr>
        <w:t xml:space="preserve"> at [17].</w:t>
      </w:r>
      <w:r>
        <w:rPr>
          <w:sz w:val="18"/>
          <w:szCs w:val="18"/>
        </w:rPr>
        <w:t xml:space="preserve"> See further C Villeneuve-Gokalp ‘Women Who Give Birth “Secretly” in France, 2007-2009’ (2011) 66 </w:t>
      </w:r>
      <w:r w:rsidRPr="000A4E97">
        <w:rPr>
          <w:i/>
          <w:sz w:val="18"/>
          <w:szCs w:val="18"/>
        </w:rPr>
        <w:t>Population</w:t>
      </w:r>
      <w:r>
        <w:rPr>
          <w:sz w:val="18"/>
          <w:szCs w:val="18"/>
        </w:rPr>
        <w:t xml:space="preserve"> 131 available at </w:t>
      </w:r>
      <w:hyperlink r:id="rId4" w:history="1">
        <w:r w:rsidRPr="000A4E97">
          <w:rPr>
            <w:rStyle w:val="Hyperlink"/>
            <w:sz w:val="18"/>
            <w:szCs w:val="18"/>
          </w:rPr>
          <w:t>www.cairn-int.info/focus-E_POPU_1101_0135--women-who-give-birth-secretly-in-france.htm</w:t>
        </w:r>
      </w:hyperlink>
      <w:r>
        <w:rPr>
          <w:sz w:val="18"/>
          <w:szCs w:val="18"/>
        </w:rPr>
        <w:t xml:space="preserve"> last accessed 6 April 2018.</w:t>
      </w:r>
    </w:p>
  </w:footnote>
  <w:footnote w:id="65">
    <w:p w14:paraId="62CCC855" w14:textId="2DF9D5F8"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Godelli v Italy</w:t>
      </w:r>
      <w:r w:rsidRPr="00681454">
        <w:rPr>
          <w:sz w:val="18"/>
          <w:szCs w:val="18"/>
        </w:rPr>
        <w:t xml:space="preserve"> , (</w:t>
      </w:r>
      <w:r w:rsidRPr="00681454">
        <w:rPr>
          <w:iCs/>
          <w:sz w:val="18"/>
          <w:szCs w:val="18"/>
        </w:rPr>
        <w:t>Application no. 33783/09</w:t>
      </w:r>
      <w:r w:rsidRPr="00681454">
        <w:rPr>
          <w:sz w:val="18"/>
          <w:szCs w:val="18"/>
        </w:rPr>
        <w:t xml:space="preserve">) Judgment </w:t>
      </w:r>
      <w:r w:rsidRPr="00681454">
        <w:rPr>
          <w:bCs/>
          <w:sz w:val="18"/>
          <w:szCs w:val="18"/>
        </w:rPr>
        <w:t>25 September 2012</w:t>
      </w:r>
      <w:r w:rsidRPr="00681454">
        <w:rPr>
          <w:sz w:val="18"/>
          <w:szCs w:val="18"/>
        </w:rPr>
        <w:t xml:space="preserve">.  </w:t>
      </w:r>
    </w:p>
  </w:footnote>
  <w:footnote w:id="66">
    <w:p w14:paraId="3BEAADE5"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Decreto del Presidente della Republica 3 November 2000 n. 396. See V Colcelli ‘Anonymous Birth, Birth Registration and the Child’s Right to Know Their Origins in the Italian Legal System: a Short Comment’ (2012) </w:t>
      </w:r>
      <w:r w:rsidRPr="00681454">
        <w:rPr>
          <w:i/>
          <w:sz w:val="18"/>
          <w:szCs w:val="18"/>
        </w:rPr>
        <w:t>J Civil Legal Sci</w:t>
      </w:r>
      <w:r w:rsidRPr="00681454">
        <w:rPr>
          <w:sz w:val="18"/>
          <w:szCs w:val="18"/>
        </w:rPr>
        <w:t xml:space="preserve"> 1-8 doi:10.4172/2169-0170.1000101.</w:t>
      </w:r>
    </w:p>
  </w:footnote>
  <w:footnote w:id="67">
    <w:p w14:paraId="1CA03C0F"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As expressed in </w:t>
      </w:r>
      <w:r w:rsidRPr="00681454">
        <w:rPr>
          <w:i/>
          <w:sz w:val="18"/>
          <w:szCs w:val="18"/>
        </w:rPr>
        <w:t>Godelli v Italy</w:t>
      </w:r>
      <w:r w:rsidRPr="00681454">
        <w:rPr>
          <w:sz w:val="18"/>
          <w:szCs w:val="18"/>
        </w:rPr>
        <w:t xml:space="preserve"> , (</w:t>
      </w:r>
      <w:r w:rsidRPr="00681454">
        <w:rPr>
          <w:iCs/>
          <w:sz w:val="18"/>
          <w:szCs w:val="18"/>
        </w:rPr>
        <w:t>Application no. 33783/09</w:t>
      </w:r>
      <w:r w:rsidRPr="00681454">
        <w:rPr>
          <w:sz w:val="18"/>
          <w:szCs w:val="18"/>
        </w:rPr>
        <w:t xml:space="preserve">) Judgment </w:t>
      </w:r>
      <w:r w:rsidRPr="00681454">
        <w:rPr>
          <w:bCs/>
          <w:sz w:val="18"/>
          <w:szCs w:val="18"/>
        </w:rPr>
        <w:t xml:space="preserve">25 September 2012 </w:t>
      </w:r>
      <w:r w:rsidRPr="00681454">
        <w:rPr>
          <w:sz w:val="18"/>
          <w:szCs w:val="18"/>
        </w:rPr>
        <w:t>at [29].</w:t>
      </w:r>
    </w:p>
  </w:footnote>
  <w:footnote w:id="68">
    <w:p w14:paraId="0C21881C" w14:textId="720A2A1C"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Ibid at [31].</w:t>
      </w:r>
    </w:p>
  </w:footnote>
  <w:footnote w:id="69">
    <w:p w14:paraId="29DBDF69" w14:textId="01BEDDEF"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Ibid at [30].</w:t>
      </w:r>
    </w:p>
  </w:footnote>
  <w:footnote w:id="70">
    <w:p w14:paraId="57344A3C" w14:textId="3D96AD78"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For a comprehensive summary of these laws see Child Welfare Information Gateway ‘Infant Safe Haven Laws’ available</w:t>
      </w:r>
      <w:r>
        <w:rPr>
          <w:sz w:val="18"/>
          <w:szCs w:val="18"/>
        </w:rPr>
        <w:t xml:space="preserve"> </w:t>
      </w:r>
      <w:r w:rsidRPr="00681454">
        <w:rPr>
          <w:sz w:val="18"/>
          <w:szCs w:val="18"/>
        </w:rPr>
        <w:t>at</w:t>
      </w:r>
      <w:r w:rsidRPr="00681454">
        <w:rPr>
          <w:color w:val="212121"/>
          <w:sz w:val="18"/>
          <w:szCs w:val="18"/>
          <w:shd w:val="clear" w:color="auto" w:fill="FFFFFF"/>
        </w:rPr>
        <w:t> </w:t>
      </w:r>
      <w:hyperlink r:id="rId5" w:history="1">
        <w:r w:rsidRPr="000A4E97">
          <w:rPr>
            <w:rStyle w:val="Hyperlink"/>
            <w:sz w:val="18"/>
            <w:szCs w:val="18"/>
            <w:shd w:val="clear" w:color="auto" w:fill="FFFFFF"/>
          </w:rPr>
          <w:t>www.childwelfare.gov/topics/systemwide/laws-policies/statutes/safehaven/</w:t>
        </w:r>
      </w:hyperlink>
      <w:r w:rsidRPr="00681454">
        <w:rPr>
          <w:sz w:val="18"/>
          <w:szCs w:val="18"/>
        </w:rPr>
        <w:t xml:space="preserve"> </w:t>
      </w:r>
      <w:r w:rsidRPr="00681454">
        <w:rPr>
          <w:color w:val="212121"/>
          <w:sz w:val="18"/>
          <w:szCs w:val="18"/>
          <w:shd w:val="clear" w:color="auto" w:fill="FFFFFF"/>
        </w:rPr>
        <w:t xml:space="preserve"> </w:t>
      </w:r>
      <w:r w:rsidRPr="004E2C9F">
        <w:rPr>
          <w:sz w:val="18"/>
          <w:szCs w:val="18"/>
        </w:rPr>
        <w:t>last accessed</w:t>
      </w:r>
      <w:r w:rsidRPr="00681454">
        <w:rPr>
          <w:sz w:val="18"/>
          <w:szCs w:val="18"/>
        </w:rPr>
        <w:t xml:space="preserve"> </w:t>
      </w:r>
      <w:r>
        <w:rPr>
          <w:sz w:val="18"/>
          <w:szCs w:val="18"/>
        </w:rPr>
        <w:t>9 April</w:t>
      </w:r>
      <w:r w:rsidRPr="00681454">
        <w:rPr>
          <w:sz w:val="18"/>
          <w:szCs w:val="18"/>
        </w:rPr>
        <w:t xml:space="preserve"> 2018..</w:t>
      </w:r>
    </w:p>
  </w:footnote>
  <w:footnote w:id="71">
    <w:p w14:paraId="17059416" w14:textId="7342B610"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Godelli v Italy</w:t>
      </w:r>
      <w:r w:rsidRPr="00681454">
        <w:rPr>
          <w:sz w:val="18"/>
          <w:szCs w:val="18"/>
        </w:rPr>
        <w:t xml:space="preserve"> , (</w:t>
      </w:r>
      <w:r w:rsidRPr="00681454">
        <w:rPr>
          <w:iCs/>
          <w:sz w:val="18"/>
          <w:szCs w:val="18"/>
        </w:rPr>
        <w:t>Application no. 33783/09</w:t>
      </w:r>
      <w:r w:rsidRPr="00681454">
        <w:rPr>
          <w:sz w:val="18"/>
          <w:szCs w:val="18"/>
        </w:rPr>
        <w:t xml:space="preserve">) Judgment </w:t>
      </w:r>
      <w:r w:rsidRPr="00681454">
        <w:rPr>
          <w:bCs/>
          <w:sz w:val="18"/>
          <w:szCs w:val="18"/>
        </w:rPr>
        <w:t xml:space="preserve">25 September 2012 at [30]; </w:t>
      </w:r>
      <w:r w:rsidRPr="00681454">
        <w:rPr>
          <w:rFonts w:cs="Times New Roman"/>
          <w:sz w:val="18"/>
          <w:szCs w:val="18"/>
        </w:rPr>
        <w:t xml:space="preserve">R Ramesh </w:t>
      </w:r>
      <w:r w:rsidRPr="00681454">
        <w:rPr>
          <w:rFonts w:cs="Times New Roman"/>
          <w:i/>
          <w:sz w:val="18"/>
          <w:szCs w:val="18"/>
        </w:rPr>
        <w:t>The Guardian</w:t>
      </w:r>
      <w:r w:rsidRPr="00681454">
        <w:rPr>
          <w:rFonts w:cs="Times New Roman"/>
          <w:sz w:val="18"/>
          <w:szCs w:val="18"/>
        </w:rPr>
        <w:t xml:space="preserve">, 10 June 2012, ‘Spread of “baby boxes” in Europe alarms United Nations’. Available at </w:t>
      </w:r>
      <w:hyperlink r:id="rId6" w:history="1">
        <w:r w:rsidRPr="00681454">
          <w:rPr>
            <w:rStyle w:val="Hyperlink"/>
            <w:rFonts w:cs="Times New Roman"/>
            <w:sz w:val="18"/>
            <w:szCs w:val="18"/>
          </w:rPr>
          <w:t>www.theguardian.com/world/2012/jun/10/unitednations-europe-news</w:t>
        </w:r>
      </w:hyperlink>
      <w:r w:rsidRPr="00681454">
        <w:rPr>
          <w:rStyle w:val="Hyperlink"/>
          <w:rFonts w:cs="Times New Roman"/>
          <w:sz w:val="18"/>
          <w:szCs w:val="18"/>
        </w:rPr>
        <w:t xml:space="preserve">, </w:t>
      </w:r>
      <w:r w:rsidRPr="004E2C9F">
        <w:rPr>
          <w:rFonts w:cs="Times New Roman"/>
          <w:sz w:val="18"/>
          <w:szCs w:val="18"/>
        </w:rPr>
        <w:t>last accessed</w:t>
      </w:r>
      <w:r w:rsidRPr="00681454">
        <w:rPr>
          <w:rFonts w:cs="Times New Roman"/>
          <w:sz w:val="18"/>
          <w:szCs w:val="18"/>
        </w:rPr>
        <w:t xml:space="preserve"> </w:t>
      </w:r>
      <w:r>
        <w:rPr>
          <w:rFonts w:cs="Times New Roman"/>
          <w:sz w:val="18"/>
          <w:szCs w:val="18"/>
        </w:rPr>
        <w:t>9 April</w:t>
      </w:r>
      <w:r w:rsidRPr="00681454">
        <w:rPr>
          <w:rFonts w:cs="Times New Roman"/>
          <w:sz w:val="18"/>
          <w:szCs w:val="18"/>
        </w:rPr>
        <w:t xml:space="preserve"> 2018.</w:t>
      </w:r>
    </w:p>
  </w:footnote>
  <w:footnote w:id="72">
    <w:p w14:paraId="38FEDE68" w14:textId="3C85E7BA" w:rsidR="005118D3" w:rsidRPr="00681454" w:rsidRDefault="005118D3" w:rsidP="000A4E97">
      <w:pPr>
        <w:rPr>
          <w:color w:val="000000"/>
          <w:sz w:val="18"/>
          <w:szCs w:val="18"/>
        </w:rPr>
      </w:pPr>
      <w:r w:rsidRPr="00681454">
        <w:rPr>
          <w:rStyle w:val="FootnoteReference"/>
          <w:rFonts w:cs="Times New Roman"/>
          <w:sz w:val="18"/>
          <w:szCs w:val="18"/>
        </w:rPr>
        <w:footnoteRef/>
      </w:r>
      <w:r w:rsidRPr="00681454">
        <w:rPr>
          <w:rFonts w:cs="Times New Roman"/>
          <w:sz w:val="18"/>
          <w:szCs w:val="18"/>
        </w:rPr>
        <w:t xml:space="preserve"> The reference is quoted from a Report on the Czech Republic by R Ramesh </w:t>
      </w:r>
      <w:r w:rsidRPr="00681454">
        <w:rPr>
          <w:rFonts w:cs="Times New Roman"/>
          <w:i/>
          <w:sz w:val="18"/>
          <w:szCs w:val="18"/>
        </w:rPr>
        <w:t>The Guardian</w:t>
      </w:r>
      <w:r w:rsidRPr="00681454">
        <w:rPr>
          <w:rFonts w:cs="Times New Roman"/>
          <w:sz w:val="18"/>
          <w:szCs w:val="18"/>
        </w:rPr>
        <w:t xml:space="preserve">, 10 June 2012, </w:t>
      </w:r>
      <w:r>
        <w:rPr>
          <w:rFonts w:cs="Times New Roman"/>
          <w:sz w:val="18"/>
          <w:szCs w:val="18"/>
        </w:rPr>
        <w:t>ibid</w:t>
      </w:r>
      <w:r w:rsidRPr="00681454">
        <w:rPr>
          <w:rFonts w:cs="Times New Roman"/>
          <w:sz w:val="18"/>
          <w:szCs w:val="18"/>
        </w:rPr>
        <w:t>. See also information at</w:t>
      </w:r>
      <w:r>
        <w:rPr>
          <w:rFonts w:cs="Times New Roman"/>
          <w:sz w:val="18"/>
          <w:szCs w:val="18"/>
        </w:rPr>
        <w:t xml:space="preserve"> </w:t>
      </w:r>
      <w:hyperlink r:id="rId7" w:history="1">
        <w:r w:rsidRPr="000A4E97">
          <w:rPr>
            <w:rStyle w:val="Hyperlink"/>
            <w:rFonts w:cs="Times New Roman"/>
            <w:sz w:val="18"/>
            <w:szCs w:val="18"/>
          </w:rPr>
          <w:t>www.ohchr.org/EN/NewsEvents/Pages/DisplayNews.aspx?NewsID=20015&amp;LangID=E</w:t>
        </w:r>
      </w:hyperlink>
      <w:r>
        <w:rPr>
          <w:rFonts w:cs="Times New Roman"/>
          <w:sz w:val="18"/>
          <w:szCs w:val="18"/>
        </w:rPr>
        <w:t xml:space="preserve"> </w:t>
      </w:r>
      <w:r w:rsidRPr="00681454">
        <w:rPr>
          <w:color w:val="000000"/>
          <w:sz w:val="18"/>
          <w:szCs w:val="18"/>
        </w:rPr>
        <w:t xml:space="preserve">last accessed </w:t>
      </w:r>
      <w:r>
        <w:rPr>
          <w:color w:val="000000"/>
          <w:sz w:val="18"/>
          <w:szCs w:val="18"/>
        </w:rPr>
        <w:t>9 April</w:t>
      </w:r>
      <w:r w:rsidRPr="00681454">
        <w:rPr>
          <w:color w:val="000000"/>
          <w:sz w:val="18"/>
          <w:szCs w:val="18"/>
        </w:rPr>
        <w:t xml:space="preserve"> 2018.</w:t>
      </w:r>
    </w:p>
  </w:footnote>
  <w:footnote w:id="73">
    <w:p w14:paraId="2AFC203C" w14:textId="65CF7D03"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a summary available at </w:t>
      </w:r>
      <w:hyperlink r:id="rId8" w:history="1">
        <w:r w:rsidRPr="00681454">
          <w:rPr>
            <w:rStyle w:val="Hyperlink"/>
            <w:sz w:val="18"/>
            <w:szCs w:val="18"/>
          </w:rPr>
          <w:t>bettercarenetwork.org/library/particular-threats-to-childrens-care-and-protection/child-abuse-and-neglect/child-abandonment-and-its-prevention-in-europe</w:t>
        </w:r>
      </w:hyperlink>
      <w:r w:rsidRPr="00681454">
        <w:rPr>
          <w:sz w:val="18"/>
          <w:szCs w:val="18"/>
        </w:rPr>
        <w:t xml:space="preserve"> </w:t>
      </w:r>
      <w:r>
        <w:rPr>
          <w:sz w:val="18"/>
          <w:szCs w:val="18"/>
        </w:rPr>
        <w:t>(‘</w:t>
      </w:r>
      <w:r w:rsidRPr="00681454">
        <w:rPr>
          <w:sz w:val="18"/>
          <w:szCs w:val="18"/>
        </w:rPr>
        <w:t>the</w:t>
      </w:r>
      <w:r>
        <w:rPr>
          <w:sz w:val="18"/>
          <w:szCs w:val="18"/>
        </w:rPr>
        <w:t xml:space="preserve"> </w:t>
      </w:r>
      <w:r w:rsidRPr="00681454">
        <w:rPr>
          <w:sz w:val="18"/>
          <w:szCs w:val="18"/>
        </w:rPr>
        <w:t xml:space="preserve">Child Abandonment Project’) </w:t>
      </w:r>
      <w:r w:rsidRPr="000D48B9">
        <w:rPr>
          <w:sz w:val="18"/>
          <w:szCs w:val="18"/>
        </w:rPr>
        <w:t>last accessed</w:t>
      </w:r>
      <w:r w:rsidRPr="00681454">
        <w:rPr>
          <w:sz w:val="18"/>
          <w:szCs w:val="18"/>
        </w:rPr>
        <w:t xml:space="preserve">  </w:t>
      </w:r>
      <w:r>
        <w:rPr>
          <w:sz w:val="18"/>
          <w:szCs w:val="18"/>
        </w:rPr>
        <w:t>9 April</w:t>
      </w:r>
      <w:r w:rsidRPr="00681454">
        <w:rPr>
          <w:sz w:val="18"/>
          <w:szCs w:val="18"/>
        </w:rPr>
        <w:t xml:space="preserve"> 2018.</w:t>
      </w:r>
    </w:p>
  </w:footnote>
  <w:footnote w:id="74">
    <w:p w14:paraId="50FC9403" w14:textId="145200A0" w:rsidR="005118D3" w:rsidRPr="00681454" w:rsidRDefault="005118D3" w:rsidP="004D3080">
      <w:pPr>
        <w:pStyle w:val="FootnoteText"/>
        <w:jc w:val="both"/>
        <w:rPr>
          <w:sz w:val="18"/>
          <w:szCs w:val="18"/>
        </w:rPr>
      </w:pPr>
      <w:r w:rsidRPr="00681454">
        <w:rPr>
          <w:rStyle w:val="FootnoteReference"/>
          <w:sz w:val="18"/>
          <w:szCs w:val="18"/>
        </w:rPr>
        <w:footnoteRef/>
      </w:r>
      <w:hyperlink r:id="rId9" w:history="1">
        <w:r w:rsidRPr="00987544">
          <w:rPr>
            <w:rStyle w:val="Hyperlink"/>
            <w:sz w:val="18"/>
            <w:szCs w:val="18"/>
          </w:rPr>
          <w:t>https://www.telegraph.co.uk/news/worldnews/europe/switzerland/12136902/Switzerland-gets-new-baby-hatch-a-hole-in-the-wall-where-mothers-give-away-their-newborn-babies.html</w:t>
        </w:r>
      </w:hyperlink>
      <w:r>
        <w:rPr>
          <w:color w:val="000000"/>
          <w:sz w:val="18"/>
          <w:szCs w:val="18"/>
        </w:rPr>
        <w:t xml:space="preserve"> </w:t>
      </w:r>
      <w:r w:rsidRPr="000D48B9">
        <w:rPr>
          <w:color w:val="000000"/>
          <w:sz w:val="18"/>
          <w:szCs w:val="18"/>
        </w:rPr>
        <w:t>last accessed</w:t>
      </w:r>
      <w:r w:rsidRPr="00681454">
        <w:rPr>
          <w:color w:val="000000"/>
          <w:sz w:val="18"/>
          <w:szCs w:val="18"/>
        </w:rPr>
        <w:t xml:space="preserve"> </w:t>
      </w:r>
      <w:r>
        <w:rPr>
          <w:color w:val="000000"/>
          <w:sz w:val="18"/>
          <w:szCs w:val="18"/>
        </w:rPr>
        <w:t>9 April</w:t>
      </w:r>
      <w:r w:rsidRPr="00681454">
        <w:rPr>
          <w:color w:val="000000"/>
          <w:sz w:val="18"/>
          <w:szCs w:val="18"/>
        </w:rPr>
        <w:t xml:space="preserve"> 2018.</w:t>
      </w:r>
    </w:p>
  </w:footnote>
  <w:footnote w:id="75">
    <w:p w14:paraId="6BC920C7" w14:textId="4252F7F1"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the</w:t>
      </w:r>
      <w:r>
        <w:rPr>
          <w:sz w:val="18"/>
          <w:szCs w:val="18"/>
        </w:rPr>
        <w:t xml:space="preserve"> </w:t>
      </w:r>
      <w:r w:rsidRPr="00681454">
        <w:rPr>
          <w:sz w:val="18"/>
          <w:szCs w:val="18"/>
        </w:rPr>
        <w:t xml:space="preserve">Child Abandonment Project </w:t>
      </w:r>
      <w:r>
        <w:rPr>
          <w:sz w:val="18"/>
          <w:szCs w:val="18"/>
        </w:rPr>
        <w:t>above note 72.</w:t>
      </w:r>
    </w:p>
  </w:footnote>
  <w:footnote w:id="76">
    <w:p w14:paraId="36DB4AC2" w14:textId="7BA6B201"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Alley Lofthouse who is the founder of a campaign group called ‘A Foundling’, and who is described as a ‘foundling’ herself is reported to have called for these: see BBC Scotland ‘Call for ‘baby boxes’ for abandoned newborns’ 12 April 2013 available at </w:t>
      </w:r>
      <w:hyperlink r:id="rId10" w:history="1">
        <w:r w:rsidRPr="00681454">
          <w:rPr>
            <w:rStyle w:val="Hyperlink"/>
            <w:sz w:val="18"/>
            <w:szCs w:val="18"/>
          </w:rPr>
          <w:t>www.bbc.co.uk/news/uk-scotland-22123366</w:t>
        </w:r>
      </w:hyperlink>
      <w:r w:rsidRPr="00681454">
        <w:rPr>
          <w:sz w:val="18"/>
          <w:szCs w:val="18"/>
        </w:rPr>
        <w:t xml:space="preserve"> </w:t>
      </w:r>
      <w:r>
        <w:rPr>
          <w:sz w:val="18"/>
          <w:szCs w:val="18"/>
        </w:rPr>
        <w:t>l</w:t>
      </w:r>
      <w:r w:rsidRPr="000D48B9">
        <w:rPr>
          <w:sz w:val="18"/>
          <w:szCs w:val="18"/>
        </w:rPr>
        <w:t xml:space="preserve">ast accessed </w:t>
      </w:r>
      <w:r>
        <w:rPr>
          <w:sz w:val="18"/>
          <w:szCs w:val="18"/>
        </w:rPr>
        <w:t>9 April 2018.</w:t>
      </w:r>
    </w:p>
  </w:footnote>
  <w:footnote w:id="77">
    <w:p w14:paraId="05172A14" w14:textId="77777777"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w:t>
      </w:r>
      <w:r w:rsidRPr="00681454">
        <w:rPr>
          <w:rFonts w:cs="Times New Roman"/>
          <w:sz w:val="18"/>
          <w:szCs w:val="18"/>
          <w:shd w:val="clear" w:color="auto" w:fill="F9F9F9"/>
        </w:rPr>
        <w:t>General Assembly,</w:t>
      </w:r>
      <w:r w:rsidRPr="00681454">
        <w:rPr>
          <w:rStyle w:val="apple-converted-space"/>
          <w:rFonts w:cs="Times New Roman"/>
          <w:sz w:val="18"/>
          <w:szCs w:val="18"/>
          <w:shd w:val="clear" w:color="auto" w:fill="F9F9F9"/>
        </w:rPr>
        <w:t> </w:t>
      </w:r>
      <w:r w:rsidRPr="00681454">
        <w:rPr>
          <w:rFonts w:cs="Times New Roman"/>
          <w:i/>
          <w:iCs/>
          <w:sz w:val="18"/>
          <w:szCs w:val="18"/>
        </w:rPr>
        <w:t>Universal Declaration of Human Rights</w:t>
      </w:r>
      <w:r w:rsidRPr="00681454">
        <w:rPr>
          <w:rFonts w:cs="Times New Roman"/>
          <w:sz w:val="18"/>
          <w:szCs w:val="18"/>
          <w:shd w:val="clear" w:color="auto" w:fill="F9F9F9"/>
        </w:rPr>
        <w:t>, 10 December 1948, 217 A (III)</w:t>
      </w:r>
      <w:r w:rsidRPr="00681454">
        <w:rPr>
          <w:rFonts w:cs="Times New Roman"/>
          <w:sz w:val="18"/>
          <w:szCs w:val="18"/>
        </w:rPr>
        <w:t xml:space="preserve"> at Article 16 (3). </w:t>
      </w:r>
    </w:p>
  </w:footnote>
  <w:footnote w:id="78">
    <w:p w14:paraId="64B5E4EE" w14:textId="2968B4CE"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United Nations Convention on the Rights of the Child adopted by General Assembly Resolution 44/25 of 20 November 1989 Article 9</w:t>
      </w:r>
      <w:r>
        <w:rPr>
          <w:sz w:val="18"/>
          <w:szCs w:val="18"/>
        </w:rPr>
        <w:t xml:space="preserve"> (hereafter, ‘UNCRC’)</w:t>
      </w:r>
      <w:r w:rsidRPr="00681454">
        <w:rPr>
          <w:sz w:val="18"/>
          <w:szCs w:val="18"/>
        </w:rPr>
        <w:t>.</w:t>
      </w:r>
    </w:p>
  </w:footnote>
  <w:footnote w:id="79">
    <w:p w14:paraId="311C69FC" w14:textId="77777777" w:rsidR="005118D3" w:rsidRPr="001102BA" w:rsidRDefault="005118D3" w:rsidP="004D3080">
      <w:pPr>
        <w:pStyle w:val="FootnoteText"/>
        <w:jc w:val="both"/>
        <w:rPr>
          <w:rFonts w:cs="Times New Roman"/>
          <w:bCs/>
          <w:color w:val="000000"/>
          <w:sz w:val="18"/>
          <w:szCs w:val="18"/>
          <w:shd w:val="clear" w:color="auto" w:fill="FFFFFF"/>
        </w:rPr>
      </w:pPr>
      <w:r w:rsidRPr="00681454">
        <w:rPr>
          <w:rStyle w:val="FootnoteReference"/>
          <w:sz w:val="18"/>
          <w:szCs w:val="18"/>
        </w:rPr>
        <w:footnoteRef/>
      </w:r>
      <w:r w:rsidRPr="00681454">
        <w:rPr>
          <w:sz w:val="18"/>
          <w:szCs w:val="18"/>
        </w:rPr>
        <w:t xml:space="preserve"> See, for example, </w:t>
      </w:r>
      <w:r w:rsidRPr="00681454">
        <w:rPr>
          <w:rFonts w:cs="Times New Roman"/>
          <w:bCs/>
          <w:iCs/>
          <w:sz w:val="18"/>
          <w:szCs w:val="18"/>
        </w:rPr>
        <w:t xml:space="preserve">the </w:t>
      </w:r>
      <w:r w:rsidRPr="00681454">
        <w:rPr>
          <w:rFonts w:cs="Times New Roman"/>
          <w:bCs/>
          <w:color w:val="000000"/>
          <w:sz w:val="18"/>
          <w:szCs w:val="18"/>
          <w:shd w:val="clear" w:color="auto" w:fill="FFFFFF"/>
        </w:rPr>
        <w:t xml:space="preserve">African [Banjul] Charter on Human and Peoples' Rights, adopted June 27, 1981, OAU Doc. </w:t>
      </w:r>
      <w:r w:rsidRPr="00546C76">
        <w:rPr>
          <w:rFonts w:cs="Times New Roman"/>
          <w:bCs/>
          <w:color w:val="000000"/>
          <w:sz w:val="18"/>
          <w:szCs w:val="18"/>
          <w:shd w:val="clear" w:color="auto" w:fill="FFFFFF"/>
        </w:rPr>
        <w:t xml:space="preserve">CAB/LEG/67/3 rev. 5, 21 ILM 58 (1982) </w:t>
      </w:r>
      <w:r w:rsidRPr="00546C76">
        <w:rPr>
          <w:rFonts w:cs="Times New Roman"/>
          <w:bCs/>
          <w:iCs/>
          <w:sz w:val="18"/>
          <w:szCs w:val="18"/>
        </w:rPr>
        <w:t xml:space="preserve">in which protection extends to the family’s </w:t>
      </w:r>
      <w:r w:rsidRPr="00546C76">
        <w:rPr>
          <w:rFonts w:cs="Times New Roman"/>
          <w:sz w:val="18"/>
          <w:szCs w:val="18"/>
        </w:rPr>
        <w:t>physical health and morals and Article 24 of the EU Charter of Fundamental Rights 18 December 2000, 2000/C 364/01.</w:t>
      </w:r>
    </w:p>
  </w:footnote>
  <w:footnote w:id="80">
    <w:p w14:paraId="2010C117" w14:textId="59860E6D" w:rsidR="005118D3" w:rsidRPr="00C960FA" w:rsidRDefault="005118D3" w:rsidP="004D3080">
      <w:pPr>
        <w:pStyle w:val="FootnoteText"/>
        <w:rPr>
          <w:lang w:val="en-GB"/>
        </w:rPr>
      </w:pPr>
      <w:r w:rsidRPr="00C960FA">
        <w:rPr>
          <w:rStyle w:val="FootnoteReference"/>
          <w:sz w:val="18"/>
          <w:szCs w:val="18"/>
        </w:rPr>
        <w:footnoteRef/>
      </w:r>
      <w:r w:rsidRPr="00C960FA">
        <w:rPr>
          <w:sz w:val="18"/>
          <w:szCs w:val="18"/>
        </w:rPr>
        <w:t xml:space="preserve"> </w:t>
      </w:r>
      <w:r w:rsidRPr="00C960FA">
        <w:rPr>
          <w:sz w:val="18"/>
          <w:szCs w:val="18"/>
          <w:lang w:val="en-GB"/>
        </w:rPr>
        <w:t xml:space="preserve">See </w:t>
      </w:r>
      <w:r>
        <w:rPr>
          <w:sz w:val="18"/>
          <w:szCs w:val="18"/>
        </w:rPr>
        <w:t>UNCRC Article 3.</w:t>
      </w:r>
    </w:p>
  </w:footnote>
  <w:footnote w:id="81">
    <w:p w14:paraId="6A489424" w14:textId="4507D0A4"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w:t>
      </w:r>
      <w:r>
        <w:rPr>
          <w:sz w:val="18"/>
          <w:szCs w:val="18"/>
        </w:rPr>
        <w:t xml:space="preserve">analysis in </w:t>
      </w:r>
      <w:r w:rsidRPr="00681454">
        <w:rPr>
          <w:rFonts w:cs="Times New Roman"/>
          <w:sz w:val="18"/>
          <w:szCs w:val="18"/>
        </w:rPr>
        <w:t xml:space="preserve">K O’Donovan, ‘”Real” mothers for abandoned children’ [2002] 36 </w:t>
      </w:r>
      <w:r w:rsidRPr="00681454">
        <w:rPr>
          <w:rFonts w:cs="Times New Roman"/>
          <w:i/>
          <w:sz w:val="18"/>
          <w:szCs w:val="18"/>
        </w:rPr>
        <w:t>Law and Society Review</w:t>
      </w:r>
      <w:r w:rsidRPr="00681454">
        <w:rPr>
          <w:rFonts w:cs="Times New Roman"/>
          <w:sz w:val="18"/>
          <w:szCs w:val="18"/>
        </w:rPr>
        <w:t xml:space="preserve"> 347; M Freeman ‘The New Birth Right?’ (1996) 1 International Journal of Children’s Rights 1; J Masson and C Harrison ‘Identity: Mapping the Frontiers’ in N Lowe and G Douglas (eds) </w:t>
      </w:r>
      <w:r w:rsidRPr="00681454">
        <w:rPr>
          <w:rFonts w:cs="Times New Roman"/>
          <w:i/>
          <w:sz w:val="18"/>
          <w:szCs w:val="18"/>
        </w:rPr>
        <w:t>Families across Frontiers</w:t>
      </w:r>
      <w:r w:rsidRPr="00681454">
        <w:rPr>
          <w:rFonts w:cs="Times New Roman"/>
          <w:sz w:val="18"/>
          <w:szCs w:val="18"/>
        </w:rPr>
        <w:t xml:space="preserve"> (Kluwer, 1996).</w:t>
      </w:r>
    </w:p>
  </w:footnote>
  <w:footnote w:id="82">
    <w:p w14:paraId="4D54D248" w14:textId="77777777"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bCs/>
          <w:sz w:val="18"/>
          <w:szCs w:val="18"/>
        </w:rPr>
        <w:t xml:space="preserve"> </w:t>
      </w:r>
      <w:r w:rsidRPr="00681454">
        <w:rPr>
          <w:sz w:val="18"/>
          <w:szCs w:val="18"/>
        </w:rPr>
        <w:t xml:space="preserve">G Stewart ‘Interpreting the Child’s Right to Identity in the UN Convention on the Rights of the Child’ 26 </w:t>
      </w:r>
      <w:r w:rsidRPr="00681454">
        <w:rPr>
          <w:i/>
          <w:sz w:val="18"/>
          <w:szCs w:val="18"/>
        </w:rPr>
        <w:t>Family Law Quarterly</w:t>
      </w:r>
      <w:r w:rsidRPr="00681454">
        <w:rPr>
          <w:sz w:val="18"/>
          <w:szCs w:val="18"/>
        </w:rPr>
        <w:t xml:space="preserve"> 221; M Freeman and A Margaria ‘Who and What is a Mother? Maternity, Responsibility and Liberty’ 13 (2012) </w:t>
      </w:r>
      <w:r w:rsidRPr="00681454">
        <w:rPr>
          <w:i/>
          <w:sz w:val="18"/>
          <w:szCs w:val="18"/>
        </w:rPr>
        <w:t>Theoretical Inquiries in Law</w:t>
      </w:r>
      <w:r w:rsidRPr="00681454">
        <w:rPr>
          <w:sz w:val="18"/>
          <w:szCs w:val="18"/>
        </w:rPr>
        <w:t xml:space="preserve"> 153; </w:t>
      </w:r>
      <w:r w:rsidRPr="00681454">
        <w:rPr>
          <w:rFonts w:cs="Times New Roman"/>
          <w:sz w:val="18"/>
          <w:szCs w:val="18"/>
        </w:rPr>
        <w:t xml:space="preserve">A Bainham ‘What is the point of birth registration?’ (2008) </w:t>
      </w:r>
      <w:r w:rsidRPr="00681454">
        <w:rPr>
          <w:rFonts w:cs="Times New Roman"/>
          <w:i/>
          <w:sz w:val="18"/>
          <w:szCs w:val="18"/>
        </w:rPr>
        <w:t>Child and Family Law Quarterly</w:t>
      </w:r>
      <w:r w:rsidRPr="00681454">
        <w:rPr>
          <w:rFonts w:cs="Times New Roman"/>
          <w:sz w:val="18"/>
          <w:szCs w:val="18"/>
        </w:rPr>
        <w:t xml:space="preserve"> 449.</w:t>
      </w:r>
    </w:p>
  </w:footnote>
  <w:footnote w:id="83">
    <w:p w14:paraId="2C2DD746" w14:textId="1563674F"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w:t>
      </w:r>
      <w:r w:rsidRPr="00681454">
        <w:rPr>
          <w:sz w:val="18"/>
          <w:szCs w:val="18"/>
        </w:rPr>
        <w:t xml:space="preserve">See the </w:t>
      </w:r>
      <w:r>
        <w:rPr>
          <w:sz w:val="18"/>
          <w:szCs w:val="18"/>
        </w:rPr>
        <w:t xml:space="preserve">EU </w:t>
      </w:r>
      <w:r w:rsidRPr="00681454">
        <w:rPr>
          <w:sz w:val="18"/>
          <w:szCs w:val="18"/>
        </w:rPr>
        <w:t xml:space="preserve">Child Abandonment Project </w:t>
      </w:r>
      <w:r>
        <w:rPr>
          <w:sz w:val="18"/>
          <w:szCs w:val="18"/>
        </w:rPr>
        <w:t>above note 72.</w:t>
      </w:r>
    </w:p>
  </w:footnote>
  <w:footnote w:id="84">
    <w:p w14:paraId="579CDF5E" w14:textId="0C6FCDD8" w:rsidR="005118D3" w:rsidRPr="001D5025"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The </w:t>
      </w:r>
      <w:r w:rsidRPr="00997D10">
        <w:rPr>
          <w:rFonts w:cs="Times New Roman"/>
          <w:sz w:val="18"/>
          <w:szCs w:val="18"/>
        </w:rPr>
        <w:t xml:space="preserve">reference is quoted from a Report on the Czech Republic by R Ramesh </w:t>
      </w:r>
      <w:r w:rsidRPr="00997D10">
        <w:rPr>
          <w:rFonts w:cs="Times New Roman"/>
          <w:i/>
          <w:sz w:val="18"/>
          <w:szCs w:val="18"/>
        </w:rPr>
        <w:t>The Guardian</w:t>
      </w:r>
      <w:r w:rsidRPr="00997D10">
        <w:rPr>
          <w:rFonts w:cs="Times New Roman"/>
          <w:sz w:val="18"/>
          <w:szCs w:val="18"/>
        </w:rPr>
        <w:t xml:space="preserve">, 10 June 2012, </w:t>
      </w:r>
      <w:r>
        <w:rPr>
          <w:rFonts w:cs="Times New Roman"/>
          <w:sz w:val="18"/>
          <w:szCs w:val="18"/>
        </w:rPr>
        <w:t>above note 70</w:t>
      </w:r>
      <w:r w:rsidRPr="001D5025">
        <w:rPr>
          <w:rFonts w:cs="Times New Roman"/>
          <w:sz w:val="18"/>
          <w:szCs w:val="18"/>
        </w:rPr>
        <w:t>.</w:t>
      </w:r>
    </w:p>
  </w:footnote>
  <w:footnote w:id="85">
    <w:p w14:paraId="5E7788E6" w14:textId="1E769256" w:rsidR="005118D3" w:rsidRPr="00C960FA" w:rsidRDefault="005118D3" w:rsidP="004D3080">
      <w:pPr>
        <w:pStyle w:val="NormalWeb"/>
        <w:spacing w:before="0" w:beforeAutospacing="0" w:after="0" w:afterAutospacing="0"/>
        <w:jc w:val="both"/>
        <w:rPr>
          <w:sz w:val="18"/>
          <w:szCs w:val="18"/>
        </w:rPr>
      </w:pPr>
      <w:r w:rsidRPr="00C960FA">
        <w:rPr>
          <w:rStyle w:val="FootnoteReference"/>
          <w:rFonts w:asciiTheme="minorHAnsi" w:hAnsiTheme="minorHAnsi"/>
          <w:sz w:val="18"/>
          <w:szCs w:val="18"/>
        </w:rPr>
        <w:footnoteRef/>
      </w:r>
      <w:r w:rsidRPr="00C960FA">
        <w:rPr>
          <w:rFonts w:asciiTheme="minorHAnsi" w:hAnsiTheme="minorHAnsi"/>
          <w:sz w:val="18"/>
          <w:szCs w:val="18"/>
        </w:rPr>
        <w:t xml:space="preserve"> </w:t>
      </w:r>
      <w:r w:rsidRPr="00C960FA">
        <w:rPr>
          <w:rFonts w:asciiTheme="minorHAnsi" w:hAnsiTheme="minorHAnsi"/>
          <w:bCs/>
          <w:sz w:val="18"/>
          <w:szCs w:val="18"/>
        </w:rPr>
        <w:t>Concluding observations on the second periodic report of the Holy See</w:t>
      </w:r>
      <w:r w:rsidRPr="00C960FA">
        <w:rPr>
          <w:rFonts w:asciiTheme="minorHAnsi" w:hAnsiTheme="minorHAnsi"/>
          <w:sz w:val="18"/>
          <w:szCs w:val="18"/>
        </w:rPr>
        <w:t xml:space="preserve"> CRC/C/V AT/CO/2 25 FEB 2014 at [35-36]. </w:t>
      </w:r>
    </w:p>
  </w:footnote>
  <w:footnote w:id="86">
    <w:p w14:paraId="3831FE74" w14:textId="19E0C373" w:rsidR="005118D3" w:rsidRPr="00204C23" w:rsidRDefault="005118D3" w:rsidP="004D3080">
      <w:pPr>
        <w:pStyle w:val="FootnoteText"/>
        <w:jc w:val="both"/>
        <w:rPr>
          <w:sz w:val="18"/>
          <w:szCs w:val="18"/>
        </w:rPr>
      </w:pPr>
      <w:r w:rsidRPr="00546C76">
        <w:rPr>
          <w:rStyle w:val="FootnoteReference"/>
          <w:sz w:val="18"/>
          <w:szCs w:val="18"/>
        </w:rPr>
        <w:footnoteRef/>
      </w:r>
      <w:r w:rsidRPr="00546C76">
        <w:rPr>
          <w:sz w:val="18"/>
          <w:szCs w:val="18"/>
        </w:rPr>
        <w:t xml:space="preserve"> See a position in agreement with that expressed by the </w:t>
      </w:r>
      <w:r>
        <w:rPr>
          <w:sz w:val="18"/>
          <w:szCs w:val="18"/>
        </w:rPr>
        <w:t xml:space="preserve">CRC </w:t>
      </w:r>
      <w:r w:rsidRPr="00546C76">
        <w:rPr>
          <w:sz w:val="18"/>
          <w:szCs w:val="18"/>
        </w:rPr>
        <w:t>Committee in C Fenton-Glynn ‘Anonymous Relinquishment and Baby-Boxes: L</w:t>
      </w:r>
      <w:r w:rsidRPr="001102BA">
        <w:rPr>
          <w:sz w:val="18"/>
          <w:szCs w:val="18"/>
        </w:rPr>
        <w:t>ife-Saving Mechanisms or a Violation of Human Rights?’ in K Boele-Woekli et al (eds)</w:t>
      </w:r>
      <w:r w:rsidRPr="001D5025">
        <w:rPr>
          <w:sz w:val="18"/>
          <w:szCs w:val="18"/>
        </w:rPr>
        <w:t xml:space="preserve"> </w:t>
      </w:r>
      <w:r w:rsidRPr="001D5025">
        <w:rPr>
          <w:i/>
          <w:sz w:val="18"/>
          <w:szCs w:val="18"/>
        </w:rPr>
        <w:t>Family Law and Culture in</w:t>
      </w:r>
      <w:r w:rsidRPr="001D5025">
        <w:rPr>
          <w:sz w:val="18"/>
          <w:szCs w:val="18"/>
        </w:rPr>
        <w:t xml:space="preserve"> </w:t>
      </w:r>
      <w:r w:rsidRPr="001D5025">
        <w:rPr>
          <w:i/>
          <w:sz w:val="18"/>
          <w:szCs w:val="18"/>
        </w:rPr>
        <w:t xml:space="preserve">Europe </w:t>
      </w:r>
      <w:r w:rsidRPr="001D5025">
        <w:rPr>
          <w:sz w:val="18"/>
          <w:szCs w:val="18"/>
        </w:rPr>
        <w:t xml:space="preserve">(Intersentia 2014). Fenton-Glynn does not refer to </w:t>
      </w:r>
      <w:r>
        <w:rPr>
          <w:sz w:val="18"/>
          <w:szCs w:val="18"/>
        </w:rPr>
        <w:t xml:space="preserve">the arguments in </w:t>
      </w:r>
      <w:r w:rsidRPr="001D5025">
        <w:rPr>
          <w:rFonts w:cs="Times New Roman"/>
          <w:sz w:val="18"/>
          <w:szCs w:val="18"/>
        </w:rPr>
        <w:t xml:space="preserve">K O’Donovan and J Marshall “After Birth: </w:t>
      </w:r>
      <w:r w:rsidRPr="00741FF0">
        <w:rPr>
          <w:rFonts w:cs="Times New Roman"/>
          <w:sz w:val="18"/>
          <w:szCs w:val="18"/>
        </w:rPr>
        <w:t>decisions about bec</w:t>
      </w:r>
      <w:r w:rsidRPr="000A41FD">
        <w:rPr>
          <w:rFonts w:cs="Times New Roman"/>
          <w:sz w:val="18"/>
          <w:szCs w:val="18"/>
        </w:rPr>
        <w:t xml:space="preserve">oming a mother” in A Diduck and K O’Donovan (eds) </w:t>
      </w:r>
      <w:r w:rsidRPr="000A41FD">
        <w:rPr>
          <w:rFonts w:cs="Times New Roman"/>
          <w:i/>
          <w:iCs/>
          <w:sz w:val="18"/>
          <w:szCs w:val="18"/>
        </w:rPr>
        <w:t>Feminist Perspectives on Family Law</w:t>
      </w:r>
      <w:r w:rsidRPr="00FF012C">
        <w:rPr>
          <w:rFonts w:cs="Times New Roman"/>
          <w:sz w:val="18"/>
          <w:szCs w:val="18"/>
        </w:rPr>
        <w:t xml:space="preserve"> (London: Cavendish 2006), </w:t>
      </w:r>
      <w:r w:rsidRPr="00F35101">
        <w:rPr>
          <w:rFonts w:cs="Times New Roman"/>
          <w:sz w:val="18"/>
          <w:szCs w:val="18"/>
        </w:rPr>
        <w:t xml:space="preserve">or to my subsequent articles on this topic. </w:t>
      </w:r>
    </w:p>
  </w:footnote>
  <w:footnote w:id="87">
    <w:p w14:paraId="15A6E702" w14:textId="5EB6CA26" w:rsidR="005118D3" w:rsidRPr="00C960FA" w:rsidRDefault="005118D3" w:rsidP="004D3080">
      <w:pPr>
        <w:pStyle w:val="FootnoteText"/>
        <w:rPr>
          <w:sz w:val="18"/>
          <w:szCs w:val="18"/>
          <w:lang w:val="en-GB"/>
        </w:rPr>
      </w:pPr>
      <w:r w:rsidRPr="00C960FA">
        <w:rPr>
          <w:rStyle w:val="FootnoteReference"/>
          <w:sz w:val="18"/>
          <w:szCs w:val="18"/>
        </w:rPr>
        <w:footnoteRef/>
      </w:r>
      <w:r w:rsidRPr="00C960FA">
        <w:rPr>
          <w:sz w:val="18"/>
          <w:szCs w:val="18"/>
        </w:rPr>
        <w:t xml:space="preserve"> See </w:t>
      </w:r>
      <w:r w:rsidRPr="000D48B9">
        <w:rPr>
          <w:sz w:val="18"/>
          <w:szCs w:val="18"/>
        </w:rPr>
        <w:t>a</w:t>
      </w:r>
      <w:r w:rsidRPr="0043460C">
        <w:rPr>
          <w:sz w:val="18"/>
          <w:szCs w:val="18"/>
          <w:lang w:val="en-GB"/>
        </w:rPr>
        <w:t xml:space="preserve">bove </w:t>
      </w:r>
      <w:r w:rsidRPr="008A363D">
        <w:rPr>
          <w:sz w:val="18"/>
          <w:szCs w:val="18"/>
          <w:lang w:val="en-GB"/>
        </w:rPr>
        <w:t>note 8</w:t>
      </w:r>
      <w:r>
        <w:rPr>
          <w:sz w:val="18"/>
          <w:szCs w:val="18"/>
          <w:lang w:val="en-GB"/>
        </w:rPr>
        <w:t>4</w:t>
      </w:r>
      <w:r w:rsidRPr="00741FF0">
        <w:rPr>
          <w:sz w:val="18"/>
          <w:szCs w:val="18"/>
          <w:lang w:val="en-GB"/>
        </w:rPr>
        <w:t>.</w:t>
      </w:r>
    </w:p>
  </w:footnote>
  <w:footnote w:id="88">
    <w:p w14:paraId="1565CB4D" w14:textId="25760210" w:rsidR="005118D3" w:rsidRPr="00681454" w:rsidRDefault="005118D3" w:rsidP="004D3080">
      <w:pPr>
        <w:pStyle w:val="NoSpacing"/>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See K O’Donovan, ‘”Real” mothers for abandoned children’ [2002] 36 </w:t>
      </w:r>
      <w:r w:rsidRPr="00681454">
        <w:rPr>
          <w:rFonts w:cs="Times New Roman"/>
          <w:i/>
          <w:sz w:val="18"/>
          <w:szCs w:val="18"/>
        </w:rPr>
        <w:t>Law and Society Review</w:t>
      </w:r>
      <w:r w:rsidRPr="00681454">
        <w:rPr>
          <w:rFonts w:cs="Times New Roman"/>
          <w:sz w:val="18"/>
          <w:szCs w:val="18"/>
        </w:rPr>
        <w:t xml:space="preserve"> 347. </w:t>
      </w:r>
    </w:p>
  </w:footnote>
  <w:footnote w:id="89">
    <w:p w14:paraId="7D3507FC" w14:textId="503CACFF"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G Van Bueren </w:t>
      </w:r>
      <w:r w:rsidRPr="00681454">
        <w:rPr>
          <w:i/>
          <w:sz w:val="18"/>
          <w:szCs w:val="18"/>
        </w:rPr>
        <w:t>The International Law on the Rights of the Child</w:t>
      </w:r>
      <w:r w:rsidRPr="00681454">
        <w:rPr>
          <w:sz w:val="18"/>
          <w:szCs w:val="18"/>
        </w:rPr>
        <w:t xml:space="preserve"> (Nijhoff,</w:t>
      </w:r>
      <w:r>
        <w:rPr>
          <w:sz w:val="18"/>
          <w:szCs w:val="18"/>
        </w:rPr>
        <w:t xml:space="preserve"> </w:t>
      </w:r>
      <w:r w:rsidRPr="00681454">
        <w:rPr>
          <w:sz w:val="18"/>
          <w:szCs w:val="18"/>
        </w:rPr>
        <w:t>1995) chapter 4.</w:t>
      </w:r>
    </w:p>
  </w:footnote>
  <w:footnote w:id="90">
    <w:p w14:paraId="4D80FD50" w14:textId="3B39F156" w:rsidR="005118D3" w:rsidRPr="00681454" w:rsidRDefault="005118D3" w:rsidP="004D3080">
      <w:pPr>
        <w:pStyle w:val="BodyText"/>
        <w:rPr>
          <w:rFonts w:asciiTheme="minorHAnsi" w:hAnsiTheme="minorHAnsi"/>
          <w:sz w:val="18"/>
          <w:szCs w:val="18"/>
        </w:rPr>
      </w:pPr>
      <w:r w:rsidRPr="00681454">
        <w:rPr>
          <w:rStyle w:val="FootnoteReference"/>
          <w:rFonts w:asciiTheme="minorHAnsi" w:hAnsiTheme="minorHAnsi"/>
          <w:sz w:val="18"/>
          <w:szCs w:val="18"/>
        </w:rPr>
        <w:footnoteRef/>
      </w:r>
      <w:r w:rsidRPr="00681454">
        <w:rPr>
          <w:rFonts w:asciiTheme="minorHAnsi" w:hAnsiTheme="minorHAnsi"/>
          <w:sz w:val="18"/>
          <w:szCs w:val="18"/>
        </w:rPr>
        <w:t xml:space="preserve"> See J Marshall </w:t>
      </w:r>
      <w:r w:rsidRPr="00681454">
        <w:rPr>
          <w:rFonts w:asciiTheme="minorHAnsi" w:hAnsiTheme="minorHAnsi"/>
          <w:i/>
          <w:iCs/>
          <w:sz w:val="18"/>
          <w:szCs w:val="18"/>
        </w:rPr>
        <w:t xml:space="preserve">Personal Freedom Through Human Rights Law?: Autonomy, Identity and Integrity under the European Convention on Human Rights </w:t>
      </w:r>
      <w:r w:rsidRPr="00681454">
        <w:rPr>
          <w:rFonts w:asciiTheme="minorHAnsi" w:hAnsiTheme="minorHAnsi"/>
          <w:iCs/>
          <w:sz w:val="18"/>
          <w:szCs w:val="18"/>
        </w:rPr>
        <w:t xml:space="preserve">(Martinus Nijhoff, 2009) especially chapters 6 and 8 and </w:t>
      </w:r>
      <w:r w:rsidRPr="00681454">
        <w:rPr>
          <w:rFonts w:asciiTheme="minorHAnsi" w:hAnsiTheme="minorHAnsi"/>
          <w:sz w:val="18"/>
          <w:szCs w:val="18"/>
        </w:rPr>
        <w:t xml:space="preserve">‘A Right to Personal Autonomy at the European Court of Human Rights’ (2008) 3 </w:t>
      </w:r>
      <w:r w:rsidRPr="00681454">
        <w:rPr>
          <w:rFonts w:asciiTheme="minorHAnsi" w:hAnsiTheme="minorHAnsi"/>
          <w:i/>
          <w:sz w:val="18"/>
          <w:szCs w:val="18"/>
        </w:rPr>
        <w:t xml:space="preserve">European Human Rights Law Review </w:t>
      </w:r>
      <w:r w:rsidRPr="00681454">
        <w:rPr>
          <w:rFonts w:asciiTheme="minorHAnsi" w:hAnsiTheme="minorHAnsi"/>
          <w:sz w:val="18"/>
          <w:szCs w:val="18"/>
        </w:rPr>
        <w:t>336.</w:t>
      </w:r>
    </w:p>
  </w:footnote>
  <w:footnote w:id="91">
    <w:p w14:paraId="708B1917" w14:textId="47350C09" w:rsidR="005118D3" w:rsidRPr="00681454" w:rsidRDefault="005118D3" w:rsidP="004D3080">
      <w:pPr>
        <w:pStyle w:val="footnotedescription"/>
        <w:spacing w:line="240" w:lineRule="auto"/>
        <w:ind w:left="0"/>
        <w:jc w:val="both"/>
        <w:rPr>
          <w:rFonts w:asciiTheme="minorHAnsi" w:hAnsiTheme="minorHAnsi"/>
          <w:sz w:val="18"/>
          <w:szCs w:val="18"/>
        </w:rPr>
      </w:pPr>
      <w:r w:rsidRPr="00681454">
        <w:rPr>
          <w:rStyle w:val="footnotemark"/>
          <w:rFonts w:asciiTheme="minorHAnsi" w:hAnsiTheme="minorHAnsi"/>
          <w:sz w:val="18"/>
          <w:szCs w:val="18"/>
        </w:rPr>
        <w:footnoteRef/>
      </w:r>
      <w:r w:rsidRPr="00681454">
        <w:rPr>
          <w:rFonts w:asciiTheme="minorHAnsi" w:hAnsiTheme="minorHAnsi"/>
          <w:sz w:val="18"/>
          <w:szCs w:val="18"/>
        </w:rPr>
        <w:t xml:space="preserve"> As in </w:t>
      </w:r>
      <w:r w:rsidRPr="00681454">
        <w:rPr>
          <w:rFonts w:asciiTheme="minorHAnsi" w:hAnsiTheme="minorHAnsi"/>
          <w:i/>
          <w:sz w:val="18"/>
          <w:szCs w:val="18"/>
        </w:rPr>
        <w:t>Gaskin v UK</w:t>
      </w:r>
      <w:r w:rsidRPr="00681454">
        <w:rPr>
          <w:rFonts w:asciiTheme="minorHAnsi" w:hAnsiTheme="minorHAnsi"/>
          <w:sz w:val="18"/>
          <w:szCs w:val="18"/>
        </w:rPr>
        <w:t xml:space="preserve"> 12 E.H.R.R. 36; </w:t>
      </w:r>
      <w:r w:rsidRPr="00681454">
        <w:rPr>
          <w:rFonts w:asciiTheme="minorHAnsi" w:hAnsiTheme="minorHAnsi"/>
          <w:i/>
          <w:sz w:val="18"/>
          <w:szCs w:val="18"/>
        </w:rPr>
        <w:t>M.G. v UK</w:t>
      </w:r>
      <w:r w:rsidRPr="00681454">
        <w:rPr>
          <w:rFonts w:asciiTheme="minorHAnsi" w:hAnsiTheme="minorHAnsi"/>
          <w:sz w:val="18"/>
          <w:szCs w:val="18"/>
        </w:rPr>
        <w:t xml:space="preserve"> (Application no. 39393/98), Judgment 24 September 2002.; see also </w:t>
      </w:r>
      <w:r w:rsidRPr="00681454">
        <w:rPr>
          <w:rFonts w:asciiTheme="minorHAnsi" w:hAnsiTheme="minorHAnsi"/>
          <w:i/>
          <w:sz w:val="18"/>
          <w:szCs w:val="18"/>
        </w:rPr>
        <w:t xml:space="preserve"> Mikulic v Croatia</w:t>
      </w:r>
      <w:r w:rsidRPr="00681454">
        <w:rPr>
          <w:rFonts w:asciiTheme="minorHAnsi" w:hAnsiTheme="minorHAnsi"/>
          <w:sz w:val="18"/>
          <w:szCs w:val="18"/>
        </w:rPr>
        <w:t xml:space="preserve"> (Application No. 53176/99), Judgment 7 February 2002.</w:t>
      </w:r>
    </w:p>
  </w:footnote>
  <w:footnote w:id="92">
    <w:p w14:paraId="608BEBB6" w14:textId="69712CF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Dudgeon v the UK (1982) 4 EHRR 149; Norris v Ireland [1988] ECHR 22; </w:t>
      </w:r>
      <w:r w:rsidRPr="00681454">
        <w:rPr>
          <w:i/>
          <w:sz w:val="18"/>
          <w:szCs w:val="18"/>
        </w:rPr>
        <w:t>Goodwin and I v the UK</w:t>
      </w:r>
      <w:r w:rsidRPr="00681454">
        <w:rPr>
          <w:sz w:val="18"/>
          <w:szCs w:val="18"/>
        </w:rPr>
        <w:t xml:space="preserve"> (2002) 35 EHRR 18</w:t>
      </w:r>
    </w:p>
  </w:footnote>
  <w:footnote w:id="93">
    <w:p w14:paraId="28C798E5"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lang w:val="en"/>
        </w:rPr>
        <w:t>Odi</w:t>
      </w:r>
      <w:r w:rsidRPr="00681454">
        <w:rPr>
          <w:i/>
          <w:sz w:val="18"/>
          <w:szCs w:val="18"/>
          <w:lang w:val="fr-FR"/>
        </w:rPr>
        <w:t>è</w:t>
      </w:r>
      <w:r w:rsidRPr="00681454">
        <w:rPr>
          <w:i/>
          <w:sz w:val="18"/>
          <w:szCs w:val="18"/>
          <w:lang w:val="en"/>
        </w:rPr>
        <w:t>vre v France</w:t>
      </w:r>
      <w:r w:rsidRPr="00681454">
        <w:rPr>
          <w:sz w:val="18"/>
          <w:szCs w:val="18"/>
        </w:rPr>
        <w:t xml:space="preserve"> (Application no. 42326/98) Judgment 13 February 2003.</w:t>
      </w:r>
    </w:p>
  </w:footnote>
  <w:footnote w:id="94">
    <w:p w14:paraId="0C413F71" w14:textId="38EC3BB2" w:rsidR="005118D3" w:rsidRPr="00681454" w:rsidRDefault="005118D3" w:rsidP="004D3080">
      <w:pPr>
        <w:pStyle w:val="Default"/>
        <w:jc w:val="both"/>
        <w:rPr>
          <w:rFonts w:asciiTheme="minorHAnsi" w:hAnsiTheme="minorHAnsi"/>
          <w:sz w:val="18"/>
          <w:szCs w:val="18"/>
        </w:rPr>
      </w:pPr>
      <w:r w:rsidRPr="00681454">
        <w:rPr>
          <w:rStyle w:val="FootnoteReference"/>
          <w:rFonts w:asciiTheme="minorHAnsi" w:hAnsiTheme="minorHAnsi"/>
          <w:sz w:val="18"/>
          <w:szCs w:val="18"/>
        </w:rPr>
        <w:footnoteRef/>
      </w:r>
      <w:r w:rsidRPr="00681454">
        <w:rPr>
          <w:rFonts w:asciiTheme="minorHAnsi" w:hAnsiTheme="minorHAnsi"/>
          <w:sz w:val="18"/>
          <w:szCs w:val="18"/>
        </w:rPr>
        <w:t xml:space="preserve"> Ibid</w:t>
      </w:r>
      <w:r w:rsidRPr="00681454">
        <w:rPr>
          <w:rFonts w:asciiTheme="minorHAnsi" w:hAnsiTheme="minorHAnsi"/>
          <w:i/>
          <w:sz w:val="18"/>
          <w:szCs w:val="18"/>
        </w:rPr>
        <w:t xml:space="preserve"> </w:t>
      </w:r>
      <w:r w:rsidRPr="00681454">
        <w:rPr>
          <w:rFonts w:asciiTheme="minorHAnsi" w:hAnsiTheme="minorHAnsi"/>
          <w:sz w:val="18"/>
          <w:szCs w:val="18"/>
        </w:rPr>
        <w:t xml:space="preserve">and </w:t>
      </w:r>
      <w:r w:rsidRPr="00681454">
        <w:rPr>
          <w:rFonts w:asciiTheme="minorHAnsi" w:hAnsiTheme="minorHAnsi"/>
          <w:i/>
          <w:sz w:val="18"/>
          <w:szCs w:val="18"/>
        </w:rPr>
        <w:t xml:space="preserve">Godelli v </w:t>
      </w:r>
      <w:r w:rsidRPr="0043460C">
        <w:rPr>
          <w:rFonts w:asciiTheme="minorHAnsi" w:hAnsiTheme="minorHAnsi"/>
          <w:i/>
          <w:sz w:val="18"/>
          <w:szCs w:val="18"/>
        </w:rPr>
        <w:t>Italy</w:t>
      </w:r>
      <w:r w:rsidRPr="008A363D">
        <w:rPr>
          <w:rFonts w:asciiTheme="minorHAnsi" w:hAnsiTheme="minorHAnsi"/>
          <w:sz w:val="18"/>
          <w:szCs w:val="18"/>
        </w:rPr>
        <w:t xml:space="preserve"> above note </w:t>
      </w:r>
      <w:r>
        <w:rPr>
          <w:rFonts w:asciiTheme="minorHAnsi" w:hAnsiTheme="minorHAnsi"/>
          <w:sz w:val="18"/>
          <w:szCs w:val="18"/>
        </w:rPr>
        <w:t>58</w:t>
      </w:r>
      <w:r w:rsidRPr="0043460C">
        <w:rPr>
          <w:rFonts w:asciiTheme="minorHAnsi" w:hAnsiTheme="minorHAnsi"/>
          <w:bCs/>
          <w:sz w:val="18"/>
          <w:szCs w:val="18"/>
        </w:rPr>
        <w:t>.</w:t>
      </w:r>
      <w:r w:rsidRPr="00681454">
        <w:rPr>
          <w:rFonts w:asciiTheme="minorHAnsi" w:hAnsiTheme="minorHAnsi"/>
          <w:bCs/>
          <w:sz w:val="18"/>
          <w:szCs w:val="18"/>
        </w:rPr>
        <w:t xml:space="preserve"> </w:t>
      </w:r>
    </w:p>
  </w:footnote>
  <w:footnote w:id="95">
    <w:p w14:paraId="3E2B9902"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w:t>
      </w:r>
      <w:r w:rsidRPr="00681454">
        <w:rPr>
          <w:rFonts w:cs="Times New Roman"/>
          <w:sz w:val="18"/>
          <w:szCs w:val="18"/>
        </w:rPr>
        <w:t xml:space="preserve">J Marshall ‘Giving Birth but refusing motherhood: inauthentic choice or self-determining identity?’ (2008) 4 </w:t>
      </w:r>
      <w:r w:rsidRPr="00681454">
        <w:rPr>
          <w:rFonts w:cs="Times New Roman"/>
          <w:i/>
          <w:sz w:val="18"/>
          <w:szCs w:val="18"/>
        </w:rPr>
        <w:t>International Journal of Law in Context</w:t>
      </w:r>
      <w:r w:rsidRPr="00681454">
        <w:rPr>
          <w:rFonts w:cs="Times New Roman"/>
          <w:sz w:val="18"/>
          <w:szCs w:val="18"/>
        </w:rPr>
        <w:t xml:space="preserve"> 169.</w:t>
      </w:r>
    </w:p>
  </w:footnote>
  <w:footnote w:id="96">
    <w:p w14:paraId="09D19A72" w14:textId="70424B4A" w:rsidR="005118D3" w:rsidRPr="00681454" w:rsidRDefault="005118D3" w:rsidP="004D3080">
      <w:pPr>
        <w:pStyle w:val="footnotedescription"/>
        <w:spacing w:line="240" w:lineRule="auto"/>
        <w:ind w:left="198" w:hanging="198"/>
        <w:jc w:val="both"/>
        <w:rPr>
          <w:rFonts w:asciiTheme="minorHAnsi" w:hAnsiTheme="minorHAnsi"/>
          <w:sz w:val="18"/>
          <w:szCs w:val="18"/>
        </w:rPr>
      </w:pPr>
      <w:r w:rsidRPr="00681454">
        <w:rPr>
          <w:rStyle w:val="footnotemark"/>
          <w:rFonts w:asciiTheme="minorHAnsi" w:hAnsiTheme="minorHAnsi"/>
          <w:sz w:val="18"/>
          <w:szCs w:val="18"/>
        </w:rPr>
        <w:footnoteRef/>
      </w:r>
      <w:r w:rsidRPr="00681454">
        <w:rPr>
          <w:rFonts w:asciiTheme="minorHAnsi" w:hAnsiTheme="minorHAnsi"/>
          <w:sz w:val="18"/>
          <w:szCs w:val="18"/>
        </w:rPr>
        <w:t xml:space="preserve"> </w:t>
      </w:r>
      <w:r w:rsidRPr="00681454">
        <w:rPr>
          <w:rFonts w:asciiTheme="minorHAnsi" w:hAnsiTheme="minorHAnsi"/>
          <w:i/>
          <w:sz w:val="18"/>
          <w:szCs w:val="18"/>
          <w:lang w:val="en"/>
        </w:rPr>
        <w:t>Odi</w:t>
      </w:r>
      <w:r w:rsidRPr="00681454">
        <w:rPr>
          <w:rFonts w:asciiTheme="minorHAnsi" w:hAnsiTheme="minorHAnsi"/>
          <w:i/>
          <w:sz w:val="18"/>
          <w:szCs w:val="18"/>
          <w:lang w:val="fr-FR"/>
        </w:rPr>
        <w:t>è</w:t>
      </w:r>
      <w:r w:rsidRPr="00681454">
        <w:rPr>
          <w:rFonts w:asciiTheme="minorHAnsi" w:hAnsiTheme="minorHAnsi"/>
          <w:i/>
          <w:sz w:val="18"/>
          <w:szCs w:val="18"/>
          <w:lang w:val="en"/>
        </w:rPr>
        <w:t>vre v France</w:t>
      </w:r>
      <w:r w:rsidRPr="00681454">
        <w:rPr>
          <w:rFonts w:asciiTheme="minorHAnsi" w:hAnsiTheme="minorHAnsi"/>
          <w:sz w:val="18"/>
          <w:szCs w:val="18"/>
        </w:rPr>
        <w:t xml:space="preserve"> (Application no. 42326/98) Judgment 13 February 2003, Joint Dissenting Opinion of Judges Wildhaber, Bratza, Bonello, Loucaides, Cabral Barreto, Tulkens and Pellonpaa</w:t>
      </w:r>
      <w:r>
        <w:rPr>
          <w:rFonts w:asciiTheme="minorHAnsi" w:hAnsiTheme="minorHAnsi"/>
          <w:sz w:val="18"/>
          <w:szCs w:val="18"/>
        </w:rPr>
        <w:t xml:space="preserve"> </w:t>
      </w:r>
      <w:r w:rsidRPr="00681454">
        <w:rPr>
          <w:rFonts w:asciiTheme="minorHAnsi" w:hAnsiTheme="minorHAnsi"/>
          <w:sz w:val="18"/>
          <w:szCs w:val="18"/>
        </w:rPr>
        <w:t>at [</w:t>
      </w:r>
      <w:r>
        <w:rPr>
          <w:rFonts w:asciiTheme="minorHAnsi" w:hAnsiTheme="minorHAnsi"/>
          <w:sz w:val="18"/>
          <w:szCs w:val="18"/>
        </w:rPr>
        <w:t>3]</w:t>
      </w:r>
      <w:r w:rsidRPr="00681454">
        <w:rPr>
          <w:rFonts w:asciiTheme="minorHAnsi" w:hAnsiTheme="minorHAnsi"/>
          <w:sz w:val="18"/>
          <w:szCs w:val="18"/>
        </w:rPr>
        <w:t>.</w:t>
      </w:r>
    </w:p>
  </w:footnote>
  <w:footnote w:id="97">
    <w:p w14:paraId="491EC3F5" w14:textId="7CA9AB78" w:rsidR="005118D3" w:rsidRPr="00681454" w:rsidRDefault="005118D3" w:rsidP="004D3080">
      <w:pPr>
        <w:pStyle w:val="footnotedescription"/>
        <w:spacing w:line="240" w:lineRule="auto"/>
        <w:ind w:left="0"/>
        <w:jc w:val="both"/>
        <w:rPr>
          <w:rFonts w:asciiTheme="minorHAnsi" w:hAnsiTheme="minorHAnsi"/>
          <w:sz w:val="18"/>
          <w:szCs w:val="18"/>
        </w:rPr>
      </w:pPr>
      <w:r w:rsidRPr="00681454">
        <w:rPr>
          <w:rStyle w:val="footnotemark"/>
          <w:rFonts w:asciiTheme="minorHAnsi" w:hAnsiTheme="minorHAnsi"/>
          <w:sz w:val="18"/>
          <w:szCs w:val="18"/>
        </w:rPr>
        <w:footnoteRef/>
      </w:r>
      <w:r w:rsidRPr="00681454">
        <w:rPr>
          <w:rFonts w:asciiTheme="minorHAnsi" w:hAnsiTheme="minorHAnsi"/>
          <w:sz w:val="18"/>
          <w:szCs w:val="18"/>
        </w:rPr>
        <w:t xml:space="preserve"> </w:t>
      </w:r>
      <w:r>
        <w:rPr>
          <w:rFonts w:asciiTheme="minorHAnsi" w:hAnsiTheme="minorHAnsi"/>
          <w:sz w:val="18"/>
          <w:szCs w:val="18"/>
        </w:rPr>
        <w:t>For all of the quotations see i</w:t>
      </w:r>
      <w:r w:rsidRPr="00681454">
        <w:rPr>
          <w:rFonts w:asciiTheme="minorHAnsi" w:hAnsiTheme="minorHAnsi"/>
          <w:sz w:val="18"/>
          <w:szCs w:val="18"/>
        </w:rPr>
        <w:t>bid at [</w:t>
      </w:r>
      <w:r>
        <w:rPr>
          <w:rFonts w:asciiTheme="minorHAnsi" w:hAnsiTheme="minorHAnsi"/>
          <w:sz w:val="18"/>
          <w:szCs w:val="18"/>
        </w:rPr>
        <w:t>7</w:t>
      </w:r>
      <w:r w:rsidRPr="00681454">
        <w:rPr>
          <w:rFonts w:asciiTheme="minorHAnsi" w:hAnsiTheme="minorHAnsi"/>
          <w:sz w:val="18"/>
          <w:szCs w:val="18"/>
        </w:rPr>
        <w:t>].</w:t>
      </w:r>
    </w:p>
  </w:footnote>
  <w:footnote w:id="98">
    <w:p w14:paraId="7253AAA8" w14:textId="77777777" w:rsidR="005118D3" w:rsidRPr="00681454" w:rsidRDefault="005118D3" w:rsidP="004D3080">
      <w:pPr>
        <w:pStyle w:val="footnotedescription"/>
        <w:spacing w:line="240" w:lineRule="auto"/>
        <w:ind w:left="0"/>
        <w:jc w:val="both"/>
        <w:rPr>
          <w:rFonts w:asciiTheme="minorHAnsi" w:hAnsiTheme="minorHAnsi"/>
          <w:sz w:val="18"/>
          <w:szCs w:val="18"/>
        </w:rPr>
      </w:pPr>
      <w:r w:rsidRPr="00681454">
        <w:rPr>
          <w:rStyle w:val="footnotemark"/>
          <w:rFonts w:asciiTheme="minorHAnsi" w:hAnsiTheme="minorHAnsi"/>
          <w:sz w:val="18"/>
          <w:szCs w:val="18"/>
        </w:rPr>
        <w:footnoteRef/>
      </w:r>
      <w:r w:rsidRPr="00681454">
        <w:rPr>
          <w:rFonts w:asciiTheme="minorHAnsi" w:hAnsiTheme="minorHAnsi"/>
          <w:sz w:val="18"/>
          <w:szCs w:val="18"/>
        </w:rPr>
        <w:t xml:space="preserve"> </w:t>
      </w:r>
      <w:r w:rsidRPr="00681454">
        <w:rPr>
          <w:rFonts w:asciiTheme="minorHAnsi" w:hAnsiTheme="minorHAnsi"/>
          <w:i/>
          <w:sz w:val="18"/>
          <w:szCs w:val="18"/>
        </w:rPr>
        <w:t>Jaggi v Switzerland</w:t>
      </w:r>
      <w:r w:rsidRPr="00681454">
        <w:rPr>
          <w:rFonts w:asciiTheme="minorHAnsi" w:hAnsiTheme="minorHAnsi"/>
          <w:sz w:val="18"/>
          <w:szCs w:val="18"/>
        </w:rPr>
        <w:t xml:space="preserve"> Application No, 58757/00, (2008) 47 EHRR 30.</w:t>
      </w:r>
    </w:p>
  </w:footnote>
  <w:footnote w:id="99">
    <w:p w14:paraId="0EC6EA97" w14:textId="77777777" w:rsidR="005118D3" w:rsidRPr="00681454" w:rsidRDefault="005118D3" w:rsidP="004D3080">
      <w:pPr>
        <w:pStyle w:val="footnotedescription"/>
        <w:spacing w:line="240" w:lineRule="auto"/>
        <w:ind w:left="0"/>
        <w:jc w:val="both"/>
        <w:rPr>
          <w:rFonts w:asciiTheme="minorHAnsi" w:hAnsiTheme="minorHAnsi"/>
          <w:sz w:val="18"/>
          <w:szCs w:val="18"/>
        </w:rPr>
      </w:pPr>
      <w:r w:rsidRPr="00681454">
        <w:rPr>
          <w:rStyle w:val="footnotemark"/>
          <w:rFonts w:asciiTheme="minorHAnsi" w:hAnsiTheme="minorHAnsi"/>
          <w:sz w:val="18"/>
          <w:szCs w:val="18"/>
        </w:rPr>
        <w:footnoteRef/>
      </w:r>
      <w:r w:rsidRPr="00681454">
        <w:rPr>
          <w:rFonts w:asciiTheme="minorHAnsi" w:hAnsiTheme="minorHAnsi"/>
          <w:sz w:val="18"/>
          <w:szCs w:val="18"/>
        </w:rPr>
        <w:t xml:space="preserve"> </w:t>
      </w:r>
      <w:r w:rsidRPr="00C960FA">
        <w:rPr>
          <w:rFonts w:asciiTheme="minorHAnsi" w:hAnsiTheme="minorHAnsi"/>
          <w:sz w:val="18"/>
          <w:szCs w:val="18"/>
        </w:rPr>
        <w:t>Ibid</w:t>
      </w:r>
      <w:r w:rsidRPr="00681454">
        <w:rPr>
          <w:rFonts w:asciiTheme="minorHAnsi" w:hAnsiTheme="minorHAnsi"/>
          <w:sz w:val="18"/>
          <w:szCs w:val="18"/>
        </w:rPr>
        <w:t xml:space="preserve"> at [38].</w:t>
      </w:r>
    </w:p>
  </w:footnote>
  <w:footnote w:id="100">
    <w:p w14:paraId="473A4890" w14:textId="183A2788" w:rsidR="005118D3" w:rsidRPr="00C960FA" w:rsidRDefault="005118D3" w:rsidP="004D3080">
      <w:pPr>
        <w:pStyle w:val="FootnoteText"/>
        <w:rPr>
          <w:sz w:val="18"/>
          <w:szCs w:val="18"/>
          <w:lang w:val="en-GB"/>
        </w:rPr>
      </w:pPr>
      <w:r w:rsidRPr="00C960FA">
        <w:rPr>
          <w:rStyle w:val="FootnoteReference"/>
          <w:sz w:val="18"/>
          <w:szCs w:val="18"/>
        </w:rPr>
        <w:footnoteRef/>
      </w:r>
      <w:r w:rsidRPr="00C960FA">
        <w:rPr>
          <w:sz w:val="18"/>
          <w:szCs w:val="18"/>
        </w:rPr>
        <w:t xml:space="preserve"> </w:t>
      </w:r>
      <w:r w:rsidRPr="00C960FA">
        <w:rPr>
          <w:sz w:val="18"/>
          <w:szCs w:val="18"/>
          <w:lang w:val="en-GB"/>
        </w:rPr>
        <w:t>Ibid.</w:t>
      </w:r>
    </w:p>
  </w:footnote>
  <w:footnote w:id="101">
    <w:p w14:paraId="00226A91" w14:textId="14241C73" w:rsidR="005118D3" w:rsidRPr="00681454" w:rsidRDefault="005118D3" w:rsidP="004D3080">
      <w:pPr>
        <w:pStyle w:val="footnotedescription"/>
        <w:spacing w:line="240" w:lineRule="auto"/>
        <w:ind w:left="0"/>
        <w:jc w:val="both"/>
        <w:rPr>
          <w:rFonts w:asciiTheme="minorHAnsi" w:hAnsiTheme="minorHAnsi"/>
          <w:sz w:val="18"/>
          <w:szCs w:val="18"/>
        </w:rPr>
      </w:pPr>
      <w:r w:rsidRPr="00681454">
        <w:rPr>
          <w:rStyle w:val="footnotemark"/>
          <w:rFonts w:asciiTheme="minorHAnsi" w:hAnsiTheme="minorHAnsi"/>
          <w:sz w:val="18"/>
          <w:szCs w:val="18"/>
        </w:rPr>
        <w:footnoteRef/>
      </w:r>
      <w:r w:rsidRPr="00681454">
        <w:rPr>
          <w:rFonts w:asciiTheme="minorHAnsi" w:hAnsiTheme="minorHAnsi"/>
          <w:sz w:val="18"/>
          <w:szCs w:val="18"/>
        </w:rPr>
        <w:t xml:space="preserve"> Ibid [40].</w:t>
      </w:r>
    </w:p>
  </w:footnote>
  <w:footnote w:id="102">
    <w:p w14:paraId="2B35C518" w14:textId="21D5EA7A"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i/>
          <w:sz w:val="18"/>
          <w:szCs w:val="18"/>
        </w:rPr>
        <w:t>Godelli v Italy</w:t>
      </w:r>
      <w:r w:rsidRPr="00681454">
        <w:rPr>
          <w:sz w:val="18"/>
          <w:szCs w:val="18"/>
        </w:rPr>
        <w:t xml:space="preserve"> (</w:t>
      </w:r>
      <w:r w:rsidRPr="00681454">
        <w:rPr>
          <w:iCs/>
          <w:sz w:val="18"/>
          <w:szCs w:val="18"/>
        </w:rPr>
        <w:t>Application no. 33783/09</w:t>
      </w:r>
      <w:r w:rsidRPr="00681454">
        <w:rPr>
          <w:sz w:val="18"/>
          <w:szCs w:val="18"/>
        </w:rPr>
        <w:t xml:space="preserve">) Judgment </w:t>
      </w:r>
      <w:r w:rsidRPr="00681454">
        <w:rPr>
          <w:bCs/>
          <w:sz w:val="18"/>
          <w:szCs w:val="18"/>
        </w:rPr>
        <w:t>25 September 2012</w:t>
      </w:r>
      <w:r w:rsidRPr="00681454">
        <w:rPr>
          <w:sz w:val="18"/>
          <w:szCs w:val="18"/>
        </w:rPr>
        <w:t xml:space="preserve">. </w:t>
      </w:r>
    </w:p>
  </w:footnote>
  <w:footnote w:id="103">
    <w:p w14:paraId="48D6F865" w14:textId="73E7CD5A"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Pr>
          <w:sz w:val="18"/>
          <w:szCs w:val="18"/>
        </w:rPr>
        <w:t>I</w:t>
      </w:r>
      <w:r w:rsidRPr="00681454">
        <w:rPr>
          <w:sz w:val="18"/>
          <w:szCs w:val="18"/>
        </w:rPr>
        <w:t>bid at [6].</w:t>
      </w:r>
    </w:p>
  </w:footnote>
  <w:footnote w:id="104">
    <w:p w14:paraId="7A0409E3" w14:textId="7789B5FE"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Pr>
          <w:sz w:val="18"/>
          <w:szCs w:val="18"/>
        </w:rPr>
        <w:t>I</w:t>
      </w:r>
      <w:r w:rsidRPr="00681454">
        <w:rPr>
          <w:sz w:val="18"/>
          <w:szCs w:val="18"/>
        </w:rPr>
        <w:t>bid at [57].</w:t>
      </w:r>
    </w:p>
  </w:footnote>
  <w:footnote w:id="105">
    <w:p w14:paraId="2EBD16C1" w14:textId="7917C868" w:rsidR="005118D3" w:rsidRPr="001102BA" w:rsidRDefault="005118D3" w:rsidP="004D3080">
      <w:pPr>
        <w:pStyle w:val="FootnoteText"/>
        <w:jc w:val="both"/>
        <w:rPr>
          <w:sz w:val="18"/>
          <w:szCs w:val="18"/>
        </w:rPr>
      </w:pPr>
      <w:r w:rsidRPr="00546C76">
        <w:rPr>
          <w:rStyle w:val="FootnoteReference"/>
          <w:sz w:val="18"/>
          <w:szCs w:val="18"/>
        </w:rPr>
        <w:footnoteRef/>
      </w:r>
      <w:r w:rsidRPr="00546C76">
        <w:rPr>
          <w:sz w:val="18"/>
          <w:szCs w:val="18"/>
        </w:rPr>
        <w:t xml:space="preserve"> J Herring, </w:t>
      </w:r>
      <w:r w:rsidRPr="00546C76">
        <w:rPr>
          <w:i/>
          <w:sz w:val="18"/>
          <w:szCs w:val="18"/>
        </w:rPr>
        <w:t>Caring and the Law</w:t>
      </w:r>
      <w:r w:rsidRPr="00546C76">
        <w:rPr>
          <w:sz w:val="18"/>
          <w:szCs w:val="18"/>
        </w:rPr>
        <w:t xml:space="preserve"> (Hart Publishing, 2013) at 56. See more generally, V Held, </w:t>
      </w:r>
      <w:r w:rsidRPr="00546C76">
        <w:rPr>
          <w:i/>
          <w:sz w:val="18"/>
          <w:szCs w:val="18"/>
        </w:rPr>
        <w:t>The</w:t>
      </w:r>
      <w:r w:rsidRPr="00546C76">
        <w:rPr>
          <w:sz w:val="18"/>
          <w:szCs w:val="18"/>
        </w:rPr>
        <w:t xml:space="preserve"> </w:t>
      </w:r>
      <w:r w:rsidRPr="00546C76">
        <w:rPr>
          <w:i/>
          <w:sz w:val="18"/>
          <w:szCs w:val="18"/>
        </w:rPr>
        <w:t>Ethics of Care: Personal, Political, and Global</w:t>
      </w:r>
      <w:r w:rsidRPr="001102BA">
        <w:rPr>
          <w:sz w:val="18"/>
          <w:szCs w:val="18"/>
        </w:rPr>
        <w:t xml:space="preserve"> (Oxford University Press, 2007)</w:t>
      </w:r>
      <w:r>
        <w:rPr>
          <w:sz w:val="18"/>
          <w:szCs w:val="18"/>
        </w:rPr>
        <w:t>,</w:t>
      </w:r>
      <w:r w:rsidRPr="001102BA">
        <w:rPr>
          <w:sz w:val="18"/>
          <w:szCs w:val="18"/>
        </w:rPr>
        <w:t xml:space="preserve"> at 71-72. </w:t>
      </w:r>
    </w:p>
  </w:footnote>
  <w:footnote w:id="106">
    <w:p w14:paraId="271EC6F4" w14:textId="207036CB" w:rsidR="005118D3" w:rsidRPr="001D5025" w:rsidRDefault="005118D3" w:rsidP="004D3080">
      <w:pPr>
        <w:pStyle w:val="FootnoteText"/>
        <w:jc w:val="both"/>
        <w:rPr>
          <w:sz w:val="18"/>
          <w:szCs w:val="18"/>
        </w:rPr>
      </w:pPr>
      <w:r w:rsidRPr="00546C76">
        <w:rPr>
          <w:rStyle w:val="FootnoteReference"/>
          <w:sz w:val="18"/>
          <w:szCs w:val="18"/>
        </w:rPr>
        <w:footnoteRef/>
      </w:r>
      <w:r w:rsidRPr="00546C76">
        <w:rPr>
          <w:sz w:val="18"/>
          <w:szCs w:val="18"/>
        </w:rPr>
        <w:t xml:space="preserve"> J Herring, </w:t>
      </w:r>
      <w:r w:rsidRPr="00F35101">
        <w:rPr>
          <w:sz w:val="18"/>
          <w:szCs w:val="18"/>
        </w:rPr>
        <w:t>ibid</w:t>
      </w:r>
      <w:r w:rsidRPr="00546C76">
        <w:rPr>
          <w:sz w:val="18"/>
          <w:szCs w:val="18"/>
        </w:rPr>
        <w:t xml:space="preserve"> at p 56, citing DW Harris, ‘Dignity and Vulnerability’ in (2000) 61 </w:t>
      </w:r>
      <w:r w:rsidRPr="001102BA">
        <w:rPr>
          <w:i/>
          <w:sz w:val="18"/>
          <w:szCs w:val="18"/>
        </w:rPr>
        <w:t>Philosophy and Phenomenological Research</w:t>
      </w:r>
      <w:r w:rsidRPr="001D5025">
        <w:rPr>
          <w:sz w:val="18"/>
          <w:szCs w:val="18"/>
        </w:rPr>
        <w:t xml:space="preserve"> 239. </w:t>
      </w:r>
    </w:p>
  </w:footnote>
  <w:footnote w:id="107">
    <w:p w14:paraId="75B41713" w14:textId="0BF2CAB6" w:rsidR="005118D3" w:rsidRPr="00681454" w:rsidRDefault="005118D3" w:rsidP="004D3080">
      <w:pPr>
        <w:pStyle w:val="FootnoteText"/>
        <w:jc w:val="both"/>
        <w:rPr>
          <w:sz w:val="18"/>
          <w:szCs w:val="18"/>
          <w:lang w:val="en-GB"/>
        </w:rPr>
      </w:pPr>
      <w:r w:rsidRPr="00546C76">
        <w:rPr>
          <w:rStyle w:val="FootnoteReference"/>
          <w:sz w:val="18"/>
          <w:szCs w:val="18"/>
        </w:rPr>
        <w:footnoteRef/>
      </w:r>
      <w:r w:rsidRPr="00546C76">
        <w:rPr>
          <w:sz w:val="18"/>
          <w:szCs w:val="18"/>
        </w:rPr>
        <w:t xml:space="preserve"> </w:t>
      </w:r>
      <w:r w:rsidRPr="00546C76">
        <w:rPr>
          <w:sz w:val="18"/>
          <w:szCs w:val="18"/>
          <w:lang w:val="en-GB"/>
        </w:rPr>
        <w:t>J Herring and C Foster ‘“Please</w:t>
      </w:r>
      <w:r w:rsidRPr="00681454">
        <w:rPr>
          <w:sz w:val="18"/>
          <w:szCs w:val="18"/>
          <w:lang w:val="en-GB"/>
        </w:rPr>
        <w:t xml:space="preserve"> Don’t Tell Me” The Right Not to Know’ (2012) 21 </w:t>
      </w:r>
      <w:r w:rsidRPr="00681454">
        <w:rPr>
          <w:i/>
          <w:sz w:val="18"/>
          <w:szCs w:val="18"/>
          <w:lang w:val="en-GB"/>
        </w:rPr>
        <w:t>Cambridge Quarterly of Healthcare Ethics</w:t>
      </w:r>
      <w:r w:rsidRPr="00681454">
        <w:rPr>
          <w:sz w:val="18"/>
          <w:szCs w:val="18"/>
          <w:lang w:val="en-GB"/>
        </w:rPr>
        <w:t xml:space="preserve"> 20</w:t>
      </w:r>
      <w:r>
        <w:rPr>
          <w:sz w:val="18"/>
          <w:szCs w:val="18"/>
          <w:lang w:val="en-GB"/>
        </w:rPr>
        <w:t>.</w:t>
      </w:r>
      <w:r w:rsidRPr="00681454">
        <w:rPr>
          <w:sz w:val="18"/>
          <w:szCs w:val="18"/>
          <w:lang w:val="en-GB"/>
        </w:rPr>
        <w:t xml:space="preserve"> at 26.</w:t>
      </w:r>
    </w:p>
  </w:footnote>
  <w:footnote w:id="108">
    <w:p w14:paraId="18E6377B" w14:textId="77777777" w:rsidR="005118D3" w:rsidRPr="00681454" w:rsidRDefault="005118D3" w:rsidP="004D3080">
      <w:pPr>
        <w:pStyle w:val="footnotedescription"/>
        <w:spacing w:line="240" w:lineRule="auto"/>
        <w:ind w:left="198" w:hanging="198"/>
        <w:jc w:val="both"/>
        <w:rPr>
          <w:rFonts w:asciiTheme="minorHAnsi" w:hAnsiTheme="minorHAnsi"/>
          <w:sz w:val="18"/>
          <w:szCs w:val="18"/>
        </w:rPr>
      </w:pPr>
      <w:r w:rsidRPr="00681454">
        <w:rPr>
          <w:rStyle w:val="footnotemark"/>
          <w:rFonts w:asciiTheme="minorHAnsi" w:hAnsiTheme="minorHAnsi"/>
          <w:sz w:val="18"/>
          <w:szCs w:val="18"/>
        </w:rPr>
        <w:footnoteRef/>
      </w:r>
      <w:r w:rsidRPr="00681454">
        <w:rPr>
          <w:rFonts w:asciiTheme="minorHAnsi" w:hAnsiTheme="minorHAnsi"/>
          <w:sz w:val="18"/>
          <w:szCs w:val="18"/>
        </w:rPr>
        <w:t xml:space="preserve"> J Fortin, “Children’s Right to Know their Origins – Too far, too fast?” (2009) 21 </w:t>
      </w:r>
      <w:r w:rsidRPr="00681454">
        <w:rPr>
          <w:rFonts w:asciiTheme="minorHAnsi" w:hAnsiTheme="minorHAnsi"/>
          <w:i/>
          <w:sz w:val="18"/>
          <w:szCs w:val="18"/>
        </w:rPr>
        <w:t>Child and Family Law Quarterly</w:t>
      </w:r>
      <w:r w:rsidRPr="00681454">
        <w:rPr>
          <w:rFonts w:asciiTheme="minorHAnsi" w:hAnsiTheme="minorHAnsi"/>
          <w:sz w:val="18"/>
          <w:szCs w:val="18"/>
        </w:rPr>
        <w:t xml:space="preserve"> 336.</w:t>
      </w:r>
    </w:p>
  </w:footnote>
  <w:footnote w:id="109">
    <w:p w14:paraId="09F0C9E4" w14:textId="77777777" w:rsidR="005118D3" w:rsidRPr="00681454" w:rsidRDefault="005118D3" w:rsidP="00645564">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w:t>
      </w:r>
      <w:r w:rsidRPr="00681454">
        <w:rPr>
          <w:rFonts w:cs="Times New Roman"/>
          <w:i/>
          <w:sz w:val="18"/>
          <w:szCs w:val="18"/>
        </w:rPr>
        <w:t>Re H (Paternity: Blood Tests)</w:t>
      </w:r>
      <w:r w:rsidRPr="00681454">
        <w:rPr>
          <w:rFonts w:cs="Times New Roman"/>
          <w:sz w:val="18"/>
          <w:szCs w:val="18"/>
        </w:rPr>
        <w:t xml:space="preserve"> [1996] 4 All ER 28, </w:t>
      </w:r>
      <w:r>
        <w:rPr>
          <w:rFonts w:cs="Times New Roman"/>
          <w:sz w:val="18"/>
          <w:szCs w:val="18"/>
        </w:rPr>
        <w:t xml:space="preserve">at </w:t>
      </w:r>
      <w:r w:rsidRPr="00681454">
        <w:rPr>
          <w:rFonts w:cs="Times New Roman"/>
          <w:sz w:val="18"/>
          <w:szCs w:val="18"/>
        </w:rPr>
        <w:t>44. See J Eekelaar</w:t>
      </w:r>
      <w:r w:rsidRPr="00681454">
        <w:rPr>
          <w:rFonts w:eastAsia="MS Mincho" w:cs="Times New Roman"/>
          <w:sz w:val="18"/>
          <w:szCs w:val="18"/>
        </w:rPr>
        <w:t xml:space="preserve">, </w:t>
      </w:r>
      <w:r w:rsidRPr="00681454">
        <w:rPr>
          <w:rFonts w:eastAsia="MS Mincho" w:cs="Times New Roman"/>
          <w:i/>
          <w:sz w:val="18"/>
          <w:szCs w:val="18"/>
        </w:rPr>
        <w:t xml:space="preserve">Family Law and Personal Life </w:t>
      </w:r>
      <w:r w:rsidRPr="00681454">
        <w:rPr>
          <w:rFonts w:eastAsia="MS Mincho" w:cs="Times New Roman"/>
          <w:sz w:val="18"/>
          <w:szCs w:val="18"/>
        </w:rPr>
        <w:t>(Oxford, 2007)</w:t>
      </w:r>
      <w:r>
        <w:rPr>
          <w:rFonts w:eastAsia="MS Mincho" w:cs="Times New Roman"/>
          <w:sz w:val="18"/>
          <w:szCs w:val="18"/>
        </w:rPr>
        <w:t>,</w:t>
      </w:r>
      <w:r w:rsidRPr="00681454">
        <w:rPr>
          <w:rFonts w:cs="Times New Roman"/>
          <w:sz w:val="18"/>
          <w:szCs w:val="18"/>
        </w:rPr>
        <w:t xml:space="preserve"> at 63-64; </w:t>
      </w:r>
      <w:r w:rsidRPr="00681454">
        <w:rPr>
          <w:rFonts w:cs="Times New Roman"/>
          <w:color w:val="000000"/>
          <w:sz w:val="18"/>
          <w:szCs w:val="18"/>
          <w:shd w:val="clear" w:color="auto" w:fill="FFFFFF"/>
        </w:rPr>
        <w:t xml:space="preserve">C Smart ‘Family Secrets: Law and Understandings of Openness in Everyday Relationships’ (2009) 38 </w:t>
      </w:r>
      <w:r w:rsidRPr="00681454">
        <w:rPr>
          <w:rFonts w:cs="Times New Roman"/>
          <w:i/>
          <w:color w:val="000000"/>
          <w:sz w:val="18"/>
          <w:szCs w:val="18"/>
          <w:shd w:val="clear" w:color="auto" w:fill="FFFFFF"/>
        </w:rPr>
        <w:t>Jnl Soc Pol</w:t>
      </w:r>
      <w:r w:rsidRPr="00681454">
        <w:rPr>
          <w:rFonts w:cs="Times New Roman"/>
          <w:color w:val="000000"/>
          <w:sz w:val="18"/>
          <w:szCs w:val="18"/>
          <w:shd w:val="clear" w:color="auto" w:fill="FFFFFF"/>
        </w:rPr>
        <w:t xml:space="preserve"> 551</w:t>
      </w:r>
      <w:r>
        <w:rPr>
          <w:rFonts w:cs="Times New Roman"/>
          <w:color w:val="000000"/>
          <w:sz w:val="18"/>
          <w:szCs w:val="18"/>
          <w:shd w:val="clear" w:color="auto" w:fill="FFFFFF"/>
        </w:rPr>
        <w:t>.</w:t>
      </w:r>
    </w:p>
  </w:footnote>
  <w:footnote w:id="110">
    <w:p w14:paraId="757DD703" w14:textId="77777777" w:rsidR="005118D3" w:rsidRPr="00681454" w:rsidRDefault="005118D3" w:rsidP="00645564">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rFonts w:cs="Times New Roman"/>
          <w:sz w:val="18"/>
          <w:szCs w:val="18"/>
        </w:rPr>
        <w:t>J Eekelaar</w:t>
      </w:r>
      <w:r w:rsidRPr="00681454">
        <w:rPr>
          <w:rFonts w:eastAsia="MS Mincho" w:cs="Times New Roman"/>
          <w:sz w:val="18"/>
          <w:szCs w:val="18"/>
        </w:rPr>
        <w:t xml:space="preserve">, </w:t>
      </w:r>
      <w:r w:rsidRPr="00681454">
        <w:rPr>
          <w:rFonts w:eastAsia="MS Mincho" w:cs="Times New Roman"/>
          <w:i/>
          <w:sz w:val="18"/>
          <w:szCs w:val="18"/>
        </w:rPr>
        <w:t xml:space="preserve">Family Law and Personal Life </w:t>
      </w:r>
      <w:r w:rsidRPr="00681454">
        <w:rPr>
          <w:rFonts w:eastAsia="MS Mincho" w:cs="Times New Roman"/>
          <w:sz w:val="18"/>
          <w:szCs w:val="18"/>
        </w:rPr>
        <w:t>(Oxford, 2007)</w:t>
      </w:r>
      <w:r>
        <w:rPr>
          <w:rFonts w:eastAsia="MS Mincho" w:cs="Times New Roman"/>
          <w:sz w:val="18"/>
          <w:szCs w:val="18"/>
        </w:rPr>
        <w:t>,</w:t>
      </w:r>
      <w:r w:rsidRPr="00681454">
        <w:rPr>
          <w:rFonts w:cs="Times New Roman"/>
          <w:sz w:val="18"/>
          <w:szCs w:val="18"/>
        </w:rPr>
        <w:t xml:space="preserve"> at 63-64; see analysis by </w:t>
      </w:r>
      <w:r w:rsidRPr="00681454">
        <w:rPr>
          <w:sz w:val="18"/>
          <w:szCs w:val="18"/>
        </w:rPr>
        <w:t>C Smart 2009, ibid at 554.</w:t>
      </w:r>
    </w:p>
  </w:footnote>
  <w:footnote w:id="111">
    <w:p w14:paraId="77AE8E37" w14:textId="77777777" w:rsidR="005118D3" w:rsidRPr="00681454" w:rsidRDefault="005118D3" w:rsidP="00645564">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w:t>
      </w:r>
      <w:r w:rsidRPr="00681454">
        <w:rPr>
          <w:rFonts w:cs="Times New Roman"/>
          <w:color w:val="000000"/>
          <w:sz w:val="18"/>
          <w:szCs w:val="18"/>
          <w:shd w:val="clear" w:color="auto" w:fill="FFFFFF"/>
        </w:rPr>
        <w:t xml:space="preserve">C Smart, ‘Law and the Regulation of Family Secrets’ (2010) </w:t>
      </w:r>
      <w:r w:rsidRPr="00681454">
        <w:rPr>
          <w:rStyle w:val="apple-converted-space"/>
          <w:rFonts w:cs="Times New Roman"/>
          <w:color w:val="000000"/>
          <w:sz w:val="18"/>
          <w:szCs w:val="18"/>
          <w:shd w:val="clear" w:color="auto" w:fill="FFFFFF"/>
        </w:rPr>
        <w:t xml:space="preserve">24 </w:t>
      </w:r>
      <w:r w:rsidRPr="00681454">
        <w:rPr>
          <w:rStyle w:val="Emphasis"/>
          <w:rFonts w:cs="Times New Roman"/>
          <w:color w:val="000000"/>
          <w:sz w:val="18"/>
          <w:szCs w:val="18"/>
          <w:shd w:val="clear" w:color="auto" w:fill="FFFFFF"/>
        </w:rPr>
        <w:t>International Journal of Law, Policy and the Family</w:t>
      </w:r>
      <w:r w:rsidRPr="00681454">
        <w:rPr>
          <w:rFonts w:cs="Times New Roman"/>
          <w:color w:val="000000"/>
          <w:sz w:val="18"/>
          <w:szCs w:val="18"/>
          <w:shd w:val="clear" w:color="auto" w:fill="FFFFFF"/>
        </w:rPr>
        <w:t xml:space="preserve"> 397; C Smart ‘Family Secrets: Law and Understandings of Openness in Everyday Relationships’ (2009) 38 </w:t>
      </w:r>
      <w:r w:rsidRPr="00681454">
        <w:rPr>
          <w:rFonts w:cs="Times New Roman"/>
          <w:i/>
          <w:color w:val="000000"/>
          <w:sz w:val="18"/>
          <w:szCs w:val="18"/>
          <w:shd w:val="clear" w:color="auto" w:fill="FFFFFF"/>
        </w:rPr>
        <w:t>Jnl Soc Pol</w:t>
      </w:r>
      <w:r w:rsidRPr="00681454">
        <w:rPr>
          <w:rFonts w:cs="Times New Roman"/>
          <w:color w:val="000000"/>
          <w:sz w:val="18"/>
          <w:szCs w:val="18"/>
          <w:shd w:val="clear" w:color="auto" w:fill="FFFFFF"/>
        </w:rPr>
        <w:t xml:space="preserve"> 551.</w:t>
      </w:r>
    </w:p>
  </w:footnote>
  <w:footnote w:id="112">
    <w:p w14:paraId="53425767" w14:textId="77777777"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rFonts w:cs="Times New Roman"/>
          <w:sz w:val="18"/>
          <w:szCs w:val="18"/>
        </w:rPr>
        <w:t xml:space="preserve">P Nordqvist and C Smart </w:t>
      </w:r>
      <w:r w:rsidRPr="00681454">
        <w:rPr>
          <w:rFonts w:cs="Times New Roman"/>
          <w:i/>
          <w:sz w:val="18"/>
          <w:szCs w:val="18"/>
        </w:rPr>
        <w:t>Relative Strangers: Family life, genes and donor conception</w:t>
      </w:r>
      <w:r w:rsidRPr="00681454">
        <w:rPr>
          <w:rFonts w:cs="Times New Roman"/>
          <w:sz w:val="18"/>
          <w:szCs w:val="18"/>
        </w:rPr>
        <w:t xml:space="preserve"> (Palgrave Macmillan 2014) </w:t>
      </w:r>
      <w:r w:rsidRPr="00681454">
        <w:rPr>
          <w:sz w:val="18"/>
          <w:szCs w:val="18"/>
        </w:rPr>
        <w:t xml:space="preserve">at p 28. </w:t>
      </w:r>
    </w:p>
  </w:footnote>
  <w:footnote w:id="113">
    <w:p w14:paraId="331FF38C" w14:textId="3FE6F703"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N Murphy and C Knight (eds) </w:t>
      </w:r>
      <w:r w:rsidRPr="00681454">
        <w:rPr>
          <w:i/>
          <w:sz w:val="18"/>
          <w:szCs w:val="18"/>
        </w:rPr>
        <w:t>Human Identity at the Intersection of Science, Technology and Religion</w:t>
      </w:r>
      <w:r w:rsidRPr="00681454">
        <w:rPr>
          <w:sz w:val="18"/>
          <w:szCs w:val="18"/>
        </w:rPr>
        <w:t xml:space="preserve"> (Ashgate, 2010). See also in a different context S Sheldon 2009 </w:t>
      </w:r>
      <w:r w:rsidRPr="00C960FA">
        <w:rPr>
          <w:sz w:val="18"/>
          <w:szCs w:val="18"/>
          <w:lang w:val="en-GB"/>
        </w:rPr>
        <w:t xml:space="preserve">S Sheldon ‘From “absent objects of blame” to “fathers who want to take responsibility”: reforming birth registration law’ (2009) 31 </w:t>
      </w:r>
      <w:r w:rsidRPr="00C960FA">
        <w:rPr>
          <w:i/>
          <w:sz w:val="18"/>
          <w:szCs w:val="18"/>
          <w:lang w:val="en-GB"/>
        </w:rPr>
        <w:t>Journal of Social Welfare and Family Law</w:t>
      </w:r>
      <w:r w:rsidRPr="00C960FA">
        <w:rPr>
          <w:sz w:val="18"/>
          <w:szCs w:val="18"/>
          <w:lang w:val="en-GB"/>
        </w:rPr>
        <w:t xml:space="preserve"> 373</w:t>
      </w:r>
      <w:r>
        <w:rPr>
          <w:sz w:val="18"/>
          <w:szCs w:val="18"/>
          <w:lang w:val="en-GB"/>
        </w:rPr>
        <w:t>.</w:t>
      </w:r>
    </w:p>
  </w:footnote>
  <w:footnote w:id="114">
    <w:p w14:paraId="6BCF0644" w14:textId="72662EB7" w:rsidR="005118D3" w:rsidRPr="00681454" w:rsidRDefault="005118D3" w:rsidP="004D3080">
      <w:pPr>
        <w:pStyle w:val="BodyText"/>
        <w:rPr>
          <w:rFonts w:asciiTheme="minorHAnsi" w:hAnsiTheme="minorHAnsi"/>
          <w:sz w:val="18"/>
          <w:szCs w:val="18"/>
        </w:rPr>
      </w:pPr>
      <w:r w:rsidRPr="00681454">
        <w:rPr>
          <w:rStyle w:val="FootnoteReference"/>
          <w:rFonts w:asciiTheme="minorHAnsi" w:hAnsiTheme="minorHAnsi"/>
          <w:sz w:val="18"/>
          <w:szCs w:val="18"/>
        </w:rPr>
        <w:footnoteRef/>
      </w:r>
      <w:r w:rsidRPr="00681454">
        <w:rPr>
          <w:rFonts w:asciiTheme="minorHAnsi" w:hAnsiTheme="minorHAnsi"/>
          <w:sz w:val="18"/>
          <w:szCs w:val="18"/>
        </w:rPr>
        <w:t xml:space="preserve"> </w:t>
      </w:r>
      <w:r w:rsidRPr="00681454">
        <w:rPr>
          <w:sz w:val="18"/>
          <w:szCs w:val="18"/>
        </w:rPr>
        <w:t xml:space="preserve">P Nordqvist and C Smart </w:t>
      </w:r>
      <w:r w:rsidRPr="00681454">
        <w:rPr>
          <w:i/>
          <w:sz w:val="18"/>
          <w:szCs w:val="18"/>
        </w:rPr>
        <w:t>Relative Strangers: Family life, genes and donor conception</w:t>
      </w:r>
      <w:r w:rsidRPr="00681454">
        <w:rPr>
          <w:sz w:val="18"/>
          <w:szCs w:val="18"/>
        </w:rPr>
        <w:t xml:space="preserve"> (Palgrave Macmillan 2014)</w:t>
      </w:r>
      <w:r>
        <w:rPr>
          <w:sz w:val="18"/>
          <w:szCs w:val="18"/>
        </w:rPr>
        <w:t xml:space="preserve"> </w:t>
      </w:r>
      <w:r w:rsidRPr="00681454">
        <w:rPr>
          <w:rFonts w:asciiTheme="minorHAnsi" w:hAnsiTheme="minorHAnsi"/>
          <w:bCs/>
          <w:sz w:val="18"/>
          <w:szCs w:val="18"/>
        </w:rPr>
        <w:t>at 145.</w:t>
      </w:r>
    </w:p>
  </w:footnote>
  <w:footnote w:id="115">
    <w:p w14:paraId="003058B1" w14:textId="25EEF813"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further N </w:t>
      </w:r>
      <w:r w:rsidRPr="0043460C">
        <w:rPr>
          <w:sz w:val="18"/>
          <w:szCs w:val="18"/>
        </w:rPr>
        <w:t xml:space="preserve">Rose </w:t>
      </w:r>
      <w:r w:rsidRPr="0043460C">
        <w:rPr>
          <w:i/>
          <w:sz w:val="18"/>
          <w:szCs w:val="18"/>
        </w:rPr>
        <w:t>Governing the Soul: Shaping of the Private</w:t>
      </w:r>
      <w:r w:rsidRPr="00681454">
        <w:rPr>
          <w:i/>
          <w:sz w:val="18"/>
          <w:szCs w:val="18"/>
        </w:rPr>
        <w:t xml:space="preserve"> Self</w:t>
      </w:r>
      <w:r w:rsidRPr="00681454">
        <w:rPr>
          <w:sz w:val="18"/>
          <w:szCs w:val="18"/>
        </w:rPr>
        <w:t xml:space="preserve"> (London: Free Association Books</w:t>
      </w:r>
      <w:r>
        <w:rPr>
          <w:sz w:val="18"/>
          <w:szCs w:val="18"/>
        </w:rPr>
        <w:t>,</w:t>
      </w:r>
      <w:r w:rsidRPr="00681454">
        <w:rPr>
          <w:sz w:val="18"/>
          <w:szCs w:val="18"/>
        </w:rPr>
        <w:t xml:space="preserve"> 1990) and N Rose </w:t>
      </w:r>
      <w:r w:rsidRPr="00681454">
        <w:rPr>
          <w:i/>
          <w:sz w:val="18"/>
          <w:szCs w:val="18"/>
        </w:rPr>
        <w:t>The Politics of Life Itself</w:t>
      </w:r>
      <w:r w:rsidRPr="00681454">
        <w:rPr>
          <w:sz w:val="18"/>
          <w:szCs w:val="18"/>
        </w:rPr>
        <w:t xml:space="preserve"> (Princeton University Press</w:t>
      </w:r>
      <w:r>
        <w:rPr>
          <w:sz w:val="18"/>
          <w:szCs w:val="18"/>
        </w:rPr>
        <w:t>,</w:t>
      </w:r>
      <w:r w:rsidRPr="00681454">
        <w:rPr>
          <w:sz w:val="18"/>
          <w:szCs w:val="18"/>
        </w:rPr>
        <w:t xml:space="preserve"> 2007)</w:t>
      </w:r>
      <w:r>
        <w:rPr>
          <w:sz w:val="18"/>
          <w:szCs w:val="18"/>
        </w:rPr>
        <w:t>,</w:t>
      </w:r>
      <w:r w:rsidRPr="00681454">
        <w:rPr>
          <w:sz w:val="18"/>
          <w:szCs w:val="18"/>
        </w:rPr>
        <w:t xml:space="preserve"> at 14.</w:t>
      </w:r>
    </w:p>
  </w:footnote>
  <w:footnote w:id="116">
    <w:p w14:paraId="5ED254E7" w14:textId="7C576E19"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S Ruddick, </w:t>
      </w:r>
      <w:r w:rsidRPr="00681454">
        <w:rPr>
          <w:i/>
          <w:sz w:val="18"/>
          <w:szCs w:val="18"/>
        </w:rPr>
        <w:t>Maternal Thinking</w:t>
      </w:r>
      <w:r w:rsidRPr="00681454">
        <w:rPr>
          <w:sz w:val="18"/>
          <w:szCs w:val="18"/>
        </w:rPr>
        <w:t xml:space="preserve"> (Ballantine Books, 1989). See also A Rich, </w:t>
      </w:r>
      <w:r w:rsidRPr="00681454">
        <w:rPr>
          <w:i/>
          <w:sz w:val="18"/>
          <w:szCs w:val="18"/>
        </w:rPr>
        <w:t>Of Woman Born</w:t>
      </w:r>
      <w:r w:rsidRPr="00681454">
        <w:rPr>
          <w:sz w:val="18"/>
          <w:szCs w:val="18"/>
        </w:rPr>
        <w:t xml:space="preserve"> </w:t>
      </w:r>
      <w:r w:rsidRPr="002256FC">
        <w:rPr>
          <w:sz w:val="18"/>
          <w:szCs w:val="18"/>
        </w:rPr>
        <w:t>above note</w:t>
      </w:r>
      <w:r w:rsidRPr="00681454">
        <w:rPr>
          <w:sz w:val="18"/>
          <w:szCs w:val="18"/>
        </w:rPr>
        <w:t xml:space="preserve"> </w:t>
      </w:r>
      <w:r>
        <w:rPr>
          <w:sz w:val="18"/>
          <w:szCs w:val="18"/>
        </w:rPr>
        <w:t>10</w:t>
      </w:r>
      <w:r w:rsidRPr="00681454">
        <w:rPr>
          <w:sz w:val="18"/>
          <w:szCs w:val="18"/>
        </w:rPr>
        <w:t xml:space="preserve">, M O’Brien, </w:t>
      </w:r>
      <w:r w:rsidRPr="00681454">
        <w:rPr>
          <w:i/>
          <w:sz w:val="18"/>
          <w:szCs w:val="18"/>
        </w:rPr>
        <w:t>The Politics of Reproduction</w:t>
      </w:r>
      <w:r w:rsidRPr="00681454">
        <w:rPr>
          <w:sz w:val="18"/>
          <w:szCs w:val="18"/>
        </w:rPr>
        <w:t xml:space="preserve"> (Routledge</w:t>
      </w:r>
      <w:r>
        <w:rPr>
          <w:sz w:val="18"/>
          <w:szCs w:val="18"/>
        </w:rPr>
        <w:t>,</w:t>
      </w:r>
      <w:r w:rsidRPr="00681454">
        <w:rPr>
          <w:sz w:val="18"/>
          <w:szCs w:val="18"/>
        </w:rPr>
        <w:t xml:space="preserve"> 1981); A Dally </w:t>
      </w:r>
      <w:r w:rsidRPr="00681454">
        <w:rPr>
          <w:i/>
          <w:sz w:val="18"/>
          <w:szCs w:val="18"/>
        </w:rPr>
        <w:t>Inventing Motherhood: the consequences of an ideal</w:t>
      </w:r>
      <w:r w:rsidRPr="00681454">
        <w:rPr>
          <w:sz w:val="18"/>
          <w:szCs w:val="18"/>
        </w:rPr>
        <w:t xml:space="preserve"> (Burnett Books Ltd, 1982). See recent socio-legal analysis in S Boyd et al, </w:t>
      </w:r>
      <w:r w:rsidRPr="00681454">
        <w:rPr>
          <w:i/>
          <w:sz w:val="18"/>
          <w:szCs w:val="18"/>
        </w:rPr>
        <w:t>Autonomous Motherhood? A Socio-legal study of choice and constraint</w:t>
      </w:r>
      <w:r w:rsidRPr="00681454">
        <w:rPr>
          <w:sz w:val="18"/>
          <w:szCs w:val="18"/>
        </w:rPr>
        <w:t xml:space="preserve"> (Univ of Toronto Press, 2015).</w:t>
      </w:r>
    </w:p>
  </w:footnote>
  <w:footnote w:id="117">
    <w:p w14:paraId="11E7F0B1" w14:textId="4127A7F3" w:rsidR="005118D3" w:rsidRPr="00645564" w:rsidRDefault="005118D3" w:rsidP="004D3080">
      <w:pPr>
        <w:pStyle w:val="FootnoteText"/>
        <w:jc w:val="both"/>
        <w:rPr>
          <w:sz w:val="18"/>
          <w:szCs w:val="18"/>
        </w:rPr>
      </w:pPr>
      <w:r w:rsidRPr="00645564">
        <w:rPr>
          <w:rStyle w:val="FootnoteReference"/>
          <w:sz w:val="18"/>
          <w:szCs w:val="18"/>
        </w:rPr>
        <w:footnoteRef/>
      </w:r>
      <w:r w:rsidRPr="00645564">
        <w:rPr>
          <w:sz w:val="18"/>
          <w:szCs w:val="18"/>
        </w:rPr>
        <w:t xml:space="preserve"> </w:t>
      </w:r>
      <w:r w:rsidRPr="00645564">
        <w:rPr>
          <w:rFonts w:cs="Times New Roman"/>
          <w:sz w:val="18"/>
          <w:szCs w:val="18"/>
        </w:rPr>
        <w:t xml:space="preserve">K O’Donovan, ‘“Real” mothers for abandoned children’ (2002) 36 </w:t>
      </w:r>
      <w:r w:rsidRPr="00645564">
        <w:rPr>
          <w:rFonts w:cs="Times New Roman"/>
          <w:i/>
          <w:sz w:val="18"/>
          <w:szCs w:val="18"/>
        </w:rPr>
        <w:t>Law and Society Review</w:t>
      </w:r>
      <w:r w:rsidRPr="00645564">
        <w:rPr>
          <w:rFonts w:cs="Times New Roman"/>
          <w:sz w:val="18"/>
          <w:szCs w:val="18"/>
        </w:rPr>
        <w:t xml:space="preserve"> 347.</w:t>
      </w:r>
    </w:p>
  </w:footnote>
  <w:footnote w:id="118">
    <w:p w14:paraId="5F5C7123" w14:textId="5BB6E63B" w:rsidR="005118D3" w:rsidRPr="00F35101" w:rsidRDefault="005118D3">
      <w:pPr>
        <w:pStyle w:val="FootnoteText"/>
        <w:rPr>
          <w:sz w:val="18"/>
          <w:szCs w:val="18"/>
          <w:lang w:val="en-GB"/>
        </w:rPr>
      </w:pPr>
      <w:r w:rsidRPr="00F35101">
        <w:rPr>
          <w:rStyle w:val="FootnoteReference"/>
          <w:sz w:val="18"/>
          <w:szCs w:val="18"/>
        </w:rPr>
        <w:footnoteRef/>
      </w:r>
      <w:r w:rsidRPr="00F35101">
        <w:rPr>
          <w:sz w:val="18"/>
          <w:szCs w:val="18"/>
        </w:rPr>
        <w:t xml:space="preserve"> </w:t>
      </w:r>
      <w:r w:rsidRPr="00F35101">
        <w:rPr>
          <w:sz w:val="18"/>
          <w:szCs w:val="18"/>
          <w:lang w:val="en-GB"/>
        </w:rPr>
        <w:t xml:space="preserve">See for example the EU Abandonment Project above note </w:t>
      </w:r>
      <w:r>
        <w:rPr>
          <w:sz w:val="18"/>
          <w:szCs w:val="18"/>
          <w:lang w:val="en-GB"/>
        </w:rPr>
        <w:t>73.</w:t>
      </w:r>
    </w:p>
  </w:footnote>
  <w:footnote w:id="119">
    <w:p w14:paraId="71D81AC6" w14:textId="227FB406" w:rsidR="005118D3" w:rsidRPr="00F35101" w:rsidRDefault="005118D3">
      <w:pPr>
        <w:pStyle w:val="FootnoteText"/>
        <w:rPr>
          <w:sz w:val="18"/>
          <w:szCs w:val="18"/>
          <w:lang w:val="en-GB"/>
        </w:rPr>
      </w:pPr>
      <w:r w:rsidRPr="00F35101">
        <w:rPr>
          <w:rStyle w:val="FootnoteReference"/>
          <w:sz w:val="18"/>
          <w:szCs w:val="18"/>
        </w:rPr>
        <w:footnoteRef/>
      </w:r>
      <w:r w:rsidRPr="00F35101">
        <w:rPr>
          <w:sz w:val="18"/>
          <w:szCs w:val="18"/>
        </w:rPr>
        <w:t xml:space="preserve"> </w:t>
      </w:r>
      <w:r w:rsidRPr="00F35101">
        <w:rPr>
          <w:sz w:val="18"/>
          <w:szCs w:val="18"/>
          <w:lang w:val="en-GB"/>
        </w:rPr>
        <w:t>Ibid at page 336.</w:t>
      </w:r>
    </w:p>
  </w:footnote>
  <w:footnote w:id="120">
    <w:p w14:paraId="0FD0AFDF" w14:textId="60129B94"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O’Donovan 2002, </w:t>
      </w:r>
      <w:r w:rsidRPr="00645564">
        <w:rPr>
          <w:rFonts w:cs="Times New Roman"/>
          <w:sz w:val="18"/>
          <w:szCs w:val="18"/>
        </w:rPr>
        <w:t xml:space="preserve">‘“Real” mothers for abandoned children’ (2002) 36 </w:t>
      </w:r>
      <w:r w:rsidRPr="00645564">
        <w:rPr>
          <w:rFonts w:cs="Times New Roman"/>
          <w:i/>
          <w:sz w:val="18"/>
          <w:szCs w:val="18"/>
        </w:rPr>
        <w:t>Law and Society Review</w:t>
      </w:r>
      <w:r w:rsidRPr="00645564">
        <w:rPr>
          <w:rFonts w:cs="Times New Roman"/>
          <w:sz w:val="18"/>
          <w:szCs w:val="18"/>
        </w:rPr>
        <w:t xml:space="preserve"> 347</w:t>
      </w:r>
      <w:r>
        <w:rPr>
          <w:rFonts w:cs="Times New Roman"/>
          <w:sz w:val="18"/>
          <w:szCs w:val="18"/>
        </w:rPr>
        <w:t>.</w:t>
      </w:r>
    </w:p>
  </w:footnote>
  <w:footnote w:id="121">
    <w:p w14:paraId="1ACF9491" w14:textId="787E6C6F" w:rsidR="005118D3" w:rsidRPr="00681454" w:rsidRDefault="005118D3" w:rsidP="004D3080">
      <w:pPr>
        <w:jc w:val="both"/>
        <w:rPr>
          <w:rFonts w:eastAsia="Times New Roman" w:cs="Times New Roman"/>
          <w:sz w:val="18"/>
          <w:szCs w:val="18"/>
        </w:rPr>
      </w:pPr>
      <w:r w:rsidRPr="00681454">
        <w:rPr>
          <w:rStyle w:val="FootnoteReference"/>
          <w:sz w:val="18"/>
          <w:szCs w:val="18"/>
        </w:rPr>
        <w:footnoteRef/>
      </w:r>
      <w:r w:rsidRPr="00681454">
        <w:rPr>
          <w:sz w:val="18"/>
          <w:szCs w:val="18"/>
        </w:rPr>
        <w:t xml:space="preserve"> P Harper, </w:t>
      </w:r>
      <w:r w:rsidRPr="00681454">
        <w:rPr>
          <w:i/>
          <w:sz w:val="18"/>
          <w:szCs w:val="18"/>
        </w:rPr>
        <w:t>The Sun</w:t>
      </w:r>
      <w:r w:rsidRPr="00681454">
        <w:rPr>
          <w:color w:val="232327"/>
          <w:sz w:val="18"/>
          <w:szCs w:val="18"/>
        </w:rPr>
        <w:t xml:space="preserve">, 14 November 2016 available at </w:t>
      </w:r>
      <w:r>
        <w:rPr>
          <w:color w:val="232327"/>
          <w:sz w:val="18"/>
          <w:szCs w:val="18"/>
        </w:rPr>
        <w:t xml:space="preserve">   </w:t>
      </w:r>
      <w:hyperlink r:id="rId11" w:history="1">
        <w:r w:rsidRPr="00987544">
          <w:rPr>
            <w:rStyle w:val="Hyperlink"/>
            <w:sz w:val="18"/>
            <w:szCs w:val="18"/>
          </w:rPr>
          <w:t>https://www.thesun.co.uk/news/2181072/newborn-baby-girl-found-suffering-from-hypothermia-after-being-dumped-on-freezing-doorstep-in-tesco-carrier-bag-by-her-mother/</w:t>
        </w:r>
      </w:hyperlink>
      <w:r>
        <w:rPr>
          <w:color w:val="232327"/>
          <w:sz w:val="18"/>
          <w:szCs w:val="18"/>
        </w:rPr>
        <w:t xml:space="preserve"> </w:t>
      </w:r>
      <w:r w:rsidRPr="008A363D">
        <w:rPr>
          <w:color w:val="232327"/>
          <w:sz w:val="18"/>
          <w:szCs w:val="18"/>
        </w:rPr>
        <w:t xml:space="preserve">last accessed </w:t>
      </w:r>
      <w:r>
        <w:rPr>
          <w:color w:val="232327"/>
          <w:sz w:val="18"/>
          <w:szCs w:val="18"/>
        </w:rPr>
        <w:t>9 April</w:t>
      </w:r>
      <w:r w:rsidRPr="00681454">
        <w:rPr>
          <w:color w:val="232327"/>
          <w:sz w:val="18"/>
          <w:szCs w:val="18"/>
        </w:rPr>
        <w:t xml:space="preserve"> 2018.</w:t>
      </w:r>
    </w:p>
  </w:footnote>
  <w:footnote w:id="122">
    <w:p w14:paraId="4BAEDDFC" w14:textId="2962DA4A" w:rsidR="005118D3" w:rsidRPr="00681454" w:rsidRDefault="005118D3" w:rsidP="00683698">
      <w:pPr>
        <w:pStyle w:val="FootnoteText"/>
        <w:jc w:val="both"/>
        <w:rPr>
          <w:sz w:val="18"/>
          <w:szCs w:val="18"/>
        </w:rPr>
      </w:pPr>
      <w:r w:rsidRPr="00681454">
        <w:rPr>
          <w:rStyle w:val="FootnoteReference"/>
          <w:sz w:val="18"/>
          <w:szCs w:val="18"/>
        </w:rPr>
        <w:footnoteRef/>
      </w:r>
      <w:r w:rsidRPr="00681454">
        <w:rPr>
          <w:sz w:val="18"/>
          <w:szCs w:val="18"/>
        </w:rPr>
        <w:t xml:space="preserve"> See, for example, footage and report available at </w:t>
      </w:r>
      <w:hyperlink r:id="rId12" w:history="1">
        <w:r w:rsidRPr="00987544">
          <w:rPr>
            <w:rStyle w:val="Hyperlink"/>
            <w:sz w:val="18"/>
            <w:szCs w:val="18"/>
          </w:rPr>
          <w:t>http://www.bbc.co.uk/news/uk-england-london-41310137</w:t>
        </w:r>
      </w:hyperlink>
      <w:r>
        <w:rPr>
          <w:sz w:val="18"/>
          <w:szCs w:val="18"/>
        </w:rPr>
        <w:t xml:space="preserve"> </w:t>
      </w:r>
      <w:r w:rsidRPr="00681454">
        <w:rPr>
          <w:sz w:val="18"/>
          <w:szCs w:val="18"/>
        </w:rPr>
        <w:t xml:space="preserve">last accessed </w:t>
      </w:r>
      <w:r w:rsidR="00A42576">
        <w:rPr>
          <w:sz w:val="18"/>
          <w:szCs w:val="18"/>
        </w:rPr>
        <w:t xml:space="preserve">12 </w:t>
      </w:r>
      <w:r>
        <w:rPr>
          <w:sz w:val="18"/>
          <w:szCs w:val="18"/>
        </w:rPr>
        <w:t>April</w:t>
      </w:r>
      <w:r w:rsidRPr="00681454">
        <w:rPr>
          <w:sz w:val="18"/>
          <w:szCs w:val="18"/>
        </w:rPr>
        <w:t xml:space="preserve"> 2018. For further discussion of abandonment of this kind, see K O</w:t>
      </w:r>
      <w:r>
        <w:rPr>
          <w:sz w:val="18"/>
          <w:szCs w:val="18"/>
        </w:rPr>
        <w:t>’</w:t>
      </w:r>
      <w:r w:rsidRPr="00681454">
        <w:rPr>
          <w:sz w:val="18"/>
          <w:szCs w:val="18"/>
        </w:rPr>
        <w:t xml:space="preserve">Donovan ‘Enfants Trouvés, Anonymous Mothers and Children’s Identity Rights’ in K O’Donovan and G Rubin (eds) </w:t>
      </w:r>
      <w:r w:rsidRPr="00681454">
        <w:rPr>
          <w:i/>
          <w:sz w:val="18"/>
          <w:szCs w:val="18"/>
        </w:rPr>
        <w:t>Human Rights and</w:t>
      </w:r>
      <w:r w:rsidRPr="00681454">
        <w:rPr>
          <w:sz w:val="18"/>
          <w:szCs w:val="18"/>
        </w:rPr>
        <w:t xml:space="preserve"> </w:t>
      </w:r>
      <w:r w:rsidRPr="00681454">
        <w:rPr>
          <w:i/>
          <w:sz w:val="18"/>
          <w:szCs w:val="18"/>
        </w:rPr>
        <w:t>Legal History</w:t>
      </w:r>
      <w:r w:rsidRPr="00681454">
        <w:rPr>
          <w:sz w:val="18"/>
          <w:szCs w:val="18"/>
        </w:rPr>
        <w:t xml:space="preserve"> (Oxford Univ Press, 2000).</w:t>
      </w:r>
      <w:r w:rsidRPr="00683698">
        <w:rPr>
          <w:sz w:val="18"/>
          <w:szCs w:val="18"/>
        </w:rPr>
        <w:t xml:space="preserve"> </w:t>
      </w:r>
      <w:r>
        <w:rPr>
          <w:sz w:val="18"/>
          <w:szCs w:val="18"/>
        </w:rPr>
        <w:t>O</w:t>
      </w:r>
      <w:r w:rsidRPr="00681454">
        <w:rPr>
          <w:sz w:val="18"/>
          <w:szCs w:val="18"/>
        </w:rPr>
        <w:t>ther reports of the same story are widely available on the internet.</w:t>
      </w:r>
      <w:r w:rsidRPr="00681454">
        <w:rPr>
          <w:rFonts w:eastAsia="Times New Roman" w:cs="Times New Roman"/>
          <w:color w:val="404040"/>
          <w:sz w:val="18"/>
          <w:szCs w:val="18"/>
          <w:shd w:val="clear" w:color="auto" w:fill="FFFFFF"/>
          <w:lang w:val="en-GB"/>
        </w:rPr>
        <w:t xml:space="preserve"> This corresponds with O’Donovan’s research into press reports in the early 2000s</w:t>
      </w:r>
    </w:p>
  </w:footnote>
  <w:footnote w:id="123">
    <w:p w14:paraId="0E4B953C" w14:textId="77777777" w:rsidR="005118D3" w:rsidRPr="00681454" w:rsidRDefault="005118D3" w:rsidP="00C2673F">
      <w:pPr>
        <w:pStyle w:val="FootnoteText"/>
        <w:jc w:val="both"/>
        <w:rPr>
          <w:sz w:val="18"/>
          <w:szCs w:val="18"/>
        </w:rPr>
      </w:pPr>
      <w:r w:rsidRPr="00681454">
        <w:rPr>
          <w:rStyle w:val="FootnoteReference"/>
          <w:sz w:val="18"/>
          <w:szCs w:val="18"/>
        </w:rPr>
        <w:footnoteRef/>
      </w:r>
      <w:r w:rsidRPr="00681454">
        <w:rPr>
          <w:sz w:val="18"/>
          <w:szCs w:val="18"/>
        </w:rPr>
        <w:t xml:space="preserve"> </w:t>
      </w:r>
      <w:r w:rsidRPr="00681454">
        <w:rPr>
          <w:rFonts w:cs="Times New Roman"/>
          <w:sz w:val="18"/>
          <w:szCs w:val="18"/>
        </w:rPr>
        <w:t xml:space="preserve">K O’Donovan ‘“Real” Mothers for abandoned children’ (2002) 36 </w:t>
      </w:r>
      <w:r w:rsidRPr="00681454">
        <w:rPr>
          <w:rFonts w:cs="Times New Roman"/>
          <w:i/>
          <w:sz w:val="18"/>
          <w:szCs w:val="18"/>
        </w:rPr>
        <w:t>Law and Society Review</w:t>
      </w:r>
      <w:r w:rsidRPr="00681454">
        <w:rPr>
          <w:rFonts w:cs="Times New Roman"/>
          <w:sz w:val="18"/>
          <w:szCs w:val="18"/>
        </w:rPr>
        <w:t xml:space="preserve"> 347. </w:t>
      </w:r>
    </w:p>
  </w:footnote>
  <w:footnote w:id="124">
    <w:p w14:paraId="7D549703" w14:textId="7E3E0761" w:rsidR="005118D3" w:rsidRPr="00681454" w:rsidRDefault="005118D3" w:rsidP="004D3080">
      <w:pPr>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w:t>
      </w:r>
      <w:r w:rsidRPr="00681454">
        <w:rPr>
          <w:rFonts w:cs="Times New Roman"/>
          <w:i/>
          <w:sz w:val="18"/>
          <w:szCs w:val="18"/>
        </w:rPr>
        <w:t xml:space="preserve"> Re C (a child) (adoption: duty of local authority) </w:t>
      </w:r>
      <w:r w:rsidRPr="00681454">
        <w:rPr>
          <w:rFonts w:cs="Times New Roman"/>
          <w:sz w:val="18"/>
          <w:szCs w:val="18"/>
        </w:rPr>
        <w:t>[2007] EWCA Civ 1206</w:t>
      </w:r>
      <w:r>
        <w:rPr>
          <w:rFonts w:cs="Times New Roman"/>
          <w:sz w:val="18"/>
          <w:szCs w:val="18"/>
        </w:rPr>
        <w:t xml:space="preserve"> at [37]</w:t>
      </w:r>
      <w:r w:rsidRPr="00681454">
        <w:rPr>
          <w:rFonts w:cs="Times New Roman"/>
          <w:sz w:val="18"/>
          <w:szCs w:val="18"/>
        </w:rPr>
        <w:t>.</w:t>
      </w:r>
    </w:p>
  </w:footnote>
  <w:footnote w:id="125">
    <w:p w14:paraId="313257CF" w14:textId="77777777"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I Brockington, </w:t>
      </w:r>
      <w:r w:rsidRPr="00681454">
        <w:rPr>
          <w:rFonts w:cs="Times New Roman"/>
          <w:i/>
          <w:sz w:val="18"/>
          <w:szCs w:val="18"/>
        </w:rPr>
        <w:t>Motherhood and Mental Health</w:t>
      </w:r>
      <w:r w:rsidRPr="00681454">
        <w:rPr>
          <w:rFonts w:cs="Times New Roman"/>
          <w:sz w:val="18"/>
          <w:szCs w:val="18"/>
        </w:rPr>
        <w:t xml:space="preserve"> (Oxford: Oxford University Press 1996). </w:t>
      </w:r>
    </w:p>
  </w:footnote>
  <w:footnote w:id="126">
    <w:p w14:paraId="3749A333" w14:textId="281F43C5"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Pr>
          <w:rFonts w:cs="Times New Roman"/>
          <w:sz w:val="18"/>
          <w:szCs w:val="18"/>
        </w:rPr>
        <w:t xml:space="preserve"> Concurring Opinion of </w:t>
      </w:r>
      <w:r w:rsidRPr="00681454">
        <w:rPr>
          <w:rFonts w:cs="Times New Roman"/>
          <w:sz w:val="18"/>
          <w:szCs w:val="18"/>
        </w:rPr>
        <w:t xml:space="preserve"> </w:t>
      </w:r>
      <w:r w:rsidRPr="008A363D">
        <w:rPr>
          <w:rFonts w:cs="Times New Roman"/>
          <w:sz w:val="18"/>
          <w:szCs w:val="18"/>
        </w:rPr>
        <w:t>Judge Greve in</w:t>
      </w:r>
      <w:r w:rsidRPr="00681454">
        <w:rPr>
          <w:rFonts w:cs="Times New Roman"/>
          <w:sz w:val="18"/>
          <w:szCs w:val="18"/>
        </w:rPr>
        <w:t xml:space="preserve"> </w:t>
      </w:r>
      <w:r w:rsidRPr="00681454">
        <w:rPr>
          <w:i/>
          <w:sz w:val="18"/>
          <w:szCs w:val="18"/>
          <w:lang w:val="en"/>
        </w:rPr>
        <w:t>Odi</w:t>
      </w:r>
      <w:r w:rsidRPr="00681454">
        <w:rPr>
          <w:i/>
          <w:sz w:val="18"/>
          <w:szCs w:val="18"/>
          <w:lang w:val="fr-FR"/>
        </w:rPr>
        <w:t>è</w:t>
      </w:r>
      <w:r w:rsidRPr="00681454">
        <w:rPr>
          <w:i/>
          <w:sz w:val="18"/>
          <w:szCs w:val="18"/>
          <w:lang w:val="en"/>
        </w:rPr>
        <w:t>vre</w:t>
      </w:r>
      <w:r>
        <w:rPr>
          <w:i/>
          <w:sz w:val="18"/>
          <w:szCs w:val="18"/>
          <w:lang w:val="en"/>
        </w:rPr>
        <w:t xml:space="preserve"> v France </w:t>
      </w:r>
      <w:r w:rsidRPr="00F35101">
        <w:rPr>
          <w:sz w:val="18"/>
          <w:szCs w:val="18"/>
          <w:lang w:val="en"/>
        </w:rPr>
        <w:t xml:space="preserve">above note </w:t>
      </w:r>
      <w:r w:rsidR="00A42576">
        <w:rPr>
          <w:sz w:val="18"/>
          <w:szCs w:val="18"/>
          <w:lang w:val="en"/>
        </w:rPr>
        <w:t>95</w:t>
      </w:r>
      <w:r w:rsidRPr="00F35101">
        <w:rPr>
          <w:sz w:val="18"/>
          <w:szCs w:val="18"/>
          <w:lang w:val="en"/>
        </w:rPr>
        <w:t xml:space="preserve"> at 35, 38</w:t>
      </w:r>
      <w:r w:rsidRPr="00681454">
        <w:rPr>
          <w:i/>
          <w:sz w:val="18"/>
          <w:szCs w:val="18"/>
          <w:lang w:val="en"/>
        </w:rPr>
        <w:t>.</w:t>
      </w:r>
      <w:r w:rsidRPr="00681454">
        <w:rPr>
          <w:rFonts w:cs="Times New Roman"/>
          <w:i/>
          <w:sz w:val="18"/>
          <w:szCs w:val="18"/>
        </w:rPr>
        <w:t xml:space="preserve"> </w:t>
      </w:r>
    </w:p>
  </w:footnote>
  <w:footnote w:id="127">
    <w:p w14:paraId="3D2C0A63" w14:textId="505D0786" w:rsidR="005118D3" w:rsidRPr="00681454" w:rsidRDefault="005118D3" w:rsidP="004D3080">
      <w:pPr>
        <w:pStyle w:val="FootnoteText"/>
        <w:jc w:val="both"/>
        <w:rPr>
          <w:sz w:val="18"/>
          <w:szCs w:val="18"/>
        </w:rPr>
      </w:pPr>
      <w:r w:rsidRPr="00681454">
        <w:rPr>
          <w:rStyle w:val="FootnoteReference"/>
          <w:sz w:val="18"/>
          <w:szCs w:val="18"/>
        </w:rPr>
        <w:footnoteRef/>
      </w:r>
      <w:r w:rsidRPr="00681454">
        <w:rPr>
          <w:i/>
          <w:sz w:val="18"/>
          <w:szCs w:val="18"/>
          <w:lang w:val="en"/>
        </w:rPr>
        <w:t>Odi</w:t>
      </w:r>
      <w:r w:rsidRPr="00681454">
        <w:rPr>
          <w:i/>
          <w:sz w:val="18"/>
          <w:szCs w:val="18"/>
          <w:lang w:val="fr-FR"/>
        </w:rPr>
        <w:t>è</w:t>
      </w:r>
      <w:r w:rsidRPr="00681454">
        <w:rPr>
          <w:i/>
          <w:sz w:val="18"/>
          <w:szCs w:val="18"/>
          <w:lang w:val="en"/>
        </w:rPr>
        <w:t>vre</w:t>
      </w:r>
      <w:r w:rsidRPr="00681454">
        <w:rPr>
          <w:rFonts w:cs="Times New Roman"/>
          <w:iCs/>
          <w:sz w:val="18"/>
          <w:szCs w:val="18"/>
        </w:rPr>
        <w:t xml:space="preserve"> </w:t>
      </w:r>
      <w:r>
        <w:rPr>
          <w:rFonts w:cs="Times New Roman"/>
          <w:iCs/>
          <w:sz w:val="18"/>
          <w:szCs w:val="18"/>
        </w:rPr>
        <w:t xml:space="preserve">ibid </w:t>
      </w:r>
      <w:r w:rsidRPr="00681454">
        <w:rPr>
          <w:rFonts w:cs="Times New Roman"/>
          <w:iCs/>
          <w:sz w:val="18"/>
          <w:szCs w:val="18"/>
        </w:rPr>
        <w:t>at [37]</w:t>
      </w:r>
      <w:r w:rsidRPr="00681454">
        <w:rPr>
          <w:sz w:val="18"/>
          <w:szCs w:val="18"/>
        </w:rPr>
        <w:t xml:space="preserve">; </w:t>
      </w:r>
      <w:r w:rsidRPr="00681454">
        <w:rPr>
          <w:rFonts w:cs="Times New Roman"/>
          <w:sz w:val="18"/>
          <w:szCs w:val="18"/>
        </w:rPr>
        <w:t xml:space="preserve">C Bonnet </w:t>
      </w:r>
      <w:r w:rsidRPr="00681454">
        <w:rPr>
          <w:rFonts w:cs="Times New Roman"/>
          <w:i/>
          <w:sz w:val="18"/>
          <w:szCs w:val="18"/>
        </w:rPr>
        <w:t>Gesture of Love</w:t>
      </w:r>
      <w:r w:rsidRPr="00681454">
        <w:rPr>
          <w:rFonts w:cs="Times New Roman"/>
          <w:sz w:val="18"/>
          <w:szCs w:val="18"/>
        </w:rPr>
        <w:t xml:space="preserve"> ibid; N Lefaucheur “The French ‘tradition’ of anonymous birthing: the lines of argument” (2004) 18 </w:t>
      </w:r>
      <w:r w:rsidRPr="00681454">
        <w:rPr>
          <w:rFonts w:cs="Times New Roman"/>
          <w:i/>
          <w:iCs/>
          <w:sz w:val="18"/>
          <w:szCs w:val="18"/>
        </w:rPr>
        <w:t>International Journal of Law, Policy and the Family</w:t>
      </w:r>
      <w:r w:rsidRPr="00681454">
        <w:rPr>
          <w:rFonts w:cs="Times New Roman"/>
          <w:sz w:val="18"/>
          <w:szCs w:val="18"/>
        </w:rPr>
        <w:t xml:space="preserve"> 319.</w:t>
      </w:r>
    </w:p>
  </w:footnote>
  <w:footnote w:id="128">
    <w:p w14:paraId="0E8EEDC0" w14:textId="77777777" w:rsidR="005118D3" w:rsidRPr="00681454" w:rsidRDefault="005118D3" w:rsidP="004D3080">
      <w:pPr>
        <w:pStyle w:val="FootnoteText"/>
        <w:jc w:val="both"/>
        <w:rPr>
          <w:sz w:val="18"/>
          <w:szCs w:val="18"/>
          <w:lang w:val="en-GB"/>
        </w:rPr>
      </w:pPr>
      <w:r w:rsidRPr="00681454">
        <w:rPr>
          <w:rStyle w:val="FootnoteReference"/>
          <w:sz w:val="18"/>
          <w:szCs w:val="18"/>
        </w:rPr>
        <w:footnoteRef/>
      </w:r>
      <w:r w:rsidRPr="00681454">
        <w:rPr>
          <w:sz w:val="18"/>
          <w:szCs w:val="18"/>
        </w:rPr>
        <w:t xml:space="preserve"> </w:t>
      </w:r>
      <w:r w:rsidRPr="00681454">
        <w:rPr>
          <w:i/>
          <w:sz w:val="18"/>
          <w:szCs w:val="18"/>
          <w:lang w:val="en"/>
        </w:rPr>
        <w:t>Odi</w:t>
      </w:r>
      <w:r w:rsidRPr="00681454">
        <w:rPr>
          <w:i/>
          <w:sz w:val="18"/>
          <w:szCs w:val="18"/>
          <w:lang w:val="fr-FR"/>
        </w:rPr>
        <w:t>è</w:t>
      </w:r>
      <w:r w:rsidRPr="00681454">
        <w:rPr>
          <w:i/>
          <w:sz w:val="18"/>
          <w:szCs w:val="18"/>
          <w:lang w:val="en"/>
        </w:rPr>
        <w:t>vre</w:t>
      </w:r>
      <w:r w:rsidRPr="00681454">
        <w:rPr>
          <w:sz w:val="18"/>
          <w:szCs w:val="18"/>
        </w:rPr>
        <w:t xml:space="preserve"> at</w:t>
      </w:r>
      <w:r w:rsidRPr="00681454">
        <w:rPr>
          <w:rFonts w:cs="Times New Roman"/>
          <w:sz w:val="18"/>
          <w:szCs w:val="18"/>
        </w:rPr>
        <w:t xml:space="preserve"> [36]</w:t>
      </w:r>
    </w:p>
  </w:footnote>
  <w:footnote w:id="129">
    <w:p w14:paraId="54F48646" w14:textId="0C8F00F4" w:rsidR="005118D3" w:rsidRPr="00681454" w:rsidRDefault="005118D3" w:rsidP="00C958C6">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w:t>
      </w:r>
      <w:r>
        <w:rPr>
          <w:rFonts w:cs="Times New Roman"/>
          <w:sz w:val="18"/>
          <w:szCs w:val="18"/>
        </w:rPr>
        <w:t>S</w:t>
      </w:r>
      <w:r w:rsidRPr="00681454">
        <w:rPr>
          <w:rFonts w:cs="Times New Roman"/>
          <w:sz w:val="18"/>
          <w:szCs w:val="18"/>
        </w:rPr>
        <w:t xml:space="preserve">ee, for example, C Pateman, </w:t>
      </w:r>
      <w:r w:rsidRPr="00681454">
        <w:rPr>
          <w:rFonts w:cs="Times New Roman"/>
          <w:i/>
          <w:sz w:val="18"/>
          <w:szCs w:val="18"/>
        </w:rPr>
        <w:t>The Sexual Contract</w:t>
      </w:r>
      <w:r w:rsidRPr="00681454">
        <w:rPr>
          <w:rFonts w:cs="Times New Roman"/>
          <w:sz w:val="18"/>
          <w:szCs w:val="18"/>
        </w:rPr>
        <w:t xml:space="preserve"> (Stanford University Press, 1988); F Olsen ‘</w:t>
      </w:r>
      <w:r w:rsidRPr="00681454">
        <w:rPr>
          <w:rFonts w:cs="Times New Roman"/>
          <w:color w:val="333333"/>
          <w:sz w:val="18"/>
          <w:szCs w:val="18"/>
          <w:shd w:val="clear" w:color="auto" w:fill="FFFFFF"/>
        </w:rPr>
        <w:t>The Family and the Market: A Study of Ideology and Legal Reform’ (1083) 96</w:t>
      </w:r>
      <w:r w:rsidRPr="00681454">
        <w:rPr>
          <w:rStyle w:val="apple-converted-space"/>
          <w:rFonts w:cs="Times New Roman"/>
          <w:color w:val="333333"/>
          <w:sz w:val="18"/>
          <w:szCs w:val="18"/>
          <w:shd w:val="clear" w:color="auto" w:fill="FFFFFF"/>
        </w:rPr>
        <w:t> </w:t>
      </w:r>
      <w:r w:rsidRPr="00681454">
        <w:rPr>
          <w:rStyle w:val="Emphasis"/>
          <w:rFonts w:cs="Times New Roman"/>
          <w:color w:val="333333"/>
          <w:sz w:val="18"/>
          <w:szCs w:val="18"/>
          <w:bdr w:val="none" w:sz="0" w:space="0" w:color="auto" w:frame="1"/>
          <w:shd w:val="clear" w:color="auto" w:fill="FFFFFF"/>
        </w:rPr>
        <w:t>Harvard Law Review</w:t>
      </w:r>
      <w:r w:rsidRPr="00681454">
        <w:rPr>
          <w:rStyle w:val="apple-converted-space"/>
          <w:rFonts w:cs="Times New Roman"/>
          <w:color w:val="333333"/>
          <w:sz w:val="18"/>
          <w:szCs w:val="18"/>
          <w:shd w:val="clear" w:color="auto" w:fill="FFFFFF"/>
        </w:rPr>
        <w:t> </w:t>
      </w:r>
      <w:r w:rsidRPr="00681454">
        <w:rPr>
          <w:rFonts w:cs="Times New Roman"/>
          <w:color w:val="333333"/>
          <w:sz w:val="18"/>
          <w:szCs w:val="18"/>
          <w:shd w:val="clear" w:color="auto" w:fill="FFFFFF"/>
        </w:rPr>
        <w:t>1497;</w:t>
      </w:r>
      <w:r w:rsidRPr="00681454" w:rsidDel="008D1F5C">
        <w:rPr>
          <w:rFonts w:cs="Times New Roman"/>
          <w:sz w:val="18"/>
          <w:szCs w:val="18"/>
        </w:rPr>
        <w:t xml:space="preserve"> </w:t>
      </w:r>
      <w:r w:rsidRPr="00681454">
        <w:rPr>
          <w:rFonts w:cs="Times New Roman"/>
          <w:sz w:val="18"/>
          <w:szCs w:val="18"/>
        </w:rPr>
        <w:t xml:space="preserve">A Diduck, </w:t>
      </w:r>
      <w:r w:rsidRPr="00681454">
        <w:rPr>
          <w:rFonts w:cs="Times New Roman"/>
          <w:i/>
          <w:sz w:val="18"/>
          <w:szCs w:val="18"/>
        </w:rPr>
        <w:t>Law’s Families</w:t>
      </w:r>
      <w:r w:rsidRPr="00681454">
        <w:rPr>
          <w:rFonts w:cs="Times New Roman"/>
          <w:sz w:val="18"/>
          <w:szCs w:val="18"/>
        </w:rPr>
        <w:t xml:space="preserve"> (Butterworths, 2003). </w:t>
      </w:r>
    </w:p>
  </w:footnote>
  <w:footnote w:id="130">
    <w:p w14:paraId="28C157A1" w14:textId="1BF673D4" w:rsidR="005118D3" w:rsidRPr="00A31809" w:rsidRDefault="005118D3" w:rsidP="004D3080">
      <w:pPr>
        <w:pStyle w:val="FootnoteText"/>
        <w:jc w:val="both"/>
        <w:rPr>
          <w:sz w:val="18"/>
          <w:szCs w:val="18"/>
          <w:lang w:val="en-GB"/>
        </w:rPr>
      </w:pPr>
      <w:r w:rsidRPr="00681454">
        <w:rPr>
          <w:rStyle w:val="FootnoteReference"/>
          <w:sz w:val="18"/>
          <w:szCs w:val="18"/>
        </w:rPr>
        <w:footnoteRef/>
      </w:r>
      <w:r w:rsidRPr="00681454">
        <w:rPr>
          <w:sz w:val="18"/>
          <w:szCs w:val="18"/>
        </w:rPr>
        <w:t xml:space="preserve"> </w:t>
      </w:r>
      <w:r w:rsidRPr="00681454">
        <w:rPr>
          <w:rFonts w:cs="Times New Roman"/>
          <w:sz w:val="18"/>
          <w:szCs w:val="18"/>
        </w:rPr>
        <w:t xml:space="preserve">J </w:t>
      </w:r>
      <w:r w:rsidRPr="00A31809">
        <w:rPr>
          <w:rFonts w:cs="Times New Roman"/>
          <w:sz w:val="18"/>
          <w:szCs w:val="18"/>
        </w:rPr>
        <w:t xml:space="preserve">Selwyn, P Harris et al ‘Pathways To Permanence for Black, Asian and Mixed Ethnicity Children: Dilemmas, Decision-making and Outcomes’ </w:t>
      </w:r>
      <w:r w:rsidRPr="00A31809">
        <w:rPr>
          <w:rFonts w:cs="Times New Roman"/>
          <w:i/>
          <w:sz w:val="18"/>
          <w:szCs w:val="18"/>
        </w:rPr>
        <w:t>Department for Children, Schools and Families</w:t>
      </w:r>
      <w:r w:rsidRPr="00A31809">
        <w:rPr>
          <w:rFonts w:cs="Times New Roman"/>
          <w:sz w:val="18"/>
          <w:szCs w:val="18"/>
        </w:rPr>
        <w:t xml:space="preserve"> October 2008 DCSF-RBX-13-08 </w:t>
      </w:r>
      <w:r w:rsidRPr="00A31809">
        <w:rPr>
          <w:rFonts w:cs="Times New Roman"/>
          <w:i/>
          <w:sz w:val="18"/>
          <w:szCs w:val="18"/>
        </w:rPr>
        <w:t>Research Brief</w:t>
      </w:r>
      <w:r w:rsidRPr="00A31809">
        <w:rPr>
          <w:rFonts w:cs="Times New Roman"/>
          <w:sz w:val="18"/>
          <w:szCs w:val="18"/>
        </w:rPr>
        <w:t>.</w:t>
      </w:r>
      <w:r w:rsidRPr="00C960FA">
        <w:rPr>
          <w:i/>
          <w:sz w:val="18"/>
          <w:szCs w:val="18"/>
        </w:rPr>
        <w:t xml:space="preserve"> X (Care: Notice of Proceedings) </w:t>
      </w:r>
      <w:r w:rsidRPr="00A31809">
        <w:rPr>
          <w:sz w:val="18"/>
          <w:szCs w:val="18"/>
        </w:rPr>
        <w:t>[1996] 1 FLR 186</w:t>
      </w:r>
      <w:r>
        <w:rPr>
          <w:sz w:val="18"/>
          <w:szCs w:val="18"/>
        </w:rPr>
        <w:t xml:space="preserve"> </w:t>
      </w:r>
      <w:r w:rsidRPr="008A363D">
        <w:rPr>
          <w:sz w:val="18"/>
          <w:szCs w:val="18"/>
        </w:rPr>
        <w:t>discussed in</w:t>
      </w:r>
      <w:r w:rsidRPr="00C960FA">
        <w:rPr>
          <w:sz w:val="18"/>
          <w:szCs w:val="18"/>
        </w:rPr>
        <w:t xml:space="preserve"> Part 1 above seems to have involved similar circumstances</w:t>
      </w:r>
      <w:r>
        <w:rPr>
          <w:sz w:val="18"/>
          <w:szCs w:val="18"/>
        </w:rPr>
        <w:t xml:space="preserve">. </w:t>
      </w:r>
    </w:p>
  </w:footnote>
  <w:footnote w:id="131">
    <w:p w14:paraId="60E842AF" w14:textId="5AE4B3C9" w:rsidR="005118D3" w:rsidRPr="00A31809" w:rsidRDefault="005118D3" w:rsidP="004D3080">
      <w:pPr>
        <w:pStyle w:val="NormalWeb"/>
        <w:spacing w:before="0" w:beforeAutospacing="0" w:after="0" w:afterAutospacing="0"/>
        <w:jc w:val="both"/>
        <w:rPr>
          <w:rFonts w:asciiTheme="minorHAnsi" w:eastAsia="Times New Roman" w:hAnsiTheme="minorHAnsi"/>
          <w:sz w:val="18"/>
          <w:szCs w:val="18"/>
          <w:lang w:eastAsia="en-GB"/>
        </w:rPr>
      </w:pPr>
      <w:r w:rsidRPr="00A31809">
        <w:rPr>
          <w:rStyle w:val="FootnoteReference"/>
          <w:rFonts w:asciiTheme="minorHAnsi" w:hAnsiTheme="minorHAnsi"/>
          <w:sz w:val="18"/>
          <w:szCs w:val="18"/>
        </w:rPr>
        <w:footnoteRef/>
      </w:r>
      <w:r w:rsidRPr="00A31809">
        <w:rPr>
          <w:rFonts w:asciiTheme="minorHAnsi" w:hAnsiTheme="minorHAnsi"/>
          <w:sz w:val="18"/>
          <w:szCs w:val="18"/>
        </w:rPr>
        <w:t xml:space="preserve"> </w:t>
      </w:r>
      <w:r w:rsidRPr="00A31809">
        <w:rPr>
          <w:rFonts w:asciiTheme="minorHAnsi" w:eastAsia="Times New Roman" w:hAnsiTheme="minorHAnsi"/>
          <w:sz w:val="18"/>
          <w:szCs w:val="18"/>
          <w:lang w:eastAsia="en-GB"/>
        </w:rPr>
        <w:t xml:space="preserve">The children in this study came from three local authorities all of which had large minority ethnic </w:t>
      </w:r>
      <w:r w:rsidRPr="00F35101">
        <w:rPr>
          <w:rFonts w:asciiTheme="minorHAnsi" w:eastAsia="Times New Roman" w:hAnsiTheme="minorHAnsi"/>
          <w:sz w:val="18"/>
          <w:szCs w:val="18"/>
          <w:lang w:eastAsia="en-GB"/>
        </w:rPr>
        <w:t>populations. The authorities were in London, the Midlands and the North of England</w:t>
      </w:r>
      <w:r>
        <w:rPr>
          <w:rFonts w:asciiTheme="minorHAnsi" w:eastAsia="Times New Roman" w:hAnsiTheme="minorHAnsi"/>
          <w:sz w:val="18"/>
          <w:szCs w:val="18"/>
          <w:lang w:eastAsia="en-GB"/>
        </w:rPr>
        <w:t xml:space="preserve">; </w:t>
      </w:r>
      <w:r w:rsidRPr="00513BCB">
        <w:rPr>
          <w:rFonts w:asciiTheme="minorHAnsi" w:eastAsia="Times New Roman" w:hAnsiTheme="minorHAnsi"/>
          <w:sz w:val="18"/>
          <w:szCs w:val="18"/>
          <w:lang w:eastAsia="en-GB"/>
        </w:rPr>
        <w:t xml:space="preserve">it is unclear exactly how ‘Asian’ </w:t>
      </w:r>
      <w:r>
        <w:rPr>
          <w:rFonts w:asciiTheme="minorHAnsi" w:eastAsia="Times New Roman" w:hAnsiTheme="minorHAnsi"/>
          <w:sz w:val="18"/>
          <w:szCs w:val="18"/>
          <w:lang w:eastAsia="en-GB"/>
        </w:rPr>
        <w:t>was</w:t>
      </w:r>
      <w:r w:rsidRPr="00513BCB">
        <w:rPr>
          <w:rFonts w:asciiTheme="minorHAnsi" w:eastAsia="Times New Roman" w:hAnsiTheme="minorHAnsi"/>
          <w:sz w:val="18"/>
          <w:szCs w:val="18"/>
          <w:lang w:eastAsia="en-GB"/>
        </w:rPr>
        <w:t xml:space="preserve"> defined</w:t>
      </w:r>
      <w:r w:rsidRPr="00C958C6">
        <w:rPr>
          <w:rFonts w:asciiTheme="minorHAnsi" w:eastAsia="Times New Roman" w:hAnsiTheme="minorHAnsi"/>
          <w:sz w:val="18"/>
          <w:szCs w:val="18"/>
          <w:lang w:eastAsia="en-GB"/>
        </w:rPr>
        <w:t>.</w:t>
      </w:r>
    </w:p>
  </w:footnote>
  <w:footnote w:id="132">
    <w:p w14:paraId="2E3F0C7D" w14:textId="193E3070" w:rsidR="005118D3" w:rsidRPr="00A31809" w:rsidRDefault="005118D3" w:rsidP="004D3080">
      <w:pPr>
        <w:pStyle w:val="FootnoteText"/>
        <w:jc w:val="both"/>
        <w:rPr>
          <w:sz w:val="18"/>
          <w:szCs w:val="18"/>
          <w:lang w:val="en-GB"/>
        </w:rPr>
      </w:pPr>
      <w:r w:rsidRPr="00A31809">
        <w:rPr>
          <w:rStyle w:val="FootnoteReference"/>
          <w:sz w:val="18"/>
          <w:szCs w:val="18"/>
        </w:rPr>
        <w:footnoteRef/>
      </w:r>
      <w:r w:rsidRPr="00A31809">
        <w:rPr>
          <w:sz w:val="18"/>
          <w:szCs w:val="18"/>
        </w:rPr>
        <w:t xml:space="preserve"> K Broadhurst and C Mason ‘Birth Parents and the Collateral Consequences of Court-ordered Child Removal: Towards a Comprehensive Framework’ (2017) 31 </w:t>
      </w:r>
      <w:r w:rsidRPr="00C960FA">
        <w:rPr>
          <w:i/>
          <w:sz w:val="18"/>
          <w:szCs w:val="18"/>
        </w:rPr>
        <w:t>International Journal of Law,</w:t>
      </w:r>
      <w:r w:rsidRPr="00A31809">
        <w:rPr>
          <w:sz w:val="18"/>
          <w:szCs w:val="18"/>
        </w:rPr>
        <w:t xml:space="preserve"> </w:t>
      </w:r>
      <w:r w:rsidRPr="00C960FA">
        <w:rPr>
          <w:i/>
          <w:sz w:val="18"/>
          <w:szCs w:val="18"/>
        </w:rPr>
        <w:t>Policy and the Family</w:t>
      </w:r>
      <w:r w:rsidRPr="00A31809">
        <w:rPr>
          <w:sz w:val="18"/>
          <w:szCs w:val="18"/>
        </w:rPr>
        <w:t xml:space="preserve"> 41; K Broadhurst et al ‘Vulnerable Birth Mothers and repeat losses of infants to public care: is targeted reproductive health care ethically defensible?’ (2015) 37 </w:t>
      </w:r>
      <w:r w:rsidRPr="00C960FA">
        <w:rPr>
          <w:i/>
          <w:sz w:val="18"/>
          <w:szCs w:val="18"/>
        </w:rPr>
        <w:t>Journal of Social Welfare</w:t>
      </w:r>
      <w:r w:rsidRPr="00A31809">
        <w:rPr>
          <w:sz w:val="18"/>
          <w:szCs w:val="18"/>
        </w:rPr>
        <w:t xml:space="preserve"> </w:t>
      </w:r>
      <w:r w:rsidRPr="00C960FA">
        <w:rPr>
          <w:i/>
          <w:sz w:val="18"/>
          <w:szCs w:val="18"/>
        </w:rPr>
        <w:t>and Family Law</w:t>
      </w:r>
      <w:r w:rsidRPr="00A31809">
        <w:rPr>
          <w:sz w:val="18"/>
          <w:szCs w:val="18"/>
        </w:rPr>
        <w:t xml:space="preserve"> 84. See further list of publications and related work available at </w:t>
      </w:r>
      <w:hyperlink r:id="rId13" w:history="1">
        <w:r w:rsidRPr="00A31809">
          <w:rPr>
            <w:rStyle w:val="Hyperlink"/>
            <w:sz w:val="18"/>
            <w:szCs w:val="18"/>
          </w:rPr>
          <w:t>wp.lancs.ac.uk/recurrent-care/publications/</w:t>
        </w:r>
      </w:hyperlink>
      <w:r w:rsidRPr="00A31809">
        <w:rPr>
          <w:sz w:val="18"/>
          <w:szCs w:val="18"/>
        </w:rPr>
        <w:t xml:space="preserve"> </w:t>
      </w:r>
      <w:r w:rsidRPr="008A363D">
        <w:rPr>
          <w:sz w:val="18"/>
          <w:szCs w:val="18"/>
        </w:rPr>
        <w:t xml:space="preserve">last accessed </w:t>
      </w:r>
      <w:r>
        <w:rPr>
          <w:sz w:val="18"/>
          <w:szCs w:val="18"/>
        </w:rPr>
        <w:t>9 April</w:t>
      </w:r>
      <w:r w:rsidRPr="00A31809">
        <w:rPr>
          <w:sz w:val="18"/>
          <w:szCs w:val="18"/>
        </w:rPr>
        <w:t xml:space="preserve"> 2018.</w:t>
      </w:r>
    </w:p>
  </w:footnote>
  <w:footnote w:id="133">
    <w:p w14:paraId="35E5AA8B" w14:textId="4E483710" w:rsidR="005118D3" w:rsidRPr="00681454" w:rsidRDefault="005118D3" w:rsidP="004D3080">
      <w:pPr>
        <w:pStyle w:val="FootnoteText"/>
        <w:jc w:val="both"/>
        <w:rPr>
          <w:sz w:val="18"/>
          <w:szCs w:val="18"/>
        </w:rPr>
      </w:pPr>
      <w:r w:rsidRPr="00A31809">
        <w:rPr>
          <w:rStyle w:val="FootnoteReference"/>
          <w:sz w:val="18"/>
          <w:szCs w:val="18"/>
        </w:rPr>
        <w:footnoteRef/>
      </w:r>
      <w:r w:rsidRPr="00A31809">
        <w:rPr>
          <w:sz w:val="18"/>
          <w:szCs w:val="18"/>
        </w:rPr>
        <w:t xml:space="preserve"> </w:t>
      </w:r>
      <w:r w:rsidRPr="00A31809">
        <w:rPr>
          <w:i/>
          <w:sz w:val="18"/>
          <w:szCs w:val="18"/>
        </w:rPr>
        <w:t>W (A child)</w:t>
      </w:r>
      <w:r w:rsidRPr="00A31809">
        <w:rPr>
          <w:sz w:val="18"/>
          <w:szCs w:val="18"/>
        </w:rPr>
        <w:t xml:space="preserve"> [2016] EWCA Civ 793</w:t>
      </w:r>
      <w:r w:rsidRPr="00681454">
        <w:rPr>
          <w:sz w:val="18"/>
          <w:szCs w:val="18"/>
        </w:rPr>
        <w:t>.</w:t>
      </w:r>
    </w:p>
  </w:footnote>
  <w:footnote w:id="134">
    <w:p w14:paraId="300AAC9E" w14:textId="011F22B9" w:rsidR="005118D3" w:rsidRPr="00745C2C" w:rsidRDefault="005118D3" w:rsidP="004D3080">
      <w:pPr>
        <w:pStyle w:val="FootnoteText"/>
        <w:jc w:val="both"/>
        <w:rPr>
          <w:rFonts w:cs="Times New Roman"/>
          <w:sz w:val="18"/>
          <w:szCs w:val="18"/>
        </w:rPr>
      </w:pPr>
      <w:r w:rsidRPr="00745C2C">
        <w:rPr>
          <w:rStyle w:val="FootnoteReference"/>
          <w:rFonts w:cs="Times New Roman"/>
          <w:sz w:val="18"/>
          <w:szCs w:val="18"/>
        </w:rPr>
        <w:footnoteRef/>
      </w:r>
      <w:r w:rsidRPr="00745C2C">
        <w:rPr>
          <w:rFonts w:cs="Times New Roman"/>
          <w:sz w:val="18"/>
          <w:szCs w:val="18"/>
        </w:rPr>
        <w:t xml:space="preserve"> E Lee at al, </w:t>
      </w:r>
      <w:r w:rsidRPr="00745C2C">
        <w:rPr>
          <w:rFonts w:cs="Times New Roman"/>
          <w:i/>
          <w:sz w:val="18"/>
          <w:szCs w:val="18"/>
        </w:rPr>
        <w:t>A Matter of Choice?</w:t>
      </w:r>
      <w:r w:rsidRPr="00745C2C">
        <w:rPr>
          <w:rFonts w:cs="Times New Roman"/>
          <w:sz w:val="18"/>
          <w:szCs w:val="18"/>
        </w:rPr>
        <w:t xml:space="preserve"> (Joseph Rowntree Foundation, 2004).</w:t>
      </w:r>
    </w:p>
  </w:footnote>
  <w:footnote w:id="135">
    <w:p w14:paraId="7267A758" w14:textId="01D4EE91" w:rsidR="005118D3" w:rsidRPr="00C960FA" w:rsidRDefault="005118D3" w:rsidP="004D3080">
      <w:pPr>
        <w:pStyle w:val="FootnoteText"/>
        <w:jc w:val="both"/>
        <w:rPr>
          <w:sz w:val="18"/>
          <w:szCs w:val="18"/>
          <w:lang w:val="en-GB"/>
        </w:rPr>
      </w:pPr>
      <w:r w:rsidRPr="00C960FA">
        <w:rPr>
          <w:rStyle w:val="FootnoteReference"/>
          <w:sz w:val="18"/>
          <w:szCs w:val="18"/>
        </w:rPr>
        <w:footnoteRef/>
      </w:r>
      <w:r w:rsidRPr="00C960FA">
        <w:rPr>
          <w:sz w:val="18"/>
          <w:szCs w:val="18"/>
        </w:rPr>
        <w:t xml:space="preserve"> </w:t>
      </w:r>
      <w:r w:rsidRPr="00C960FA">
        <w:rPr>
          <w:sz w:val="18"/>
          <w:szCs w:val="18"/>
          <w:lang w:val="en-GB"/>
        </w:rPr>
        <w:t xml:space="preserve">S Sheldon ‘From “absent objects of blame” to “fathers who want to take responsibility”: reforming birth registration law’ (2009) 31 </w:t>
      </w:r>
      <w:r w:rsidRPr="00C960FA">
        <w:rPr>
          <w:i/>
          <w:sz w:val="18"/>
          <w:szCs w:val="18"/>
          <w:lang w:val="en-GB"/>
        </w:rPr>
        <w:t>Journal of Social Welfare and Family Law</w:t>
      </w:r>
      <w:r w:rsidRPr="00C960FA">
        <w:rPr>
          <w:sz w:val="18"/>
          <w:szCs w:val="18"/>
          <w:lang w:val="en-GB"/>
        </w:rPr>
        <w:t xml:space="preserve"> 373; J Wallbank ‘“Bodies in the Shadows”: joint birth regi</w:t>
      </w:r>
      <w:r w:rsidRPr="00204C23">
        <w:rPr>
          <w:sz w:val="18"/>
          <w:szCs w:val="18"/>
          <w:lang w:val="en-GB"/>
        </w:rPr>
        <w:t>st</w:t>
      </w:r>
      <w:r w:rsidRPr="00C960FA">
        <w:rPr>
          <w:sz w:val="18"/>
          <w:szCs w:val="18"/>
          <w:lang w:val="en-GB"/>
        </w:rPr>
        <w:t xml:space="preserve">ration, parental responsibility and social class’ (2009) 21 </w:t>
      </w:r>
      <w:r w:rsidRPr="00C960FA">
        <w:rPr>
          <w:i/>
          <w:sz w:val="18"/>
          <w:szCs w:val="18"/>
          <w:lang w:val="en-GB"/>
        </w:rPr>
        <w:t>Child and Family Law</w:t>
      </w:r>
      <w:r w:rsidRPr="00C960FA">
        <w:rPr>
          <w:sz w:val="18"/>
          <w:szCs w:val="18"/>
          <w:lang w:val="en-GB"/>
        </w:rPr>
        <w:t xml:space="preserve"> </w:t>
      </w:r>
      <w:r w:rsidRPr="00C960FA">
        <w:rPr>
          <w:i/>
          <w:sz w:val="18"/>
          <w:szCs w:val="18"/>
          <w:lang w:val="en-GB"/>
        </w:rPr>
        <w:t>Quarterly</w:t>
      </w:r>
      <w:r w:rsidRPr="00C960FA">
        <w:rPr>
          <w:sz w:val="18"/>
          <w:szCs w:val="18"/>
          <w:lang w:val="en-GB"/>
        </w:rPr>
        <w:t xml:space="preserve"> 267.</w:t>
      </w:r>
    </w:p>
  </w:footnote>
  <w:footnote w:id="136">
    <w:p w14:paraId="2403F3F5" w14:textId="4F109B37" w:rsidR="005118D3" w:rsidRPr="00513BCB" w:rsidRDefault="005118D3">
      <w:pPr>
        <w:pStyle w:val="FootnoteText"/>
        <w:rPr>
          <w:lang w:val="en-GB"/>
        </w:rPr>
      </w:pPr>
      <w:r>
        <w:rPr>
          <w:rStyle w:val="FootnoteReference"/>
        </w:rPr>
        <w:footnoteRef/>
      </w:r>
      <w:r>
        <w:t xml:space="preserve"> </w:t>
      </w:r>
      <w:r w:rsidRPr="00681454">
        <w:rPr>
          <w:rFonts w:cs="Times New Roman"/>
          <w:sz w:val="18"/>
          <w:szCs w:val="18"/>
        </w:rPr>
        <w:t xml:space="preserve">C </w:t>
      </w:r>
      <w:r w:rsidRPr="00681454">
        <w:rPr>
          <w:rFonts w:cs="Times New Roman"/>
          <w:color w:val="000000" w:themeColor="text1"/>
          <w:sz w:val="18"/>
          <w:szCs w:val="18"/>
        </w:rPr>
        <w:t xml:space="preserve">Smart </w:t>
      </w:r>
      <w:r w:rsidRPr="00681454">
        <w:rPr>
          <w:rFonts w:cs="Times New Roman"/>
          <w:color w:val="000000"/>
          <w:sz w:val="18"/>
          <w:szCs w:val="18"/>
          <w:shd w:val="clear" w:color="auto" w:fill="FFFFFF"/>
        </w:rPr>
        <w:t xml:space="preserve">‘Family Secrets: Law and Understandings of Openness in Everyday Relationships’ (2009) 38 </w:t>
      </w:r>
      <w:r w:rsidRPr="00681454">
        <w:rPr>
          <w:rFonts w:cs="Times New Roman"/>
          <w:i/>
          <w:color w:val="000000"/>
          <w:sz w:val="18"/>
          <w:szCs w:val="18"/>
          <w:shd w:val="clear" w:color="auto" w:fill="FFFFFF"/>
        </w:rPr>
        <w:t>Jnl Soc Pol</w:t>
      </w:r>
      <w:r w:rsidRPr="00681454">
        <w:rPr>
          <w:rFonts w:cs="Times New Roman"/>
          <w:color w:val="000000"/>
          <w:sz w:val="18"/>
          <w:szCs w:val="18"/>
          <w:shd w:val="clear" w:color="auto" w:fill="FFFFFF"/>
        </w:rPr>
        <w:t xml:space="preserve"> 551</w:t>
      </w:r>
    </w:p>
  </w:footnote>
  <w:footnote w:id="137">
    <w:p w14:paraId="4FE2B0B4" w14:textId="60D0D4CA" w:rsidR="005118D3" w:rsidRPr="00681454" w:rsidRDefault="005118D3" w:rsidP="004D3080">
      <w:pPr>
        <w:pStyle w:val="FootnoteText"/>
        <w:jc w:val="both"/>
        <w:rPr>
          <w:sz w:val="18"/>
          <w:szCs w:val="18"/>
        </w:rPr>
      </w:pPr>
      <w:r w:rsidRPr="00204C23">
        <w:rPr>
          <w:rStyle w:val="FootnoteReference"/>
          <w:sz w:val="18"/>
          <w:szCs w:val="18"/>
        </w:rPr>
        <w:footnoteRef/>
      </w:r>
      <w:r w:rsidRPr="00204C23">
        <w:rPr>
          <w:sz w:val="18"/>
          <w:szCs w:val="18"/>
        </w:rPr>
        <w:t xml:space="preserve"> L Turney ‘Paternity</w:t>
      </w:r>
      <w:r w:rsidRPr="00681454">
        <w:rPr>
          <w:sz w:val="18"/>
          <w:szCs w:val="18"/>
        </w:rPr>
        <w:t xml:space="preserve"> Secrets: why women don’t tell.’ (2005) 11 </w:t>
      </w:r>
      <w:r w:rsidRPr="00681454">
        <w:rPr>
          <w:i/>
          <w:sz w:val="18"/>
          <w:szCs w:val="18"/>
        </w:rPr>
        <w:t>Journal of Family Studies</w:t>
      </w:r>
      <w:r w:rsidRPr="00681454">
        <w:rPr>
          <w:sz w:val="18"/>
          <w:szCs w:val="18"/>
        </w:rPr>
        <w:t xml:space="preserve"> 227.</w:t>
      </w:r>
    </w:p>
  </w:footnote>
  <w:footnote w:id="138">
    <w:p w14:paraId="46A1C5B4" w14:textId="2BFB6718" w:rsidR="005118D3" w:rsidRPr="00681454" w:rsidRDefault="005118D3" w:rsidP="004D3080">
      <w:pPr>
        <w:jc w:val="both"/>
        <w:rPr>
          <w:rFonts w:cs="Times New Roman"/>
          <w:color w:val="000000" w:themeColor="text1"/>
          <w:sz w:val="18"/>
          <w:szCs w:val="18"/>
        </w:rPr>
      </w:pPr>
      <w:r w:rsidRPr="00681454">
        <w:rPr>
          <w:rStyle w:val="FootnoteReference"/>
          <w:rFonts w:cs="Times New Roman"/>
          <w:sz w:val="18"/>
          <w:szCs w:val="18"/>
        </w:rPr>
        <w:footnoteRef/>
      </w:r>
      <w:r w:rsidRPr="00681454">
        <w:rPr>
          <w:rFonts w:cs="Times New Roman"/>
          <w:sz w:val="18"/>
          <w:szCs w:val="18"/>
        </w:rPr>
        <w:t xml:space="preserve"> C </w:t>
      </w:r>
      <w:r w:rsidRPr="00681454">
        <w:rPr>
          <w:rFonts w:cs="Times New Roman"/>
          <w:color w:val="000000" w:themeColor="text1"/>
          <w:sz w:val="18"/>
          <w:szCs w:val="18"/>
        </w:rPr>
        <w:t xml:space="preserve">Smart </w:t>
      </w:r>
      <w:r w:rsidRPr="00681454">
        <w:rPr>
          <w:rFonts w:cs="Times New Roman"/>
          <w:color w:val="000000"/>
          <w:sz w:val="18"/>
          <w:szCs w:val="18"/>
          <w:shd w:val="clear" w:color="auto" w:fill="FFFFFF"/>
        </w:rPr>
        <w:t xml:space="preserve">‘Family Secrets: Law and Understandings of Openness in Everyday Relationships’ (2009) 38 </w:t>
      </w:r>
      <w:r w:rsidRPr="00681454">
        <w:rPr>
          <w:rFonts w:cs="Times New Roman"/>
          <w:i/>
          <w:color w:val="000000"/>
          <w:sz w:val="18"/>
          <w:szCs w:val="18"/>
          <w:shd w:val="clear" w:color="auto" w:fill="FFFFFF"/>
        </w:rPr>
        <w:t>Jnl Soc Pol</w:t>
      </w:r>
      <w:r w:rsidRPr="00681454">
        <w:rPr>
          <w:rFonts w:cs="Times New Roman"/>
          <w:color w:val="000000"/>
          <w:sz w:val="18"/>
          <w:szCs w:val="18"/>
          <w:shd w:val="clear" w:color="auto" w:fill="FFFFFF"/>
        </w:rPr>
        <w:t xml:space="preserve"> 551</w:t>
      </w:r>
      <w:r w:rsidRPr="00681454" w:rsidDel="00EC1F83">
        <w:rPr>
          <w:rFonts w:cs="Times New Roman"/>
          <w:color w:val="000000"/>
          <w:sz w:val="18"/>
          <w:szCs w:val="18"/>
          <w:shd w:val="clear" w:color="auto" w:fill="FFFFFF"/>
        </w:rPr>
        <w:t xml:space="preserve"> </w:t>
      </w:r>
      <w:r w:rsidRPr="00681454">
        <w:rPr>
          <w:rFonts w:cs="Times New Roman"/>
          <w:color w:val="000000" w:themeColor="text1"/>
          <w:sz w:val="18"/>
          <w:szCs w:val="18"/>
        </w:rPr>
        <w:t xml:space="preserve">at 561-2. </w:t>
      </w:r>
    </w:p>
  </w:footnote>
  <w:footnote w:id="139">
    <w:p w14:paraId="472A5BD6" w14:textId="66AEC953" w:rsidR="005118D3" w:rsidRPr="00681454" w:rsidRDefault="005118D3" w:rsidP="004D3080">
      <w:pPr>
        <w:jc w:val="both"/>
        <w:rPr>
          <w:rFonts w:cs="Times New Roman"/>
          <w:color w:val="000000" w:themeColor="text1"/>
          <w:sz w:val="18"/>
          <w:szCs w:val="18"/>
        </w:rPr>
      </w:pPr>
      <w:r w:rsidRPr="00681454">
        <w:rPr>
          <w:rStyle w:val="FootnoteReference"/>
          <w:rFonts w:cs="Times New Roman"/>
          <w:sz w:val="18"/>
          <w:szCs w:val="18"/>
        </w:rPr>
        <w:footnoteRef/>
      </w:r>
      <w:r w:rsidRPr="00681454">
        <w:rPr>
          <w:rFonts w:cs="Times New Roman"/>
          <w:sz w:val="18"/>
          <w:szCs w:val="18"/>
        </w:rPr>
        <w:t xml:space="preserve"> Ibid at </w:t>
      </w:r>
      <w:r w:rsidRPr="00681454">
        <w:rPr>
          <w:rFonts w:cs="Times New Roman"/>
          <w:color w:val="000000" w:themeColor="text1"/>
          <w:sz w:val="18"/>
          <w:szCs w:val="18"/>
        </w:rPr>
        <w:t>563-564</w:t>
      </w:r>
      <w:r>
        <w:rPr>
          <w:rFonts w:cs="Times New Roman"/>
          <w:color w:val="000000" w:themeColor="text1"/>
          <w:sz w:val="18"/>
          <w:szCs w:val="18"/>
        </w:rPr>
        <w:t>.</w:t>
      </w:r>
    </w:p>
  </w:footnote>
  <w:footnote w:id="140">
    <w:p w14:paraId="123113AE" w14:textId="4B0FB0A5" w:rsidR="005118D3" w:rsidRPr="00681454" w:rsidRDefault="005118D3" w:rsidP="004D3080">
      <w:pPr>
        <w:pStyle w:val="FootnoteText"/>
        <w:jc w:val="both"/>
        <w:rPr>
          <w:sz w:val="18"/>
          <w:szCs w:val="18"/>
          <w:lang w:val="en-GB"/>
        </w:rPr>
      </w:pPr>
      <w:r w:rsidRPr="00681454">
        <w:rPr>
          <w:rStyle w:val="FootnoteReference"/>
          <w:sz w:val="18"/>
          <w:szCs w:val="18"/>
        </w:rPr>
        <w:footnoteRef/>
      </w:r>
      <w:r w:rsidRPr="00681454">
        <w:rPr>
          <w:sz w:val="18"/>
          <w:szCs w:val="18"/>
        </w:rPr>
        <w:t xml:space="preserve"> </w:t>
      </w:r>
      <w:r w:rsidRPr="00681454">
        <w:rPr>
          <w:sz w:val="18"/>
          <w:szCs w:val="18"/>
          <w:lang w:val="en-GB"/>
        </w:rPr>
        <w:t xml:space="preserve">See, for example, analysis by S Ayres ‘Kairos and Safe Havens: The Timing and Calamity of Unwanted Birth’ 15 (2009) </w:t>
      </w:r>
      <w:r w:rsidRPr="00681454">
        <w:rPr>
          <w:i/>
          <w:sz w:val="18"/>
          <w:szCs w:val="18"/>
          <w:lang w:val="en-GB"/>
        </w:rPr>
        <w:t>William &amp; Mary Journal of Women and the Law</w:t>
      </w:r>
      <w:r w:rsidRPr="00681454">
        <w:rPr>
          <w:sz w:val="18"/>
          <w:szCs w:val="18"/>
          <w:lang w:val="en-GB"/>
        </w:rPr>
        <w:t xml:space="preserve"> 227 and analysis by L Chambers ‘Newborn Adoption: Birth Mothers, Genetic Fathers, and Reproductive Autonomy’ (2010) 26 </w:t>
      </w:r>
      <w:r w:rsidRPr="00681454">
        <w:rPr>
          <w:i/>
          <w:sz w:val="18"/>
          <w:szCs w:val="18"/>
          <w:lang w:val="en-GB"/>
        </w:rPr>
        <w:t>Can J Fam L</w:t>
      </w:r>
      <w:r w:rsidRPr="00681454">
        <w:rPr>
          <w:sz w:val="18"/>
          <w:szCs w:val="18"/>
          <w:lang w:val="en-GB"/>
        </w:rPr>
        <w:t xml:space="preserve"> 339. For criticisms of safe haven laws see C Sanger ‘Infant Safe Haven Laws: Legislating in the Culture of Life’ (2006) 106 </w:t>
      </w:r>
      <w:r w:rsidRPr="00681454">
        <w:rPr>
          <w:i/>
          <w:sz w:val="18"/>
          <w:szCs w:val="18"/>
          <w:lang w:val="en-GB"/>
        </w:rPr>
        <w:t>Columbia Law Review</w:t>
      </w:r>
      <w:r w:rsidRPr="00681454">
        <w:rPr>
          <w:sz w:val="18"/>
          <w:szCs w:val="18"/>
          <w:lang w:val="en-GB"/>
        </w:rPr>
        <w:t xml:space="preserve"> 753. Further analysis is beyond the scope of this article. </w:t>
      </w:r>
    </w:p>
  </w:footnote>
  <w:footnote w:id="141">
    <w:p w14:paraId="38727E3E" w14:textId="265F2B63" w:rsidR="005118D3" w:rsidRPr="00A147A1" w:rsidRDefault="005118D3">
      <w:pPr>
        <w:pStyle w:val="FootnoteText"/>
        <w:rPr>
          <w:lang w:val="en-GB"/>
        </w:rPr>
      </w:pPr>
      <w:r>
        <w:rPr>
          <w:rStyle w:val="FootnoteReference"/>
        </w:rPr>
        <w:footnoteRef/>
      </w:r>
      <w:r>
        <w:t xml:space="preserve"> </w:t>
      </w:r>
      <w:r>
        <w:rPr>
          <w:rFonts w:cs="Times New Roman"/>
          <w:sz w:val="18"/>
          <w:szCs w:val="18"/>
        </w:rPr>
        <w:t xml:space="preserve">I </w:t>
      </w:r>
      <w:r w:rsidRPr="00681454">
        <w:rPr>
          <w:rFonts w:cs="Times New Roman"/>
          <w:sz w:val="18"/>
          <w:szCs w:val="18"/>
        </w:rPr>
        <w:t>current</w:t>
      </w:r>
      <w:r>
        <w:rPr>
          <w:rFonts w:cs="Times New Roman"/>
          <w:sz w:val="18"/>
          <w:szCs w:val="18"/>
        </w:rPr>
        <w:t xml:space="preserve">ly have a work in progress on this issue.  </w:t>
      </w:r>
      <w:r w:rsidRPr="00681454">
        <w:rPr>
          <w:rFonts w:cs="Times New Roman"/>
          <w:sz w:val="18"/>
          <w:szCs w:val="18"/>
        </w:rPr>
        <w:t xml:space="preserve">On the topic of children born of war in general, R Charli Carpenter (ed), </w:t>
      </w:r>
      <w:r w:rsidRPr="00681454">
        <w:rPr>
          <w:rFonts w:cs="Times New Roman"/>
          <w:i/>
          <w:sz w:val="18"/>
          <w:szCs w:val="18"/>
        </w:rPr>
        <w:t>Born of War: Protecting Children of Sexual Violence Survivors in Conflict Zones</w:t>
      </w:r>
      <w:r w:rsidRPr="00681454">
        <w:rPr>
          <w:rFonts w:cs="Times New Roman"/>
          <w:sz w:val="18"/>
          <w:szCs w:val="18"/>
        </w:rPr>
        <w:t xml:space="preserve"> (Kumarian Press, 2007)</w:t>
      </w:r>
    </w:p>
  </w:footnote>
  <w:footnote w:id="142">
    <w:p w14:paraId="742C814F" w14:textId="33F893D1" w:rsidR="005118D3" w:rsidRPr="00681454" w:rsidRDefault="005118D3" w:rsidP="004D3080">
      <w:pPr>
        <w:pStyle w:val="FootnoteText"/>
        <w:jc w:val="both"/>
        <w:rPr>
          <w:sz w:val="18"/>
          <w:szCs w:val="18"/>
        </w:rPr>
      </w:pPr>
      <w:r w:rsidRPr="00681454">
        <w:rPr>
          <w:rStyle w:val="FootnoteReference"/>
          <w:rFonts w:cs="Times New Roman"/>
          <w:sz w:val="18"/>
          <w:szCs w:val="18"/>
        </w:rPr>
        <w:footnoteRef/>
      </w:r>
      <w:r w:rsidRPr="00681454">
        <w:rPr>
          <w:rFonts w:cs="Times New Roman"/>
          <w:sz w:val="18"/>
          <w:szCs w:val="18"/>
        </w:rPr>
        <w:t xml:space="preserve"> C Bonnet, </w:t>
      </w:r>
      <w:r w:rsidRPr="00681454">
        <w:rPr>
          <w:rFonts w:cs="Times New Roman"/>
          <w:i/>
          <w:sz w:val="18"/>
          <w:szCs w:val="18"/>
        </w:rPr>
        <w:t>Gesture of Love</w:t>
      </w:r>
      <w:r w:rsidRPr="00681454">
        <w:rPr>
          <w:rFonts w:cs="Times New Roman"/>
          <w:sz w:val="18"/>
          <w:szCs w:val="18"/>
        </w:rPr>
        <w:t xml:space="preserve"> (Editions Odile Jacob</w:t>
      </w:r>
      <w:r>
        <w:rPr>
          <w:rFonts w:cs="Times New Roman"/>
          <w:sz w:val="18"/>
          <w:szCs w:val="18"/>
        </w:rPr>
        <w:t>,</w:t>
      </w:r>
      <w:r w:rsidRPr="00681454">
        <w:rPr>
          <w:rFonts w:cs="Times New Roman"/>
          <w:sz w:val="18"/>
          <w:szCs w:val="18"/>
        </w:rPr>
        <w:t xml:space="preserve"> 1991)</w:t>
      </w:r>
    </w:p>
  </w:footnote>
  <w:footnote w:id="143">
    <w:p w14:paraId="024EFE56" w14:textId="31C85C44"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All reasons provided by the French government for their policy in </w:t>
      </w:r>
      <w:r w:rsidRPr="00681454">
        <w:rPr>
          <w:i/>
          <w:sz w:val="18"/>
          <w:szCs w:val="18"/>
          <w:lang w:val="en"/>
        </w:rPr>
        <w:t>Odi</w:t>
      </w:r>
      <w:r w:rsidRPr="00681454">
        <w:rPr>
          <w:i/>
          <w:sz w:val="18"/>
          <w:szCs w:val="18"/>
          <w:lang w:val="fr-FR"/>
        </w:rPr>
        <w:t>è</w:t>
      </w:r>
      <w:r w:rsidRPr="00681454">
        <w:rPr>
          <w:i/>
          <w:sz w:val="18"/>
          <w:szCs w:val="18"/>
          <w:lang w:val="en"/>
        </w:rPr>
        <w:t>vre.</w:t>
      </w:r>
    </w:p>
  </w:footnote>
  <w:footnote w:id="144">
    <w:p w14:paraId="6442DC21" w14:textId="32B165F2" w:rsidR="005118D3" w:rsidRPr="00681454" w:rsidRDefault="005118D3" w:rsidP="004D3080">
      <w:pPr>
        <w:pStyle w:val="FootnoteText"/>
        <w:jc w:val="both"/>
        <w:rPr>
          <w:rFonts w:cs="Times New Roman"/>
          <w:sz w:val="18"/>
          <w:szCs w:val="18"/>
        </w:rPr>
      </w:pPr>
      <w:r w:rsidRPr="00681454">
        <w:rPr>
          <w:rStyle w:val="FootnoteReference"/>
          <w:rFonts w:cs="Times New Roman"/>
          <w:sz w:val="18"/>
          <w:szCs w:val="18"/>
        </w:rPr>
        <w:footnoteRef/>
      </w:r>
      <w:r w:rsidRPr="00681454">
        <w:rPr>
          <w:rFonts w:cs="Times New Roman"/>
          <w:sz w:val="18"/>
          <w:szCs w:val="18"/>
        </w:rPr>
        <w:t xml:space="preserve"> </w:t>
      </w:r>
      <w:r>
        <w:rPr>
          <w:rFonts w:cs="Times New Roman"/>
          <w:sz w:val="18"/>
          <w:szCs w:val="18"/>
        </w:rPr>
        <w:t xml:space="preserve">Mueller and Sherr ‘Abandoned Babies and Absent Policies’ (2009) 93 Health Policy 157; see also </w:t>
      </w:r>
      <w:r w:rsidRPr="00681454">
        <w:rPr>
          <w:sz w:val="18"/>
          <w:szCs w:val="18"/>
        </w:rPr>
        <w:t xml:space="preserve">Sherr, Mueller and Fox, ‘Abandoned babies in the UK - a review utilizing media reports’ (2009) </w:t>
      </w:r>
      <w:r w:rsidRPr="00681454">
        <w:rPr>
          <w:i/>
          <w:sz w:val="18"/>
          <w:szCs w:val="18"/>
        </w:rPr>
        <w:t>Child Care Health and Development</w:t>
      </w:r>
      <w:r w:rsidRPr="00681454">
        <w:rPr>
          <w:sz w:val="18"/>
          <w:szCs w:val="18"/>
        </w:rPr>
        <w:t xml:space="preserve"> 419.</w:t>
      </w:r>
    </w:p>
  </w:footnote>
  <w:footnote w:id="145">
    <w:p w14:paraId="77105F88" w14:textId="7918425A" w:rsidR="005118D3" w:rsidRPr="00681454" w:rsidRDefault="005118D3" w:rsidP="004D3080">
      <w:pPr>
        <w:jc w:val="both"/>
        <w:rPr>
          <w:rFonts w:eastAsia="Times New Roman" w:cs="Times New Roman"/>
          <w:sz w:val="18"/>
          <w:szCs w:val="18"/>
          <w:lang w:val="en-GB"/>
        </w:rPr>
      </w:pPr>
      <w:r w:rsidRPr="00681454">
        <w:rPr>
          <w:rStyle w:val="FootnoteReference"/>
          <w:sz w:val="18"/>
          <w:szCs w:val="18"/>
        </w:rPr>
        <w:footnoteRef/>
      </w:r>
      <w:r w:rsidRPr="00681454">
        <w:rPr>
          <w:sz w:val="18"/>
          <w:szCs w:val="18"/>
        </w:rPr>
        <w:t xml:space="preserve"> As can be visited in The Foundling Museum in London</w:t>
      </w:r>
      <w:r>
        <w:rPr>
          <w:rFonts w:eastAsia="Times New Roman" w:cs="Times New Roman"/>
          <w:color w:val="006621"/>
          <w:sz w:val="18"/>
          <w:szCs w:val="18"/>
          <w:shd w:val="clear" w:color="auto" w:fill="FFFFFF"/>
          <w:lang w:val="en-GB"/>
        </w:rPr>
        <w:t xml:space="preserve">: </w:t>
      </w:r>
      <w:r w:rsidRPr="00681454">
        <w:rPr>
          <w:rFonts w:eastAsia="Times New Roman" w:cs="Times New Roman"/>
          <w:color w:val="006621"/>
          <w:sz w:val="18"/>
          <w:szCs w:val="18"/>
          <w:shd w:val="clear" w:color="auto" w:fill="FFFFFF"/>
          <w:lang w:val="en-GB"/>
        </w:rPr>
        <w:t>foundlingmuseum.org.uk</w:t>
      </w:r>
      <w:r w:rsidRPr="00681454" w:rsidDel="001F48EE">
        <w:rPr>
          <w:rFonts w:eastAsia="Times New Roman" w:cs="Times New Roman"/>
          <w:color w:val="006621"/>
          <w:sz w:val="18"/>
          <w:szCs w:val="18"/>
          <w:shd w:val="clear" w:color="auto" w:fill="FFFFFF"/>
          <w:lang w:val="en-GB"/>
        </w:rPr>
        <w:t xml:space="preserve"> </w:t>
      </w:r>
      <w:r w:rsidRPr="00741FF0">
        <w:rPr>
          <w:rFonts w:eastAsia="Times New Roman" w:cs="Times New Roman"/>
          <w:color w:val="006621"/>
          <w:sz w:val="18"/>
          <w:szCs w:val="18"/>
          <w:shd w:val="clear" w:color="auto" w:fill="FFFFFF"/>
          <w:lang w:val="en-GB"/>
        </w:rPr>
        <w:t xml:space="preserve">last </w:t>
      </w:r>
      <w:r w:rsidRPr="000A41FD">
        <w:rPr>
          <w:sz w:val="18"/>
          <w:szCs w:val="18"/>
        </w:rPr>
        <w:t>accessed</w:t>
      </w:r>
      <w:r w:rsidRPr="00681454">
        <w:rPr>
          <w:sz w:val="18"/>
          <w:szCs w:val="18"/>
        </w:rPr>
        <w:t xml:space="preserve"> </w:t>
      </w:r>
      <w:r>
        <w:rPr>
          <w:sz w:val="18"/>
          <w:szCs w:val="18"/>
        </w:rPr>
        <w:t>9 April</w:t>
      </w:r>
      <w:r w:rsidRPr="00681454">
        <w:rPr>
          <w:sz w:val="18"/>
          <w:szCs w:val="18"/>
        </w:rPr>
        <w:t xml:space="preserve"> 2018.</w:t>
      </w:r>
    </w:p>
  </w:footnote>
  <w:footnote w:id="146">
    <w:p w14:paraId="7403D7AB" w14:textId="433D4F5C"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‘Letter stored in the Babywiege’  translated from German and reported in ‘The Baby Box returns to Europe’ by Stephan Evans, 26 June 2012, available at </w:t>
      </w:r>
      <w:hyperlink r:id="rId14" w:history="1">
        <w:r w:rsidRPr="00F64114">
          <w:rPr>
            <w:rStyle w:val="Hyperlink"/>
            <w:sz w:val="18"/>
            <w:szCs w:val="18"/>
          </w:rPr>
          <w:t>www.bbc.co.uk/news/magazine-18585020</w:t>
        </w:r>
      </w:hyperlink>
      <w:r w:rsidRPr="00681454">
        <w:rPr>
          <w:sz w:val="18"/>
          <w:szCs w:val="18"/>
        </w:rPr>
        <w:t xml:space="preserve"> last </w:t>
      </w:r>
      <w:r w:rsidRPr="00741FF0">
        <w:rPr>
          <w:sz w:val="18"/>
          <w:szCs w:val="18"/>
        </w:rPr>
        <w:t>accessed</w:t>
      </w:r>
      <w:r w:rsidRPr="00681454">
        <w:rPr>
          <w:sz w:val="18"/>
          <w:szCs w:val="18"/>
        </w:rPr>
        <w:t xml:space="preserve">  </w:t>
      </w:r>
      <w:r>
        <w:rPr>
          <w:sz w:val="18"/>
          <w:szCs w:val="18"/>
        </w:rPr>
        <w:t>9 April</w:t>
      </w:r>
      <w:r w:rsidRPr="00681454">
        <w:rPr>
          <w:sz w:val="18"/>
          <w:szCs w:val="18"/>
        </w:rPr>
        <w:t xml:space="preserve"> 2018.</w:t>
      </w:r>
    </w:p>
  </w:footnote>
  <w:footnote w:id="147">
    <w:p w14:paraId="098931F0" w14:textId="0D417806" w:rsidR="005118D3" w:rsidRPr="00681454" w:rsidRDefault="005118D3" w:rsidP="004D3080">
      <w:pPr>
        <w:pStyle w:val="FootnoteText"/>
        <w:jc w:val="both"/>
        <w:rPr>
          <w:sz w:val="18"/>
          <w:szCs w:val="18"/>
        </w:rPr>
      </w:pPr>
      <w:r w:rsidRPr="00681454">
        <w:rPr>
          <w:rStyle w:val="FootnoteReference"/>
          <w:sz w:val="18"/>
          <w:szCs w:val="18"/>
        </w:rPr>
        <w:footnoteRef/>
      </w:r>
      <w:r w:rsidRPr="00681454">
        <w:rPr>
          <w:sz w:val="18"/>
          <w:szCs w:val="18"/>
        </w:rPr>
        <w:t xml:space="preserve"> See further A Honneth, </w:t>
      </w:r>
      <w:r w:rsidRPr="00681454">
        <w:rPr>
          <w:i/>
          <w:sz w:val="18"/>
          <w:szCs w:val="18"/>
        </w:rPr>
        <w:t>The Struggle for Recognition: The Moral Grammar of Social Conflicts</w:t>
      </w:r>
      <w:r w:rsidRPr="00681454">
        <w:rPr>
          <w:sz w:val="18"/>
          <w:szCs w:val="18"/>
        </w:rPr>
        <w:t xml:space="preserve"> (Polity Press, 1992); and analysis by J Marshall </w:t>
      </w:r>
      <w:r w:rsidRPr="00681454">
        <w:rPr>
          <w:i/>
          <w:sz w:val="18"/>
          <w:szCs w:val="18"/>
        </w:rPr>
        <w:t>Human Rights Law and Personal Identity</w:t>
      </w:r>
      <w:r w:rsidRPr="00681454">
        <w:rPr>
          <w:sz w:val="18"/>
          <w:szCs w:val="18"/>
        </w:rPr>
        <w:t xml:space="preserve"> (Routledge, 2014).</w:t>
      </w:r>
    </w:p>
  </w:footnote>
  <w:footnote w:id="148">
    <w:p w14:paraId="7F9B2315" w14:textId="7A811FBE" w:rsidR="005118D3" w:rsidRPr="0011727B" w:rsidRDefault="005118D3" w:rsidP="00F64114">
      <w:pPr>
        <w:pStyle w:val="FootnoteText"/>
        <w:jc w:val="both"/>
        <w:rPr>
          <w:sz w:val="18"/>
          <w:szCs w:val="18"/>
        </w:rPr>
      </w:pPr>
      <w:r w:rsidRPr="001637D1">
        <w:rPr>
          <w:rStyle w:val="FootnoteReference"/>
          <w:sz w:val="18"/>
          <w:szCs w:val="18"/>
        </w:rPr>
        <w:footnoteRef/>
      </w:r>
      <w:r w:rsidRPr="001637D1">
        <w:rPr>
          <w:sz w:val="18"/>
          <w:szCs w:val="18"/>
        </w:rPr>
        <w:t xml:space="preserve"> A Rich, </w:t>
      </w:r>
      <w:r w:rsidRPr="001637D1">
        <w:rPr>
          <w:i/>
          <w:sz w:val="18"/>
          <w:szCs w:val="18"/>
        </w:rPr>
        <w:t>Of Woman Born</w:t>
      </w:r>
      <w:r>
        <w:rPr>
          <w:sz w:val="18"/>
          <w:szCs w:val="18"/>
        </w:rPr>
        <w:t xml:space="preserve"> (Virago, 1976), at </w:t>
      </w:r>
      <w:r w:rsidRPr="001637D1">
        <w:rPr>
          <w:sz w:val="18"/>
          <w:szCs w:val="18"/>
        </w:rPr>
        <w:t>174.</w:t>
      </w:r>
    </w:p>
  </w:footnote>
  <w:footnote w:id="149">
    <w:p w14:paraId="3895FE3E" w14:textId="221A5883" w:rsidR="005118D3" w:rsidRPr="00681454" w:rsidRDefault="005118D3" w:rsidP="004D3080">
      <w:pPr>
        <w:jc w:val="both"/>
        <w:rPr>
          <w:rFonts w:cs="Times New Roman"/>
          <w:color w:val="000000" w:themeColor="text1"/>
          <w:sz w:val="18"/>
          <w:szCs w:val="18"/>
        </w:rPr>
      </w:pPr>
      <w:r w:rsidRPr="00681454">
        <w:rPr>
          <w:rStyle w:val="FootnoteReference"/>
          <w:rFonts w:cs="Times New Roman"/>
          <w:sz w:val="18"/>
          <w:szCs w:val="18"/>
        </w:rPr>
        <w:footnoteRef/>
      </w:r>
      <w:r w:rsidRPr="00681454">
        <w:rPr>
          <w:rFonts w:cs="Times New Roman"/>
          <w:sz w:val="18"/>
          <w:szCs w:val="18"/>
        </w:rPr>
        <w:t xml:space="preserve"> C </w:t>
      </w:r>
      <w:r w:rsidRPr="00681454">
        <w:rPr>
          <w:rFonts w:cs="Times New Roman"/>
          <w:color w:val="000000" w:themeColor="text1"/>
          <w:sz w:val="18"/>
          <w:szCs w:val="18"/>
        </w:rPr>
        <w:t xml:space="preserve">Smart </w:t>
      </w:r>
      <w:r w:rsidRPr="00681454">
        <w:rPr>
          <w:rFonts w:cs="Times New Roman"/>
          <w:color w:val="000000"/>
          <w:sz w:val="18"/>
          <w:szCs w:val="18"/>
          <w:shd w:val="clear" w:color="auto" w:fill="FFFFFF"/>
        </w:rPr>
        <w:t xml:space="preserve">‘Family Secrets: Law and Understandings of Openness in Everyday Relationships’ (2009) 38 </w:t>
      </w:r>
      <w:r w:rsidRPr="00681454">
        <w:rPr>
          <w:rFonts w:cs="Times New Roman"/>
          <w:i/>
          <w:color w:val="000000"/>
          <w:sz w:val="18"/>
          <w:szCs w:val="18"/>
          <w:shd w:val="clear" w:color="auto" w:fill="FFFFFF"/>
        </w:rPr>
        <w:t>Jnl Soc Pol</w:t>
      </w:r>
      <w:r w:rsidRPr="00681454">
        <w:rPr>
          <w:rFonts w:cs="Times New Roman"/>
          <w:color w:val="000000"/>
          <w:sz w:val="18"/>
          <w:szCs w:val="18"/>
          <w:shd w:val="clear" w:color="auto" w:fill="FFFFFF"/>
        </w:rPr>
        <w:t xml:space="preserve"> 551</w:t>
      </w:r>
      <w:r>
        <w:rPr>
          <w:rFonts w:cs="Times New Roman"/>
          <w:color w:val="000000"/>
          <w:sz w:val="18"/>
          <w:szCs w:val="18"/>
          <w:shd w:val="clear" w:color="auto" w:fill="FFFFFF"/>
        </w:rPr>
        <w:t>,</w:t>
      </w:r>
      <w:r w:rsidRPr="00681454">
        <w:rPr>
          <w:rFonts w:cs="Times New Roman"/>
          <w:color w:val="000000"/>
          <w:sz w:val="18"/>
          <w:szCs w:val="18"/>
          <w:shd w:val="clear" w:color="auto" w:fill="FFFFFF"/>
        </w:rPr>
        <w:t xml:space="preserve"> </w:t>
      </w:r>
      <w:r w:rsidRPr="00681454">
        <w:rPr>
          <w:rFonts w:cs="Times New Roman"/>
          <w:color w:val="000000" w:themeColor="text1"/>
          <w:sz w:val="18"/>
          <w:szCs w:val="18"/>
        </w:rPr>
        <w:t>at 561-2</w:t>
      </w:r>
      <w:r>
        <w:rPr>
          <w:rFonts w:cs="Times New Roman"/>
          <w:color w:val="000000" w:themeColor="text1"/>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E89D" w14:textId="77777777" w:rsidR="005118D3" w:rsidRDefault="007A2B82">
    <w:pPr>
      <w:pStyle w:val="Header"/>
    </w:pPr>
    <w:sdt>
      <w:sdtPr>
        <w:id w:val="171999623"/>
        <w:placeholder>
          <w:docPart w:val="ED97317D27E16E499D6939F617475A35"/>
        </w:placeholder>
        <w:temporary/>
        <w:showingPlcHdr/>
      </w:sdtPr>
      <w:sdtEndPr/>
      <w:sdtContent>
        <w:r w:rsidR="005118D3">
          <w:t>[Type text]</w:t>
        </w:r>
      </w:sdtContent>
    </w:sdt>
    <w:r w:rsidR="005118D3">
      <w:ptab w:relativeTo="margin" w:alignment="center" w:leader="none"/>
    </w:r>
    <w:sdt>
      <w:sdtPr>
        <w:id w:val="171999624"/>
        <w:placeholder>
          <w:docPart w:val="94F9AA93CB05C64B87461189CC448326"/>
        </w:placeholder>
        <w:temporary/>
        <w:showingPlcHdr/>
      </w:sdtPr>
      <w:sdtEndPr/>
      <w:sdtContent>
        <w:r w:rsidR="005118D3">
          <w:t>[Type text]</w:t>
        </w:r>
      </w:sdtContent>
    </w:sdt>
    <w:r w:rsidR="005118D3">
      <w:ptab w:relativeTo="margin" w:alignment="right" w:leader="none"/>
    </w:r>
    <w:sdt>
      <w:sdtPr>
        <w:id w:val="171999625"/>
        <w:placeholder>
          <w:docPart w:val="892EDF35DC393D48BEE0F85BEC25C786"/>
        </w:placeholder>
        <w:temporary/>
        <w:showingPlcHdr/>
      </w:sdtPr>
      <w:sdtEndPr/>
      <w:sdtContent>
        <w:r w:rsidR="005118D3">
          <w:t>[Type text]</w:t>
        </w:r>
      </w:sdtContent>
    </w:sdt>
  </w:p>
  <w:p w14:paraId="4D25DCD4" w14:textId="77777777" w:rsidR="005118D3" w:rsidRDefault="00511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02422F2"/>
    <w:lvl w:ilvl="0" w:tplc="10A847EA">
      <w:numFmt w:val="none"/>
      <w:lvlText w:val=""/>
      <w:lvlJc w:val="left"/>
      <w:pPr>
        <w:tabs>
          <w:tab w:val="num" w:pos="360"/>
        </w:tabs>
      </w:pPr>
    </w:lvl>
    <w:lvl w:ilvl="1" w:tplc="6616CF78">
      <w:numFmt w:val="decimal"/>
      <w:lvlText w:val=""/>
      <w:lvlJc w:val="left"/>
    </w:lvl>
    <w:lvl w:ilvl="2" w:tplc="CB60A6EA">
      <w:numFmt w:val="decimal"/>
      <w:lvlText w:val=""/>
      <w:lvlJc w:val="left"/>
    </w:lvl>
    <w:lvl w:ilvl="3" w:tplc="CB3C746E">
      <w:numFmt w:val="decimal"/>
      <w:lvlText w:val=""/>
      <w:lvlJc w:val="left"/>
    </w:lvl>
    <w:lvl w:ilvl="4" w:tplc="3FCE3012">
      <w:numFmt w:val="decimal"/>
      <w:lvlText w:val=""/>
      <w:lvlJc w:val="left"/>
    </w:lvl>
    <w:lvl w:ilvl="5" w:tplc="AF3411BE">
      <w:numFmt w:val="decimal"/>
      <w:lvlText w:val=""/>
      <w:lvlJc w:val="left"/>
    </w:lvl>
    <w:lvl w:ilvl="6" w:tplc="0C86EC16">
      <w:numFmt w:val="decimal"/>
      <w:lvlText w:val=""/>
      <w:lvlJc w:val="left"/>
    </w:lvl>
    <w:lvl w:ilvl="7" w:tplc="95600DFA">
      <w:numFmt w:val="decimal"/>
      <w:lvlText w:val=""/>
      <w:lvlJc w:val="left"/>
    </w:lvl>
    <w:lvl w:ilvl="8" w:tplc="7B4A3406">
      <w:numFmt w:val="decimal"/>
      <w:lvlText w:val=""/>
      <w:lvlJc w:val="left"/>
    </w:lvl>
  </w:abstractNum>
  <w:abstractNum w:abstractNumId="1" w15:restartNumberingAfterBreak="0">
    <w:nsid w:val="071B3C05"/>
    <w:multiLevelType w:val="hybridMultilevel"/>
    <w:tmpl w:val="656A2088"/>
    <w:lvl w:ilvl="0" w:tplc="0B62F4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82817"/>
    <w:multiLevelType w:val="hybridMultilevel"/>
    <w:tmpl w:val="3EB6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6025"/>
    <w:multiLevelType w:val="hybridMultilevel"/>
    <w:tmpl w:val="872C3BDC"/>
    <w:lvl w:ilvl="0" w:tplc="08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51407106">
      <w:start w:val="22"/>
      <w:numFmt w:val="bullet"/>
      <w:lvlText w:val="-"/>
      <w:lvlJc w:val="left"/>
      <w:pPr>
        <w:tabs>
          <w:tab w:val="num" w:pos="2517"/>
        </w:tabs>
        <w:ind w:left="2517" w:hanging="360"/>
      </w:pPr>
      <w:rPr>
        <w:rFonts w:ascii="Times New Roman" w:eastAsia="Times New Roman" w:hAnsi="Times New Roman" w:cs="Times New Roman"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2F1148AA"/>
    <w:multiLevelType w:val="hybridMultilevel"/>
    <w:tmpl w:val="33B8780A"/>
    <w:lvl w:ilvl="0" w:tplc="701AF0A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867F4"/>
    <w:multiLevelType w:val="hybridMultilevel"/>
    <w:tmpl w:val="09A08B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104A1"/>
    <w:multiLevelType w:val="hybridMultilevel"/>
    <w:tmpl w:val="A22CEE0A"/>
    <w:lvl w:ilvl="0" w:tplc="BCF45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B024A"/>
    <w:multiLevelType w:val="hybridMultilevel"/>
    <w:tmpl w:val="EE6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E5383"/>
    <w:multiLevelType w:val="hybridMultilevel"/>
    <w:tmpl w:val="3EBE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339EC"/>
    <w:multiLevelType w:val="hybridMultilevel"/>
    <w:tmpl w:val="95DC8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E2295"/>
    <w:multiLevelType w:val="multilevel"/>
    <w:tmpl w:val="BCF0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67C6A"/>
    <w:multiLevelType w:val="hybridMultilevel"/>
    <w:tmpl w:val="4E625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37343"/>
    <w:multiLevelType w:val="hybridMultilevel"/>
    <w:tmpl w:val="1464C0FA"/>
    <w:lvl w:ilvl="0" w:tplc="F69200E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95441"/>
    <w:multiLevelType w:val="hybridMultilevel"/>
    <w:tmpl w:val="28A6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13907"/>
    <w:multiLevelType w:val="hybridMultilevel"/>
    <w:tmpl w:val="EE62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52B9E"/>
    <w:multiLevelType w:val="hybridMultilevel"/>
    <w:tmpl w:val="D5D6177A"/>
    <w:lvl w:ilvl="0" w:tplc="08E24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B4207"/>
    <w:multiLevelType w:val="hybridMultilevel"/>
    <w:tmpl w:val="1A3E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66267C"/>
    <w:multiLevelType w:val="hybridMultilevel"/>
    <w:tmpl w:val="DE24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0"/>
  </w:num>
  <w:num w:numId="5">
    <w:abstractNumId w:val="16"/>
  </w:num>
  <w:num w:numId="6">
    <w:abstractNumId w:val="4"/>
  </w:num>
  <w:num w:numId="7">
    <w:abstractNumId w:val="6"/>
  </w:num>
  <w:num w:numId="8">
    <w:abstractNumId w:val="9"/>
  </w:num>
  <w:num w:numId="9">
    <w:abstractNumId w:val="1"/>
  </w:num>
  <w:num w:numId="10">
    <w:abstractNumId w:val="13"/>
  </w:num>
  <w:num w:numId="11">
    <w:abstractNumId w:val="8"/>
  </w:num>
  <w:num w:numId="12">
    <w:abstractNumId w:val="11"/>
  </w:num>
  <w:num w:numId="13">
    <w:abstractNumId w:val="5"/>
  </w:num>
  <w:num w:numId="14">
    <w:abstractNumId w:val="2"/>
  </w:num>
  <w:num w:numId="15">
    <w:abstractNumId w:val="15"/>
  </w:num>
  <w:num w:numId="16">
    <w:abstractNumId w:val="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18"/>
    <w:rsid w:val="00000764"/>
    <w:rsid w:val="0000200D"/>
    <w:rsid w:val="00004C52"/>
    <w:rsid w:val="00006D36"/>
    <w:rsid w:val="00007752"/>
    <w:rsid w:val="00010481"/>
    <w:rsid w:val="00012135"/>
    <w:rsid w:val="0001383D"/>
    <w:rsid w:val="00014632"/>
    <w:rsid w:val="00014A0D"/>
    <w:rsid w:val="00014AFC"/>
    <w:rsid w:val="00020860"/>
    <w:rsid w:val="000208B6"/>
    <w:rsid w:val="00023AE5"/>
    <w:rsid w:val="00023E2A"/>
    <w:rsid w:val="00030380"/>
    <w:rsid w:val="0003051A"/>
    <w:rsid w:val="00034A98"/>
    <w:rsid w:val="00037802"/>
    <w:rsid w:val="00037A41"/>
    <w:rsid w:val="000414E1"/>
    <w:rsid w:val="00042B0C"/>
    <w:rsid w:val="00042CA4"/>
    <w:rsid w:val="00043FED"/>
    <w:rsid w:val="00046018"/>
    <w:rsid w:val="0004719D"/>
    <w:rsid w:val="00050EB4"/>
    <w:rsid w:val="00055C73"/>
    <w:rsid w:val="00057A1F"/>
    <w:rsid w:val="00064485"/>
    <w:rsid w:val="0006493A"/>
    <w:rsid w:val="0006522A"/>
    <w:rsid w:val="0007198F"/>
    <w:rsid w:val="00071E5E"/>
    <w:rsid w:val="00072DD8"/>
    <w:rsid w:val="00073160"/>
    <w:rsid w:val="000779FC"/>
    <w:rsid w:val="000815F5"/>
    <w:rsid w:val="00081CE2"/>
    <w:rsid w:val="0008656A"/>
    <w:rsid w:val="00090FE6"/>
    <w:rsid w:val="00094A7A"/>
    <w:rsid w:val="00097034"/>
    <w:rsid w:val="000A10C7"/>
    <w:rsid w:val="000A1DE9"/>
    <w:rsid w:val="000A41FD"/>
    <w:rsid w:val="000A4E97"/>
    <w:rsid w:val="000A5308"/>
    <w:rsid w:val="000A5A54"/>
    <w:rsid w:val="000A5F6D"/>
    <w:rsid w:val="000A75DD"/>
    <w:rsid w:val="000A7D92"/>
    <w:rsid w:val="000B0F27"/>
    <w:rsid w:val="000B26E5"/>
    <w:rsid w:val="000B5D56"/>
    <w:rsid w:val="000B6141"/>
    <w:rsid w:val="000B6779"/>
    <w:rsid w:val="000C1AC4"/>
    <w:rsid w:val="000C4434"/>
    <w:rsid w:val="000C6108"/>
    <w:rsid w:val="000C657D"/>
    <w:rsid w:val="000D3418"/>
    <w:rsid w:val="000D3A1A"/>
    <w:rsid w:val="000D48B9"/>
    <w:rsid w:val="000D56ED"/>
    <w:rsid w:val="000D61C0"/>
    <w:rsid w:val="000D6FB7"/>
    <w:rsid w:val="000E0A71"/>
    <w:rsid w:val="000E7653"/>
    <w:rsid w:val="000F0C18"/>
    <w:rsid w:val="000F1B0A"/>
    <w:rsid w:val="000F1BF0"/>
    <w:rsid w:val="000F2126"/>
    <w:rsid w:val="000F57AE"/>
    <w:rsid w:val="001054D1"/>
    <w:rsid w:val="001102BA"/>
    <w:rsid w:val="00111156"/>
    <w:rsid w:val="00112390"/>
    <w:rsid w:val="00113C27"/>
    <w:rsid w:val="00114417"/>
    <w:rsid w:val="001161BB"/>
    <w:rsid w:val="00116D64"/>
    <w:rsid w:val="0011727B"/>
    <w:rsid w:val="00123FD8"/>
    <w:rsid w:val="00126707"/>
    <w:rsid w:val="00130772"/>
    <w:rsid w:val="00131042"/>
    <w:rsid w:val="0013105A"/>
    <w:rsid w:val="00132128"/>
    <w:rsid w:val="00134C28"/>
    <w:rsid w:val="001400E0"/>
    <w:rsid w:val="001405D6"/>
    <w:rsid w:val="001427A1"/>
    <w:rsid w:val="00146FE4"/>
    <w:rsid w:val="00151527"/>
    <w:rsid w:val="00154E60"/>
    <w:rsid w:val="001554CC"/>
    <w:rsid w:val="00162DE3"/>
    <w:rsid w:val="001637D1"/>
    <w:rsid w:val="00171646"/>
    <w:rsid w:val="001831DD"/>
    <w:rsid w:val="001909FA"/>
    <w:rsid w:val="00192448"/>
    <w:rsid w:val="00192BB0"/>
    <w:rsid w:val="001952EB"/>
    <w:rsid w:val="001A06E5"/>
    <w:rsid w:val="001A6230"/>
    <w:rsid w:val="001B042B"/>
    <w:rsid w:val="001B1EDA"/>
    <w:rsid w:val="001B26F3"/>
    <w:rsid w:val="001B515C"/>
    <w:rsid w:val="001B7FA3"/>
    <w:rsid w:val="001C259D"/>
    <w:rsid w:val="001C4514"/>
    <w:rsid w:val="001D1C09"/>
    <w:rsid w:val="001D4EA9"/>
    <w:rsid w:val="001D5025"/>
    <w:rsid w:val="001D5365"/>
    <w:rsid w:val="001D600C"/>
    <w:rsid w:val="001D616E"/>
    <w:rsid w:val="001D6FAA"/>
    <w:rsid w:val="001E04AC"/>
    <w:rsid w:val="001E1CC2"/>
    <w:rsid w:val="001F1F95"/>
    <w:rsid w:val="001F33DD"/>
    <w:rsid w:val="001F3A5F"/>
    <w:rsid w:val="001F48EE"/>
    <w:rsid w:val="001F52C0"/>
    <w:rsid w:val="001F64D7"/>
    <w:rsid w:val="0020010C"/>
    <w:rsid w:val="00202035"/>
    <w:rsid w:val="00204C23"/>
    <w:rsid w:val="00207EC7"/>
    <w:rsid w:val="00210833"/>
    <w:rsid w:val="00215B64"/>
    <w:rsid w:val="00216D48"/>
    <w:rsid w:val="00222B44"/>
    <w:rsid w:val="002256FC"/>
    <w:rsid w:val="00231AF9"/>
    <w:rsid w:val="00231DC5"/>
    <w:rsid w:val="0023297C"/>
    <w:rsid w:val="00232E8F"/>
    <w:rsid w:val="00233B2B"/>
    <w:rsid w:val="00235ADE"/>
    <w:rsid w:val="00236CBC"/>
    <w:rsid w:val="00246B77"/>
    <w:rsid w:val="002511C3"/>
    <w:rsid w:val="00252099"/>
    <w:rsid w:val="002542EE"/>
    <w:rsid w:val="002617CB"/>
    <w:rsid w:val="002624E4"/>
    <w:rsid w:val="00263928"/>
    <w:rsid w:val="00263ED2"/>
    <w:rsid w:val="00270B6F"/>
    <w:rsid w:val="00272094"/>
    <w:rsid w:val="0027396F"/>
    <w:rsid w:val="00274FF4"/>
    <w:rsid w:val="0027735F"/>
    <w:rsid w:val="00281406"/>
    <w:rsid w:val="00281943"/>
    <w:rsid w:val="00283E73"/>
    <w:rsid w:val="00285D44"/>
    <w:rsid w:val="00290C8A"/>
    <w:rsid w:val="00294633"/>
    <w:rsid w:val="002949FB"/>
    <w:rsid w:val="0029740F"/>
    <w:rsid w:val="002A0026"/>
    <w:rsid w:val="002A0E35"/>
    <w:rsid w:val="002A1312"/>
    <w:rsid w:val="002A4EB9"/>
    <w:rsid w:val="002A5720"/>
    <w:rsid w:val="002B2FEE"/>
    <w:rsid w:val="002C00AC"/>
    <w:rsid w:val="002C1C8A"/>
    <w:rsid w:val="002C4AD8"/>
    <w:rsid w:val="002C7DAD"/>
    <w:rsid w:val="002C7EB4"/>
    <w:rsid w:val="002D13FB"/>
    <w:rsid w:val="002D1C7E"/>
    <w:rsid w:val="002D4D44"/>
    <w:rsid w:val="002D5889"/>
    <w:rsid w:val="002D6191"/>
    <w:rsid w:val="002D7B08"/>
    <w:rsid w:val="002E2CD7"/>
    <w:rsid w:val="002E3188"/>
    <w:rsid w:val="002E3A55"/>
    <w:rsid w:val="002E6BDB"/>
    <w:rsid w:val="002F3D91"/>
    <w:rsid w:val="002F5D32"/>
    <w:rsid w:val="002F662E"/>
    <w:rsid w:val="002F6810"/>
    <w:rsid w:val="002F7E91"/>
    <w:rsid w:val="00300134"/>
    <w:rsid w:val="00303FBC"/>
    <w:rsid w:val="00305252"/>
    <w:rsid w:val="003115BB"/>
    <w:rsid w:val="0031423C"/>
    <w:rsid w:val="00316165"/>
    <w:rsid w:val="00316561"/>
    <w:rsid w:val="0033320B"/>
    <w:rsid w:val="00341313"/>
    <w:rsid w:val="0034396B"/>
    <w:rsid w:val="003447C4"/>
    <w:rsid w:val="00352D44"/>
    <w:rsid w:val="00355C67"/>
    <w:rsid w:val="00356570"/>
    <w:rsid w:val="00361A82"/>
    <w:rsid w:val="0036256F"/>
    <w:rsid w:val="00364A61"/>
    <w:rsid w:val="00365F24"/>
    <w:rsid w:val="00371755"/>
    <w:rsid w:val="0039696B"/>
    <w:rsid w:val="003A3224"/>
    <w:rsid w:val="003B0F15"/>
    <w:rsid w:val="003B2193"/>
    <w:rsid w:val="003B2671"/>
    <w:rsid w:val="003B63D3"/>
    <w:rsid w:val="003C0903"/>
    <w:rsid w:val="003C0AB3"/>
    <w:rsid w:val="003C0BE9"/>
    <w:rsid w:val="003C744E"/>
    <w:rsid w:val="003D11DB"/>
    <w:rsid w:val="003D1334"/>
    <w:rsid w:val="003D1C3B"/>
    <w:rsid w:val="003D4483"/>
    <w:rsid w:val="003D624D"/>
    <w:rsid w:val="003E14A8"/>
    <w:rsid w:val="003E30B3"/>
    <w:rsid w:val="003E313D"/>
    <w:rsid w:val="003F08DF"/>
    <w:rsid w:val="003F0B20"/>
    <w:rsid w:val="003F1A99"/>
    <w:rsid w:val="003F355A"/>
    <w:rsid w:val="003F61C9"/>
    <w:rsid w:val="0040305D"/>
    <w:rsid w:val="004039FB"/>
    <w:rsid w:val="004147D0"/>
    <w:rsid w:val="004254CB"/>
    <w:rsid w:val="00432BA7"/>
    <w:rsid w:val="00432DEC"/>
    <w:rsid w:val="0043391C"/>
    <w:rsid w:val="00433C71"/>
    <w:rsid w:val="0043460C"/>
    <w:rsid w:val="004433C0"/>
    <w:rsid w:val="004441EA"/>
    <w:rsid w:val="00444F3C"/>
    <w:rsid w:val="004478A5"/>
    <w:rsid w:val="004500FB"/>
    <w:rsid w:val="00450431"/>
    <w:rsid w:val="0045651F"/>
    <w:rsid w:val="00457381"/>
    <w:rsid w:val="0046089E"/>
    <w:rsid w:val="004633CC"/>
    <w:rsid w:val="004638C5"/>
    <w:rsid w:val="00466A68"/>
    <w:rsid w:val="004676A6"/>
    <w:rsid w:val="00467AA3"/>
    <w:rsid w:val="0047131B"/>
    <w:rsid w:val="00472E4A"/>
    <w:rsid w:val="00475829"/>
    <w:rsid w:val="00475893"/>
    <w:rsid w:val="00480B48"/>
    <w:rsid w:val="00485D23"/>
    <w:rsid w:val="004916C2"/>
    <w:rsid w:val="00491F07"/>
    <w:rsid w:val="00493504"/>
    <w:rsid w:val="00497CF6"/>
    <w:rsid w:val="004A297E"/>
    <w:rsid w:val="004A372F"/>
    <w:rsid w:val="004A521B"/>
    <w:rsid w:val="004A53CB"/>
    <w:rsid w:val="004B16EE"/>
    <w:rsid w:val="004B3B4B"/>
    <w:rsid w:val="004B6E49"/>
    <w:rsid w:val="004C51AD"/>
    <w:rsid w:val="004D3080"/>
    <w:rsid w:val="004D42B9"/>
    <w:rsid w:val="004D43B6"/>
    <w:rsid w:val="004E0861"/>
    <w:rsid w:val="004E2C9F"/>
    <w:rsid w:val="004E4861"/>
    <w:rsid w:val="004E7260"/>
    <w:rsid w:val="004F0E1B"/>
    <w:rsid w:val="004F5004"/>
    <w:rsid w:val="004F6095"/>
    <w:rsid w:val="004F6B24"/>
    <w:rsid w:val="004F783F"/>
    <w:rsid w:val="0050026A"/>
    <w:rsid w:val="00501243"/>
    <w:rsid w:val="00506B8F"/>
    <w:rsid w:val="00506E6E"/>
    <w:rsid w:val="00510A70"/>
    <w:rsid w:val="005118D3"/>
    <w:rsid w:val="00513075"/>
    <w:rsid w:val="00513BCB"/>
    <w:rsid w:val="00513E1F"/>
    <w:rsid w:val="00517270"/>
    <w:rsid w:val="00520214"/>
    <w:rsid w:val="00521DC8"/>
    <w:rsid w:val="00522914"/>
    <w:rsid w:val="00525756"/>
    <w:rsid w:val="00526BBB"/>
    <w:rsid w:val="00527B65"/>
    <w:rsid w:val="00527C0C"/>
    <w:rsid w:val="00527D53"/>
    <w:rsid w:val="00534AB0"/>
    <w:rsid w:val="00534AF1"/>
    <w:rsid w:val="00535DB0"/>
    <w:rsid w:val="00541551"/>
    <w:rsid w:val="0054216F"/>
    <w:rsid w:val="00543FCD"/>
    <w:rsid w:val="0054449C"/>
    <w:rsid w:val="005458FA"/>
    <w:rsid w:val="00546A8C"/>
    <w:rsid w:val="00546C76"/>
    <w:rsid w:val="00546D82"/>
    <w:rsid w:val="005507DC"/>
    <w:rsid w:val="00551D9E"/>
    <w:rsid w:val="00555485"/>
    <w:rsid w:val="005676DD"/>
    <w:rsid w:val="00567DA0"/>
    <w:rsid w:val="00570DC1"/>
    <w:rsid w:val="00573B35"/>
    <w:rsid w:val="00585C10"/>
    <w:rsid w:val="005931C0"/>
    <w:rsid w:val="00593A9F"/>
    <w:rsid w:val="00594567"/>
    <w:rsid w:val="005A1322"/>
    <w:rsid w:val="005A275D"/>
    <w:rsid w:val="005B0453"/>
    <w:rsid w:val="005B1468"/>
    <w:rsid w:val="005B2FA5"/>
    <w:rsid w:val="005B30CB"/>
    <w:rsid w:val="005B62A1"/>
    <w:rsid w:val="005C0E30"/>
    <w:rsid w:val="005C2402"/>
    <w:rsid w:val="005C2C37"/>
    <w:rsid w:val="005C37D7"/>
    <w:rsid w:val="005D02DF"/>
    <w:rsid w:val="005D2F3B"/>
    <w:rsid w:val="005D4B30"/>
    <w:rsid w:val="005D6565"/>
    <w:rsid w:val="005E33A0"/>
    <w:rsid w:val="005E63A3"/>
    <w:rsid w:val="005F2C6D"/>
    <w:rsid w:val="005F3F38"/>
    <w:rsid w:val="005F72F9"/>
    <w:rsid w:val="00601658"/>
    <w:rsid w:val="00603029"/>
    <w:rsid w:val="00611FDA"/>
    <w:rsid w:val="006130A2"/>
    <w:rsid w:val="00614319"/>
    <w:rsid w:val="00617019"/>
    <w:rsid w:val="00617A3B"/>
    <w:rsid w:val="006255DA"/>
    <w:rsid w:val="00626D09"/>
    <w:rsid w:val="00627040"/>
    <w:rsid w:val="006337EC"/>
    <w:rsid w:val="0063673E"/>
    <w:rsid w:val="00641322"/>
    <w:rsid w:val="00642C24"/>
    <w:rsid w:val="00645564"/>
    <w:rsid w:val="00645750"/>
    <w:rsid w:val="00650098"/>
    <w:rsid w:val="006530AA"/>
    <w:rsid w:val="0065777C"/>
    <w:rsid w:val="00664B9D"/>
    <w:rsid w:val="00665838"/>
    <w:rsid w:val="006658EA"/>
    <w:rsid w:val="00667ACC"/>
    <w:rsid w:val="00670869"/>
    <w:rsid w:val="00673C39"/>
    <w:rsid w:val="006740EA"/>
    <w:rsid w:val="006766CB"/>
    <w:rsid w:val="00681454"/>
    <w:rsid w:val="00682F1C"/>
    <w:rsid w:val="00683698"/>
    <w:rsid w:val="0068398E"/>
    <w:rsid w:val="00685801"/>
    <w:rsid w:val="006940B0"/>
    <w:rsid w:val="006946D5"/>
    <w:rsid w:val="006A1008"/>
    <w:rsid w:val="006A3A45"/>
    <w:rsid w:val="006A41D8"/>
    <w:rsid w:val="006B5BAC"/>
    <w:rsid w:val="006C34BA"/>
    <w:rsid w:val="006C45E5"/>
    <w:rsid w:val="006C4E5B"/>
    <w:rsid w:val="006E10A5"/>
    <w:rsid w:val="006E5E6C"/>
    <w:rsid w:val="006F3E28"/>
    <w:rsid w:val="006F4D0D"/>
    <w:rsid w:val="007009AD"/>
    <w:rsid w:val="007020E4"/>
    <w:rsid w:val="00706844"/>
    <w:rsid w:val="00706D5B"/>
    <w:rsid w:val="0071227C"/>
    <w:rsid w:val="00714EFC"/>
    <w:rsid w:val="0071545E"/>
    <w:rsid w:val="0072239D"/>
    <w:rsid w:val="00723C68"/>
    <w:rsid w:val="007262F0"/>
    <w:rsid w:val="0073021B"/>
    <w:rsid w:val="007327C1"/>
    <w:rsid w:val="00740008"/>
    <w:rsid w:val="00741FF0"/>
    <w:rsid w:val="00744637"/>
    <w:rsid w:val="007454A4"/>
    <w:rsid w:val="00745A83"/>
    <w:rsid w:val="00745C2C"/>
    <w:rsid w:val="00745FBE"/>
    <w:rsid w:val="00747054"/>
    <w:rsid w:val="007506AE"/>
    <w:rsid w:val="00750E8B"/>
    <w:rsid w:val="007560E2"/>
    <w:rsid w:val="007578A6"/>
    <w:rsid w:val="007614B2"/>
    <w:rsid w:val="007653A2"/>
    <w:rsid w:val="00766585"/>
    <w:rsid w:val="00766BF1"/>
    <w:rsid w:val="00766D67"/>
    <w:rsid w:val="00766DE5"/>
    <w:rsid w:val="00775A5C"/>
    <w:rsid w:val="00776E58"/>
    <w:rsid w:val="0078144A"/>
    <w:rsid w:val="0079049E"/>
    <w:rsid w:val="007908C8"/>
    <w:rsid w:val="00792E4E"/>
    <w:rsid w:val="0079362E"/>
    <w:rsid w:val="007938D0"/>
    <w:rsid w:val="0079548D"/>
    <w:rsid w:val="007A11E3"/>
    <w:rsid w:val="007A1C81"/>
    <w:rsid w:val="007A2654"/>
    <w:rsid w:val="007A2B82"/>
    <w:rsid w:val="007B63C0"/>
    <w:rsid w:val="007B76D7"/>
    <w:rsid w:val="007B7B3D"/>
    <w:rsid w:val="007C12E4"/>
    <w:rsid w:val="007C19AD"/>
    <w:rsid w:val="007C25FD"/>
    <w:rsid w:val="007C27F2"/>
    <w:rsid w:val="007C3814"/>
    <w:rsid w:val="007C66DF"/>
    <w:rsid w:val="007C6A1D"/>
    <w:rsid w:val="007D1E10"/>
    <w:rsid w:val="007D42AD"/>
    <w:rsid w:val="007D7453"/>
    <w:rsid w:val="007E107D"/>
    <w:rsid w:val="007E3638"/>
    <w:rsid w:val="007E4C46"/>
    <w:rsid w:val="007E7C48"/>
    <w:rsid w:val="007F2739"/>
    <w:rsid w:val="007F3BD4"/>
    <w:rsid w:val="007F6136"/>
    <w:rsid w:val="00802BFB"/>
    <w:rsid w:val="0081037E"/>
    <w:rsid w:val="008106AD"/>
    <w:rsid w:val="00810F41"/>
    <w:rsid w:val="00812CCC"/>
    <w:rsid w:val="0081514B"/>
    <w:rsid w:val="00820A9D"/>
    <w:rsid w:val="00823EB4"/>
    <w:rsid w:val="00824077"/>
    <w:rsid w:val="00824204"/>
    <w:rsid w:val="00825EB1"/>
    <w:rsid w:val="008268BD"/>
    <w:rsid w:val="008269C6"/>
    <w:rsid w:val="008322E8"/>
    <w:rsid w:val="00834EB4"/>
    <w:rsid w:val="00840418"/>
    <w:rsid w:val="00841897"/>
    <w:rsid w:val="008421D4"/>
    <w:rsid w:val="00853EB8"/>
    <w:rsid w:val="008546BC"/>
    <w:rsid w:val="00857A69"/>
    <w:rsid w:val="00857FB5"/>
    <w:rsid w:val="008607E8"/>
    <w:rsid w:val="008655BA"/>
    <w:rsid w:val="008703AC"/>
    <w:rsid w:val="00871DFD"/>
    <w:rsid w:val="00874FD9"/>
    <w:rsid w:val="00875A5A"/>
    <w:rsid w:val="00884F72"/>
    <w:rsid w:val="008868E8"/>
    <w:rsid w:val="00891ADB"/>
    <w:rsid w:val="00891EE9"/>
    <w:rsid w:val="00893DEB"/>
    <w:rsid w:val="0089504F"/>
    <w:rsid w:val="008957ED"/>
    <w:rsid w:val="008959B1"/>
    <w:rsid w:val="008A084D"/>
    <w:rsid w:val="008A363D"/>
    <w:rsid w:val="008A79EF"/>
    <w:rsid w:val="008B3407"/>
    <w:rsid w:val="008B5AC4"/>
    <w:rsid w:val="008B6115"/>
    <w:rsid w:val="008B694F"/>
    <w:rsid w:val="008C209D"/>
    <w:rsid w:val="008C5F7A"/>
    <w:rsid w:val="008C6164"/>
    <w:rsid w:val="008C667A"/>
    <w:rsid w:val="008D1B4F"/>
    <w:rsid w:val="008D77F9"/>
    <w:rsid w:val="008D7B03"/>
    <w:rsid w:val="008E2904"/>
    <w:rsid w:val="008E4410"/>
    <w:rsid w:val="008E5A0B"/>
    <w:rsid w:val="008F2F9E"/>
    <w:rsid w:val="008F520A"/>
    <w:rsid w:val="0090799F"/>
    <w:rsid w:val="00913524"/>
    <w:rsid w:val="00913B18"/>
    <w:rsid w:val="00915624"/>
    <w:rsid w:val="00915DDB"/>
    <w:rsid w:val="009274CD"/>
    <w:rsid w:val="00931380"/>
    <w:rsid w:val="0093778A"/>
    <w:rsid w:val="00941111"/>
    <w:rsid w:val="00942032"/>
    <w:rsid w:val="00942463"/>
    <w:rsid w:val="009466C2"/>
    <w:rsid w:val="009475AA"/>
    <w:rsid w:val="00950A35"/>
    <w:rsid w:val="00952320"/>
    <w:rsid w:val="00953AFA"/>
    <w:rsid w:val="0095672F"/>
    <w:rsid w:val="009570A2"/>
    <w:rsid w:val="00957E8A"/>
    <w:rsid w:val="009632E8"/>
    <w:rsid w:val="00970519"/>
    <w:rsid w:val="00972500"/>
    <w:rsid w:val="00973175"/>
    <w:rsid w:val="0097413E"/>
    <w:rsid w:val="00983731"/>
    <w:rsid w:val="00985931"/>
    <w:rsid w:val="00994C24"/>
    <w:rsid w:val="00995175"/>
    <w:rsid w:val="00997D10"/>
    <w:rsid w:val="009A0F58"/>
    <w:rsid w:val="009A4E93"/>
    <w:rsid w:val="009A58C7"/>
    <w:rsid w:val="009A71D4"/>
    <w:rsid w:val="009B0F9A"/>
    <w:rsid w:val="009B3C0A"/>
    <w:rsid w:val="009B4C95"/>
    <w:rsid w:val="009B7ABD"/>
    <w:rsid w:val="009C1E8B"/>
    <w:rsid w:val="009C2699"/>
    <w:rsid w:val="009C3BAA"/>
    <w:rsid w:val="009C6C75"/>
    <w:rsid w:val="009D22CD"/>
    <w:rsid w:val="009D5232"/>
    <w:rsid w:val="009E2717"/>
    <w:rsid w:val="009E4685"/>
    <w:rsid w:val="009E5718"/>
    <w:rsid w:val="009F07CF"/>
    <w:rsid w:val="009F43F5"/>
    <w:rsid w:val="009F45BB"/>
    <w:rsid w:val="009F4B16"/>
    <w:rsid w:val="009F4D3D"/>
    <w:rsid w:val="009F5C45"/>
    <w:rsid w:val="00A03610"/>
    <w:rsid w:val="00A03EEB"/>
    <w:rsid w:val="00A059FA"/>
    <w:rsid w:val="00A05CC4"/>
    <w:rsid w:val="00A05CC7"/>
    <w:rsid w:val="00A0629E"/>
    <w:rsid w:val="00A07F45"/>
    <w:rsid w:val="00A146C9"/>
    <w:rsid w:val="00A147A1"/>
    <w:rsid w:val="00A1746F"/>
    <w:rsid w:val="00A2662D"/>
    <w:rsid w:val="00A3090B"/>
    <w:rsid w:val="00A31809"/>
    <w:rsid w:val="00A31E9B"/>
    <w:rsid w:val="00A408B6"/>
    <w:rsid w:val="00A409F2"/>
    <w:rsid w:val="00A42576"/>
    <w:rsid w:val="00A43583"/>
    <w:rsid w:val="00A50AA1"/>
    <w:rsid w:val="00A5224D"/>
    <w:rsid w:val="00A53A90"/>
    <w:rsid w:val="00A54DFF"/>
    <w:rsid w:val="00A57B18"/>
    <w:rsid w:val="00A6148C"/>
    <w:rsid w:val="00A61C80"/>
    <w:rsid w:val="00A82EAA"/>
    <w:rsid w:val="00A8347E"/>
    <w:rsid w:val="00A93BB5"/>
    <w:rsid w:val="00A93FFA"/>
    <w:rsid w:val="00A94B8F"/>
    <w:rsid w:val="00A95EB1"/>
    <w:rsid w:val="00AA0921"/>
    <w:rsid w:val="00AA3FC9"/>
    <w:rsid w:val="00AB1347"/>
    <w:rsid w:val="00AB2F50"/>
    <w:rsid w:val="00AB4DD3"/>
    <w:rsid w:val="00AC0513"/>
    <w:rsid w:val="00AC155C"/>
    <w:rsid w:val="00AC28B9"/>
    <w:rsid w:val="00AD47D4"/>
    <w:rsid w:val="00AD5F4C"/>
    <w:rsid w:val="00AD6803"/>
    <w:rsid w:val="00AE5220"/>
    <w:rsid w:val="00AE5FB3"/>
    <w:rsid w:val="00AE7508"/>
    <w:rsid w:val="00AF1000"/>
    <w:rsid w:val="00AF39AB"/>
    <w:rsid w:val="00AF5CC5"/>
    <w:rsid w:val="00B00E79"/>
    <w:rsid w:val="00B1609C"/>
    <w:rsid w:val="00B20695"/>
    <w:rsid w:val="00B20978"/>
    <w:rsid w:val="00B215F7"/>
    <w:rsid w:val="00B216F8"/>
    <w:rsid w:val="00B229B4"/>
    <w:rsid w:val="00B22A8B"/>
    <w:rsid w:val="00B301EF"/>
    <w:rsid w:val="00B306B8"/>
    <w:rsid w:val="00B30A97"/>
    <w:rsid w:val="00B40A84"/>
    <w:rsid w:val="00B47A70"/>
    <w:rsid w:val="00B52867"/>
    <w:rsid w:val="00B54481"/>
    <w:rsid w:val="00B54B03"/>
    <w:rsid w:val="00B55FBF"/>
    <w:rsid w:val="00B66B84"/>
    <w:rsid w:val="00B70918"/>
    <w:rsid w:val="00B7167B"/>
    <w:rsid w:val="00B75BFC"/>
    <w:rsid w:val="00B777C1"/>
    <w:rsid w:val="00B80063"/>
    <w:rsid w:val="00B8162D"/>
    <w:rsid w:val="00B826BD"/>
    <w:rsid w:val="00B82790"/>
    <w:rsid w:val="00B852CA"/>
    <w:rsid w:val="00B91C52"/>
    <w:rsid w:val="00B91D43"/>
    <w:rsid w:val="00B93017"/>
    <w:rsid w:val="00BA02DD"/>
    <w:rsid w:val="00BA52A8"/>
    <w:rsid w:val="00BA5B6F"/>
    <w:rsid w:val="00BA69BE"/>
    <w:rsid w:val="00BA7EEA"/>
    <w:rsid w:val="00BB3A86"/>
    <w:rsid w:val="00BB4027"/>
    <w:rsid w:val="00BB59A4"/>
    <w:rsid w:val="00BB63BB"/>
    <w:rsid w:val="00BB7DD1"/>
    <w:rsid w:val="00BC14C3"/>
    <w:rsid w:val="00BC4A3E"/>
    <w:rsid w:val="00BC7BBB"/>
    <w:rsid w:val="00BD4792"/>
    <w:rsid w:val="00BE0696"/>
    <w:rsid w:val="00BE15DF"/>
    <w:rsid w:val="00BE2D7F"/>
    <w:rsid w:val="00BF1548"/>
    <w:rsid w:val="00BF189E"/>
    <w:rsid w:val="00BF499D"/>
    <w:rsid w:val="00C01ADA"/>
    <w:rsid w:val="00C0268F"/>
    <w:rsid w:val="00C15597"/>
    <w:rsid w:val="00C16886"/>
    <w:rsid w:val="00C176B1"/>
    <w:rsid w:val="00C2673F"/>
    <w:rsid w:val="00C31737"/>
    <w:rsid w:val="00C32432"/>
    <w:rsid w:val="00C43F1A"/>
    <w:rsid w:val="00C45167"/>
    <w:rsid w:val="00C47A15"/>
    <w:rsid w:val="00C5009B"/>
    <w:rsid w:val="00C561A7"/>
    <w:rsid w:val="00C57A1C"/>
    <w:rsid w:val="00C64C94"/>
    <w:rsid w:val="00C65CC3"/>
    <w:rsid w:val="00C65F6A"/>
    <w:rsid w:val="00C65FE7"/>
    <w:rsid w:val="00C6703F"/>
    <w:rsid w:val="00C67A86"/>
    <w:rsid w:val="00C7394D"/>
    <w:rsid w:val="00C73A6B"/>
    <w:rsid w:val="00C85101"/>
    <w:rsid w:val="00C85AE9"/>
    <w:rsid w:val="00C94CBB"/>
    <w:rsid w:val="00C958C6"/>
    <w:rsid w:val="00C959D0"/>
    <w:rsid w:val="00C960D4"/>
    <w:rsid w:val="00C960FA"/>
    <w:rsid w:val="00CA033A"/>
    <w:rsid w:val="00CA1E31"/>
    <w:rsid w:val="00CB0881"/>
    <w:rsid w:val="00CB7F11"/>
    <w:rsid w:val="00CC175A"/>
    <w:rsid w:val="00CC5BD8"/>
    <w:rsid w:val="00CD2AF7"/>
    <w:rsid w:val="00CD393B"/>
    <w:rsid w:val="00CD48B8"/>
    <w:rsid w:val="00CE58C9"/>
    <w:rsid w:val="00CF1DA6"/>
    <w:rsid w:val="00CF6611"/>
    <w:rsid w:val="00D008AD"/>
    <w:rsid w:val="00D00A49"/>
    <w:rsid w:val="00D05A8D"/>
    <w:rsid w:val="00D13EAF"/>
    <w:rsid w:val="00D15098"/>
    <w:rsid w:val="00D22CDD"/>
    <w:rsid w:val="00D2301B"/>
    <w:rsid w:val="00D2639F"/>
    <w:rsid w:val="00D3422B"/>
    <w:rsid w:val="00D36190"/>
    <w:rsid w:val="00D50A9A"/>
    <w:rsid w:val="00D52E21"/>
    <w:rsid w:val="00D54FB9"/>
    <w:rsid w:val="00D5536B"/>
    <w:rsid w:val="00D561FA"/>
    <w:rsid w:val="00D6583D"/>
    <w:rsid w:val="00D66855"/>
    <w:rsid w:val="00D811AE"/>
    <w:rsid w:val="00D825B3"/>
    <w:rsid w:val="00D82938"/>
    <w:rsid w:val="00D83CAD"/>
    <w:rsid w:val="00D84F99"/>
    <w:rsid w:val="00D972B2"/>
    <w:rsid w:val="00DA2DA6"/>
    <w:rsid w:val="00DA355D"/>
    <w:rsid w:val="00DA7493"/>
    <w:rsid w:val="00DB3FCB"/>
    <w:rsid w:val="00DB4F42"/>
    <w:rsid w:val="00DB6F9F"/>
    <w:rsid w:val="00DC0170"/>
    <w:rsid w:val="00DC224E"/>
    <w:rsid w:val="00DC2DFE"/>
    <w:rsid w:val="00DC3778"/>
    <w:rsid w:val="00DC65E8"/>
    <w:rsid w:val="00DD0DD8"/>
    <w:rsid w:val="00DD6AE8"/>
    <w:rsid w:val="00DE23D1"/>
    <w:rsid w:val="00E00E82"/>
    <w:rsid w:val="00E0522B"/>
    <w:rsid w:val="00E15BEF"/>
    <w:rsid w:val="00E17D0C"/>
    <w:rsid w:val="00E208EC"/>
    <w:rsid w:val="00E214C0"/>
    <w:rsid w:val="00E24F4D"/>
    <w:rsid w:val="00E25D5A"/>
    <w:rsid w:val="00E329F7"/>
    <w:rsid w:val="00E340E2"/>
    <w:rsid w:val="00E37643"/>
    <w:rsid w:val="00E37B6E"/>
    <w:rsid w:val="00E404D4"/>
    <w:rsid w:val="00E40C55"/>
    <w:rsid w:val="00E55867"/>
    <w:rsid w:val="00E60EB4"/>
    <w:rsid w:val="00E630ED"/>
    <w:rsid w:val="00E65B72"/>
    <w:rsid w:val="00E75211"/>
    <w:rsid w:val="00E77478"/>
    <w:rsid w:val="00E8009B"/>
    <w:rsid w:val="00E815A7"/>
    <w:rsid w:val="00E829DA"/>
    <w:rsid w:val="00E8497E"/>
    <w:rsid w:val="00E87B63"/>
    <w:rsid w:val="00E90844"/>
    <w:rsid w:val="00EA078B"/>
    <w:rsid w:val="00EA0C59"/>
    <w:rsid w:val="00EA3B24"/>
    <w:rsid w:val="00EA50A0"/>
    <w:rsid w:val="00EA579F"/>
    <w:rsid w:val="00EA5E2C"/>
    <w:rsid w:val="00EB5D55"/>
    <w:rsid w:val="00EC09BF"/>
    <w:rsid w:val="00EC1F83"/>
    <w:rsid w:val="00EC3153"/>
    <w:rsid w:val="00EC774F"/>
    <w:rsid w:val="00ED4C84"/>
    <w:rsid w:val="00ED6AB2"/>
    <w:rsid w:val="00EE007B"/>
    <w:rsid w:val="00EE15CA"/>
    <w:rsid w:val="00EE27C9"/>
    <w:rsid w:val="00EE3399"/>
    <w:rsid w:val="00EF142F"/>
    <w:rsid w:val="00EF2948"/>
    <w:rsid w:val="00F00152"/>
    <w:rsid w:val="00F011E2"/>
    <w:rsid w:val="00F023F0"/>
    <w:rsid w:val="00F07CB0"/>
    <w:rsid w:val="00F07E01"/>
    <w:rsid w:val="00F1496F"/>
    <w:rsid w:val="00F16724"/>
    <w:rsid w:val="00F16A8B"/>
    <w:rsid w:val="00F17C61"/>
    <w:rsid w:val="00F2060A"/>
    <w:rsid w:val="00F235AC"/>
    <w:rsid w:val="00F2386C"/>
    <w:rsid w:val="00F24980"/>
    <w:rsid w:val="00F26B65"/>
    <w:rsid w:val="00F3479F"/>
    <w:rsid w:val="00F35101"/>
    <w:rsid w:val="00F441F9"/>
    <w:rsid w:val="00F523E5"/>
    <w:rsid w:val="00F52F9D"/>
    <w:rsid w:val="00F54327"/>
    <w:rsid w:val="00F57418"/>
    <w:rsid w:val="00F60AFC"/>
    <w:rsid w:val="00F62249"/>
    <w:rsid w:val="00F62960"/>
    <w:rsid w:val="00F62DBC"/>
    <w:rsid w:val="00F64114"/>
    <w:rsid w:val="00F6790C"/>
    <w:rsid w:val="00F707AB"/>
    <w:rsid w:val="00F76107"/>
    <w:rsid w:val="00F76537"/>
    <w:rsid w:val="00F76C36"/>
    <w:rsid w:val="00F8221B"/>
    <w:rsid w:val="00F86F51"/>
    <w:rsid w:val="00F87C31"/>
    <w:rsid w:val="00F92A2E"/>
    <w:rsid w:val="00F9644B"/>
    <w:rsid w:val="00F97EB1"/>
    <w:rsid w:val="00FA6427"/>
    <w:rsid w:val="00FA7864"/>
    <w:rsid w:val="00FC7EE2"/>
    <w:rsid w:val="00FD5B27"/>
    <w:rsid w:val="00FF012C"/>
    <w:rsid w:val="00FF12FD"/>
    <w:rsid w:val="00FF429C"/>
    <w:rsid w:val="00FF4952"/>
    <w:rsid w:val="00FF63C0"/>
    <w:rsid w:val="00FF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5090A"/>
  <w14:defaultImageDpi w14:val="330"/>
  <w15:docId w15:val="{48AE1A7D-D50F-4587-8E9D-32008F8A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18"/>
  </w:style>
  <w:style w:type="paragraph" w:styleId="Heading1">
    <w:name w:val="heading 1"/>
    <w:basedOn w:val="Normal"/>
    <w:next w:val="Normal"/>
    <w:link w:val="Heading1Char"/>
    <w:qFormat/>
    <w:rsid w:val="00775A5C"/>
    <w:pPr>
      <w:keepNext/>
      <w:ind w:left="360"/>
      <w:jc w:val="center"/>
      <w:outlineLvl w:val="0"/>
    </w:pPr>
    <w:rPr>
      <w:rFonts w:ascii="Times New Roman" w:eastAsia="Times New Roman" w:hAnsi="Times New Roman" w:cs="Times New Roman"/>
      <w:b/>
      <w:bCs/>
      <w:lang w:val="en-GB"/>
    </w:rPr>
  </w:style>
  <w:style w:type="paragraph" w:styleId="Heading3">
    <w:name w:val="heading 3"/>
    <w:basedOn w:val="Normal"/>
    <w:next w:val="Normal"/>
    <w:link w:val="Heading3Char"/>
    <w:uiPriority w:val="9"/>
    <w:semiHidden/>
    <w:unhideWhenUsed/>
    <w:qFormat/>
    <w:rsid w:val="00DB6F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F0C18"/>
  </w:style>
  <w:style w:type="character" w:customStyle="1" w:styleId="FootnoteTextChar">
    <w:name w:val="Footnote Text Char"/>
    <w:basedOn w:val="DefaultParagraphFont"/>
    <w:link w:val="FootnoteText"/>
    <w:rsid w:val="000F0C18"/>
  </w:style>
  <w:style w:type="character" w:styleId="FootnoteReference">
    <w:name w:val="footnote reference"/>
    <w:basedOn w:val="DefaultParagraphFont"/>
    <w:unhideWhenUsed/>
    <w:rsid w:val="000F0C18"/>
    <w:rPr>
      <w:vertAlign w:val="superscript"/>
    </w:rPr>
  </w:style>
  <w:style w:type="paragraph" w:styleId="BalloonText">
    <w:name w:val="Balloon Text"/>
    <w:basedOn w:val="Normal"/>
    <w:link w:val="BalloonTextChar"/>
    <w:uiPriority w:val="99"/>
    <w:semiHidden/>
    <w:unhideWhenUsed/>
    <w:rsid w:val="000F0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C18"/>
    <w:rPr>
      <w:rFonts w:ascii="Lucida Grande" w:hAnsi="Lucida Grande" w:cs="Lucida Grande"/>
      <w:sz w:val="18"/>
      <w:szCs w:val="18"/>
    </w:rPr>
  </w:style>
  <w:style w:type="paragraph" w:styleId="PlainText">
    <w:name w:val="Plain Text"/>
    <w:basedOn w:val="Normal"/>
    <w:link w:val="PlainTextChar"/>
    <w:uiPriority w:val="99"/>
    <w:unhideWhenUsed/>
    <w:rsid w:val="000F0C18"/>
    <w:rPr>
      <w:rFonts w:ascii="Consolas" w:eastAsiaTheme="minorHAnsi" w:hAnsi="Consolas"/>
      <w:sz w:val="21"/>
      <w:szCs w:val="21"/>
      <w:lang w:val="en-GB"/>
    </w:rPr>
  </w:style>
  <w:style w:type="character" w:customStyle="1" w:styleId="PlainTextChar">
    <w:name w:val="Plain Text Char"/>
    <w:basedOn w:val="DefaultParagraphFont"/>
    <w:link w:val="PlainText"/>
    <w:uiPriority w:val="99"/>
    <w:rsid w:val="000F0C18"/>
    <w:rPr>
      <w:rFonts w:ascii="Consolas" w:eastAsiaTheme="minorHAnsi" w:hAnsi="Consolas"/>
      <w:sz w:val="21"/>
      <w:szCs w:val="21"/>
      <w:lang w:val="en-GB"/>
    </w:rPr>
  </w:style>
  <w:style w:type="paragraph" w:styleId="ListParagraph">
    <w:name w:val="List Paragraph"/>
    <w:basedOn w:val="Normal"/>
    <w:uiPriority w:val="34"/>
    <w:qFormat/>
    <w:rsid w:val="000F0C18"/>
    <w:pPr>
      <w:ind w:left="720"/>
      <w:contextualSpacing/>
    </w:pPr>
    <w:rPr>
      <w:rFonts w:ascii="Times New Roman" w:eastAsia="Times New Roman" w:hAnsi="Times New Roman" w:cs="Times New Roman"/>
      <w:lang w:val="en-GB" w:eastAsia="en-GB"/>
    </w:rPr>
  </w:style>
  <w:style w:type="character" w:styleId="Hyperlink">
    <w:name w:val="Hyperlink"/>
    <w:rsid w:val="000F0C18"/>
    <w:rPr>
      <w:color w:val="0000FF"/>
      <w:u w:val="single"/>
    </w:rPr>
  </w:style>
  <w:style w:type="paragraph" w:customStyle="1" w:styleId="Learninghelpslist1">
    <w:name w:val="Learning helps list 1"/>
    <w:basedOn w:val="Normal"/>
    <w:autoRedefine/>
    <w:rsid w:val="000F0C18"/>
    <w:pPr>
      <w:spacing w:before="60" w:after="60" w:line="260" w:lineRule="exact"/>
      <w:ind w:right="-11"/>
    </w:pPr>
    <w:rPr>
      <w:rFonts w:ascii="Times New Roman" w:eastAsia="Arial Unicode MS" w:hAnsi="Times New Roman" w:cs="Times New Roman"/>
      <w:b/>
    </w:rPr>
  </w:style>
  <w:style w:type="paragraph" w:styleId="BodyText">
    <w:name w:val="Body Text"/>
    <w:basedOn w:val="Normal"/>
    <w:link w:val="BodyTextChar"/>
    <w:rsid w:val="000F0C18"/>
    <w:pPr>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F0C18"/>
    <w:rPr>
      <w:rFonts w:ascii="Times New Roman" w:eastAsia="Times New Roman" w:hAnsi="Times New Roman" w:cs="Times New Roman"/>
      <w:szCs w:val="20"/>
      <w:lang w:val="en-GB"/>
    </w:rPr>
  </w:style>
  <w:style w:type="character" w:customStyle="1" w:styleId="apple-converted-space">
    <w:name w:val="apple-converted-space"/>
    <w:basedOn w:val="DefaultParagraphFont"/>
    <w:rsid w:val="000F0C18"/>
  </w:style>
  <w:style w:type="character" w:customStyle="1" w:styleId="s6b621b36">
    <w:name w:val="s6b621b36"/>
    <w:basedOn w:val="DefaultParagraphFont"/>
    <w:rsid w:val="000F0C18"/>
  </w:style>
  <w:style w:type="character" w:styleId="Emphasis">
    <w:name w:val="Emphasis"/>
    <w:basedOn w:val="DefaultParagraphFont"/>
    <w:uiPriority w:val="20"/>
    <w:qFormat/>
    <w:rsid w:val="000F0C18"/>
    <w:rPr>
      <w:i/>
      <w:iCs/>
    </w:rPr>
  </w:style>
  <w:style w:type="character" w:customStyle="1" w:styleId="slug-pub-date">
    <w:name w:val="slug-pub-date"/>
    <w:basedOn w:val="DefaultParagraphFont"/>
    <w:rsid w:val="000F0C18"/>
  </w:style>
  <w:style w:type="character" w:customStyle="1" w:styleId="slug-vol">
    <w:name w:val="slug-vol"/>
    <w:basedOn w:val="DefaultParagraphFont"/>
    <w:rsid w:val="000F0C18"/>
  </w:style>
  <w:style w:type="character" w:customStyle="1" w:styleId="slug-issue">
    <w:name w:val="slug-issue"/>
    <w:basedOn w:val="DefaultParagraphFont"/>
    <w:rsid w:val="000F0C18"/>
  </w:style>
  <w:style w:type="character" w:customStyle="1" w:styleId="slug-pages">
    <w:name w:val="slug-pages"/>
    <w:basedOn w:val="DefaultParagraphFont"/>
    <w:rsid w:val="000F0C18"/>
  </w:style>
  <w:style w:type="paragraph" w:styleId="NoSpacing">
    <w:name w:val="No Spacing"/>
    <w:uiPriority w:val="1"/>
    <w:qFormat/>
    <w:rsid w:val="000F0C18"/>
  </w:style>
  <w:style w:type="character" w:styleId="CommentReference">
    <w:name w:val="annotation reference"/>
    <w:semiHidden/>
    <w:rsid w:val="000F0C18"/>
    <w:rPr>
      <w:rFonts w:cs="Times New Roman"/>
      <w:sz w:val="16"/>
      <w:szCs w:val="16"/>
    </w:rPr>
  </w:style>
  <w:style w:type="paragraph" w:styleId="CommentText">
    <w:name w:val="annotation text"/>
    <w:basedOn w:val="Normal"/>
    <w:link w:val="CommentTextChar"/>
    <w:semiHidden/>
    <w:rsid w:val="000F0C18"/>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0F0C18"/>
    <w:rPr>
      <w:rFonts w:ascii="Times New Roman" w:eastAsia="Times New Roman" w:hAnsi="Times New Roman" w:cs="Times New Roman"/>
      <w:sz w:val="20"/>
      <w:szCs w:val="20"/>
      <w:lang w:val="en-GB"/>
    </w:rPr>
  </w:style>
  <w:style w:type="character" w:customStyle="1" w:styleId="fn">
    <w:name w:val="fn"/>
    <w:basedOn w:val="DefaultParagraphFont"/>
    <w:rsid w:val="000F0C18"/>
  </w:style>
  <w:style w:type="paragraph" w:styleId="Footer">
    <w:name w:val="footer"/>
    <w:basedOn w:val="Normal"/>
    <w:link w:val="FooterChar"/>
    <w:rsid w:val="000F0C18"/>
    <w:pPr>
      <w:tabs>
        <w:tab w:val="center" w:pos="4153"/>
        <w:tab w:val="right" w:pos="8306"/>
      </w:tabs>
    </w:pPr>
    <w:rPr>
      <w:rFonts w:ascii="Times New Roman" w:eastAsia="Times New Roman" w:hAnsi="Times New Roman" w:cs="Times New Roman"/>
      <w:szCs w:val="20"/>
      <w:lang w:val="en-GB"/>
    </w:rPr>
  </w:style>
  <w:style w:type="character" w:customStyle="1" w:styleId="FooterChar">
    <w:name w:val="Footer Char"/>
    <w:basedOn w:val="DefaultParagraphFont"/>
    <w:link w:val="Footer"/>
    <w:rsid w:val="000F0C18"/>
    <w:rPr>
      <w:rFonts w:ascii="Times New Roman" w:eastAsia="Times New Roman" w:hAnsi="Times New Roman" w:cs="Times New Roman"/>
      <w:szCs w:val="20"/>
      <w:lang w:val="en-GB"/>
    </w:rPr>
  </w:style>
  <w:style w:type="paragraph" w:styleId="BodyText2">
    <w:name w:val="Body Text 2"/>
    <w:basedOn w:val="Normal"/>
    <w:link w:val="BodyText2Char"/>
    <w:uiPriority w:val="99"/>
    <w:unhideWhenUsed/>
    <w:rsid w:val="000F0C18"/>
    <w:pPr>
      <w:spacing w:after="120" w:line="480" w:lineRule="auto"/>
    </w:pPr>
    <w:rPr>
      <w:rFonts w:ascii="Times New Roman" w:eastAsia="Times New Roman" w:hAnsi="Times New Roman" w:cs="Times New Roman"/>
      <w:lang w:val="en-GB" w:eastAsia="en-GB"/>
    </w:rPr>
  </w:style>
  <w:style w:type="character" w:customStyle="1" w:styleId="BodyText2Char">
    <w:name w:val="Body Text 2 Char"/>
    <w:basedOn w:val="DefaultParagraphFont"/>
    <w:link w:val="BodyText2"/>
    <w:uiPriority w:val="99"/>
    <w:rsid w:val="000F0C18"/>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BB3A86"/>
    <w:pPr>
      <w:tabs>
        <w:tab w:val="center" w:pos="4320"/>
        <w:tab w:val="right" w:pos="8640"/>
      </w:tabs>
    </w:pPr>
  </w:style>
  <w:style w:type="character" w:customStyle="1" w:styleId="HeaderChar">
    <w:name w:val="Header Char"/>
    <w:basedOn w:val="DefaultParagraphFont"/>
    <w:link w:val="Header"/>
    <w:uiPriority w:val="99"/>
    <w:rsid w:val="00BB3A86"/>
  </w:style>
  <w:style w:type="character" w:styleId="PageNumber">
    <w:name w:val="page number"/>
    <w:basedOn w:val="DefaultParagraphFont"/>
    <w:uiPriority w:val="99"/>
    <w:semiHidden/>
    <w:unhideWhenUsed/>
    <w:rsid w:val="004F6B24"/>
  </w:style>
  <w:style w:type="paragraph" w:styleId="Revision">
    <w:name w:val="Revision"/>
    <w:hidden/>
    <w:uiPriority w:val="99"/>
    <w:semiHidden/>
    <w:rsid w:val="004F0E1B"/>
  </w:style>
  <w:style w:type="character" w:styleId="FollowedHyperlink">
    <w:name w:val="FollowedHyperlink"/>
    <w:basedOn w:val="DefaultParagraphFont"/>
    <w:uiPriority w:val="99"/>
    <w:semiHidden/>
    <w:unhideWhenUsed/>
    <w:rsid w:val="008868E8"/>
    <w:rPr>
      <w:color w:val="800080" w:themeColor="followedHyperlink"/>
      <w:u w:val="single"/>
    </w:rPr>
  </w:style>
  <w:style w:type="character" w:customStyle="1" w:styleId="Heading1Char">
    <w:name w:val="Heading 1 Char"/>
    <w:basedOn w:val="DefaultParagraphFont"/>
    <w:link w:val="Heading1"/>
    <w:rsid w:val="00775A5C"/>
    <w:rPr>
      <w:rFonts w:ascii="Times New Roman" w:eastAsia="Times New Roman" w:hAnsi="Times New Roman" w:cs="Times New Roman"/>
      <w:b/>
      <w:bCs/>
      <w:lang w:val="en-GB"/>
    </w:rPr>
  </w:style>
  <w:style w:type="paragraph" w:styleId="EndnoteText">
    <w:name w:val="endnote text"/>
    <w:basedOn w:val="Normal"/>
    <w:link w:val="EndnoteTextChar"/>
    <w:uiPriority w:val="99"/>
    <w:unhideWhenUsed/>
    <w:rsid w:val="00B75BFC"/>
  </w:style>
  <w:style w:type="character" w:customStyle="1" w:styleId="EndnoteTextChar">
    <w:name w:val="Endnote Text Char"/>
    <w:basedOn w:val="DefaultParagraphFont"/>
    <w:link w:val="EndnoteText"/>
    <w:uiPriority w:val="99"/>
    <w:rsid w:val="00B75BFC"/>
  </w:style>
  <w:style w:type="paragraph" w:styleId="Title">
    <w:name w:val="Title"/>
    <w:basedOn w:val="Normal"/>
    <w:link w:val="TitleChar"/>
    <w:qFormat/>
    <w:rsid w:val="00F9644B"/>
    <w:pPr>
      <w:jc w:val="center"/>
    </w:pPr>
    <w:rPr>
      <w:rFonts w:ascii="Times New Roman" w:eastAsia="Times New Roman" w:hAnsi="Times New Roman" w:cs="Times New Roman"/>
      <w:b/>
      <w:bCs/>
      <w:sz w:val="28"/>
      <w:lang w:val="en-GB"/>
    </w:rPr>
  </w:style>
  <w:style w:type="character" w:customStyle="1" w:styleId="TitleChar">
    <w:name w:val="Title Char"/>
    <w:basedOn w:val="DefaultParagraphFont"/>
    <w:link w:val="Title"/>
    <w:rsid w:val="00F9644B"/>
    <w:rPr>
      <w:rFonts w:ascii="Times New Roman" w:eastAsia="Times New Roman" w:hAnsi="Times New Roman" w:cs="Times New Roman"/>
      <w:b/>
      <w:bCs/>
      <w:sz w:val="28"/>
      <w:lang w:val="en-GB"/>
    </w:rPr>
  </w:style>
  <w:style w:type="paragraph" w:styleId="CommentSubject">
    <w:name w:val="annotation subject"/>
    <w:basedOn w:val="CommentText"/>
    <w:next w:val="CommentText"/>
    <w:link w:val="CommentSubjectChar"/>
    <w:uiPriority w:val="99"/>
    <w:semiHidden/>
    <w:unhideWhenUsed/>
    <w:rsid w:val="00116D64"/>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16D64"/>
    <w:rPr>
      <w:rFonts w:ascii="Times New Roman" w:eastAsia="Times New Roman" w:hAnsi="Times New Roman" w:cs="Times New Roman"/>
      <w:b/>
      <w:bCs/>
      <w:sz w:val="20"/>
      <w:szCs w:val="20"/>
      <w:lang w:val="en-GB"/>
    </w:rPr>
  </w:style>
  <w:style w:type="paragraph" w:customStyle="1" w:styleId="Default">
    <w:name w:val="Default"/>
    <w:rsid w:val="00F24980"/>
    <w:pPr>
      <w:autoSpaceDE w:val="0"/>
      <w:autoSpaceDN w:val="0"/>
      <w:adjustRightInd w:val="0"/>
    </w:pPr>
    <w:rPr>
      <w:rFonts w:ascii="Times New Roman" w:hAnsi="Times New Roman" w:cs="Times New Roman"/>
      <w:color w:val="000000"/>
      <w:lang w:val="en-GB"/>
    </w:rPr>
  </w:style>
  <w:style w:type="character" w:customStyle="1" w:styleId="Heading3Char">
    <w:name w:val="Heading 3 Char"/>
    <w:basedOn w:val="DefaultParagraphFont"/>
    <w:link w:val="Heading3"/>
    <w:uiPriority w:val="9"/>
    <w:semiHidden/>
    <w:rsid w:val="00DB6F9F"/>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DB6F9F"/>
  </w:style>
  <w:style w:type="paragraph" w:styleId="NormalWeb">
    <w:name w:val="Normal (Web)"/>
    <w:basedOn w:val="Normal"/>
    <w:uiPriority w:val="99"/>
    <w:unhideWhenUsed/>
    <w:rsid w:val="00DB6F9F"/>
    <w:pPr>
      <w:spacing w:before="100" w:beforeAutospacing="1" w:after="100" w:afterAutospacing="1"/>
    </w:pPr>
    <w:rPr>
      <w:rFonts w:ascii="Times" w:hAnsi="Times" w:cs="Times New Roman"/>
      <w:sz w:val="20"/>
      <w:szCs w:val="20"/>
      <w:lang w:val="en-GB"/>
    </w:rPr>
  </w:style>
  <w:style w:type="character" w:customStyle="1" w:styleId="articlekicker">
    <w:name w:val="article__kicker"/>
    <w:basedOn w:val="DefaultParagraphFont"/>
    <w:rsid w:val="0054216F"/>
  </w:style>
  <w:style w:type="paragraph" w:customStyle="1" w:styleId="footnotedescription">
    <w:name w:val="footnote description"/>
    <w:next w:val="Normal"/>
    <w:link w:val="footnotedescriptionChar"/>
    <w:hidden/>
    <w:rsid w:val="00642C24"/>
    <w:pPr>
      <w:spacing w:line="259" w:lineRule="auto"/>
      <w:ind w:left="52"/>
    </w:pPr>
    <w:rPr>
      <w:rFonts w:ascii="Times New Roman" w:eastAsia="Times New Roman" w:hAnsi="Times New Roman" w:cs="Times New Roman"/>
      <w:color w:val="000000"/>
      <w:sz w:val="14"/>
      <w:szCs w:val="22"/>
      <w:lang w:val="en-GB" w:eastAsia="en-GB"/>
    </w:rPr>
  </w:style>
  <w:style w:type="character" w:customStyle="1" w:styleId="footnotedescriptionChar">
    <w:name w:val="footnote description Char"/>
    <w:link w:val="footnotedescription"/>
    <w:rsid w:val="00642C24"/>
    <w:rPr>
      <w:rFonts w:ascii="Times New Roman" w:eastAsia="Times New Roman" w:hAnsi="Times New Roman" w:cs="Times New Roman"/>
      <w:color w:val="000000"/>
      <w:sz w:val="14"/>
      <w:szCs w:val="22"/>
      <w:lang w:val="en-GB" w:eastAsia="en-GB"/>
    </w:rPr>
  </w:style>
  <w:style w:type="character" w:customStyle="1" w:styleId="footnotemark">
    <w:name w:val="footnote mark"/>
    <w:hidden/>
    <w:rsid w:val="00642C24"/>
    <w:rPr>
      <w:rFonts w:ascii="Times New Roman" w:eastAsia="Times New Roman" w:hAnsi="Times New Roman" w:cs="Times New Roman"/>
      <w:color w:val="000000"/>
      <w:sz w:val="14"/>
      <w:vertAlign w:val="superscript"/>
    </w:rPr>
  </w:style>
  <w:style w:type="paragraph" w:customStyle="1" w:styleId="s30eec3f8">
    <w:name w:val="s30eec3f8"/>
    <w:basedOn w:val="Normal"/>
    <w:rsid w:val="00B30A97"/>
    <w:pPr>
      <w:spacing w:before="100" w:beforeAutospacing="1" w:after="100" w:afterAutospacing="1"/>
    </w:pPr>
    <w:rPr>
      <w:rFonts w:ascii="Times" w:hAnsi="Times"/>
      <w:sz w:val="20"/>
      <w:szCs w:val="20"/>
      <w:lang w:val="en-GB"/>
    </w:rPr>
  </w:style>
  <w:style w:type="character" w:customStyle="1" w:styleId="sb8d990e2">
    <w:name w:val="sb8d990e2"/>
    <w:basedOn w:val="DefaultParagraphFont"/>
    <w:rsid w:val="00B30A97"/>
  </w:style>
  <w:style w:type="paragraph" w:customStyle="1" w:styleId="sb223ea02">
    <w:name w:val="sb223ea02"/>
    <w:basedOn w:val="Normal"/>
    <w:rsid w:val="00F57418"/>
    <w:pPr>
      <w:spacing w:before="100" w:beforeAutospacing="1" w:after="100" w:afterAutospacing="1"/>
    </w:pPr>
    <w:rPr>
      <w:rFonts w:ascii="Times" w:hAnsi="Times"/>
      <w:sz w:val="20"/>
      <w:szCs w:val="20"/>
      <w:lang w:val="en-GB"/>
    </w:rPr>
  </w:style>
  <w:style w:type="character" w:customStyle="1" w:styleId="s7d2086b4">
    <w:name w:val="s7d2086b4"/>
    <w:basedOn w:val="DefaultParagraphFont"/>
    <w:rsid w:val="00F57418"/>
  </w:style>
  <w:style w:type="character" w:customStyle="1" w:styleId="sf8bfa2bc">
    <w:name w:val="sf8bfa2bc"/>
    <w:basedOn w:val="DefaultParagraphFont"/>
    <w:rsid w:val="000A5308"/>
  </w:style>
  <w:style w:type="character" w:customStyle="1" w:styleId="s45d7f35c">
    <w:name w:val="s45d7f35c"/>
    <w:basedOn w:val="DefaultParagraphFont"/>
    <w:rsid w:val="000A5308"/>
  </w:style>
  <w:style w:type="character" w:customStyle="1" w:styleId="UnresolvedMention1">
    <w:name w:val="Unresolved Mention1"/>
    <w:basedOn w:val="DefaultParagraphFont"/>
    <w:uiPriority w:val="99"/>
    <w:semiHidden/>
    <w:unhideWhenUsed/>
    <w:rsid w:val="00593A9F"/>
    <w:rPr>
      <w:color w:val="808080"/>
      <w:shd w:val="clear" w:color="auto" w:fill="E6E6E6"/>
    </w:rPr>
  </w:style>
  <w:style w:type="character" w:customStyle="1" w:styleId="UnresolvedMention2">
    <w:name w:val="Unresolved Mention2"/>
    <w:basedOn w:val="DefaultParagraphFont"/>
    <w:uiPriority w:val="99"/>
    <w:semiHidden/>
    <w:unhideWhenUsed/>
    <w:rsid w:val="00A42576"/>
    <w:rPr>
      <w:color w:val="808080"/>
      <w:shd w:val="clear" w:color="auto" w:fill="E6E6E6"/>
    </w:rPr>
  </w:style>
  <w:style w:type="character" w:customStyle="1" w:styleId="UnresolvedMention">
    <w:name w:val="Unresolved Mention"/>
    <w:basedOn w:val="DefaultParagraphFont"/>
    <w:uiPriority w:val="99"/>
    <w:semiHidden/>
    <w:unhideWhenUsed/>
    <w:rsid w:val="00EF29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1379">
      <w:bodyDiv w:val="1"/>
      <w:marLeft w:val="0"/>
      <w:marRight w:val="0"/>
      <w:marTop w:val="0"/>
      <w:marBottom w:val="0"/>
      <w:divBdr>
        <w:top w:val="none" w:sz="0" w:space="0" w:color="auto"/>
        <w:left w:val="none" w:sz="0" w:space="0" w:color="auto"/>
        <w:bottom w:val="none" w:sz="0" w:space="0" w:color="auto"/>
        <w:right w:val="none" w:sz="0" w:space="0" w:color="auto"/>
      </w:divBdr>
    </w:div>
    <w:div w:id="270555116">
      <w:bodyDiv w:val="1"/>
      <w:marLeft w:val="0"/>
      <w:marRight w:val="0"/>
      <w:marTop w:val="0"/>
      <w:marBottom w:val="0"/>
      <w:divBdr>
        <w:top w:val="none" w:sz="0" w:space="0" w:color="auto"/>
        <w:left w:val="none" w:sz="0" w:space="0" w:color="auto"/>
        <w:bottom w:val="none" w:sz="0" w:space="0" w:color="auto"/>
        <w:right w:val="none" w:sz="0" w:space="0" w:color="auto"/>
      </w:divBdr>
    </w:div>
    <w:div w:id="440075234">
      <w:bodyDiv w:val="1"/>
      <w:marLeft w:val="0"/>
      <w:marRight w:val="0"/>
      <w:marTop w:val="0"/>
      <w:marBottom w:val="0"/>
      <w:divBdr>
        <w:top w:val="none" w:sz="0" w:space="0" w:color="auto"/>
        <w:left w:val="none" w:sz="0" w:space="0" w:color="auto"/>
        <w:bottom w:val="none" w:sz="0" w:space="0" w:color="auto"/>
        <w:right w:val="none" w:sz="0" w:space="0" w:color="auto"/>
      </w:divBdr>
    </w:div>
    <w:div w:id="649677875">
      <w:bodyDiv w:val="1"/>
      <w:marLeft w:val="0"/>
      <w:marRight w:val="0"/>
      <w:marTop w:val="0"/>
      <w:marBottom w:val="0"/>
      <w:divBdr>
        <w:top w:val="none" w:sz="0" w:space="0" w:color="auto"/>
        <w:left w:val="none" w:sz="0" w:space="0" w:color="auto"/>
        <w:bottom w:val="none" w:sz="0" w:space="0" w:color="auto"/>
        <w:right w:val="none" w:sz="0" w:space="0" w:color="auto"/>
      </w:divBdr>
    </w:div>
    <w:div w:id="682515604">
      <w:bodyDiv w:val="1"/>
      <w:marLeft w:val="0"/>
      <w:marRight w:val="0"/>
      <w:marTop w:val="0"/>
      <w:marBottom w:val="0"/>
      <w:divBdr>
        <w:top w:val="none" w:sz="0" w:space="0" w:color="auto"/>
        <w:left w:val="none" w:sz="0" w:space="0" w:color="auto"/>
        <w:bottom w:val="none" w:sz="0" w:space="0" w:color="auto"/>
        <w:right w:val="none" w:sz="0" w:space="0" w:color="auto"/>
      </w:divBdr>
      <w:divsChild>
        <w:div w:id="372462762">
          <w:marLeft w:val="0"/>
          <w:marRight w:val="0"/>
          <w:marTop w:val="0"/>
          <w:marBottom w:val="0"/>
          <w:divBdr>
            <w:top w:val="none" w:sz="0" w:space="0" w:color="auto"/>
            <w:left w:val="none" w:sz="0" w:space="0" w:color="auto"/>
            <w:bottom w:val="none" w:sz="0" w:space="0" w:color="auto"/>
            <w:right w:val="none" w:sz="0" w:space="0" w:color="auto"/>
          </w:divBdr>
        </w:div>
        <w:div w:id="1366715435">
          <w:marLeft w:val="0"/>
          <w:marRight w:val="0"/>
          <w:marTop w:val="0"/>
          <w:marBottom w:val="0"/>
          <w:divBdr>
            <w:top w:val="none" w:sz="0" w:space="0" w:color="auto"/>
            <w:left w:val="none" w:sz="0" w:space="0" w:color="auto"/>
            <w:bottom w:val="none" w:sz="0" w:space="0" w:color="auto"/>
            <w:right w:val="none" w:sz="0" w:space="0" w:color="auto"/>
          </w:divBdr>
          <w:divsChild>
            <w:div w:id="220948326">
              <w:marLeft w:val="0"/>
              <w:marRight w:val="0"/>
              <w:marTop w:val="0"/>
              <w:marBottom w:val="0"/>
              <w:divBdr>
                <w:top w:val="none" w:sz="0" w:space="0" w:color="auto"/>
                <w:left w:val="none" w:sz="0" w:space="0" w:color="auto"/>
                <w:bottom w:val="none" w:sz="0" w:space="0" w:color="auto"/>
                <w:right w:val="none" w:sz="0" w:space="0" w:color="auto"/>
              </w:divBdr>
            </w:div>
          </w:divsChild>
        </w:div>
        <w:div w:id="984744134">
          <w:marLeft w:val="0"/>
          <w:marRight w:val="0"/>
          <w:marTop w:val="240"/>
          <w:marBottom w:val="100"/>
          <w:divBdr>
            <w:top w:val="none" w:sz="0" w:space="0" w:color="auto"/>
            <w:left w:val="none" w:sz="0" w:space="0" w:color="auto"/>
            <w:bottom w:val="none" w:sz="0" w:space="0" w:color="auto"/>
            <w:right w:val="none" w:sz="0" w:space="0" w:color="auto"/>
          </w:divBdr>
          <w:divsChild>
            <w:div w:id="1664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794">
      <w:bodyDiv w:val="1"/>
      <w:marLeft w:val="0"/>
      <w:marRight w:val="0"/>
      <w:marTop w:val="0"/>
      <w:marBottom w:val="0"/>
      <w:divBdr>
        <w:top w:val="none" w:sz="0" w:space="0" w:color="auto"/>
        <w:left w:val="none" w:sz="0" w:space="0" w:color="auto"/>
        <w:bottom w:val="none" w:sz="0" w:space="0" w:color="auto"/>
        <w:right w:val="none" w:sz="0" w:space="0" w:color="auto"/>
      </w:divBdr>
      <w:divsChild>
        <w:div w:id="188641506">
          <w:marLeft w:val="0"/>
          <w:marRight w:val="0"/>
          <w:marTop w:val="0"/>
          <w:marBottom w:val="0"/>
          <w:divBdr>
            <w:top w:val="none" w:sz="0" w:space="0" w:color="auto"/>
            <w:left w:val="none" w:sz="0" w:space="0" w:color="auto"/>
            <w:bottom w:val="none" w:sz="0" w:space="0" w:color="auto"/>
            <w:right w:val="none" w:sz="0" w:space="0" w:color="auto"/>
          </w:divBdr>
          <w:divsChild>
            <w:div w:id="1930845144">
              <w:marLeft w:val="0"/>
              <w:marRight w:val="0"/>
              <w:marTop w:val="0"/>
              <w:marBottom w:val="0"/>
              <w:divBdr>
                <w:top w:val="none" w:sz="0" w:space="0" w:color="auto"/>
                <w:left w:val="none" w:sz="0" w:space="0" w:color="auto"/>
                <w:bottom w:val="none" w:sz="0" w:space="0" w:color="auto"/>
                <w:right w:val="none" w:sz="0" w:space="0" w:color="auto"/>
              </w:divBdr>
              <w:divsChild>
                <w:div w:id="2008942529">
                  <w:marLeft w:val="0"/>
                  <w:marRight w:val="0"/>
                  <w:marTop w:val="0"/>
                  <w:marBottom w:val="0"/>
                  <w:divBdr>
                    <w:top w:val="none" w:sz="0" w:space="0" w:color="auto"/>
                    <w:left w:val="none" w:sz="0" w:space="0" w:color="auto"/>
                    <w:bottom w:val="none" w:sz="0" w:space="0" w:color="auto"/>
                    <w:right w:val="none" w:sz="0" w:space="0" w:color="auto"/>
                  </w:divBdr>
                  <w:divsChild>
                    <w:div w:id="17822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84806">
      <w:bodyDiv w:val="1"/>
      <w:marLeft w:val="0"/>
      <w:marRight w:val="0"/>
      <w:marTop w:val="0"/>
      <w:marBottom w:val="0"/>
      <w:divBdr>
        <w:top w:val="none" w:sz="0" w:space="0" w:color="auto"/>
        <w:left w:val="none" w:sz="0" w:space="0" w:color="auto"/>
        <w:bottom w:val="none" w:sz="0" w:space="0" w:color="auto"/>
        <w:right w:val="none" w:sz="0" w:space="0" w:color="auto"/>
      </w:divBdr>
    </w:div>
    <w:div w:id="1107386736">
      <w:bodyDiv w:val="1"/>
      <w:marLeft w:val="0"/>
      <w:marRight w:val="0"/>
      <w:marTop w:val="0"/>
      <w:marBottom w:val="0"/>
      <w:divBdr>
        <w:top w:val="none" w:sz="0" w:space="0" w:color="auto"/>
        <w:left w:val="none" w:sz="0" w:space="0" w:color="auto"/>
        <w:bottom w:val="none" w:sz="0" w:space="0" w:color="auto"/>
        <w:right w:val="none" w:sz="0" w:space="0" w:color="auto"/>
      </w:divBdr>
    </w:div>
    <w:div w:id="1281767985">
      <w:bodyDiv w:val="1"/>
      <w:marLeft w:val="0"/>
      <w:marRight w:val="0"/>
      <w:marTop w:val="0"/>
      <w:marBottom w:val="0"/>
      <w:divBdr>
        <w:top w:val="none" w:sz="0" w:space="0" w:color="auto"/>
        <w:left w:val="none" w:sz="0" w:space="0" w:color="auto"/>
        <w:bottom w:val="none" w:sz="0" w:space="0" w:color="auto"/>
        <w:right w:val="none" w:sz="0" w:space="0" w:color="auto"/>
      </w:divBdr>
    </w:div>
    <w:div w:id="1295256162">
      <w:bodyDiv w:val="1"/>
      <w:marLeft w:val="0"/>
      <w:marRight w:val="0"/>
      <w:marTop w:val="0"/>
      <w:marBottom w:val="0"/>
      <w:divBdr>
        <w:top w:val="none" w:sz="0" w:space="0" w:color="auto"/>
        <w:left w:val="none" w:sz="0" w:space="0" w:color="auto"/>
        <w:bottom w:val="none" w:sz="0" w:space="0" w:color="auto"/>
        <w:right w:val="none" w:sz="0" w:space="0" w:color="auto"/>
      </w:divBdr>
    </w:div>
    <w:div w:id="1333265628">
      <w:bodyDiv w:val="1"/>
      <w:marLeft w:val="0"/>
      <w:marRight w:val="0"/>
      <w:marTop w:val="0"/>
      <w:marBottom w:val="0"/>
      <w:divBdr>
        <w:top w:val="none" w:sz="0" w:space="0" w:color="auto"/>
        <w:left w:val="none" w:sz="0" w:space="0" w:color="auto"/>
        <w:bottom w:val="none" w:sz="0" w:space="0" w:color="auto"/>
        <w:right w:val="none" w:sz="0" w:space="0" w:color="auto"/>
      </w:divBdr>
    </w:div>
    <w:div w:id="1435174813">
      <w:bodyDiv w:val="1"/>
      <w:marLeft w:val="0"/>
      <w:marRight w:val="0"/>
      <w:marTop w:val="0"/>
      <w:marBottom w:val="0"/>
      <w:divBdr>
        <w:top w:val="none" w:sz="0" w:space="0" w:color="auto"/>
        <w:left w:val="none" w:sz="0" w:space="0" w:color="auto"/>
        <w:bottom w:val="none" w:sz="0" w:space="0" w:color="auto"/>
        <w:right w:val="none" w:sz="0" w:space="0" w:color="auto"/>
      </w:divBdr>
    </w:div>
    <w:div w:id="1480490590">
      <w:bodyDiv w:val="1"/>
      <w:marLeft w:val="0"/>
      <w:marRight w:val="0"/>
      <w:marTop w:val="0"/>
      <w:marBottom w:val="0"/>
      <w:divBdr>
        <w:top w:val="none" w:sz="0" w:space="0" w:color="auto"/>
        <w:left w:val="none" w:sz="0" w:space="0" w:color="auto"/>
        <w:bottom w:val="none" w:sz="0" w:space="0" w:color="auto"/>
        <w:right w:val="none" w:sz="0" w:space="0" w:color="auto"/>
      </w:divBdr>
      <w:divsChild>
        <w:div w:id="388530147">
          <w:marLeft w:val="0"/>
          <w:marRight w:val="0"/>
          <w:marTop w:val="0"/>
          <w:marBottom w:val="0"/>
          <w:divBdr>
            <w:top w:val="none" w:sz="0" w:space="0" w:color="auto"/>
            <w:left w:val="none" w:sz="0" w:space="0" w:color="auto"/>
            <w:bottom w:val="none" w:sz="0" w:space="0" w:color="auto"/>
            <w:right w:val="none" w:sz="0" w:space="0" w:color="auto"/>
          </w:divBdr>
          <w:divsChild>
            <w:div w:id="1105728604">
              <w:marLeft w:val="0"/>
              <w:marRight w:val="0"/>
              <w:marTop w:val="0"/>
              <w:marBottom w:val="0"/>
              <w:divBdr>
                <w:top w:val="none" w:sz="0" w:space="0" w:color="auto"/>
                <w:left w:val="none" w:sz="0" w:space="0" w:color="auto"/>
                <w:bottom w:val="none" w:sz="0" w:space="0" w:color="auto"/>
                <w:right w:val="none" w:sz="0" w:space="0" w:color="auto"/>
              </w:divBdr>
              <w:divsChild>
                <w:div w:id="15515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2152">
      <w:bodyDiv w:val="1"/>
      <w:marLeft w:val="0"/>
      <w:marRight w:val="0"/>
      <w:marTop w:val="0"/>
      <w:marBottom w:val="0"/>
      <w:divBdr>
        <w:top w:val="none" w:sz="0" w:space="0" w:color="auto"/>
        <w:left w:val="none" w:sz="0" w:space="0" w:color="auto"/>
        <w:bottom w:val="none" w:sz="0" w:space="0" w:color="auto"/>
        <w:right w:val="none" w:sz="0" w:space="0" w:color="auto"/>
      </w:divBdr>
      <w:divsChild>
        <w:div w:id="1094857654">
          <w:marLeft w:val="0"/>
          <w:marRight w:val="0"/>
          <w:marTop w:val="0"/>
          <w:marBottom w:val="0"/>
          <w:divBdr>
            <w:top w:val="none" w:sz="0" w:space="0" w:color="auto"/>
            <w:left w:val="none" w:sz="0" w:space="0" w:color="auto"/>
            <w:bottom w:val="none" w:sz="0" w:space="0" w:color="auto"/>
            <w:right w:val="none" w:sz="0" w:space="0" w:color="auto"/>
          </w:divBdr>
          <w:divsChild>
            <w:div w:id="1770810941">
              <w:marLeft w:val="0"/>
              <w:marRight w:val="0"/>
              <w:marTop w:val="0"/>
              <w:marBottom w:val="0"/>
              <w:divBdr>
                <w:top w:val="none" w:sz="0" w:space="0" w:color="auto"/>
                <w:left w:val="none" w:sz="0" w:space="0" w:color="auto"/>
                <w:bottom w:val="none" w:sz="0" w:space="0" w:color="auto"/>
                <w:right w:val="none" w:sz="0" w:space="0" w:color="auto"/>
              </w:divBdr>
              <w:divsChild>
                <w:div w:id="1954096063">
                  <w:marLeft w:val="0"/>
                  <w:marRight w:val="0"/>
                  <w:marTop w:val="0"/>
                  <w:marBottom w:val="0"/>
                  <w:divBdr>
                    <w:top w:val="none" w:sz="0" w:space="0" w:color="auto"/>
                    <w:left w:val="none" w:sz="0" w:space="0" w:color="auto"/>
                    <w:bottom w:val="none" w:sz="0" w:space="0" w:color="auto"/>
                    <w:right w:val="none" w:sz="0" w:space="0" w:color="auto"/>
                  </w:divBdr>
                  <w:divsChild>
                    <w:div w:id="9473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11396">
      <w:bodyDiv w:val="1"/>
      <w:marLeft w:val="0"/>
      <w:marRight w:val="0"/>
      <w:marTop w:val="0"/>
      <w:marBottom w:val="0"/>
      <w:divBdr>
        <w:top w:val="none" w:sz="0" w:space="0" w:color="auto"/>
        <w:left w:val="none" w:sz="0" w:space="0" w:color="auto"/>
        <w:bottom w:val="none" w:sz="0" w:space="0" w:color="auto"/>
        <w:right w:val="none" w:sz="0" w:space="0" w:color="auto"/>
      </w:divBdr>
    </w:div>
    <w:div w:id="2035615342">
      <w:bodyDiv w:val="1"/>
      <w:marLeft w:val="0"/>
      <w:marRight w:val="0"/>
      <w:marTop w:val="0"/>
      <w:marBottom w:val="0"/>
      <w:divBdr>
        <w:top w:val="none" w:sz="0" w:space="0" w:color="auto"/>
        <w:left w:val="none" w:sz="0" w:space="0" w:color="auto"/>
        <w:bottom w:val="none" w:sz="0" w:space="0" w:color="auto"/>
        <w:right w:val="none" w:sz="0" w:space="0" w:color="auto"/>
      </w:divBdr>
      <w:divsChild>
        <w:div w:id="1796824440">
          <w:marLeft w:val="0"/>
          <w:marRight w:val="0"/>
          <w:marTop w:val="240"/>
          <w:marBottom w:val="100"/>
          <w:divBdr>
            <w:top w:val="none" w:sz="0" w:space="0" w:color="auto"/>
            <w:left w:val="none" w:sz="0" w:space="0" w:color="auto"/>
            <w:bottom w:val="none" w:sz="0" w:space="0" w:color="auto"/>
            <w:right w:val="none" w:sz="0" w:space="0" w:color="auto"/>
          </w:divBdr>
          <w:divsChild>
            <w:div w:id="15792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ettercarenetwork.org/library/particular-threats-to-childrens-care-and-protection/child-abuse-and-neglect/child-abandonment-and-its-prevention-in-europe" TargetMode="External"/><Relationship Id="rId13" Type="http://schemas.openxmlformats.org/officeDocument/2006/relationships/hyperlink" Target="http://wp.lancs.ac.uk/recurrent-care/publications/" TargetMode="External"/><Relationship Id="rId3" Type="http://schemas.openxmlformats.org/officeDocument/2006/relationships/hyperlink" Target="http://www.ons.gov.uk" TargetMode="External"/><Relationship Id="rId7" Type="http://schemas.openxmlformats.org/officeDocument/2006/relationships/hyperlink" Target="file:///C:\Users\jill\Downloads\www.ohchr.org\EN\NewsEvents\Pages\DisplayNews.aspx%3fNewsID=20015&amp;LangID=E" TargetMode="External"/><Relationship Id="rId12" Type="http://schemas.openxmlformats.org/officeDocument/2006/relationships/hyperlink" Target="http://www.bbc.co.uk/news/uk-england-london-41310137" TargetMode="External"/><Relationship Id="rId2" Type="http://schemas.openxmlformats.org/officeDocument/2006/relationships/hyperlink" Target="http://hansard.millbanksystems.com/lords/2004/jun/09/human-fertilisation-and-embryology" TargetMode="External"/><Relationship Id="rId1" Type="http://schemas.openxmlformats.org/officeDocument/2006/relationships/hyperlink" Target="mailto:jill.marshall@rhul.ac.uk" TargetMode="External"/><Relationship Id="rId6" Type="http://schemas.openxmlformats.org/officeDocument/2006/relationships/hyperlink" Target="http://www.theguardian.com/world/2012/jun/10/unitednations-europe-news" TargetMode="External"/><Relationship Id="rId11" Type="http://schemas.openxmlformats.org/officeDocument/2006/relationships/hyperlink" Target="https://www.thesun.co.uk/news/2181072/newborn-baby-girl-found-suffering-from-hypothermia-after-being-dumped-on-freezing-doorstep-in-tesco-carrier-bag-by-her-mother/" TargetMode="External"/><Relationship Id="rId5" Type="http://schemas.openxmlformats.org/officeDocument/2006/relationships/hyperlink" Target="file:///C:\Users\jill\Downloads\www.childwelfare.gov\topics\systemwide\laws-policies\statutes\safehaven" TargetMode="External"/><Relationship Id="rId10" Type="http://schemas.openxmlformats.org/officeDocument/2006/relationships/hyperlink" Target="http://www.bbc.co.uk/news/uk-scotland-22123366" TargetMode="External"/><Relationship Id="rId4" Type="http://schemas.openxmlformats.org/officeDocument/2006/relationships/hyperlink" Target="http://www.cairn-int.info/focus-E_POPU_1101_0135--women-who-give-birth-secretly-in-france.htm" TargetMode="External"/><Relationship Id="rId9" Type="http://schemas.openxmlformats.org/officeDocument/2006/relationships/hyperlink" Target="https://www.telegraph.co.uk/news/worldnews/europe/switzerland/12136902/Switzerland-gets-new-baby-hatch-a-hole-in-the-wall-where-mothers-give-away-their-newborn-babies.html" TargetMode="External"/><Relationship Id="rId14" Type="http://schemas.openxmlformats.org/officeDocument/2006/relationships/hyperlink" Target="file:///C:\Users\jill\Downloads\www.bbc.co.uk\news\magazine-18585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97317D27E16E499D6939F617475A35"/>
        <w:category>
          <w:name w:val="General"/>
          <w:gallery w:val="placeholder"/>
        </w:category>
        <w:types>
          <w:type w:val="bbPlcHdr"/>
        </w:types>
        <w:behaviors>
          <w:behavior w:val="content"/>
        </w:behaviors>
        <w:guid w:val="{80EBB819-858D-1046-8242-05527777CC00}"/>
      </w:docPartPr>
      <w:docPartBody>
        <w:p w:rsidR="00A60FB8" w:rsidRDefault="00A6266D" w:rsidP="00A6266D">
          <w:pPr>
            <w:pStyle w:val="ED97317D27E16E499D6939F617475A35"/>
          </w:pPr>
          <w:r>
            <w:t>[Type text]</w:t>
          </w:r>
        </w:p>
      </w:docPartBody>
    </w:docPart>
    <w:docPart>
      <w:docPartPr>
        <w:name w:val="94F9AA93CB05C64B87461189CC448326"/>
        <w:category>
          <w:name w:val="General"/>
          <w:gallery w:val="placeholder"/>
        </w:category>
        <w:types>
          <w:type w:val="bbPlcHdr"/>
        </w:types>
        <w:behaviors>
          <w:behavior w:val="content"/>
        </w:behaviors>
        <w:guid w:val="{F5D248EA-9376-9742-A5C4-7BC3E7EF5C53}"/>
      </w:docPartPr>
      <w:docPartBody>
        <w:p w:rsidR="00A60FB8" w:rsidRDefault="00A6266D" w:rsidP="00A6266D">
          <w:pPr>
            <w:pStyle w:val="94F9AA93CB05C64B87461189CC448326"/>
          </w:pPr>
          <w:r>
            <w:t>[Type text]</w:t>
          </w:r>
        </w:p>
      </w:docPartBody>
    </w:docPart>
    <w:docPart>
      <w:docPartPr>
        <w:name w:val="892EDF35DC393D48BEE0F85BEC25C786"/>
        <w:category>
          <w:name w:val="General"/>
          <w:gallery w:val="placeholder"/>
        </w:category>
        <w:types>
          <w:type w:val="bbPlcHdr"/>
        </w:types>
        <w:behaviors>
          <w:behavior w:val="content"/>
        </w:behaviors>
        <w:guid w:val="{EEF37E6B-734C-C148-85E3-4084142FE763}"/>
      </w:docPartPr>
      <w:docPartBody>
        <w:p w:rsidR="00A60FB8" w:rsidRDefault="00A6266D" w:rsidP="00A6266D">
          <w:pPr>
            <w:pStyle w:val="892EDF35DC393D48BEE0F85BEC25C78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T42+EECKAN">
    <w:altName w:val="Arial"/>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6D"/>
    <w:rsid w:val="000B113D"/>
    <w:rsid w:val="000F0BC8"/>
    <w:rsid w:val="00142306"/>
    <w:rsid w:val="00192A20"/>
    <w:rsid w:val="001E29C3"/>
    <w:rsid w:val="00261D39"/>
    <w:rsid w:val="003038C0"/>
    <w:rsid w:val="0033622B"/>
    <w:rsid w:val="00385615"/>
    <w:rsid w:val="003B030E"/>
    <w:rsid w:val="005234CC"/>
    <w:rsid w:val="00540741"/>
    <w:rsid w:val="006309B4"/>
    <w:rsid w:val="006947BA"/>
    <w:rsid w:val="006A4039"/>
    <w:rsid w:val="006C4040"/>
    <w:rsid w:val="00717887"/>
    <w:rsid w:val="0079372A"/>
    <w:rsid w:val="007A3622"/>
    <w:rsid w:val="007A48C2"/>
    <w:rsid w:val="007D2C61"/>
    <w:rsid w:val="007F35C3"/>
    <w:rsid w:val="00847879"/>
    <w:rsid w:val="009562E7"/>
    <w:rsid w:val="00A0063F"/>
    <w:rsid w:val="00A20AA8"/>
    <w:rsid w:val="00A407B3"/>
    <w:rsid w:val="00A60FB8"/>
    <w:rsid w:val="00A6266D"/>
    <w:rsid w:val="00A656B1"/>
    <w:rsid w:val="00A65C1E"/>
    <w:rsid w:val="00A85261"/>
    <w:rsid w:val="00B64A00"/>
    <w:rsid w:val="00C02468"/>
    <w:rsid w:val="00C13EA1"/>
    <w:rsid w:val="00C86E3D"/>
    <w:rsid w:val="00CA723D"/>
    <w:rsid w:val="00D8542B"/>
    <w:rsid w:val="00DD234E"/>
    <w:rsid w:val="00DE4CA5"/>
    <w:rsid w:val="00E26727"/>
    <w:rsid w:val="00E4229A"/>
    <w:rsid w:val="00E470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97317D27E16E499D6939F617475A35">
    <w:name w:val="ED97317D27E16E499D6939F617475A35"/>
    <w:rsid w:val="00A6266D"/>
  </w:style>
  <w:style w:type="paragraph" w:customStyle="1" w:styleId="94F9AA93CB05C64B87461189CC448326">
    <w:name w:val="94F9AA93CB05C64B87461189CC448326"/>
    <w:rsid w:val="00A6266D"/>
  </w:style>
  <w:style w:type="paragraph" w:customStyle="1" w:styleId="892EDF35DC393D48BEE0F85BEC25C786">
    <w:name w:val="892EDF35DC393D48BEE0F85BEC25C786"/>
    <w:rsid w:val="00A6266D"/>
  </w:style>
  <w:style w:type="paragraph" w:customStyle="1" w:styleId="EBAE4450C100C648A4165124258603D1">
    <w:name w:val="EBAE4450C100C648A4165124258603D1"/>
    <w:rsid w:val="00A6266D"/>
  </w:style>
  <w:style w:type="paragraph" w:customStyle="1" w:styleId="77E1DB3A14770748B9F6E5C4F50FADAF">
    <w:name w:val="77E1DB3A14770748B9F6E5C4F50FADAF"/>
    <w:rsid w:val="00A6266D"/>
  </w:style>
  <w:style w:type="paragraph" w:customStyle="1" w:styleId="5682AD29CDD13540B67B38722561482C">
    <w:name w:val="5682AD29CDD13540B67B38722561482C"/>
    <w:rsid w:val="00A62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67CC-1669-42F3-9186-CFC5440B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8472</Words>
  <Characters>48297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Jill</dc:creator>
  <cp:lastModifiedBy>Revan, Jade</cp:lastModifiedBy>
  <cp:revision>3</cp:revision>
  <cp:lastPrinted>2018-04-09T14:23:00Z</cp:lastPrinted>
  <dcterms:created xsi:type="dcterms:W3CDTF">2018-08-14T08:36:00Z</dcterms:created>
  <dcterms:modified xsi:type="dcterms:W3CDTF">2018-08-14T08:36:00Z</dcterms:modified>
</cp:coreProperties>
</file>