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EB" w:rsidRPr="00CF3A28" w:rsidRDefault="000A40EB" w:rsidP="00CF3A28">
      <w:pPr>
        <w:spacing w:line="240" w:lineRule="auto"/>
        <w:jc w:val="left"/>
        <w:rPr>
          <w:b/>
          <w:sz w:val="24"/>
          <w:szCs w:val="24"/>
          <w:lang w:val="en-US"/>
        </w:rPr>
      </w:pPr>
      <w:r w:rsidRPr="00CF3A28">
        <w:rPr>
          <w:b/>
          <w:sz w:val="24"/>
          <w:szCs w:val="24"/>
          <w:lang w:val="en-US"/>
        </w:rPr>
        <w:t>Polanyi’s Two Transformations Revisited</w:t>
      </w:r>
      <w:r w:rsidR="00DA6BAA" w:rsidRPr="00CF3A28">
        <w:rPr>
          <w:b/>
          <w:sz w:val="24"/>
          <w:szCs w:val="24"/>
          <w:lang w:val="en-US"/>
        </w:rPr>
        <w:t>:” a ‘bottom up’ perspective.</w:t>
      </w:r>
    </w:p>
    <w:p w:rsidR="000A40EB" w:rsidRPr="00CF3A28" w:rsidRDefault="000A40EB" w:rsidP="00CF3A28">
      <w:pPr>
        <w:spacing w:line="240" w:lineRule="auto"/>
        <w:jc w:val="left"/>
        <w:rPr>
          <w:sz w:val="24"/>
          <w:szCs w:val="24"/>
          <w:lang w:val="en-US"/>
        </w:rPr>
      </w:pPr>
      <w:r w:rsidRPr="00CF3A28">
        <w:rPr>
          <w:sz w:val="24"/>
          <w:szCs w:val="24"/>
          <w:lang w:val="en-US"/>
        </w:rPr>
        <w:t xml:space="preserve">Sandra </w:t>
      </w:r>
      <w:proofErr w:type="spellStart"/>
      <w:r w:rsidRPr="00CF3A28">
        <w:rPr>
          <w:sz w:val="24"/>
          <w:szCs w:val="24"/>
          <w:lang w:val="en-US"/>
        </w:rPr>
        <w:t>Halperin</w:t>
      </w:r>
      <w:proofErr w:type="spellEnd"/>
    </w:p>
    <w:p w:rsidR="00CF3A28" w:rsidRDefault="00CF3A28" w:rsidP="00CF3A28">
      <w:pPr>
        <w:spacing w:line="240" w:lineRule="auto"/>
        <w:jc w:val="left"/>
        <w:rPr>
          <w:b/>
          <w:sz w:val="24"/>
          <w:szCs w:val="24"/>
          <w:lang w:val="en-US"/>
        </w:rPr>
      </w:pPr>
    </w:p>
    <w:p w:rsidR="000A40EB" w:rsidRPr="00CF3A28" w:rsidRDefault="000A40EB" w:rsidP="00CF3A28">
      <w:pPr>
        <w:spacing w:line="240" w:lineRule="auto"/>
        <w:jc w:val="left"/>
        <w:rPr>
          <w:b/>
          <w:sz w:val="24"/>
          <w:szCs w:val="24"/>
          <w:lang w:val="en-US"/>
        </w:rPr>
      </w:pPr>
      <w:r w:rsidRPr="00CF3A28">
        <w:rPr>
          <w:b/>
          <w:sz w:val="24"/>
          <w:szCs w:val="24"/>
          <w:lang w:val="en-US"/>
        </w:rPr>
        <w:t>Introduction</w:t>
      </w:r>
    </w:p>
    <w:p w:rsidR="00CF3A28" w:rsidRDefault="00CF3A28" w:rsidP="00CF3A28">
      <w:pPr>
        <w:spacing w:line="240" w:lineRule="auto"/>
        <w:jc w:val="left"/>
        <w:rPr>
          <w:bCs/>
          <w:sz w:val="24"/>
          <w:szCs w:val="24"/>
        </w:rPr>
      </w:pPr>
    </w:p>
    <w:p w:rsidR="00B34BD8" w:rsidRPr="00CF3A28" w:rsidRDefault="006365E3" w:rsidP="00CF3A28">
      <w:pPr>
        <w:spacing w:line="240" w:lineRule="auto"/>
        <w:jc w:val="left"/>
        <w:rPr>
          <w:bCs/>
          <w:sz w:val="24"/>
          <w:szCs w:val="24"/>
        </w:rPr>
      </w:pPr>
      <w:r w:rsidRPr="00CF3A28">
        <w:rPr>
          <w:bCs/>
          <w:sz w:val="24"/>
          <w:szCs w:val="24"/>
        </w:rPr>
        <w:t xml:space="preserve">Two key transformations are the focus of </w:t>
      </w:r>
      <w:r w:rsidR="001A4F85" w:rsidRPr="00CF3A28">
        <w:rPr>
          <w:bCs/>
          <w:sz w:val="24"/>
          <w:szCs w:val="24"/>
        </w:rPr>
        <w:t>Karl Polanyi</w:t>
      </w:r>
      <w:r w:rsidRPr="00CF3A28">
        <w:rPr>
          <w:bCs/>
          <w:sz w:val="24"/>
          <w:szCs w:val="24"/>
        </w:rPr>
        <w:t>’s</w:t>
      </w:r>
      <w:r w:rsidR="007A6FA4" w:rsidRPr="00CF3A28">
        <w:rPr>
          <w:bCs/>
          <w:i/>
          <w:sz w:val="24"/>
          <w:szCs w:val="24"/>
        </w:rPr>
        <w:t xml:space="preserve"> </w:t>
      </w:r>
      <w:r w:rsidR="003973E3" w:rsidRPr="00CF3A28">
        <w:rPr>
          <w:bCs/>
          <w:i/>
          <w:sz w:val="24"/>
          <w:szCs w:val="24"/>
        </w:rPr>
        <w:t>The Great Transformation</w:t>
      </w:r>
      <w:r w:rsidR="0028367F" w:rsidRPr="00CF3A28">
        <w:rPr>
          <w:bCs/>
          <w:sz w:val="24"/>
          <w:szCs w:val="24"/>
        </w:rPr>
        <w:t xml:space="preserve">. </w:t>
      </w:r>
      <w:r w:rsidR="003973E3" w:rsidRPr="00CF3A28">
        <w:rPr>
          <w:bCs/>
          <w:sz w:val="24"/>
          <w:szCs w:val="24"/>
        </w:rPr>
        <w:t>The first</w:t>
      </w:r>
      <w:r w:rsidR="0028367F" w:rsidRPr="00CF3A28">
        <w:rPr>
          <w:bCs/>
          <w:sz w:val="24"/>
          <w:szCs w:val="24"/>
        </w:rPr>
        <w:t xml:space="preserve"> </w:t>
      </w:r>
      <w:r w:rsidR="003973E3" w:rsidRPr="00CF3A28">
        <w:rPr>
          <w:bCs/>
          <w:sz w:val="24"/>
          <w:szCs w:val="24"/>
        </w:rPr>
        <w:t>occur</w:t>
      </w:r>
      <w:r w:rsidR="009342BB" w:rsidRPr="00CF3A28">
        <w:rPr>
          <w:bCs/>
          <w:sz w:val="24"/>
          <w:szCs w:val="24"/>
        </w:rPr>
        <w:t>red</w:t>
      </w:r>
      <w:r w:rsidR="003973E3" w:rsidRPr="00CF3A28">
        <w:rPr>
          <w:bCs/>
          <w:sz w:val="24"/>
          <w:szCs w:val="24"/>
        </w:rPr>
        <w:t xml:space="preserve"> at the end of the eighteenth century with the </w:t>
      </w:r>
      <w:proofErr w:type="spellStart"/>
      <w:r w:rsidR="003973E3" w:rsidRPr="00CF3A28">
        <w:rPr>
          <w:bCs/>
          <w:i/>
          <w:sz w:val="24"/>
          <w:szCs w:val="24"/>
        </w:rPr>
        <w:t>dis</w:t>
      </w:r>
      <w:proofErr w:type="spellEnd"/>
      <w:r w:rsidR="003973E3" w:rsidRPr="00CF3A28">
        <w:rPr>
          <w:bCs/>
          <w:i/>
          <w:sz w:val="24"/>
          <w:szCs w:val="24"/>
        </w:rPr>
        <w:t>-embedding</w:t>
      </w:r>
      <w:r w:rsidR="003973E3" w:rsidRPr="00CF3A28">
        <w:rPr>
          <w:bCs/>
          <w:sz w:val="24"/>
          <w:szCs w:val="24"/>
        </w:rPr>
        <w:t xml:space="preserve"> of </w:t>
      </w:r>
      <w:r w:rsidR="003C4929" w:rsidRPr="00CF3A28">
        <w:rPr>
          <w:bCs/>
          <w:sz w:val="24"/>
          <w:szCs w:val="24"/>
        </w:rPr>
        <w:t xml:space="preserve">local </w:t>
      </w:r>
      <w:r w:rsidR="003973E3" w:rsidRPr="00CF3A28">
        <w:rPr>
          <w:bCs/>
          <w:sz w:val="24"/>
          <w:szCs w:val="24"/>
        </w:rPr>
        <w:t>markets and the rise of Europe’s unregulated market system.</w:t>
      </w:r>
      <w:r w:rsidR="007A6FA4" w:rsidRPr="00CF3A28">
        <w:rPr>
          <w:bCs/>
          <w:sz w:val="24"/>
          <w:szCs w:val="24"/>
        </w:rPr>
        <w:t xml:space="preserve"> </w:t>
      </w:r>
      <w:r w:rsidR="00E77D2A" w:rsidRPr="00CF3A28">
        <w:rPr>
          <w:bCs/>
          <w:sz w:val="24"/>
          <w:szCs w:val="24"/>
        </w:rPr>
        <w:t>As he was completing</w:t>
      </w:r>
      <w:r w:rsidRPr="00CF3A28">
        <w:rPr>
          <w:bCs/>
          <w:sz w:val="24"/>
          <w:szCs w:val="24"/>
        </w:rPr>
        <w:t xml:space="preserve"> his magnum opus</w:t>
      </w:r>
      <w:r w:rsidR="00E77D2A" w:rsidRPr="00CF3A28">
        <w:rPr>
          <w:bCs/>
          <w:sz w:val="24"/>
          <w:szCs w:val="24"/>
        </w:rPr>
        <w:t xml:space="preserve"> in the early 1940s, t</w:t>
      </w:r>
      <w:r w:rsidR="00974B1E" w:rsidRPr="00CF3A28">
        <w:rPr>
          <w:bCs/>
          <w:sz w:val="24"/>
          <w:szCs w:val="24"/>
        </w:rPr>
        <w:t>he second transformation</w:t>
      </w:r>
      <w:r w:rsidR="00E77D2A" w:rsidRPr="00CF3A28">
        <w:rPr>
          <w:bCs/>
          <w:sz w:val="24"/>
          <w:szCs w:val="24"/>
        </w:rPr>
        <w:t xml:space="preserve"> </w:t>
      </w:r>
      <w:r w:rsidR="00974B1E" w:rsidRPr="00CF3A28">
        <w:rPr>
          <w:bCs/>
          <w:sz w:val="24"/>
          <w:szCs w:val="24"/>
        </w:rPr>
        <w:t>had yet to occur.</w:t>
      </w:r>
      <w:r w:rsidR="00E77D2A" w:rsidRPr="00CF3A28">
        <w:rPr>
          <w:bCs/>
          <w:sz w:val="24"/>
          <w:szCs w:val="24"/>
        </w:rPr>
        <w:t xml:space="preserve"> However, </w:t>
      </w:r>
      <w:r w:rsidR="009D4ECB" w:rsidRPr="00CF3A28">
        <w:rPr>
          <w:bCs/>
          <w:sz w:val="24"/>
          <w:szCs w:val="24"/>
        </w:rPr>
        <w:t>appl</w:t>
      </w:r>
      <w:r w:rsidR="0044330A" w:rsidRPr="00CF3A28">
        <w:rPr>
          <w:bCs/>
          <w:sz w:val="24"/>
          <w:szCs w:val="24"/>
        </w:rPr>
        <w:t>ying</w:t>
      </w:r>
      <w:r w:rsidR="00E77D2A" w:rsidRPr="00CF3A28">
        <w:rPr>
          <w:bCs/>
          <w:sz w:val="24"/>
          <w:szCs w:val="24"/>
        </w:rPr>
        <w:t xml:space="preserve"> the analytic framework he had used to explain the first transformation</w:t>
      </w:r>
      <w:r w:rsidR="0044330A" w:rsidRPr="00CF3A28">
        <w:rPr>
          <w:bCs/>
          <w:sz w:val="24"/>
          <w:szCs w:val="24"/>
        </w:rPr>
        <w:t>, he</w:t>
      </w:r>
      <w:r w:rsidR="009D4ECB" w:rsidRPr="00CF3A28">
        <w:rPr>
          <w:bCs/>
          <w:sz w:val="24"/>
          <w:szCs w:val="24"/>
        </w:rPr>
        <w:t xml:space="preserve"> predict</w:t>
      </w:r>
      <w:r w:rsidR="0044330A" w:rsidRPr="00CF3A28">
        <w:rPr>
          <w:bCs/>
          <w:sz w:val="24"/>
          <w:szCs w:val="24"/>
        </w:rPr>
        <w:t>ed</w:t>
      </w:r>
      <w:r w:rsidR="009D4ECB" w:rsidRPr="00CF3A28">
        <w:rPr>
          <w:bCs/>
          <w:sz w:val="24"/>
          <w:szCs w:val="24"/>
        </w:rPr>
        <w:t xml:space="preserve"> </w:t>
      </w:r>
      <w:r w:rsidRPr="00CF3A28">
        <w:rPr>
          <w:bCs/>
          <w:sz w:val="24"/>
          <w:szCs w:val="24"/>
        </w:rPr>
        <w:t>the collapse of the unregulated market system in the course of the world wars and the outcomes that he expected would</w:t>
      </w:r>
      <w:r w:rsidR="009D4ECB" w:rsidRPr="00CF3A28">
        <w:rPr>
          <w:bCs/>
          <w:sz w:val="24"/>
          <w:szCs w:val="24"/>
        </w:rPr>
        <w:t xml:space="preserve"> </w:t>
      </w:r>
      <w:r w:rsidRPr="00CF3A28">
        <w:rPr>
          <w:bCs/>
          <w:sz w:val="24"/>
          <w:szCs w:val="24"/>
        </w:rPr>
        <w:t xml:space="preserve">ensure from </w:t>
      </w:r>
      <w:r w:rsidR="0044330A" w:rsidRPr="00CF3A28">
        <w:rPr>
          <w:bCs/>
          <w:sz w:val="24"/>
          <w:szCs w:val="24"/>
        </w:rPr>
        <w:t>it</w:t>
      </w:r>
      <w:r w:rsidR="009D4ECB" w:rsidRPr="00CF3A28">
        <w:rPr>
          <w:bCs/>
          <w:sz w:val="24"/>
          <w:szCs w:val="24"/>
        </w:rPr>
        <w:t>.</w:t>
      </w:r>
      <w:r w:rsidR="00B34BD8" w:rsidRPr="00CF3A28">
        <w:rPr>
          <w:bCs/>
          <w:sz w:val="24"/>
          <w:szCs w:val="24"/>
        </w:rPr>
        <w:t xml:space="preserve"> </w:t>
      </w:r>
    </w:p>
    <w:p w:rsidR="00974B1E" w:rsidRPr="00CF3A28" w:rsidRDefault="009A238B" w:rsidP="00CF3A28">
      <w:pPr>
        <w:spacing w:line="240" w:lineRule="auto"/>
        <w:jc w:val="left"/>
        <w:rPr>
          <w:bCs/>
          <w:sz w:val="24"/>
          <w:szCs w:val="24"/>
        </w:rPr>
      </w:pPr>
      <w:r w:rsidRPr="00CF3A28">
        <w:rPr>
          <w:bCs/>
          <w:sz w:val="24"/>
          <w:szCs w:val="24"/>
        </w:rPr>
        <w:t xml:space="preserve">. </w:t>
      </w:r>
    </w:p>
    <w:p w:rsidR="00C42091" w:rsidRPr="00CF3A28" w:rsidRDefault="0028367F" w:rsidP="00CF3A28">
      <w:pPr>
        <w:spacing w:line="240" w:lineRule="auto"/>
        <w:jc w:val="left"/>
        <w:rPr>
          <w:bCs/>
          <w:sz w:val="24"/>
          <w:szCs w:val="24"/>
          <w:lang w:val="en-US"/>
        </w:rPr>
      </w:pPr>
      <w:r w:rsidRPr="00CF3A28">
        <w:rPr>
          <w:bCs/>
          <w:sz w:val="24"/>
          <w:szCs w:val="24"/>
        </w:rPr>
        <w:t>According to th</w:t>
      </w:r>
      <w:r w:rsidR="004368D2" w:rsidRPr="00CF3A28">
        <w:rPr>
          <w:bCs/>
          <w:sz w:val="24"/>
          <w:szCs w:val="24"/>
        </w:rPr>
        <w:t>at</w:t>
      </w:r>
      <w:r w:rsidRPr="00CF3A28">
        <w:rPr>
          <w:bCs/>
          <w:sz w:val="24"/>
          <w:szCs w:val="24"/>
        </w:rPr>
        <w:t xml:space="preserve"> framework,</w:t>
      </w:r>
      <w:r w:rsidR="00C42091" w:rsidRPr="00CF3A28">
        <w:rPr>
          <w:bCs/>
          <w:sz w:val="24"/>
          <w:szCs w:val="24"/>
          <w:lang w:val="en-US"/>
        </w:rPr>
        <w:t xml:space="preserve"> changes at the ‘top’ -- in the organization of the international economy -- provide particular kinds of opportunities for states to act</w:t>
      </w:r>
      <w:r w:rsidR="0044330A" w:rsidRPr="00CF3A28">
        <w:rPr>
          <w:bCs/>
          <w:sz w:val="24"/>
          <w:szCs w:val="24"/>
          <w:lang w:val="en-US"/>
        </w:rPr>
        <w:t xml:space="preserve"> which</w:t>
      </w:r>
      <w:r w:rsidR="00C42091" w:rsidRPr="00CF3A28">
        <w:rPr>
          <w:bCs/>
          <w:sz w:val="24"/>
          <w:szCs w:val="24"/>
          <w:lang w:val="en-US"/>
        </w:rPr>
        <w:t xml:space="preserve">, in turn, shapes the extent to which social forces will be able to influence state policy. </w:t>
      </w:r>
      <w:r w:rsidR="0044330A" w:rsidRPr="00CF3A28">
        <w:rPr>
          <w:bCs/>
          <w:sz w:val="24"/>
          <w:szCs w:val="24"/>
          <w:lang w:val="en-US"/>
        </w:rPr>
        <w:t>Thus,</w:t>
      </w:r>
      <w:r w:rsidR="009342BB" w:rsidRPr="00CF3A28">
        <w:rPr>
          <w:bCs/>
          <w:sz w:val="24"/>
          <w:szCs w:val="24"/>
          <w:lang w:val="en-US"/>
        </w:rPr>
        <w:t xml:space="preserve"> </w:t>
      </w:r>
      <w:r w:rsidR="0044330A" w:rsidRPr="00CF3A28">
        <w:rPr>
          <w:bCs/>
          <w:sz w:val="24"/>
          <w:szCs w:val="24"/>
          <w:lang w:val="en-US"/>
        </w:rPr>
        <w:t xml:space="preserve">in </w:t>
      </w:r>
      <w:r w:rsidR="009342BB" w:rsidRPr="00CF3A28">
        <w:rPr>
          <w:bCs/>
          <w:sz w:val="24"/>
          <w:szCs w:val="24"/>
          <w:lang w:val="en-US"/>
        </w:rPr>
        <w:t>h</w:t>
      </w:r>
      <w:r w:rsidR="007A6FA4" w:rsidRPr="00CF3A28">
        <w:rPr>
          <w:bCs/>
          <w:sz w:val="24"/>
          <w:szCs w:val="24"/>
          <w:lang w:val="en-US"/>
        </w:rPr>
        <w:t>is account of th</w:t>
      </w:r>
      <w:r w:rsidR="009342BB" w:rsidRPr="00CF3A28">
        <w:rPr>
          <w:bCs/>
          <w:sz w:val="24"/>
          <w:szCs w:val="24"/>
          <w:lang w:val="en-US"/>
        </w:rPr>
        <w:t>e first</w:t>
      </w:r>
      <w:r w:rsidR="007A6FA4" w:rsidRPr="00CF3A28">
        <w:rPr>
          <w:bCs/>
          <w:sz w:val="24"/>
          <w:szCs w:val="24"/>
          <w:lang w:val="en-US"/>
        </w:rPr>
        <w:t xml:space="preserve"> transformation</w:t>
      </w:r>
      <w:r w:rsidR="0044330A" w:rsidRPr="00CF3A28">
        <w:rPr>
          <w:bCs/>
          <w:sz w:val="24"/>
          <w:szCs w:val="24"/>
          <w:lang w:val="en-US"/>
        </w:rPr>
        <w:t>, he focuses first</w:t>
      </w:r>
      <w:r w:rsidR="007A6FA4" w:rsidRPr="00CF3A28">
        <w:rPr>
          <w:bCs/>
          <w:sz w:val="24"/>
          <w:szCs w:val="24"/>
          <w:lang w:val="en-US"/>
        </w:rPr>
        <w:t xml:space="preserve"> on the establishment of a new liberal international order and the key institutions of this order</w:t>
      </w:r>
      <w:r w:rsidR="0044330A" w:rsidRPr="00CF3A28">
        <w:rPr>
          <w:bCs/>
          <w:sz w:val="24"/>
          <w:szCs w:val="24"/>
          <w:lang w:val="en-US"/>
        </w:rPr>
        <w:t>. According to his analysis, it was this overarching institutional order that</w:t>
      </w:r>
      <w:r w:rsidR="007A6FA4" w:rsidRPr="00CF3A28">
        <w:rPr>
          <w:bCs/>
          <w:sz w:val="24"/>
          <w:szCs w:val="24"/>
          <w:lang w:val="en-US"/>
        </w:rPr>
        <w:t xml:space="preserve"> enabled states to </w:t>
      </w:r>
      <w:r w:rsidR="007A6FA4" w:rsidRPr="00CF3A28">
        <w:rPr>
          <w:bCs/>
          <w:sz w:val="24"/>
          <w:szCs w:val="24"/>
        </w:rPr>
        <w:t xml:space="preserve">deregulate capital and to institute other changes that formed the basis of Europe’s unregulated market system. Applying this same </w:t>
      </w:r>
      <w:r w:rsidR="00D73168" w:rsidRPr="00CF3A28">
        <w:rPr>
          <w:bCs/>
          <w:sz w:val="24"/>
          <w:szCs w:val="24"/>
        </w:rPr>
        <w:t>‘top down’ analysis</w:t>
      </w:r>
      <w:r w:rsidR="007A6FA4" w:rsidRPr="00CF3A28">
        <w:rPr>
          <w:bCs/>
          <w:sz w:val="24"/>
          <w:szCs w:val="24"/>
        </w:rPr>
        <w:t xml:space="preserve"> to the transformation he believed </w:t>
      </w:r>
      <w:r w:rsidR="009342BB" w:rsidRPr="00CF3A28">
        <w:rPr>
          <w:bCs/>
          <w:sz w:val="24"/>
          <w:szCs w:val="24"/>
        </w:rPr>
        <w:t>was</w:t>
      </w:r>
      <w:r w:rsidR="007A6FA4" w:rsidRPr="00CF3A28">
        <w:rPr>
          <w:bCs/>
          <w:sz w:val="24"/>
          <w:szCs w:val="24"/>
        </w:rPr>
        <w:t xml:space="preserve"> imminent, </w:t>
      </w:r>
      <w:r w:rsidR="00D06DC8" w:rsidRPr="00CF3A28">
        <w:rPr>
          <w:rFonts w:eastAsia="Calibri"/>
          <w:sz w:val="24"/>
          <w:szCs w:val="24"/>
        </w:rPr>
        <w:t xml:space="preserve">Polanyi </w:t>
      </w:r>
      <w:r w:rsidR="003973E3" w:rsidRPr="00CF3A28">
        <w:rPr>
          <w:rFonts w:eastAsia="Calibri"/>
          <w:sz w:val="24"/>
          <w:szCs w:val="24"/>
        </w:rPr>
        <w:t>expected</w:t>
      </w:r>
      <w:r w:rsidR="00D06DC8" w:rsidRPr="00CF3A28">
        <w:rPr>
          <w:rFonts w:eastAsia="Calibri"/>
          <w:sz w:val="24"/>
          <w:szCs w:val="24"/>
        </w:rPr>
        <w:t xml:space="preserve"> </w:t>
      </w:r>
      <w:r w:rsidR="002C0C50" w:rsidRPr="00CF3A28">
        <w:rPr>
          <w:rFonts w:eastAsia="Calibri"/>
          <w:sz w:val="24"/>
          <w:szCs w:val="24"/>
        </w:rPr>
        <w:t>that</w:t>
      </w:r>
      <w:r w:rsidRPr="00CF3A28">
        <w:rPr>
          <w:rFonts w:eastAsia="Calibri"/>
          <w:sz w:val="24"/>
          <w:szCs w:val="24"/>
        </w:rPr>
        <w:t>, with the demise of</w:t>
      </w:r>
      <w:r w:rsidR="00DB1B9C" w:rsidRPr="00CF3A28">
        <w:rPr>
          <w:rFonts w:eastAsia="Calibri"/>
          <w:sz w:val="24"/>
          <w:szCs w:val="24"/>
        </w:rPr>
        <w:t xml:space="preserve"> Europe’s nineteenth century market system</w:t>
      </w:r>
      <w:r w:rsidR="009342BB" w:rsidRPr="00CF3A28">
        <w:rPr>
          <w:rFonts w:eastAsia="Calibri"/>
          <w:sz w:val="24"/>
          <w:szCs w:val="24"/>
        </w:rPr>
        <w:t xml:space="preserve">, </w:t>
      </w:r>
      <w:r w:rsidR="007A6FA4" w:rsidRPr="00CF3A28">
        <w:rPr>
          <w:rFonts w:eastAsia="Calibri"/>
          <w:sz w:val="24"/>
          <w:szCs w:val="24"/>
        </w:rPr>
        <w:t>a new international opportunity structure</w:t>
      </w:r>
      <w:r w:rsidR="009342BB" w:rsidRPr="00CF3A28">
        <w:rPr>
          <w:rFonts w:eastAsia="Calibri"/>
          <w:sz w:val="24"/>
          <w:szCs w:val="24"/>
        </w:rPr>
        <w:t xml:space="preserve"> </w:t>
      </w:r>
      <w:r w:rsidR="0044330A" w:rsidRPr="00CF3A28">
        <w:rPr>
          <w:rFonts w:eastAsia="Calibri"/>
          <w:sz w:val="24"/>
          <w:szCs w:val="24"/>
        </w:rPr>
        <w:t>would emerge that</w:t>
      </w:r>
      <w:r w:rsidR="009342BB" w:rsidRPr="00CF3A28">
        <w:rPr>
          <w:rFonts w:eastAsia="Calibri"/>
          <w:sz w:val="24"/>
          <w:szCs w:val="24"/>
        </w:rPr>
        <w:t xml:space="preserve"> would enable</w:t>
      </w:r>
      <w:r w:rsidR="008D5185" w:rsidRPr="00CF3A28">
        <w:rPr>
          <w:bCs/>
          <w:sz w:val="24"/>
          <w:szCs w:val="24"/>
          <w:lang w:val="en-US"/>
        </w:rPr>
        <w:t xml:space="preserve"> states to </w:t>
      </w:r>
      <w:r w:rsidR="00352BF6" w:rsidRPr="00CF3A28">
        <w:rPr>
          <w:bCs/>
          <w:sz w:val="24"/>
          <w:szCs w:val="24"/>
          <w:lang w:val="en-US"/>
        </w:rPr>
        <w:t>introduce</w:t>
      </w:r>
      <w:r w:rsidR="008D5185" w:rsidRPr="00CF3A28">
        <w:rPr>
          <w:bCs/>
          <w:sz w:val="24"/>
          <w:szCs w:val="24"/>
          <w:lang w:val="en-US"/>
        </w:rPr>
        <w:t xml:space="preserve"> </w:t>
      </w:r>
      <w:r w:rsidR="0044330A" w:rsidRPr="00CF3A28">
        <w:rPr>
          <w:bCs/>
          <w:sz w:val="24"/>
          <w:szCs w:val="24"/>
          <w:lang w:val="en-US"/>
        </w:rPr>
        <w:t>policies</w:t>
      </w:r>
      <w:r w:rsidR="00352BF6" w:rsidRPr="00CF3A28">
        <w:rPr>
          <w:bCs/>
          <w:sz w:val="24"/>
          <w:szCs w:val="24"/>
          <w:lang w:val="en-US"/>
        </w:rPr>
        <w:t xml:space="preserve"> </w:t>
      </w:r>
      <w:r w:rsidR="004947CC" w:rsidRPr="00CF3A28">
        <w:rPr>
          <w:bCs/>
          <w:sz w:val="24"/>
          <w:szCs w:val="24"/>
          <w:lang w:val="en-US"/>
        </w:rPr>
        <w:t>that</w:t>
      </w:r>
      <w:r w:rsidR="00BD7C2E" w:rsidRPr="00CF3A28">
        <w:rPr>
          <w:bCs/>
          <w:sz w:val="24"/>
          <w:szCs w:val="24"/>
          <w:lang w:val="en-US"/>
        </w:rPr>
        <w:t xml:space="preserve"> would </w:t>
      </w:r>
      <w:r w:rsidR="00E17E21" w:rsidRPr="00CF3A28">
        <w:rPr>
          <w:bCs/>
          <w:sz w:val="24"/>
          <w:szCs w:val="24"/>
        </w:rPr>
        <w:t>bring about a</w:t>
      </w:r>
      <w:r w:rsidR="00E17E21" w:rsidRPr="00CF3A28">
        <w:rPr>
          <w:bCs/>
          <w:i/>
          <w:sz w:val="24"/>
          <w:szCs w:val="24"/>
        </w:rPr>
        <w:t xml:space="preserve"> re-embedding</w:t>
      </w:r>
      <w:r w:rsidR="00E17E21" w:rsidRPr="00CF3A28">
        <w:rPr>
          <w:bCs/>
          <w:sz w:val="24"/>
          <w:szCs w:val="24"/>
        </w:rPr>
        <w:t xml:space="preserve"> of </w:t>
      </w:r>
      <w:r w:rsidR="004947CC" w:rsidRPr="00CF3A28">
        <w:rPr>
          <w:bCs/>
          <w:sz w:val="24"/>
          <w:szCs w:val="24"/>
          <w:lang w:val="en-US"/>
        </w:rPr>
        <w:t xml:space="preserve">local </w:t>
      </w:r>
      <w:r w:rsidR="00BD7C2E" w:rsidRPr="00CF3A28">
        <w:rPr>
          <w:bCs/>
          <w:sz w:val="24"/>
          <w:szCs w:val="24"/>
          <w:lang w:val="en-US"/>
        </w:rPr>
        <w:t>markets.</w:t>
      </w:r>
      <w:r w:rsidR="00BD7C2E" w:rsidRPr="00CF3A28">
        <w:rPr>
          <w:bCs/>
          <w:sz w:val="24"/>
          <w:szCs w:val="24"/>
          <w:vertAlign w:val="superscript"/>
          <w:lang w:val="en-US"/>
        </w:rPr>
        <w:footnoteReference w:id="1"/>
      </w:r>
      <w:r w:rsidR="00BD7C2E" w:rsidRPr="00CF3A28">
        <w:rPr>
          <w:bCs/>
          <w:sz w:val="24"/>
          <w:szCs w:val="24"/>
          <w:lang w:val="en-US"/>
        </w:rPr>
        <w:t xml:space="preserve"> </w:t>
      </w:r>
    </w:p>
    <w:p w:rsidR="00CF3A28" w:rsidRDefault="00CF3A28" w:rsidP="00CF3A28">
      <w:pPr>
        <w:spacing w:line="240" w:lineRule="auto"/>
        <w:jc w:val="left"/>
        <w:rPr>
          <w:bCs/>
          <w:sz w:val="24"/>
          <w:szCs w:val="24"/>
          <w:lang w:val="en-US"/>
        </w:rPr>
      </w:pPr>
    </w:p>
    <w:p w:rsidR="00FC4C03" w:rsidRPr="00CF3A28" w:rsidRDefault="007A6FA4" w:rsidP="00CF3A28">
      <w:pPr>
        <w:spacing w:line="240" w:lineRule="auto"/>
        <w:jc w:val="left"/>
        <w:rPr>
          <w:bCs/>
          <w:sz w:val="24"/>
          <w:szCs w:val="24"/>
          <w:lang w:val="en-US"/>
        </w:rPr>
      </w:pPr>
      <w:r w:rsidRPr="00CF3A28">
        <w:rPr>
          <w:bCs/>
          <w:sz w:val="24"/>
          <w:szCs w:val="24"/>
          <w:lang w:val="en-US"/>
        </w:rPr>
        <w:t>A few years after</w:t>
      </w:r>
      <w:r w:rsidR="00BD7C2E" w:rsidRPr="00CF3A28">
        <w:rPr>
          <w:bCs/>
          <w:sz w:val="24"/>
          <w:szCs w:val="24"/>
          <w:lang w:val="en-US"/>
        </w:rPr>
        <w:t xml:space="preserve"> the publication of </w:t>
      </w:r>
      <w:r w:rsidR="00BD7C2E" w:rsidRPr="00CF3A28">
        <w:rPr>
          <w:bCs/>
          <w:i/>
          <w:sz w:val="24"/>
          <w:szCs w:val="24"/>
          <w:lang w:val="en-US"/>
        </w:rPr>
        <w:t>The Great Transformation</w:t>
      </w:r>
      <w:r w:rsidRPr="00CF3A28">
        <w:rPr>
          <w:bCs/>
          <w:sz w:val="24"/>
          <w:szCs w:val="24"/>
          <w:lang w:val="en-US"/>
        </w:rPr>
        <w:t>, however,</w:t>
      </w:r>
      <w:r w:rsidR="00BD7C2E" w:rsidRPr="00CF3A28">
        <w:rPr>
          <w:bCs/>
          <w:sz w:val="24"/>
          <w:szCs w:val="24"/>
          <w:lang w:val="en-US"/>
        </w:rPr>
        <w:t xml:space="preserve"> </w:t>
      </w:r>
      <w:r w:rsidR="002F2745" w:rsidRPr="00CF3A28">
        <w:rPr>
          <w:bCs/>
          <w:sz w:val="24"/>
          <w:szCs w:val="24"/>
          <w:lang w:val="en-US"/>
        </w:rPr>
        <w:t xml:space="preserve">it became apparent </w:t>
      </w:r>
      <w:r w:rsidR="00E17E21" w:rsidRPr="00CF3A28">
        <w:rPr>
          <w:bCs/>
          <w:sz w:val="24"/>
          <w:szCs w:val="24"/>
          <w:lang w:val="en-US"/>
        </w:rPr>
        <w:t>that</w:t>
      </w:r>
      <w:r w:rsidR="00AF1859" w:rsidRPr="00CF3A28">
        <w:rPr>
          <w:bCs/>
          <w:sz w:val="24"/>
          <w:szCs w:val="24"/>
          <w:lang w:val="en-US"/>
        </w:rPr>
        <w:t xml:space="preserve"> th</w:t>
      </w:r>
      <w:r w:rsidR="00D73D45" w:rsidRPr="00CF3A28">
        <w:rPr>
          <w:bCs/>
          <w:sz w:val="24"/>
          <w:szCs w:val="24"/>
          <w:lang w:val="en-US"/>
        </w:rPr>
        <w:t xml:space="preserve">e outcomes </w:t>
      </w:r>
      <w:r w:rsidR="00FA5BA1" w:rsidRPr="00CF3A28">
        <w:rPr>
          <w:bCs/>
          <w:sz w:val="24"/>
          <w:szCs w:val="24"/>
          <w:lang w:val="en-US"/>
        </w:rPr>
        <w:t xml:space="preserve">that had emerged following </w:t>
      </w:r>
      <w:r w:rsidR="00D73D45" w:rsidRPr="00CF3A28">
        <w:rPr>
          <w:bCs/>
          <w:sz w:val="24"/>
          <w:szCs w:val="24"/>
          <w:lang w:val="en-US"/>
        </w:rPr>
        <w:t xml:space="preserve">World War II </w:t>
      </w:r>
      <w:r w:rsidR="00FA5BA1" w:rsidRPr="00CF3A28">
        <w:rPr>
          <w:bCs/>
          <w:sz w:val="24"/>
          <w:szCs w:val="24"/>
          <w:lang w:val="en-US"/>
        </w:rPr>
        <w:t>did not conform to his expectations. T</w:t>
      </w:r>
      <w:r w:rsidR="00D73D45" w:rsidRPr="00CF3A28">
        <w:rPr>
          <w:bCs/>
          <w:sz w:val="24"/>
          <w:szCs w:val="24"/>
          <w:lang w:val="en-US"/>
        </w:rPr>
        <w:t xml:space="preserve">here </w:t>
      </w:r>
      <w:r w:rsidR="00FA5BA1" w:rsidRPr="00CF3A28">
        <w:rPr>
          <w:bCs/>
          <w:sz w:val="24"/>
          <w:szCs w:val="24"/>
          <w:lang w:val="en-US"/>
        </w:rPr>
        <w:t>had</w:t>
      </w:r>
      <w:r w:rsidR="00E606BB" w:rsidRPr="00CF3A28">
        <w:rPr>
          <w:bCs/>
          <w:sz w:val="24"/>
          <w:szCs w:val="24"/>
          <w:lang w:val="en-US"/>
        </w:rPr>
        <w:t>,</w:t>
      </w:r>
      <w:r w:rsidR="00D73D45" w:rsidRPr="00CF3A28">
        <w:rPr>
          <w:bCs/>
          <w:sz w:val="24"/>
          <w:szCs w:val="24"/>
          <w:lang w:val="en-US"/>
        </w:rPr>
        <w:t xml:space="preserve"> indeed</w:t>
      </w:r>
      <w:r w:rsidR="00E606BB" w:rsidRPr="00CF3A28">
        <w:rPr>
          <w:bCs/>
          <w:sz w:val="24"/>
          <w:szCs w:val="24"/>
          <w:lang w:val="en-US"/>
        </w:rPr>
        <w:t>,</w:t>
      </w:r>
      <w:r w:rsidR="00D73D45" w:rsidRPr="00CF3A28">
        <w:rPr>
          <w:bCs/>
          <w:sz w:val="24"/>
          <w:szCs w:val="24"/>
          <w:lang w:val="en-US"/>
        </w:rPr>
        <w:t xml:space="preserve"> occur</w:t>
      </w:r>
      <w:r w:rsidR="00FA5BA1" w:rsidRPr="00CF3A28">
        <w:rPr>
          <w:bCs/>
          <w:sz w:val="24"/>
          <w:szCs w:val="24"/>
          <w:lang w:val="en-US"/>
        </w:rPr>
        <w:t>red</w:t>
      </w:r>
      <w:r w:rsidR="00AF1859" w:rsidRPr="00CF3A28">
        <w:rPr>
          <w:bCs/>
          <w:sz w:val="24"/>
          <w:szCs w:val="24"/>
          <w:lang w:val="en-US"/>
        </w:rPr>
        <w:t xml:space="preserve"> a</w:t>
      </w:r>
      <w:r w:rsidR="002F2745" w:rsidRPr="00CF3A28">
        <w:rPr>
          <w:bCs/>
          <w:sz w:val="24"/>
          <w:szCs w:val="24"/>
          <w:lang w:val="en-US"/>
        </w:rPr>
        <w:t xml:space="preserve"> great transformation</w:t>
      </w:r>
      <w:r w:rsidR="0016135E" w:rsidRPr="00CF3A28">
        <w:rPr>
          <w:bCs/>
          <w:sz w:val="24"/>
          <w:szCs w:val="24"/>
          <w:lang w:val="en-US"/>
        </w:rPr>
        <w:t xml:space="preserve"> </w:t>
      </w:r>
      <w:r w:rsidR="00D73D45" w:rsidRPr="00CF3A28">
        <w:rPr>
          <w:bCs/>
          <w:sz w:val="24"/>
          <w:szCs w:val="24"/>
          <w:lang w:val="en-US"/>
        </w:rPr>
        <w:t>as</w:t>
      </w:r>
      <w:r w:rsidR="002F2745" w:rsidRPr="00CF3A28">
        <w:rPr>
          <w:bCs/>
          <w:sz w:val="24"/>
          <w:szCs w:val="24"/>
          <w:lang w:val="en-US"/>
        </w:rPr>
        <w:t xml:space="preserve"> free markets and l</w:t>
      </w:r>
      <w:r w:rsidR="002F2745" w:rsidRPr="00CF3A28">
        <w:rPr>
          <w:bCs/>
          <w:i/>
          <w:iCs/>
          <w:sz w:val="24"/>
          <w:szCs w:val="24"/>
          <w:lang w:val="en-US"/>
        </w:rPr>
        <w:t>aissez-faire</w:t>
      </w:r>
      <w:r w:rsidR="002F2745" w:rsidRPr="00CF3A28">
        <w:rPr>
          <w:bCs/>
          <w:sz w:val="24"/>
          <w:szCs w:val="24"/>
          <w:lang w:val="en-US"/>
        </w:rPr>
        <w:t xml:space="preserve"> states </w:t>
      </w:r>
      <w:r w:rsidR="00D73D45" w:rsidRPr="00CF3A28">
        <w:rPr>
          <w:bCs/>
          <w:sz w:val="24"/>
          <w:szCs w:val="24"/>
          <w:lang w:val="en-US"/>
        </w:rPr>
        <w:t xml:space="preserve">gave way </w:t>
      </w:r>
      <w:r w:rsidR="002F2745" w:rsidRPr="00CF3A28">
        <w:rPr>
          <w:bCs/>
          <w:sz w:val="24"/>
          <w:szCs w:val="24"/>
          <w:lang w:val="en-US"/>
        </w:rPr>
        <w:t xml:space="preserve">(in varying degrees) </w:t>
      </w:r>
      <w:r w:rsidR="00D73D45" w:rsidRPr="00CF3A28">
        <w:rPr>
          <w:bCs/>
          <w:sz w:val="24"/>
          <w:szCs w:val="24"/>
          <w:lang w:val="en-US"/>
        </w:rPr>
        <w:t xml:space="preserve">to </w:t>
      </w:r>
      <w:r w:rsidR="002F2745" w:rsidRPr="00CF3A28">
        <w:rPr>
          <w:bCs/>
          <w:sz w:val="24"/>
          <w:szCs w:val="24"/>
          <w:lang w:val="en-US"/>
        </w:rPr>
        <w:t>regulated markets and interventionist states</w:t>
      </w:r>
      <w:r w:rsidR="00D73D45" w:rsidRPr="00CF3A28">
        <w:rPr>
          <w:bCs/>
          <w:sz w:val="24"/>
          <w:szCs w:val="24"/>
          <w:lang w:val="en-US"/>
        </w:rPr>
        <w:t xml:space="preserve">. </w:t>
      </w:r>
      <w:r w:rsidR="00E606BB" w:rsidRPr="00CF3A28">
        <w:rPr>
          <w:bCs/>
          <w:sz w:val="24"/>
          <w:szCs w:val="24"/>
          <w:lang w:val="en-US"/>
        </w:rPr>
        <w:t>However, t</w:t>
      </w:r>
      <w:r w:rsidR="002F2745" w:rsidRPr="00CF3A28">
        <w:rPr>
          <w:bCs/>
          <w:sz w:val="24"/>
          <w:szCs w:val="24"/>
          <w:lang w:val="en-US"/>
        </w:rPr>
        <w:t>he liberal international order had survived.</w:t>
      </w:r>
      <w:r w:rsidR="002F2745" w:rsidRPr="00CF3A28">
        <w:rPr>
          <w:bCs/>
          <w:sz w:val="24"/>
          <w:szCs w:val="24"/>
          <w:vertAlign w:val="superscript"/>
          <w:lang w:val="en-US"/>
        </w:rPr>
        <w:footnoteReference w:id="2"/>
      </w:r>
      <w:r w:rsidR="00E17E21" w:rsidRPr="00CF3A28">
        <w:rPr>
          <w:bCs/>
          <w:sz w:val="24"/>
          <w:szCs w:val="24"/>
          <w:lang w:val="en-US"/>
        </w:rPr>
        <w:t xml:space="preserve"> </w:t>
      </w:r>
      <w:r w:rsidR="002F2745" w:rsidRPr="00CF3A28">
        <w:rPr>
          <w:bCs/>
          <w:sz w:val="24"/>
          <w:szCs w:val="24"/>
          <w:lang w:val="en-US"/>
        </w:rPr>
        <w:t xml:space="preserve"> </w:t>
      </w:r>
      <w:r w:rsidR="0016135E" w:rsidRPr="00CF3A28">
        <w:rPr>
          <w:bCs/>
          <w:sz w:val="24"/>
          <w:szCs w:val="24"/>
          <w:lang w:val="en-US"/>
        </w:rPr>
        <w:t xml:space="preserve">Moves to establish new international economic arrangements had been effectively blocked </w:t>
      </w:r>
      <w:r w:rsidR="00C42091" w:rsidRPr="00CF3A28">
        <w:rPr>
          <w:bCs/>
          <w:sz w:val="24"/>
          <w:szCs w:val="24"/>
          <w:lang w:val="en-US"/>
        </w:rPr>
        <w:t>by</w:t>
      </w:r>
      <w:r w:rsidR="0067728A" w:rsidRPr="00CF3A28">
        <w:rPr>
          <w:bCs/>
          <w:sz w:val="24"/>
          <w:szCs w:val="24"/>
          <w:lang w:val="en-US"/>
        </w:rPr>
        <w:t xml:space="preserve"> </w:t>
      </w:r>
      <w:r w:rsidR="0016135E" w:rsidRPr="00CF3A28">
        <w:rPr>
          <w:bCs/>
          <w:sz w:val="24"/>
          <w:szCs w:val="24"/>
          <w:lang w:val="en-US"/>
        </w:rPr>
        <w:t xml:space="preserve">efforts of </w:t>
      </w:r>
      <w:r w:rsidR="0067728A" w:rsidRPr="00CF3A28">
        <w:rPr>
          <w:bCs/>
          <w:sz w:val="24"/>
          <w:szCs w:val="24"/>
          <w:lang w:val="en-US"/>
        </w:rPr>
        <w:t xml:space="preserve">the </w:t>
      </w:r>
      <w:r w:rsidR="00FC4C03" w:rsidRPr="00CF3A28">
        <w:rPr>
          <w:bCs/>
          <w:sz w:val="24"/>
          <w:szCs w:val="24"/>
          <w:lang w:val="en-US"/>
        </w:rPr>
        <w:t>United State</w:t>
      </w:r>
      <w:r w:rsidR="0016135E" w:rsidRPr="00CF3A28">
        <w:rPr>
          <w:bCs/>
          <w:sz w:val="24"/>
          <w:szCs w:val="24"/>
          <w:lang w:val="en-US"/>
        </w:rPr>
        <w:t xml:space="preserve"> </w:t>
      </w:r>
      <w:r w:rsidR="00FC4C03" w:rsidRPr="00CF3A28">
        <w:rPr>
          <w:bCs/>
          <w:sz w:val="24"/>
          <w:szCs w:val="24"/>
          <w:lang w:val="en-US"/>
        </w:rPr>
        <w:t xml:space="preserve">to restore a world economy based on the principles of </w:t>
      </w:r>
      <w:r w:rsidR="00352BF6" w:rsidRPr="00CF3A28">
        <w:rPr>
          <w:bCs/>
          <w:sz w:val="24"/>
          <w:szCs w:val="24"/>
          <w:lang w:val="en-US"/>
        </w:rPr>
        <w:t>the n</w:t>
      </w:r>
      <w:r w:rsidR="00C4055C" w:rsidRPr="00CF3A28">
        <w:rPr>
          <w:bCs/>
          <w:sz w:val="24"/>
          <w:szCs w:val="24"/>
          <w:lang w:val="en-US"/>
        </w:rPr>
        <w:t xml:space="preserve">ineteenth-century </w:t>
      </w:r>
      <w:r w:rsidR="00352BF6" w:rsidRPr="00CF3A28">
        <w:rPr>
          <w:bCs/>
          <w:sz w:val="24"/>
          <w:szCs w:val="24"/>
          <w:lang w:val="en-US"/>
        </w:rPr>
        <w:t>system</w:t>
      </w:r>
      <w:r w:rsidR="00FC4C03" w:rsidRPr="00CF3A28">
        <w:rPr>
          <w:bCs/>
          <w:sz w:val="24"/>
          <w:szCs w:val="24"/>
          <w:lang w:val="en-US"/>
        </w:rPr>
        <w:t>.</w:t>
      </w:r>
      <w:r w:rsidR="00FC4C03" w:rsidRPr="00CF3A28">
        <w:rPr>
          <w:bCs/>
          <w:sz w:val="24"/>
          <w:szCs w:val="24"/>
          <w:vertAlign w:val="superscript"/>
          <w:lang w:val="en-US"/>
        </w:rPr>
        <w:footnoteReference w:id="3"/>
      </w:r>
      <w:r w:rsidR="005E76BA" w:rsidRPr="00CF3A28">
        <w:rPr>
          <w:bCs/>
          <w:sz w:val="24"/>
          <w:szCs w:val="24"/>
          <w:lang w:val="en-US"/>
        </w:rPr>
        <w:t xml:space="preserve"> </w:t>
      </w:r>
      <w:r w:rsidR="00FC4C03" w:rsidRPr="00CF3A28">
        <w:rPr>
          <w:bCs/>
          <w:sz w:val="24"/>
          <w:szCs w:val="24"/>
          <w:lang w:val="en-US"/>
        </w:rPr>
        <w:t xml:space="preserve">Thus, </w:t>
      </w:r>
      <w:r w:rsidR="002F2745" w:rsidRPr="00CF3A28">
        <w:rPr>
          <w:bCs/>
          <w:sz w:val="24"/>
          <w:szCs w:val="24"/>
          <w:lang w:val="en-US"/>
        </w:rPr>
        <w:t>while local markets</w:t>
      </w:r>
      <w:r w:rsidR="002F2745" w:rsidRPr="00CF3A28">
        <w:rPr>
          <w:bCs/>
          <w:i/>
          <w:iCs/>
          <w:sz w:val="24"/>
          <w:szCs w:val="24"/>
          <w:lang w:val="en-US"/>
        </w:rPr>
        <w:t xml:space="preserve"> </w:t>
      </w:r>
      <w:r w:rsidR="002F2745" w:rsidRPr="00CF3A28">
        <w:rPr>
          <w:bCs/>
          <w:iCs/>
          <w:sz w:val="24"/>
          <w:szCs w:val="24"/>
          <w:lang w:val="en-US"/>
        </w:rPr>
        <w:t>had</w:t>
      </w:r>
      <w:r w:rsidR="002F2745" w:rsidRPr="00CF3A28">
        <w:rPr>
          <w:bCs/>
          <w:sz w:val="24"/>
          <w:szCs w:val="24"/>
          <w:lang w:val="en-US"/>
        </w:rPr>
        <w:t xml:space="preserve"> been transformed in important ways, it </w:t>
      </w:r>
      <w:r w:rsidR="00FC4C03" w:rsidRPr="00CF3A28">
        <w:rPr>
          <w:bCs/>
          <w:sz w:val="24"/>
          <w:szCs w:val="24"/>
          <w:lang w:val="en-US"/>
        </w:rPr>
        <w:t xml:space="preserve">was not, as Polanyi had assumed, </w:t>
      </w:r>
      <w:r w:rsidR="00F80B93" w:rsidRPr="00CF3A28">
        <w:rPr>
          <w:bCs/>
          <w:sz w:val="24"/>
          <w:szCs w:val="24"/>
          <w:lang w:val="en-US"/>
        </w:rPr>
        <w:t>as a</w:t>
      </w:r>
      <w:r w:rsidR="00FC4C03" w:rsidRPr="00CF3A28">
        <w:rPr>
          <w:bCs/>
          <w:sz w:val="24"/>
          <w:szCs w:val="24"/>
          <w:lang w:val="en-US"/>
        </w:rPr>
        <w:t xml:space="preserve"> result of changes at 'the top'.  </w:t>
      </w:r>
    </w:p>
    <w:p w:rsidR="00FC4C03" w:rsidRPr="00CF3A28" w:rsidRDefault="00FC4C03" w:rsidP="00CF3A28">
      <w:pPr>
        <w:spacing w:line="240" w:lineRule="auto"/>
        <w:jc w:val="left"/>
        <w:rPr>
          <w:bCs/>
          <w:sz w:val="24"/>
          <w:szCs w:val="24"/>
          <w:lang w:val="en-US"/>
        </w:rPr>
      </w:pPr>
    </w:p>
    <w:p w:rsidR="0016135E" w:rsidRPr="00CF3A28" w:rsidRDefault="00782599" w:rsidP="00CF3A28">
      <w:pPr>
        <w:spacing w:line="240" w:lineRule="auto"/>
        <w:jc w:val="left"/>
        <w:rPr>
          <w:sz w:val="24"/>
          <w:szCs w:val="24"/>
        </w:rPr>
      </w:pPr>
      <w:r w:rsidRPr="00CF3A28">
        <w:rPr>
          <w:rFonts w:eastAsia="Calibri"/>
          <w:sz w:val="24"/>
          <w:szCs w:val="24"/>
        </w:rPr>
        <w:t>There were o</w:t>
      </w:r>
      <w:r w:rsidR="00C42091" w:rsidRPr="00CF3A28">
        <w:rPr>
          <w:rFonts w:eastAsia="Calibri"/>
          <w:sz w:val="24"/>
          <w:szCs w:val="24"/>
        </w:rPr>
        <w:t xml:space="preserve">ther post-World War II outcomes </w:t>
      </w:r>
      <w:r w:rsidRPr="00CF3A28">
        <w:rPr>
          <w:rFonts w:eastAsia="Calibri"/>
          <w:sz w:val="24"/>
          <w:szCs w:val="24"/>
        </w:rPr>
        <w:t xml:space="preserve">that </w:t>
      </w:r>
      <w:r w:rsidR="00C42091" w:rsidRPr="00CF3A28">
        <w:rPr>
          <w:rFonts w:eastAsia="Calibri"/>
          <w:sz w:val="24"/>
          <w:szCs w:val="24"/>
        </w:rPr>
        <w:t xml:space="preserve">failed to conform to Polanyi’s expectations. </w:t>
      </w:r>
      <w:r w:rsidR="0016135E" w:rsidRPr="00CF3A28">
        <w:rPr>
          <w:rFonts w:eastAsia="Calibri"/>
          <w:sz w:val="24"/>
          <w:szCs w:val="24"/>
        </w:rPr>
        <w:t xml:space="preserve">In </w:t>
      </w:r>
      <w:r w:rsidR="0016135E" w:rsidRPr="00CF3A28">
        <w:rPr>
          <w:rFonts w:eastAsia="Calibri"/>
          <w:i/>
          <w:sz w:val="24"/>
          <w:szCs w:val="24"/>
        </w:rPr>
        <w:t>The Great Transformation,</w:t>
      </w:r>
      <w:r w:rsidR="0016135E" w:rsidRPr="00CF3A28">
        <w:rPr>
          <w:rFonts w:eastAsia="Calibri"/>
          <w:sz w:val="24"/>
          <w:szCs w:val="24"/>
        </w:rPr>
        <w:t xml:space="preserve"> </w:t>
      </w:r>
      <w:r w:rsidR="00141A65" w:rsidRPr="00CF3A28">
        <w:rPr>
          <w:rFonts w:eastAsia="Calibri"/>
          <w:sz w:val="24"/>
          <w:szCs w:val="24"/>
        </w:rPr>
        <w:t>Polanyi</w:t>
      </w:r>
      <w:r w:rsidR="008F07D6" w:rsidRPr="00CF3A28">
        <w:rPr>
          <w:rFonts w:eastAsia="Calibri"/>
          <w:sz w:val="24"/>
          <w:szCs w:val="24"/>
        </w:rPr>
        <w:t xml:space="preserve"> </w:t>
      </w:r>
      <w:r w:rsidR="00FA5BA1" w:rsidRPr="00CF3A28">
        <w:rPr>
          <w:rFonts w:eastAsia="Calibri"/>
          <w:sz w:val="24"/>
          <w:szCs w:val="24"/>
        </w:rPr>
        <w:t xml:space="preserve">had </w:t>
      </w:r>
      <w:r w:rsidR="00D73168" w:rsidRPr="00CF3A28">
        <w:rPr>
          <w:rFonts w:eastAsia="Calibri"/>
          <w:sz w:val="24"/>
          <w:szCs w:val="24"/>
        </w:rPr>
        <w:t>argued</w:t>
      </w:r>
      <w:r w:rsidR="0016135E" w:rsidRPr="00CF3A28">
        <w:rPr>
          <w:rFonts w:eastAsia="Calibri"/>
          <w:sz w:val="24"/>
          <w:szCs w:val="24"/>
        </w:rPr>
        <w:t xml:space="preserve"> that </w:t>
      </w:r>
      <w:r w:rsidR="008F07D6" w:rsidRPr="00CF3A28">
        <w:rPr>
          <w:rFonts w:eastAsia="Calibri"/>
          <w:sz w:val="24"/>
          <w:szCs w:val="24"/>
        </w:rPr>
        <w:t xml:space="preserve">the rise of Europe’s nineteenth century system </w:t>
      </w:r>
      <w:r w:rsidR="0016135E" w:rsidRPr="00CF3A28">
        <w:rPr>
          <w:rFonts w:eastAsia="Calibri"/>
          <w:sz w:val="24"/>
          <w:szCs w:val="24"/>
        </w:rPr>
        <w:t xml:space="preserve">was </w:t>
      </w:r>
      <w:r w:rsidR="008F07D6" w:rsidRPr="00CF3A28">
        <w:rPr>
          <w:rFonts w:eastAsia="Calibri"/>
          <w:sz w:val="24"/>
          <w:szCs w:val="24"/>
        </w:rPr>
        <w:t>an unprecedented and once-and-for-all occurrence</w:t>
      </w:r>
      <w:r w:rsidR="00544B7A" w:rsidRPr="00CF3A28">
        <w:rPr>
          <w:rFonts w:eastAsia="Calibri"/>
          <w:sz w:val="24"/>
          <w:szCs w:val="24"/>
        </w:rPr>
        <w:t xml:space="preserve">. </w:t>
      </w:r>
      <w:r w:rsidR="00CF2486" w:rsidRPr="00CF3A28">
        <w:rPr>
          <w:rFonts w:eastAsia="Calibri"/>
          <w:sz w:val="24"/>
          <w:szCs w:val="24"/>
        </w:rPr>
        <w:t>He therefore expected that w</w:t>
      </w:r>
      <w:r w:rsidR="00F80B93" w:rsidRPr="00CF3A28">
        <w:rPr>
          <w:rFonts w:eastAsia="Calibri"/>
          <w:sz w:val="24"/>
          <w:szCs w:val="24"/>
        </w:rPr>
        <w:t xml:space="preserve">ith </w:t>
      </w:r>
      <w:r w:rsidR="00F80B93" w:rsidRPr="00CF3A28">
        <w:rPr>
          <w:rFonts w:eastAsia="Calibri"/>
          <w:sz w:val="24"/>
          <w:szCs w:val="24"/>
        </w:rPr>
        <w:lastRenderedPageBreak/>
        <w:t>the demise of that system following World War II</w:t>
      </w:r>
      <w:r w:rsidR="00CF2486" w:rsidRPr="00CF3A28">
        <w:rPr>
          <w:rFonts w:eastAsia="Calibri"/>
          <w:sz w:val="24"/>
          <w:szCs w:val="24"/>
        </w:rPr>
        <w:t>,</w:t>
      </w:r>
      <w:r w:rsidR="00D73168" w:rsidRPr="00CF3A28">
        <w:rPr>
          <w:rFonts w:eastAsia="Calibri"/>
          <w:sz w:val="24"/>
          <w:szCs w:val="24"/>
        </w:rPr>
        <w:t xml:space="preserve"> </w:t>
      </w:r>
      <w:r w:rsidR="00F80B93" w:rsidRPr="00CF3A28">
        <w:rPr>
          <w:rFonts w:eastAsia="Calibri"/>
          <w:sz w:val="24"/>
          <w:szCs w:val="24"/>
        </w:rPr>
        <w:t>the consequent</w:t>
      </w:r>
      <w:r w:rsidR="0016135E" w:rsidRPr="00CF3A28">
        <w:rPr>
          <w:rFonts w:eastAsia="Calibri"/>
          <w:sz w:val="24"/>
          <w:szCs w:val="24"/>
        </w:rPr>
        <w:t xml:space="preserve"> </w:t>
      </w:r>
      <w:r w:rsidR="00F80B93" w:rsidRPr="00CF3A28">
        <w:rPr>
          <w:rFonts w:eastAsia="Calibri"/>
          <w:sz w:val="24"/>
          <w:szCs w:val="24"/>
        </w:rPr>
        <w:t>re-embedding of markets</w:t>
      </w:r>
      <w:r w:rsidR="00352BF6" w:rsidRPr="00CF3A28">
        <w:rPr>
          <w:rFonts w:eastAsia="Calibri"/>
          <w:sz w:val="24"/>
          <w:szCs w:val="24"/>
        </w:rPr>
        <w:t xml:space="preserve"> </w:t>
      </w:r>
      <w:r w:rsidR="008F07D6" w:rsidRPr="00CF3A28">
        <w:rPr>
          <w:sz w:val="24"/>
          <w:szCs w:val="24"/>
        </w:rPr>
        <w:t xml:space="preserve">would represent a permanent change. </w:t>
      </w:r>
      <w:r w:rsidR="00141A65" w:rsidRPr="00CF3A28">
        <w:rPr>
          <w:sz w:val="24"/>
          <w:szCs w:val="24"/>
        </w:rPr>
        <w:t>However,</w:t>
      </w:r>
      <w:r w:rsidR="00701F78" w:rsidRPr="00CF3A28">
        <w:rPr>
          <w:sz w:val="24"/>
          <w:szCs w:val="24"/>
        </w:rPr>
        <w:t xml:space="preserve"> </w:t>
      </w:r>
      <w:r w:rsidR="00D73168" w:rsidRPr="00CF3A28">
        <w:rPr>
          <w:sz w:val="24"/>
          <w:szCs w:val="24"/>
        </w:rPr>
        <w:t>b</w:t>
      </w:r>
      <w:r w:rsidR="00701F78" w:rsidRPr="00CF3A28">
        <w:rPr>
          <w:sz w:val="24"/>
          <w:szCs w:val="24"/>
        </w:rPr>
        <w:t>y</w:t>
      </w:r>
      <w:r w:rsidR="008F07D6" w:rsidRPr="00CF3A28">
        <w:rPr>
          <w:sz w:val="24"/>
          <w:szCs w:val="24"/>
        </w:rPr>
        <w:t xml:space="preserve"> the 1970s</w:t>
      </w:r>
      <w:r w:rsidR="00FB1F51" w:rsidRPr="00CF3A28">
        <w:rPr>
          <w:sz w:val="24"/>
          <w:szCs w:val="24"/>
        </w:rPr>
        <w:t xml:space="preserve"> </w:t>
      </w:r>
      <w:r w:rsidR="00CF2486" w:rsidRPr="00CF3A28">
        <w:rPr>
          <w:sz w:val="24"/>
          <w:szCs w:val="24"/>
        </w:rPr>
        <w:t xml:space="preserve">there </w:t>
      </w:r>
      <w:r w:rsidR="0016135E" w:rsidRPr="00CF3A28">
        <w:rPr>
          <w:sz w:val="24"/>
          <w:szCs w:val="24"/>
          <w:lang w:val="en-US"/>
        </w:rPr>
        <w:t xml:space="preserve">emerged </w:t>
      </w:r>
      <w:r w:rsidR="00CF2486" w:rsidRPr="00CF3A28">
        <w:rPr>
          <w:sz w:val="24"/>
          <w:szCs w:val="24"/>
          <w:lang w:val="en-US"/>
        </w:rPr>
        <w:t xml:space="preserve">a campaign </w:t>
      </w:r>
      <w:r w:rsidR="00873FBF" w:rsidRPr="00CF3A28">
        <w:rPr>
          <w:sz w:val="24"/>
          <w:szCs w:val="24"/>
          <w:lang w:val="en-US"/>
        </w:rPr>
        <w:t>to promote the dispersal of capital investment and production to foreign locations</w:t>
      </w:r>
      <w:r w:rsidR="0016135E" w:rsidRPr="00CF3A28">
        <w:rPr>
          <w:sz w:val="24"/>
          <w:szCs w:val="24"/>
          <w:lang w:val="en-US"/>
        </w:rPr>
        <w:t>; and with this, there began</w:t>
      </w:r>
      <w:r w:rsidR="00873FBF" w:rsidRPr="00CF3A28">
        <w:rPr>
          <w:sz w:val="24"/>
          <w:szCs w:val="24"/>
          <w:lang w:val="en-US"/>
        </w:rPr>
        <w:t xml:space="preserve"> a </w:t>
      </w:r>
      <w:r w:rsidR="009730F9" w:rsidRPr="00CF3A28">
        <w:rPr>
          <w:sz w:val="24"/>
          <w:szCs w:val="24"/>
        </w:rPr>
        <w:t>return to many of the features associated with Europe’s nineteenth century syst</w:t>
      </w:r>
      <w:r w:rsidR="009B7E19" w:rsidRPr="00CF3A28">
        <w:rPr>
          <w:sz w:val="24"/>
          <w:szCs w:val="24"/>
        </w:rPr>
        <w:t>e</w:t>
      </w:r>
      <w:r w:rsidR="009730F9" w:rsidRPr="00CF3A28">
        <w:rPr>
          <w:sz w:val="24"/>
          <w:szCs w:val="24"/>
        </w:rPr>
        <w:t xml:space="preserve">m. </w:t>
      </w:r>
      <w:r w:rsidR="000D14C1" w:rsidRPr="00CF3A28">
        <w:rPr>
          <w:sz w:val="24"/>
          <w:szCs w:val="24"/>
          <w:lang w:val="en-US"/>
        </w:rPr>
        <w:t xml:space="preserve">Contrary to Polanyi’s expectations, </w:t>
      </w:r>
      <w:r w:rsidR="00CF2486" w:rsidRPr="00CF3A28">
        <w:rPr>
          <w:sz w:val="24"/>
          <w:szCs w:val="24"/>
          <w:lang w:val="en-US"/>
        </w:rPr>
        <w:t>‘</w:t>
      </w:r>
      <w:r w:rsidR="000D14C1" w:rsidRPr="00CF3A28">
        <w:rPr>
          <w:sz w:val="24"/>
          <w:szCs w:val="24"/>
        </w:rPr>
        <w:t>globalising</w:t>
      </w:r>
      <w:r w:rsidR="00CF2486" w:rsidRPr="00CF3A28">
        <w:rPr>
          <w:sz w:val="24"/>
          <w:szCs w:val="24"/>
        </w:rPr>
        <w:t>’</w:t>
      </w:r>
      <w:r w:rsidR="000D14C1" w:rsidRPr="00CF3A28">
        <w:rPr>
          <w:sz w:val="24"/>
          <w:szCs w:val="24"/>
        </w:rPr>
        <w:t xml:space="preserve"> trends </w:t>
      </w:r>
      <w:r w:rsidR="00CF2486" w:rsidRPr="00CF3A28">
        <w:rPr>
          <w:sz w:val="24"/>
          <w:szCs w:val="24"/>
        </w:rPr>
        <w:t xml:space="preserve">that had characterised that system </w:t>
      </w:r>
      <w:r w:rsidR="000D14C1" w:rsidRPr="00CF3A28">
        <w:rPr>
          <w:sz w:val="24"/>
          <w:szCs w:val="24"/>
        </w:rPr>
        <w:t>ha</w:t>
      </w:r>
      <w:r w:rsidR="00F80B93" w:rsidRPr="00CF3A28">
        <w:rPr>
          <w:sz w:val="24"/>
          <w:szCs w:val="24"/>
        </w:rPr>
        <w:t>d</w:t>
      </w:r>
      <w:r w:rsidR="000D14C1" w:rsidRPr="00CF3A28">
        <w:rPr>
          <w:sz w:val="24"/>
          <w:szCs w:val="24"/>
        </w:rPr>
        <w:t xml:space="preserve"> re-emerged and </w:t>
      </w:r>
      <w:r w:rsidR="00F80B93" w:rsidRPr="00CF3A28">
        <w:rPr>
          <w:sz w:val="24"/>
          <w:szCs w:val="24"/>
        </w:rPr>
        <w:t>we</w:t>
      </w:r>
      <w:r w:rsidR="000D14C1" w:rsidRPr="00CF3A28">
        <w:rPr>
          <w:sz w:val="24"/>
          <w:szCs w:val="24"/>
        </w:rPr>
        <w:t xml:space="preserve">re reversing </w:t>
      </w:r>
      <w:r w:rsidR="00E55E73" w:rsidRPr="00CF3A28">
        <w:rPr>
          <w:sz w:val="24"/>
          <w:szCs w:val="24"/>
        </w:rPr>
        <w:t xml:space="preserve">post-World War II </w:t>
      </w:r>
      <w:r w:rsidR="000D14C1" w:rsidRPr="00CF3A28">
        <w:rPr>
          <w:sz w:val="24"/>
          <w:szCs w:val="24"/>
        </w:rPr>
        <w:t xml:space="preserve">changes that Polanyi </w:t>
      </w:r>
      <w:r w:rsidR="00467B96" w:rsidRPr="00CF3A28">
        <w:rPr>
          <w:sz w:val="24"/>
          <w:szCs w:val="24"/>
        </w:rPr>
        <w:t xml:space="preserve">had </w:t>
      </w:r>
      <w:r w:rsidR="000D14C1" w:rsidRPr="00CF3A28">
        <w:rPr>
          <w:sz w:val="24"/>
          <w:szCs w:val="24"/>
        </w:rPr>
        <w:t xml:space="preserve">assumed would be permanent. </w:t>
      </w:r>
    </w:p>
    <w:p w:rsidR="0016135E" w:rsidRPr="00CF3A28" w:rsidRDefault="0016135E" w:rsidP="00CF3A28">
      <w:pPr>
        <w:spacing w:line="240" w:lineRule="auto"/>
        <w:jc w:val="left"/>
        <w:rPr>
          <w:sz w:val="24"/>
          <w:szCs w:val="24"/>
        </w:rPr>
      </w:pPr>
    </w:p>
    <w:p w:rsidR="002B57AD" w:rsidRPr="00CF3A28" w:rsidRDefault="00356AF9" w:rsidP="00CF3A28">
      <w:pPr>
        <w:spacing w:line="240" w:lineRule="auto"/>
        <w:jc w:val="left"/>
        <w:rPr>
          <w:sz w:val="24"/>
          <w:szCs w:val="24"/>
          <w:lang w:val="en-US"/>
        </w:rPr>
      </w:pPr>
      <w:r w:rsidRPr="00CF3A28">
        <w:rPr>
          <w:sz w:val="24"/>
          <w:szCs w:val="24"/>
          <w:lang w:val="en-US"/>
        </w:rPr>
        <w:t xml:space="preserve">Interestingly, though </w:t>
      </w:r>
      <w:r w:rsidR="00817A10" w:rsidRPr="00CF3A28">
        <w:rPr>
          <w:sz w:val="24"/>
          <w:szCs w:val="24"/>
          <w:lang w:val="en-US"/>
        </w:rPr>
        <w:t>t</w:t>
      </w:r>
      <w:r w:rsidR="00C96735" w:rsidRPr="00CF3A28">
        <w:rPr>
          <w:sz w:val="24"/>
          <w:szCs w:val="24"/>
          <w:lang w:val="en-US"/>
        </w:rPr>
        <w:t>he return to more globally free capital</w:t>
      </w:r>
      <w:r w:rsidR="00817A10" w:rsidRPr="00CF3A28">
        <w:rPr>
          <w:sz w:val="24"/>
          <w:szCs w:val="24"/>
          <w:lang w:val="en-US"/>
        </w:rPr>
        <w:t xml:space="preserve"> </w:t>
      </w:r>
      <w:r w:rsidR="009015AF" w:rsidRPr="00CF3A28">
        <w:rPr>
          <w:sz w:val="24"/>
          <w:szCs w:val="24"/>
          <w:lang w:val="en-US"/>
        </w:rPr>
        <w:t xml:space="preserve">in the 1970s </w:t>
      </w:r>
      <w:r w:rsidR="00D73168" w:rsidRPr="00CF3A28">
        <w:rPr>
          <w:sz w:val="24"/>
          <w:szCs w:val="24"/>
          <w:lang w:val="en-US"/>
        </w:rPr>
        <w:t>violated a key assumption of</w:t>
      </w:r>
      <w:r w:rsidR="00467B96" w:rsidRPr="00CF3A28">
        <w:rPr>
          <w:sz w:val="24"/>
          <w:szCs w:val="24"/>
          <w:lang w:val="en-US"/>
        </w:rPr>
        <w:t xml:space="preserve"> </w:t>
      </w:r>
      <w:r w:rsidR="009015AF" w:rsidRPr="00CF3A28">
        <w:rPr>
          <w:i/>
          <w:sz w:val="24"/>
          <w:szCs w:val="24"/>
          <w:lang w:val="en-US"/>
        </w:rPr>
        <w:t>The Great Transformation</w:t>
      </w:r>
      <w:r w:rsidR="00467B96" w:rsidRPr="00CF3A28">
        <w:rPr>
          <w:sz w:val="24"/>
          <w:szCs w:val="24"/>
          <w:lang w:val="en-US"/>
        </w:rPr>
        <w:t xml:space="preserve">, </w:t>
      </w:r>
      <w:r w:rsidR="009015AF" w:rsidRPr="00CF3A28">
        <w:rPr>
          <w:sz w:val="24"/>
          <w:szCs w:val="24"/>
          <w:lang w:val="en-US"/>
        </w:rPr>
        <w:t xml:space="preserve">scholars </w:t>
      </w:r>
      <w:r w:rsidR="00500A16" w:rsidRPr="00CF3A28">
        <w:rPr>
          <w:sz w:val="24"/>
          <w:szCs w:val="24"/>
          <w:lang w:val="en-US"/>
        </w:rPr>
        <w:t>seeking</w:t>
      </w:r>
      <w:r w:rsidR="009015AF" w:rsidRPr="00CF3A28">
        <w:rPr>
          <w:sz w:val="24"/>
          <w:szCs w:val="24"/>
          <w:lang w:val="en-US"/>
        </w:rPr>
        <w:t xml:space="preserve"> insight into the forces at work in the rise (once again) of a global market and its likely outcomes,</w:t>
      </w:r>
      <w:r w:rsidRPr="00CF3A28">
        <w:rPr>
          <w:sz w:val="24"/>
          <w:szCs w:val="24"/>
          <w:lang w:val="en-US"/>
        </w:rPr>
        <w:t xml:space="preserve"> generated </w:t>
      </w:r>
      <w:r w:rsidR="000B566E" w:rsidRPr="00CF3A28">
        <w:rPr>
          <w:sz w:val="24"/>
          <w:szCs w:val="24"/>
          <w:lang w:val="en-US"/>
        </w:rPr>
        <w:t>a resurgence of interest in</w:t>
      </w:r>
      <w:r w:rsidR="009015AF" w:rsidRPr="00CF3A28">
        <w:rPr>
          <w:sz w:val="24"/>
          <w:szCs w:val="24"/>
          <w:lang w:val="en-US"/>
        </w:rPr>
        <w:t xml:space="preserve"> the book.</w:t>
      </w:r>
      <w:r w:rsidRPr="00CF3A28">
        <w:rPr>
          <w:sz w:val="24"/>
          <w:szCs w:val="24"/>
          <w:lang w:val="en-US"/>
        </w:rPr>
        <w:t xml:space="preserve"> Much of this in</w:t>
      </w:r>
      <w:r w:rsidR="00D73168" w:rsidRPr="00CF3A28">
        <w:rPr>
          <w:sz w:val="24"/>
          <w:szCs w:val="24"/>
          <w:lang w:val="en-US"/>
        </w:rPr>
        <w:t>terest focused on</w:t>
      </w:r>
      <w:r w:rsidR="00C96735" w:rsidRPr="00CF3A28">
        <w:rPr>
          <w:sz w:val="24"/>
          <w:szCs w:val="24"/>
          <w:lang w:val="en-US"/>
        </w:rPr>
        <w:t xml:space="preserve"> </w:t>
      </w:r>
      <w:r w:rsidRPr="00CF3A28">
        <w:rPr>
          <w:sz w:val="24"/>
          <w:szCs w:val="24"/>
          <w:lang w:val="en-US"/>
        </w:rPr>
        <w:t xml:space="preserve">a central feature of </w:t>
      </w:r>
      <w:r w:rsidR="00817A10" w:rsidRPr="00CF3A28">
        <w:rPr>
          <w:sz w:val="24"/>
          <w:szCs w:val="24"/>
          <w:lang w:val="en-US"/>
        </w:rPr>
        <w:t>Polanyi’s</w:t>
      </w:r>
      <w:r w:rsidR="00520FE9" w:rsidRPr="00CF3A28">
        <w:rPr>
          <w:bCs/>
          <w:sz w:val="24"/>
          <w:szCs w:val="24"/>
        </w:rPr>
        <w:t xml:space="preserve"> </w:t>
      </w:r>
      <w:r w:rsidRPr="00CF3A28">
        <w:rPr>
          <w:bCs/>
          <w:sz w:val="24"/>
          <w:szCs w:val="24"/>
        </w:rPr>
        <w:t>analysis:</w:t>
      </w:r>
      <w:r w:rsidR="00520FE9" w:rsidRPr="00CF3A28">
        <w:rPr>
          <w:bCs/>
          <w:sz w:val="24"/>
          <w:szCs w:val="24"/>
        </w:rPr>
        <w:t xml:space="preserve"> </w:t>
      </w:r>
      <w:r w:rsidR="00B253D7" w:rsidRPr="00CF3A28">
        <w:rPr>
          <w:bCs/>
          <w:sz w:val="24"/>
          <w:szCs w:val="24"/>
        </w:rPr>
        <w:t xml:space="preserve">the argument </w:t>
      </w:r>
      <w:r w:rsidR="0041672F" w:rsidRPr="00CF3A28">
        <w:rPr>
          <w:bCs/>
          <w:sz w:val="24"/>
          <w:szCs w:val="24"/>
          <w:lang w:val="en-US"/>
        </w:rPr>
        <w:t>that</w:t>
      </w:r>
      <w:r w:rsidR="00817A10" w:rsidRPr="00CF3A28">
        <w:rPr>
          <w:bCs/>
          <w:sz w:val="24"/>
          <w:szCs w:val="24"/>
        </w:rPr>
        <w:t xml:space="preserve"> </w:t>
      </w:r>
      <w:r w:rsidR="00520FE9" w:rsidRPr="00CF3A28">
        <w:rPr>
          <w:bCs/>
          <w:sz w:val="24"/>
          <w:szCs w:val="24"/>
        </w:rPr>
        <w:t>the rise of the unregulated market system</w:t>
      </w:r>
      <w:r w:rsidR="0041672F" w:rsidRPr="00CF3A28">
        <w:rPr>
          <w:bCs/>
          <w:sz w:val="24"/>
          <w:szCs w:val="24"/>
        </w:rPr>
        <w:t xml:space="preserve"> </w:t>
      </w:r>
      <w:r w:rsidRPr="00CF3A28">
        <w:rPr>
          <w:bCs/>
          <w:sz w:val="24"/>
          <w:szCs w:val="24"/>
        </w:rPr>
        <w:t xml:space="preserve">in the nineteenth century </w:t>
      </w:r>
      <w:r w:rsidR="0041672F" w:rsidRPr="00CF3A28">
        <w:rPr>
          <w:bCs/>
          <w:sz w:val="24"/>
          <w:szCs w:val="24"/>
        </w:rPr>
        <w:t>had triggered</w:t>
      </w:r>
      <w:r w:rsidR="00817A10" w:rsidRPr="00CF3A28">
        <w:rPr>
          <w:bCs/>
          <w:sz w:val="24"/>
          <w:szCs w:val="24"/>
        </w:rPr>
        <w:t xml:space="preserve"> </w:t>
      </w:r>
      <w:r w:rsidR="00520FE9" w:rsidRPr="00CF3A28">
        <w:rPr>
          <w:bCs/>
          <w:sz w:val="24"/>
          <w:szCs w:val="24"/>
        </w:rPr>
        <w:t xml:space="preserve">a </w:t>
      </w:r>
      <w:r w:rsidR="002B4FE9" w:rsidRPr="00CF3A28">
        <w:rPr>
          <w:bCs/>
          <w:sz w:val="24"/>
          <w:szCs w:val="24"/>
        </w:rPr>
        <w:t xml:space="preserve">simultaneous </w:t>
      </w:r>
      <w:r w:rsidR="00520FE9" w:rsidRPr="00CF3A28">
        <w:rPr>
          <w:bCs/>
          <w:sz w:val="24"/>
          <w:szCs w:val="24"/>
        </w:rPr>
        <w:t>protective countermove to check its action with regard to labour, land, and money</w:t>
      </w:r>
      <w:r w:rsidR="002B4FE9" w:rsidRPr="00CF3A28">
        <w:rPr>
          <w:bCs/>
          <w:sz w:val="24"/>
          <w:szCs w:val="24"/>
        </w:rPr>
        <w:t xml:space="preserve">. </w:t>
      </w:r>
      <w:r w:rsidRPr="00CF3A28">
        <w:rPr>
          <w:bCs/>
          <w:sz w:val="24"/>
          <w:szCs w:val="24"/>
        </w:rPr>
        <w:t xml:space="preserve">Polanyi argued that </w:t>
      </w:r>
      <w:r w:rsidR="00520FE9" w:rsidRPr="00CF3A28">
        <w:rPr>
          <w:bCs/>
          <w:sz w:val="24"/>
          <w:szCs w:val="24"/>
        </w:rPr>
        <w:t>this counter-move</w:t>
      </w:r>
      <w:r w:rsidRPr="00CF3A28">
        <w:rPr>
          <w:bCs/>
          <w:sz w:val="24"/>
          <w:szCs w:val="24"/>
        </w:rPr>
        <w:t xml:space="preserve"> on the part</w:t>
      </w:r>
      <w:r w:rsidR="00520FE9" w:rsidRPr="00CF3A28">
        <w:rPr>
          <w:bCs/>
          <w:sz w:val="24"/>
          <w:szCs w:val="24"/>
        </w:rPr>
        <w:t xml:space="preserve"> </w:t>
      </w:r>
      <w:r w:rsidRPr="00CF3A28">
        <w:rPr>
          <w:bCs/>
          <w:sz w:val="24"/>
          <w:szCs w:val="24"/>
        </w:rPr>
        <w:t xml:space="preserve">of ‘society as a whole’ </w:t>
      </w:r>
      <w:r w:rsidR="00B253D7" w:rsidRPr="00CF3A28">
        <w:rPr>
          <w:bCs/>
          <w:sz w:val="24"/>
          <w:szCs w:val="24"/>
        </w:rPr>
        <w:t xml:space="preserve">generated stresses and strains </w:t>
      </w:r>
      <w:r w:rsidR="00520FE9" w:rsidRPr="00CF3A28">
        <w:rPr>
          <w:bCs/>
          <w:sz w:val="24"/>
          <w:szCs w:val="24"/>
        </w:rPr>
        <w:t xml:space="preserve">that </w:t>
      </w:r>
      <w:r w:rsidR="00B253D7" w:rsidRPr="00CF3A28">
        <w:rPr>
          <w:bCs/>
          <w:sz w:val="24"/>
          <w:szCs w:val="24"/>
        </w:rPr>
        <w:t xml:space="preserve">ultimately </w:t>
      </w:r>
      <w:r w:rsidRPr="00CF3A28">
        <w:rPr>
          <w:bCs/>
          <w:sz w:val="24"/>
          <w:szCs w:val="24"/>
        </w:rPr>
        <w:t>culminated in</w:t>
      </w:r>
      <w:r w:rsidR="00520FE9" w:rsidRPr="00CF3A28">
        <w:rPr>
          <w:bCs/>
          <w:sz w:val="24"/>
          <w:szCs w:val="24"/>
        </w:rPr>
        <w:t xml:space="preserve"> two world wars and the collapse of the system</w:t>
      </w:r>
      <w:r w:rsidR="00606810" w:rsidRPr="00CF3A28">
        <w:rPr>
          <w:bCs/>
          <w:sz w:val="24"/>
          <w:szCs w:val="24"/>
        </w:rPr>
        <w:t xml:space="preserve">. </w:t>
      </w:r>
      <w:r w:rsidR="00B20694" w:rsidRPr="00CF3A28">
        <w:rPr>
          <w:bCs/>
          <w:sz w:val="24"/>
          <w:szCs w:val="24"/>
        </w:rPr>
        <w:t>However, t</w:t>
      </w:r>
      <w:r w:rsidR="002B57AD" w:rsidRPr="00CF3A28">
        <w:rPr>
          <w:sz w:val="24"/>
          <w:szCs w:val="24"/>
          <w:lang w:val="en-US"/>
        </w:rPr>
        <w:t>he rise of neo-liberal globalization</w:t>
      </w:r>
      <w:r w:rsidR="008930AE" w:rsidRPr="00CF3A28">
        <w:rPr>
          <w:sz w:val="24"/>
          <w:szCs w:val="24"/>
          <w:lang w:val="en-US"/>
        </w:rPr>
        <w:t xml:space="preserve"> </w:t>
      </w:r>
      <w:r w:rsidR="00B20694" w:rsidRPr="00CF3A28">
        <w:rPr>
          <w:sz w:val="24"/>
          <w:szCs w:val="24"/>
          <w:lang w:val="en-US"/>
        </w:rPr>
        <w:t xml:space="preserve">began </w:t>
      </w:r>
      <w:r w:rsidR="008930AE" w:rsidRPr="00CF3A28">
        <w:rPr>
          <w:sz w:val="24"/>
          <w:szCs w:val="24"/>
          <w:lang w:val="en-US"/>
        </w:rPr>
        <w:t>some forty years ago</w:t>
      </w:r>
      <w:r w:rsidR="00B20694" w:rsidRPr="00CF3A28">
        <w:rPr>
          <w:sz w:val="24"/>
          <w:szCs w:val="24"/>
          <w:lang w:val="en-US"/>
        </w:rPr>
        <w:t>; and while it</w:t>
      </w:r>
      <w:r w:rsidR="00DF0FBF" w:rsidRPr="00CF3A28">
        <w:rPr>
          <w:sz w:val="24"/>
          <w:szCs w:val="24"/>
          <w:lang w:val="en-US"/>
        </w:rPr>
        <w:t xml:space="preserve"> has engendered resistance and mobilized new social groups, </w:t>
      </w:r>
      <w:r w:rsidR="00564C51" w:rsidRPr="00CF3A28">
        <w:rPr>
          <w:sz w:val="24"/>
          <w:szCs w:val="24"/>
          <w:lang w:val="en-US"/>
        </w:rPr>
        <w:t>it has yet to trigger a</w:t>
      </w:r>
      <w:r w:rsidR="002B57AD" w:rsidRPr="00CF3A28">
        <w:rPr>
          <w:sz w:val="24"/>
          <w:szCs w:val="24"/>
          <w:lang w:val="en-US"/>
        </w:rPr>
        <w:t xml:space="preserve"> protectionist countermove </w:t>
      </w:r>
      <w:r w:rsidR="00564C51" w:rsidRPr="00CF3A28">
        <w:rPr>
          <w:sz w:val="24"/>
          <w:szCs w:val="24"/>
          <w:lang w:val="en-US"/>
        </w:rPr>
        <w:t xml:space="preserve">by ‘society as a whole’. </w:t>
      </w:r>
    </w:p>
    <w:p w:rsidR="00481C5C" w:rsidRPr="00CF3A28" w:rsidRDefault="00481C5C" w:rsidP="00CF3A28">
      <w:pPr>
        <w:spacing w:line="240" w:lineRule="auto"/>
        <w:jc w:val="left"/>
        <w:rPr>
          <w:sz w:val="24"/>
          <w:szCs w:val="24"/>
          <w:lang w:val="en-US"/>
        </w:rPr>
      </w:pPr>
    </w:p>
    <w:p w:rsidR="00644DAF" w:rsidRPr="00CF3A28" w:rsidRDefault="00481C5C" w:rsidP="00CF3A28">
      <w:pPr>
        <w:spacing w:line="240" w:lineRule="auto"/>
        <w:jc w:val="left"/>
        <w:rPr>
          <w:bCs/>
          <w:sz w:val="24"/>
          <w:szCs w:val="24"/>
        </w:rPr>
      </w:pPr>
      <w:r w:rsidRPr="00CF3A28">
        <w:rPr>
          <w:sz w:val="24"/>
          <w:szCs w:val="24"/>
          <w:lang w:val="en-US"/>
        </w:rPr>
        <w:t>T</w:t>
      </w:r>
      <w:r w:rsidR="00A14BC8" w:rsidRPr="00CF3A28">
        <w:rPr>
          <w:sz w:val="24"/>
          <w:szCs w:val="24"/>
          <w:lang w:val="en-US"/>
        </w:rPr>
        <w:t>he</w:t>
      </w:r>
      <w:r w:rsidRPr="00CF3A28">
        <w:rPr>
          <w:sz w:val="24"/>
          <w:szCs w:val="24"/>
          <w:lang w:val="en-US"/>
        </w:rPr>
        <w:t xml:space="preserve"> failure of </w:t>
      </w:r>
      <w:r w:rsidR="00A14BC8" w:rsidRPr="00CF3A28">
        <w:rPr>
          <w:sz w:val="24"/>
          <w:szCs w:val="24"/>
          <w:lang w:val="en-US"/>
        </w:rPr>
        <w:t xml:space="preserve">outcomes </w:t>
      </w:r>
      <w:r w:rsidRPr="00CF3A28">
        <w:rPr>
          <w:sz w:val="24"/>
          <w:szCs w:val="24"/>
          <w:lang w:val="en-US"/>
        </w:rPr>
        <w:t xml:space="preserve">to conform to Polanyi’s </w:t>
      </w:r>
      <w:r w:rsidR="003973E3" w:rsidRPr="00CF3A28">
        <w:rPr>
          <w:sz w:val="24"/>
          <w:szCs w:val="24"/>
          <w:lang w:val="en-US"/>
        </w:rPr>
        <w:t xml:space="preserve">expectations </w:t>
      </w:r>
      <w:r w:rsidR="005B4051" w:rsidRPr="00CF3A28">
        <w:rPr>
          <w:sz w:val="24"/>
          <w:szCs w:val="24"/>
          <w:lang w:val="en-US"/>
        </w:rPr>
        <w:t>warrants</w:t>
      </w:r>
      <w:r w:rsidR="00A14BC8" w:rsidRPr="00CF3A28">
        <w:rPr>
          <w:sz w:val="24"/>
          <w:szCs w:val="24"/>
          <w:lang w:val="en-US"/>
        </w:rPr>
        <w:t xml:space="preserve"> closer </w:t>
      </w:r>
      <w:r w:rsidR="00564C51" w:rsidRPr="00CF3A28">
        <w:rPr>
          <w:sz w:val="24"/>
          <w:szCs w:val="24"/>
          <w:lang w:val="en-US"/>
        </w:rPr>
        <w:t xml:space="preserve">scrutiny of his </w:t>
      </w:r>
      <w:r w:rsidR="008D7156" w:rsidRPr="00CF3A28">
        <w:rPr>
          <w:sz w:val="24"/>
          <w:szCs w:val="24"/>
          <w:lang w:val="en-US"/>
        </w:rPr>
        <w:t>assumptions about how the world economy, states, and social forces are interrelated.</w:t>
      </w:r>
      <w:r w:rsidRPr="00CF3A28">
        <w:rPr>
          <w:sz w:val="24"/>
          <w:szCs w:val="24"/>
          <w:lang w:val="en-US"/>
        </w:rPr>
        <w:t xml:space="preserve"> </w:t>
      </w:r>
      <w:r w:rsidR="009B4AE0" w:rsidRPr="00CF3A28">
        <w:rPr>
          <w:sz w:val="24"/>
          <w:szCs w:val="24"/>
          <w:lang w:val="en-US"/>
        </w:rPr>
        <w:t>As already discussed, hi</w:t>
      </w:r>
      <w:r w:rsidR="00564C51" w:rsidRPr="00CF3A28">
        <w:rPr>
          <w:sz w:val="24"/>
          <w:szCs w:val="24"/>
          <w:lang w:val="en-US"/>
        </w:rPr>
        <w:t>s analysis of</w:t>
      </w:r>
      <w:r w:rsidR="003973E3" w:rsidRPr="00CF3A28">
        <w:rPr>
          <w:sz w:val="24"/>
          <w:szCs w:val="24"/>
          <w:lang w:val="en-US"/>
        </w:rPr>
        <w:t xml:space="preserve"> the rise of </w:t>
      </w:r>
      <w:r w:rsidR="00A14BC8" w:rsidRPr="00CF3A28">
        <w:rPr>
          <w:bCs/>
          <w:sz w:val="24"/>
          <w:szCs w:val="24"/>
          <w:lang w:val="en-US"/>
        </w:rPr>
        <w:t xml:space="preserve">Europe’s unregulated market system </w:t>
      </w:r>
      <w:r w:rsidR="009B4AE0" w:rsidRPr="00CF3A28">
        <w:rPr>
          <w:bCs/>
          <w:sz w:val="24"/>
          <w:szCs w:val="24"/>
          <w:lang w:val="en-US"/>
        </w:rPr>
        <w:t>works from the ‘top down’</w:t>
      </w:r>
      <w:r w:rsidR="005B4051" w:rsidRPr="00CF3A28">
        <w:rPr>
          <w:bCs/>
          <w:sz w:val="24"/>
          <w:szCs w:val="24"/>
          <w:lang w:val="en-US"/>
        </w:rPr>
        <w:t>: it</w:t>
      </w:r>
      <w:r w:rsidR="009B4AE0" w:rsidRPr="00CF3A28">
        <w:rPr>
          <w:bCs/>
          <w:sz w:val="24"/>
          <w:szCs w:val="24"/>
          <w:lang w:val="en-US"/>
        </w:rPr>
        <w:t xml:space="preserve"> </w:t>
      </w:r>
      <w:r w:rsidR="00EB0839" w:rsidRPr="00CF3A28">
        <w:rPr>
          <w:bCs/>
          <w:sz w:val="24"/>
          <w:szCs w:val="24"/>
          <w:lang w:val="en-US"/>
        </w:rPr>
        <w:t>focus</w:t>
      </w:r>
      <w:r w:rsidR="005B4051" w:rsidRPr="00CF3A28">
        <w:rPr>
          <w:bCs/>
          <w:sz w:val="24"/>
          <w:szCs w:val="24"/>
          <w:lang w:val="en-US"/>
        </w:rPr>
        <w:t>es</w:t>
      </w:r>
      <w:r w:rsidR="00EB0839" w:rsidRPr="00CF3A28">
        <w:rPr>
          <w:bCs/>
          <w:sz w:val="24"/>
          <w:szCs w:val="24"/>
          <w:lang w:val="en-US"/>
        </w:rPr>
        <w:t>, first, on the international institutions created by the self-regulating market system -- the balance of power system (which had made possible a ‘Hundred Years’ Peace’ in Europe) and the gold standard</w:t>
      </w:r>
      <w:r w:rsidR="009B4AE0" w:rsidRPr="00CF3A28">
        <w:rPr>
          <w:bCs/>
          <w:sz w:val="24"/>
          <w:szCs w:val="24"/>
          <w:lang w:val="en-US"/>
        </w:rPr>
        <w:t xml:space="preserve"> -- and</w:t>
      </w:r>
      <w:r w:rsidR="00EB0839" w:rsidRPr="00CF3A28">
        <w:rPr>
          <w:bCs/>
          <w:sz w:val="24"/>
          <w:szCs w:val="24"/>
          <w:lang w:val="en-US"/>
        </w:rPr>
        <w:t xml:space="preserve"> </w:t>
      </w:r>
      <w:r w:rsidR="005B4051" w:rsidRPr="00CF3A28">
        <w:rPr>
          <w:bCs/>
          <w:sz w:val="24"/>
          <w:szCs w:val="24"/>
          <w:lang w:val="en-US"/>
        </w:rPr>
        <w:t xml:space="preserve">on </w:t>
      </w:r>
      <w:r w:rsidR="00EB0839" w:rsidRPr="00CF3A28">
        <w:rPr>
          <w:bCs/>
          <w:sz w:val="24"/>
          <w:szCs w:val="24"/>
          <w:lang w:val="en-US"/>
        </w:rPr>
        <w:t>the ‘liberal state’</w:t>
      </w:r>
      <w:r w:rsidR="009B4AE0" w:rsidRPr="00CF3A28">
        <w:rPr>
          <w:bCs/>
          <w:sz w:val="24"/>
          <w:szCs w:val="24"/>
          <w:lang w:val="en-US"/>
        </w:rPr>
        <w:t>. It then explores the impact of the self-regulating market on ‘society as a whole’</w:t>
      </w:r>
      <w:r w:rsidR="00EB0839" w:rsidRPr="00CF3A28">
        <w:rPr>
          <w:bCs/>
          <w:sz w:val="24"/>
          <w:szCs w:val="24"/>
          <w:lang w:val="en-US"/>
        </w:rPr>
        <w:t>.</w:t>
      </w:r>
      <w:r w:rsidR="009B4AE0" w:rsidRPr="00CF3A28">
        <w:rPr>
          <w:bCs/>
          <w:sz w:val="24"/>
          <w:szCs w:val="24"/>
          <w:lang w:val="en-US"/>
        </w:rPr>
        <w:t xml:space="preserve"> </w:t>
      </w:r>
      <w:r w:rsidR="00AD7C73" w:rsidRPr="00CF3A28">
        <w:rPr>
          <w:bCs/>
          <w:sz w:val="24"/>
          <w:szCs w:val="24"/>
        </w:rPr>
        <w:t>The sections which follow revisit the</w:t>
      </w:r>
      <w:r w:rsidR="00B33DC5" w:rsidRPr="00CF3A28">
        <w:rPr>
          <w:bCs/>
          <w:sz w:val="24"/>
          <w:szCs w:val="24"/>
        </w:rPr>
        <w:t xml:space="preserve"> two</w:t>
      </w:r>
      <w:r w:rsidR="00AD7C73" w:rsidRPr="00CF3A28">
        <w:rPr>
          <w:bCs/>
          <w:sz w:val="24"/>
          <w:szCs w:val="24"/>
        </w:rPr>
        <w:t xml:space="preserve"> periods </w:t>
      </w:r>
      <w:r w:rsidR="00B33DC5" w:rsidRPr="00CF3A28">
        <w:rPr>
          <w:bCs/>
          <w:sz w:val="24"/>
          <w:szCs w:val="24"/>
        </w:rPr>
        <w:t xml:space="preserve">that are the focus of </w:t>
      </w:r>
      <w:r w:rsidR="00B33DC5" w:rsidRPr="00CF3A28">
        <w:rPr>
          <w:bCs/>
          <w:i/>
          <w:sz w:val="24"/>
          <w:szCs w:val="24"/>
        </w:rPr>
        <w:t>The Great Transformation</w:t>
      </w:r>
      <w:r w:rsidR="00FF4F50" w:rsidRPr="00CF3A28">
        <w:rPr>
          <w:bCs/>
          <w:sz w:val="24"/>
          <w:szCs w:val="24"/>
        </w:rPr>
        <w:t>;</w:t>
      </w:r>
      <w:r w:rsidR="00644DAF" w:rsidRPr="00CF3A28">
        <w:rPr>
          <w:bCs/>
          <w:sz w:val="24"/>
          <w:szCs w:val="24"/>
        </w:rPr>
        <w:t xml:space="preserve"> </w:t>
      </w:r>
      <w:r w:rsidR="00FF4F50" w:rsidRPr="00CF3A28">
        <w:rPr>
          <w:bCs/>
          <w:sz w:val="24"/>
          <w:szCs w:val="24"/>
        </w:rPr>
        <w:t>but,</w:t>
      </w:r>
      <w:r w:rsidR="0098533E" w:rsidRPr="00CF3A28">
        <w:rPr>
          <w:bCs/>
          <w:sz w:val="24"/>
          <w:szCs w:val="24"/>
        </w:rPr>
        <w:t xml:space="preserve"> i</w:t>
      </w:r>
      <w:r w:rsidR="00B33DC5" w:rsidRPr="00CF3A28">
        <w:rPr>
          <w:bCs/>
          <w:sz w:val="24"/>
          <w:szCs w:val="24"/>
        </w:rPr>
        <w:t>n contrast to Polanyi’s</w:t>
      </w:r>
      <w:r w:rsidR="00644DAF" w:rsidRPr="00CF3A28">
        <w:rPr>
          <w:bCs/>
          <w:sz w:val="24"/>
          <w:szCs w:val="24"/>
        </w:rPr>
        <w:t xml:space="preserve"> </w:t>
      </w:r>
      <w:r w:rsidR="009B4AE0" w:rsidRPr="00CF3A28">
        <w:rPr>
          <w:bCs/>
          <w:sz w:val="24"/>
          <w:szCs w:val="24"/>
        </w:rPr>
        <w:t>analysis, the</w:t>
      </w:r>
      <w:r w:rsidR="00FF4F50" w:rsidRPr="00CF3A28">
        <w:rPr>
          <w:bCs/>
          <w:sz w:val="24"/>
          <w:szCs w:val="24"/>
        </w:rPr>
        <w:t>y</w:t>
      </w:r>
      <w:r w:rsidR="009B4AE0" w:rsidRPr="00CF3A28">
        <w:rPr>
          <w:bCs/>
          <w:sz w:val="24"/>
          <w:szCs w:val="24"/>
        </w:rPr>
        <w:t xml:space="preserve"> assume</w:t>
      </w:r>
      <w:r w:rsidR="00B33DC5" w:rsidRPr="00CF3A28">
        <w:rPr>
          <w:bCs/>
          <w:sz w:val="24"/>
          <w:szCs w:val="24"/>
        </w:rPr>
        <w:t xml:space="preserve"> that </w:t>
      </w:r>
      <w:r w:rsidR="00644DAF" w:rsidRPr="00CF3A28">
        <w:rPr>
          <w:bCs/>
          <w:sz w:val="24"/>
          <w:szCs w:val="24"/>
        </w:rPr>
        <w:t>states and interstate systems reflect the interests of powerful social forces</w:t>
      </w:r>
      <w:r w:rsidR="00FF4F50" w:rsidRPr="00CF3A28">
        <w:rPr>
          <w:bCs/>
          <w:sz w:val="24"/>
          <w:szCs w:val="24"/>
        </w:rPr>
        <w:t>. Consequently, the analysis</w:t>
      </w:r>
      <w:r w:rsidR="009B4AE0" w:rsidRPr="00CF3A28">
        <w:rPr>
          <w:bCs/>
          <w:sz w:val="24"/>
          <w:szCs w:val="24"/>
        </w:rPr>
        <w:t xml:space="preserve"> works</w:t>
      </w:r>
      <w:r w:rsidR="00644DAF" w:rsidRPr="00CF3A28">
        <w:rPr>
          <w:bCs/>
          <w:sz w:val="24"/>
          <w:szCs w:val="24"/>
        </w:rPr>
        <w:t xml:space="preserve"> from the ‘bottom up’</w:t>
      </w:r>
      <w:r w:rsidR="00A102D5" w:rsidRPr="00CF3A28">
        <w:rPr>
          <w:bCs/>
          <w:sz w:val="24"/>
          <w:szCs w:val="24"/>
        </w:rPr>
        <w:t>. I</w:t>
      </w:r>
      <w:r w:rsidR="00FF4F50" w:rsidRPr="00CF3A28">
        <w:rPr>
          <w:bCs/>
          <w:sz w:val="24"/>
          <w:szCs w:val="24"/>
        </w:rPr>
        <w:t>t</w:t>
      </w:r>
      <w:r w:rsidR="00644DAF" w:rsidRPr="00CF3A28">
        <w:rPr>
          <w:bCs/>
          <w:sz w:val="24"/>
          <w:szCs w:val="24"/>
        </w:rPr>
        <w:t xml:space="preserve"> focus</w:t>
      </w:r>
      <w:r w:rsidR="00FF4F50" w:rsidRPr="00CF3A28">
        <w:rPr>
          <w:bCs/>
          <w:sz w:val="24"/>
          <w:szCs w:val="24"/>
        </w:rPr>
        <w:t>es</w:t>
      </w:r>
      <w:r w:rsidR="00644DAF" w:rsidRPr="00CF3A28">
        <w:rPr>
          <w:bCs/>
          <w:sz w:val="24"/>
          <w:szCs w:val="24"/>
        </w:rPr>
        <w:t>, first, on</w:t>
      </w:r>
      <w:r w:rsidR="00A14BC8" w:rsidRPr="00CF3A28">
        <w:rPr>
          <w:bCs/>
          <w:sz w:val="24"/>
          <w:szCs w:val="24"/>
        </w:rPr>
        <w:t xml:space="preserve"> </w:t>
      </w:r>
      <w:r w:rsidR="00644DAF" w:rsidRPr="00CF3A28">
        <w:rPr>
          <w:bCs/>
          <w:sz w:val="24"/>
          <w:szCs w:val="24"/>
          <w:lang w:val="en-US"/>
        </w:rPr>
        <w:t xml:space="preserve">the </w:t>
      </w:r>
      <w:r w:rsidR="00644DAF" w:rsidRPr="00CF3A28">
        <w:rPr>
          <w:bCs/>
          <w:sz w:val="24"/>
          <w:szCs w:val="24"/>
        </w:rPr>
        <w:t>configuration of class power and interests that produced the system, and the tensions and class struggles that</w:t>
      </w:r>
      <w:r w:rsidR="00FF4F50" w:rsidRPr="00CF3A28">
        <w:rPr>
          <w:bCs/>
          <w:sz w:val="24"/>
          <w:szCs w:val="24"/>
        </w:rPr>
        <w:t xml:space="preserve"> the system generated </w:t>
      </w:r>
      <w:r w:rsidR="00A102D5" w:rsidRPr="00CF3A28">
        <w:rPr>
          <w:bCs/>
          <w:sz w:val="24"/>
          <w:szCs w:val="24"/>
        </w:rPr>
        <w:t>(</w:t>
      </w:r>
      <w:r w:rsidR="00FF4F50" w:rsidRPr="00CF3A28">
        <w:rPr>
          <w:bCs/>
          <w:sz w:val="24"/>
          <w:szCs w:val="24"/>
        </w:rPr>
        <w:t xml:space="preserve">and that ultimately </w:t>
      </w:r>
      <w:r w:rsidR="00644DAF" w:rsidRPr="00CF3A28">
        <w:rPr>
          <w:bCs/>
          <w:sz w:val="24"/>
          <w:szCs w:val="24"/>
        </w:rPr>
        <w:t>brought about its demise</w:t>
      </w:r>
      <w:r w:rsidR="00A102D5" w:rsidRPr="00CF3A28">
        <w:rPr>
          <w:bCs/>
          <w:sz w:val="24"/>
          <w:szCs w:val="24"/>
        </w:rPr>
        <w:t>)</w:t>
      </w:r>
      <w:r w:rsidR="00644DAF" w:rsidRPr="00CF3A28">
        <w:rPr>
          <w:bCs/>
          <w:sz w:val="24"/>
          <w:szCs w:val="24"/>
          <w:lang w:val="en-US"/>
        </w:rPr>
        <w:t>.</w:t>
      </w:r>
      <w:r w:rsidR="00644DAF" w:rsidRPr="00CF3A28">
        <w:rPr>
          <w:bCs/>
          <w:sz w:val="24"/>
          <w:szCs w:val="24"/>
          <w:vertAlign w:val="superscript"/>
          <w:lang w:val="en-US"/>
        </w:rPr>
        <w:footnoteReference w:id="4"/>
      </w:r>
      <w:r w:rsidR="005B4051" w:rsidRPr="00CF3A28">
        <w:rPr>
          <w:bCs/>
          <w:sz w:val="24"/>
          <w:szCs w:val="24"/>
          <w:lang w:val="en-US"/>
        </w:rPr>
        <w:t xml:space="preserve"> It then </w:t>
      </w:r>
      <w:r w:rsidR="00A102D5" w:rsidRPr="00CF3A28">
        <w:rPr>
          <w:bCs/>
          <w:sz w:val="24"/>
          <w:szCs w:val="24"/>
          <w:lang w:val="en-US"/>
        </w:rPr>
        <w:t>considers</w:t>
      </w:r>
      <w:r w:rsidR="005B4051" w:rsidRPr="00CF3A28">
        <w:rPr>
          <w:bCs/>
          <w:sz w:val="24"/>
          <w:szCs w:val="24"/>
          <w:lang w:val="en-US"/>
        </w:rPr>
        <w:t xml:space="preserve"> the state and international structures which reflected and supported those interests.</w:t>
      </w:r>
    </w:p>
    <w:p w:rsidR="00644DAF" w:rsidRPr="00CF3A28" w:rsidRDefault="00644DAF" w:rsidP="00CF3A28">
      <w:pPr>
        <w:spacing w:line="240" w:lineRule="auto"/>
        <w:jc w:val="left"/>
        <w:rPr>
          <w:bCs/>
          <w:sz w:val="24"/>
          <w:szCs w:val="24"/>
        </w:rPr>
      </w:pPr>
    </w:p>
    <w:p w:rsidR="0029367D" w:rsidRPr="00CF3A28" w:rsidRDefault="008D480D" w:rsidP="00CF3A28">
      <w:pPr>
        <w:spacing w:line="240" w:lineRule="auto"/>
        <w:jc w:val="left"/>
        <w:rPr>
          <w:b/>
          <w:bCs/>
          <w:sz w:val="24"/>
          <w:szCs w:val="24"/>
        </w:rPr>
      </w:pPr>
      <w:r w:rsidRPr="00CF3A28">
        <w:rPr>
          <w:bCs/>
          <w:sz w:val="24"/>
          <w:szCs w:val="24"/>
          <w:lang w:val="en-US"/>
        </w:rPr>
        <w:t>From t</w:t>
      </w:r>
      <w:r w:rsidR="005065FC" w:rsidRPr="00CF3A28">
        <w:rPr>
          <w:bCs/>
          <w:sz w:val="24"/>
          <w:szCs w:val="24"/>
          <w:lang w:val="en-US"/>
        </w:rPr>
        <w:t>h</w:t>
      </w:r>
      <w:r w:rsidR="00371932" w:rsidRPr="00CF3A28">
        <w:rPr>
          <w:bCs/>
          <w:sz w:val="24"/>
          <w:szCs w:val="24"/>
          <w:lang w:val="en-US"/>
        </w:rPr>
        <w:t>is perspective</w:t>
      </w:r>
      <w:r w:rsidRPr="00CF3A28">
        <w:rPr>
          <w:bCs/>
          <w:sz w:val="24"/>
          <w:szCs w:val="24"/>
          <w:lang w:val="en-US"/>
        </w:rPr>
        <w:t>,</w:t>
      </w:r>
      <w:r w:rsidR="0098533E" w:rsidRPr="00CF3A28">
        <w:rPr>
          <w:bCs/>
          <w:sz w:val="24"/>
          <w:szCs w:val="24"/>
          <w:lang w:val="en-US"/>
        </w:rPr>
        <w:t xml:space="preserve"> </w:t>
      </w:r>
      <w:r w:rsidR="00371932" w:rsidRPr="00CF3A28">
        <w:rPr>
          <w:bCs/>
          <w:sz w:val="24"/>
          <w:szCs w:val="24"/>
          <w:lang w:val="en-US"/>
        </w:rPr>
        <w:t>a quite different ‘double movement’</w:t>
      </w:r>
      <w:r w:rsidR="0098533E" w:rsidRPr="00CF3A28">
        <w:rPr>
          <w:bCs/>
          <w:sz w:val="24"/>
          <w:szCs w:val="24"/>
          <w:lang w:val="en-US"/>
        </w:rPr>
        <w:t xml:space="preserve"> </w:t>
      </w:r>
      <w:r w:rsidRPr="00CF3A28">
        <w:rPr>
          <w:bCs/>
          <w:sz w:val="24"/>
          <w:szCs w:val="24"/>
          <w:lang w:val="en-US"/>
        </w:rPr>
        <w:t xml:space="preserve">comes into focus </w:t>
      </w:r>
      <w:r w:rsidR="0098533E" w:rsidRPr="00CF3A28">
        <w:rPr>
          <w:bCs/>
          <w:sz w:val="24"/>
          <w:szCs w:val="24"/>
          <w:lang w:val="en-US"/>
        </w:rPr>
        <w:t xml:space="preserve">than the one on which Polanyi’s account </w:t>
      </w:r>
      <w:proofErr w:type="spellStart"/>
      <w:r w:rsidR="0098533E" w:rsidRPr="00CF3A28">
        <w:rPr>
          <w:bCs/>
          <w:sz w:val="24"/>
          <w:szCs w:val="24"/>
          <w:lang w:val="en-US"/>
        </w:rPr>
        <w:t>centres</w:t>
      </w:r>
      <w:proofErr w:type="spellEnd"/>
      <w:r w:rsidR="0098533E" w:rsidRPr="00CF3A28">
        <w:rPr>
          <w:bCs/>
          <w:sz w:val="24"/>
          <w:szCs w:val="24"/>
          <w:lang w:val="en-US"/>
        </w:rPr>
        <w:t>.</w:t>
      </w:r>
      <w:r w:rsidR="00371932" w:rsidRPr="00CF3A28">
        <w:rPr>
          <w:bCs/>
          <w:sz w:val="24"/>
          <w:szCs w:val="24"/>
          <w:lang w:val="en-US"/>
        </w:rPr>
        <w:t xml:space="preserve"> </w:t>
      </w:r>
      <w:r w:rsidR="00B116FF" w:rsidRPr="00CF3A28">
        <w:rPr>
          <w:bCs/>
          <w:sz w:val="24"/>
          <w:szCs w:val="24"/>
          <w:lang w:val="en-US"/>
        </w:rPr>
        <w:t>Polanyi argued that the basic dynamic shaping both the development of industrial capitalism in Europe and its transformation in the course of the world wars</w:t>
      </w:r>
      <w:r w:rsidR="00330BD9" w:rsidRPr="00CF3A28">
        <w:rPr>
          <w:bCs/>
          <w:sz w:val="24"/>
          <w:szCs w:val="24"/>
          <w:lang w:val="en-US"/>
        </w:rPr>
        <w:t>, was</w:t>
      </w:r>
      <w:r w:rsidR="00967206" w:rsidRPr="00CF3A28">
        <w:rPr>
          <w:bCs/>
          <w:sz w:val="24"/>
          <w:szCs w:val="24"/>
          <w:lang w:val="en-US"/>
        </w:rPr>
        <w:t xml:space="preserve"> the antagonism which </w:t>
      </w:r>
      <w:r w:rsidRPr="00CF3A28">
        <w:rPr>
          <w:bCs/>
          <w:sz w:val="24"/>
          <w:szCs w:val="24"/>
          <w:lang w:val="en-US"/>
        </w:rPr>
        <w:t>emerged</w:t>
      </w:r>
      <w:r w:rsidR="00B116FF" w:rsidRPr="00CF3A28">
        <w:rPr>
          <w:bCs/>
          <w:sz w:val="24"/>
          <w:szCs w:val="24"/>
          <w:lang w:val="en-US"/>
        </w:rPr>
        <w:t xml:space="preserve"> between 'society as a whole' and the 'soulless institutions' of the self-regulating market system. </w:t>
      </w:r>
      <w:r w:rsidR="00330BD9" w:rsidRPr="00CF3A28">
        <w:rPr>
          <w:bCs/>
          <w:sz w:val="24"/>
          <w:szCs w:val="24"/>
          <w:lang w:val="en-US"/>
        </w:rPr>
        <w:t>In t</w:t>
      </w:r>
      <w:r w:rsidR="00233425" w:rsidRPr="00CF3A28">
        <w:rPr>
          <w:bCs/>
          <w:sz w:val="24"/>
          <w:szCs w:val="24"/>
        </w:rPr>
        <w:t xml:space="preserve">he </w:t>
      </w:r>
      <w:r w:rsidRPr="00CF3A28">
        <w:rPr>
          <w:bCs/>
          <w:sz w:val="24"/>
          <w:szCs w:val="24"/>
        </w:rPr>
        <w:t xml:space="preserve">‘bottom up’ </w:t>
      </w:r>
      <w:r w:rsidR="00D30DF8" w:rsidRPr="00CF3A28">
        <w:rPr>
          <w:bCs/>
          <w:sz w:val="24"/>
          <w:szCs w:val="24"/>
        </w:rPr>
        <w:t>account which follows</w:t>
      </w:r>
      <w:r w:rsidR="00330BD9" w:rsidRPr="00CF3A28">
        <w:rPr>
          <w:bCs/>
          <w:sz w:val="24"/>
          <w:szCs w:val="24"/>
        </w:rPr>
        <w:t>,</w:t>
      </w:r>
      <w:r w:rsidR="00D30DF8" w:rsidRPr="00CF3A28">
        <w:rPr>
          <w:bCs/>
          <w:sz w:val="24"/>
          <w:szCs w:val="24"/>
        </w:rPr>
        <w:t xml:space="preserve"> </w:t>
      </w:r>
      <w:r w:rsidRPr="00CF3A28">
        <w:rPr>
          <w:bCs/>
          <w:sz w:val="24"/>
          <w:szCs w:val="24"/>
        </w:rPr>
        <w:t>what comes into focus is</w:t>
      </w:r>
      <w:r w:rsidR="00330BD9" w:rsidRPr="00CF3A28">
        <w:rPr>
          <w:bCs/>
          <w:sz w:val="24"/>
          <w:szCs w:val="24"/>
        </w:rPr>
        <w:t xml:space="preserve"> </w:t>
      </w:r>
      <w:r w:rsidR="00D30DF8" w:rsidRPr="00CF3A28">
        <w:rPr>
          <w:bCs/>
          <w:sz w:val="24"/>
          <w:szCs w:val="24"/>
        </w:rPr>
        <w:t xml:space="preserve">a </w:t>
      </w:r>
      <w:r w:rsidR="00DE75A0" w:rsidRPr="00CF3A28">
        <w:rPr>
          <w:bCs/>
          <w:sz w:val="24"/>
          <w:szCs w:val="24"/>
        </w:rPr>
        <w:t>‘double movement’</w:t>
      </w:r>
      <w:r w:rsidR="008E19E2" w:rsidRPr="00CF3A28">
        <w:rPr>
          <w:bCs/>
          <w:sz w:val="24"/>
          <w:szCs w:val="24"/>
        </w:rPr>
        <w:t>, not</w:t>
      </w:r>
      <w:r w:rsidR="00DE75A0" w:rsidRPr="00CF3A28">
        <w:rPr>
          <w:bCs/>
          <w:sz w:val="24"/>
          <w:szCs w:val="24"/>
        </w:rPr>
        <w:t xml:space="preserve"> of market expansion and a protective countermove on the part of ‘society as a whole’</w:t>
      </w:r>
      <w:r w:rsidR="00B552BC" w:rsidRPr="00CF3A28">
        <w:rPr>
          <w:bCs/>
          <w:sz w:val="24"/>
          <w:szCs w:val="24"/>
        </w:rPr>
        <w:t>,</w:t>
      </w:r>
      <w:r w:rsidR="00DE75A0" w:rsidRPr="00CF3A28">
        <w:rPr>
          <w:bCs/>
          <w:sz w:val="24"/>
          <w:szCs w:val="24"/>
        </w:rPr>
        <w:t xml:space="preserve"> </w:t>
      </w:r>
      <w:r w:rsidR="008E19E2" w:rsidRPr="00CF3A28">
        <w:rPr>
          <w:bCs/>
          <w:sz w:val="24"/>
          <w:szCs w:val="24"/>
        </w:rPr>
        <w:t>but o</w:t>
      </w:r>
      <w:r w:rsidR="00A53F6A" w:rsidRPr="00CF3A28">
        <w:rPr>
          <w:bCs/>
          <w:sz w:val="24"/>
          <w:szCs w:val="24"/>
        </w:rPr>
        <w:t>f</w:t>
      </w:r>
      <w:r w:rsidR="00DE75A0" w:rsidRPr="00CF3A28">
        <w:rPr>
          <w:bCs/>
          <w:sz w:val="24"/>
          <w:szCs w:val="24"/>
          <w:lang w:val="en-US"/>
        </w:rPr>
        <w:t xml:space="preserve"> dominant classes </w:t>
      </w:r>
      <w:r w:rsidRPr="00CF3A28">
        <w:rPr>
          <w:bCs/>
          <w:sz w:val="24"/>
          <w:szCs w:val="24"/>
          <w:lang w:val="en-US"/>
        </w:rPr>
        <w:t>pursuing global expansion in order to</w:t>
      </w:r>
      <w:r w:rsidR="00DE75A0" w:rsidRPr="00CF3A28">
        <w:rPr>
          <w:bCs/>
          <w:sz w:val="24"/>
          <w:szCs w:val="24"/>
          <w:lang w:val="en-US"/>
        </w:rPr>
        <w:t xml:space="preserve"> </w:t>
      </w:r>
      <w:proofErr w:type="spellStart"/>
      <w:r w:rsidR="00DE75A0" w:rsidRPr="00CF3A28">
        <w:rPr>
          <w:bCs/>
          <w:sz w:val="24"/>
          <w:szCs w:val="24"/>
          <w:lang w:val="en-US"/>
        </w:rPr>
        <w:t>monopolise</w:t>
      </w:r>
      <w:proofErr w:type="spellEnd"/>
      <w:r w:rsidR="00DE75A0" w:rsidRPr="00CF3A28">
        <w:rPr>
          <w:bCs/>
          <w:sz w:val="24"/>
          <w:szCs w:val="24"/>
          <w:lang w:val="en-US"/>
        </w:rPr>
        <w:t xml:space="preserve"> opportunities for economic gain</w:t>
      </w:r>
      <w:r w:rsidRPr="00CF3A28">
        <w:rPr>
          <w:bCs/>
          <w:sz w:val="24"/>
          <w:szCs w:val="24"/>
          <w:lang w:val="en-US"/>
        </w:rPr>
        <w:t xml:space="preserve"> and prevent the rise of new classes</w:t>
      </w:r>
      <w:r w:rsidR="00702497" w:rsidRPr="00CF3A28">
        <w:rPr>
          <w:bCs/>
          <w:sz w:val="24"/>
          <w:szCs w:val="24"/>
          <w:lang w:val="en-US"/>
        </w:rPr>
        <w:t>;</w:t>
      </w:r>
      <w:r w:rsidR="00330BD9" w:rsidRPr="00CF3A28">
        <w:rPr>
          <w:bCs/>
          <w:sz w:val="24"/>
          <w:szCs w:val="24"/>
          <w:lang w:val="en-US"/>
        </w:rPr>
        <w:t xml:space="preserve"> </w:t>
      </w:r>
      <w:r w:rsidR="008E19E2" w:rsidRPr="00CF3A28">
        <w:rPr>
          <w:bCs/>
          <w:sz w:val="24"/>
          <w:szCs w:val="24"/>
          <w:lang w:val="en-US"/>
        </w:rPr>
        <w:t xml:space="preserve">and </w:t>
      </w:r>
      <w:r w:rsidR="00330BD9" w:rsidRPr="00CF3A28">
        <w:rPr>
          <w:bCs/>
          <w:sz w:val="24"/>
          <w:szCs w:val="24"/>
          <w:lang w:val="en-US"/>
        </w:rPr>
        <w:t>a</w:t>
      </w:r>
      <w:r w:rsidR="0029367D" w:rsidRPr="00CF3A28">
        <w:rPr>
          <w:bCs/>
          <w:sz w:val="24"/>
          <w:szCs w:val="24"/>
        </w:rPr>
        <w:t xml:space="preserve"> </w:t>
      </w:r>
      <w:r w:rsidR="00DE75A0" w:rsidRPr="00CF3A28">
        <w:rPr>
          <w:bCs/>
          <w:sz w:val="24"/>
          <w:szCs w:val="24"/>
          <w:lang w:val="en-US"/>
        </w:rPr>
        <w:t xml:space="preserve">rising ‘red tide’ </w:t>
      </w:r>
      <w:r w:rsidRPr="00CF3A28">
        <w:rPr>
          <w:bCs/>
          <w:sz w:val="24"/>
          <w:szCs w:val="24"/>
          <w:lang w:val="en-US"/>
        </w:rPr>
        <w:t xml:space="preserve">fuelled by the disaffection </w:t>
      </w:r>
      <w:r w:rsidR="00DE75A0" w:rsidRPr="00CF3A28">
        <w:rPr>
          <w:bCs/>
          <w:sz w:val="24"/>
          <w:szCs w:val="24"/>
          <w:lang w:val="en-US"/>
        </w:rPr>
        <w:t xml:space="preserve">of </w:t>
      </w:r>
      <w:r w:rsidR="0029367D" w:rsidRPr="00CF3A28">
        <w:rPr>
          <w:bCs/>
          <w:sz w:val="24"/>
          <w:szCs w:val="24"/>
        </w:rPr>
        <w:t xml:space="preserve">radicals and socialists of various sorts, trade unionists, and </w:t>
      </w:r>
      <w:r w:rsidR="0029367D" w:rsidRPr="00CF3A28">
        <w:rPr>
          <w:bCs/>
          <w:sz w:val="24"/>
          <w:szCs w:val="24"/>
        </w:rPr>
        <w:lastRenderedPageBreak/>
        <w:t>suppressed national minorities.</w:t>
      </w:r>
      <w:r w:rsidR="00006A78" w:rsidRPr="00CF3A28">
        <w:rPr>
          <w:bCs/>
          <w:sz w:val="24"/>
          <w:szCs w:val="24"/>
        </w:rPr>
        <w:t xml:space="preserve"> It will argue that it was the stresses and strains generated by </w:t>
      </w:r>
      <w:r w:rsidR="00006A78" w:rsidRPr="00CF3A28">
        <w:rPr>
          <w:bCs/>
          <w:i/>
          <w:sz w:val="24"/>
          <w:szCs w:val="24"/>
        </w:rPr>
        <w:t>this</w:t>
      </w:r>
      <w:r w:rsidR="00006A78" w:rsidRPr="00CF3A28">
        <w:rPr>
          <w:bCs/>
          <w:sz w:val="24"/>
          <w:szCs w:val="24"/>
        </w:rPr>
        <w:t xml:space="preserve"> double movement that led to crisis of the world wars and </w:t>
      </w:r>
      <w:r w:rsidRPr="00CF3A28">
        <w:rPr>
          <w:bCs/>
          <w:sz w:val="24"/>
          <w:szCs w:val="24"/>
        </w:rPr>
        <w:t xml:space="preserve">the </w:t>
      </w:r>
      <w:r w:rsidR="00006A78" w:rsidRPr="00CF3A28">
        <w:rPr>
          <w:bCs/>
          <w:sz w:val="24"/>
          <w:szCs w:val="24"/>
        </w:rPr>
        <w:t>changes that ensued as a result</w:t>
      </w:r>
      <w:r w:rsidRPr="00CF3A28">
        <w:rPr>
          <w:bCs/>
          <w:sz w:val="24"/>
          <w:szCs w:val="24"/>
        </w:rPr>
        <w:t xml:space="preserve"> of it</w:t>
      </w:r>
      <w:r w:rsidR="00006A78" w:rsidRPr="00CF3A28">
        <w:rPr>
          <w:bCs/>
          <w:sz w:val="24"/>
          <w:szCs w:val="24"/>
        </w:rPr>
        <w:t>.</w:t>
      </w:r>
    </w:p>
    <w:p w:rsidR="00DE75A0" w:rsidRPr="00CF3A28" w:rsidRDefault="00DE75A0" w:rsidP="00CF3A28">
      <w:pPr>
        <w:spacing w:line="240" w:lineRule="auto"/>
        <w:jc w:val="left"/>
        <w:rPr>
          <w:sz w:val="24"/>
          <w:szCs w:val="24"/>
          <w:lang w:val="en-US"/>
        </w:rPr>
      </w:pPr>
    </w:p>
    <w:p w:rsidR="00A14A25" w:rsidRPr="00CF3A28" w:rsidRDefault="00A14A25" w:rsidP="00CF3A28">
      <w:pPr>
        <w:autoSpaceDE w:val="0"/>
        <w:autoSpaceDN w:val="0"/>
        <w:spacing w:line="240" w:lineRule="auto"/>
        <w:jc w:val="left"/>
        <w:rPr>
          <w:b/>
          <w:bCs/>
          <w:sz w:val="24"/>
          <w:szCs w:val="24"/>
          <w:lang w:val="en-US"/>
        </w:rPr>
      </w:pPr>
      <w:r w:rsidRPr="00CF3A28">
        <w:rPr>
          <w:b/>
          <w:bCs/>
          <w:sz w:val="24"/>
          <w:szCs w:val="24"/>
          <w:lang w:val="en-US"/>
        </w:rPr>
        <w:t xml:space="preserve">The First Transformation: social forces in the rise </w:t>
      </w:r>
      <w:r w:rsidR="000A5797" w:rsidRPr="00CF3A28">
        <w:rPr>
          <w:b/>
          <w:bCs/>
          <w:sz w:val="24"/>
          <w:szCs w:val="24"/>
          <w:lang w:val="en-US"/>
        </w:rPr>
        <w:t xml:space="preserve">and consolidation </w:t>
      </w:r>
      <w:r w:rsidRPr="00CF3A28">
        <w:rPr>
          <w:b/>
          <w:bCs/>
          <w:sz w:val="24"/>
          <w:szCs w:val="24"/>
          <w:lang w:val="en-US"/>
        </w:rPr>
        <w:t xml:space="preserve">of Europe’s </w:t>
      </w:r>
      <w:r w:rsidR="008664E5" w:rsidRPr="00CF3A28">
        <w:rPr>
          <w:b/>
          <w:bCs/>
          <w:sz w:val="24"/>
          <w:szCs w:val="24"/>
          <w:lang w:val="en-US"/>
        </w:rPr>
        <w:t>n</w:t>
      </w:r>
      <w:r w:rsidRPr="00CF3A28">
        <w:rPr>
          <w:b/>
          <w:bCs/>
          <w:sz w:val="24"/>
          <w:szCs w:val="24"/>
          <w:lang w:val="en-US"/>
        </w:rPr>
        <w:t>ineteenth century market system</w:t>
      </w:r>
    </w:p>
    <w:p w:rsidR="000A7B48" w:rsidRPr="00CF3A28" w:rsidRDefault="000A7B48" w:rsidP="00CF3A28">
      <w:pPr>
        <w:autoSpaceDE w:val="0"/>
        <w:autoSpaceDN w:val="0"/>
        <w:spacing w:line="240" w:lineRule="auto"/>
        <w:jc w:val="left"/>
        <w:rPr>
          <w:bCs/>
          <w:sz w:val="24"/>
          <w:szCs w:val="24"/>
          <w:lang w:val="en-US"/>
        </w:rPr>
      </w:pPr>
    </w:p>
    <w:p w:rsidR="00370EAE" w:rsidRPr="00CF3A28" w:rsidRDefault="00E643CC" w:rsidP="00CF3A28">
      <w:pPr>
        <w:spacing w:line="240" w:lineRule="auto"/>
        <w:jc w:val="left"/>
        <w:rPr>
          <w:rFonts w:eastAsia="Calibri"/>
          <w:bCs/>
          <w:sz w:val="24"/>
          <w:szCs w:val="24"/>
          <w:lang w:val="en-US"/>
        </w:rPr>
      </w:pPr>
      <w:r>
        <w:rPr>
          <w:rFonts w:eastAsia="Calibri"/>
          <w:bCs/>
          <w:sz w:val="24"/>
          <w:szCs w:val="24"/>
          <w:lang w:val="en-US"/>
        </w:rPr>
        <w:t>Polanyi</w:t>
      </w:r>
      <w:r w:rsidR="00361CC3">
        <w:rPr>
          <w:rFonts w:eastAsia="Calibri"/>
          <w:bCs/>
          <w:sz w:val="24"/>
          <w:szCs w:val="24"/>
          <w:lang w:val="en-US"/>
        </w:rPr>
        <w:t xml:space="preserve"> begins his</w:t>
      </w:r>
      <w:r w:rsidR="00CB373A" w:rsidRPr="00CF3A28">
        <w:rPr>
          <w:rFonts w:eastAsia="Calibri"/>
          <w:bCs/>
          <w:sz w:val="24"/>
          <w:szCs w:val="24"/>
          <w:lang w:val="en-US"/>
        </w:rPr>
        <w:t xml:space="preserve"> analysis of </w:t>
      </w:r>
      <w:r w:rsidR="00666204" w:rsidRPr="00CF3A28">
        <w:rPr>
          <w:rFonts w:eastAsia="Calibri"/>
          <w:bCs/>
          <w:sz w:val="24"/>
          <w:szCs w:val="24"/>
          <w:lang w:val="en-US"/>
        </w:rPr>
        <w:t>th</w:t>
      </w:r>
      <w:r>
        <w:rPr>
          <w:rFonts w:eastAsia="Calibri"/>
          <w:bCs/>
          <w:sz w:val="24"/>
          <w:szCs w:val="24"/>
          <w:lang w:val="en-US"/>
        </w:rPr>
        <w:t>e</w:t>
      </w:r>
      <w:r w:rsidR="001D4585" w:rsidRPr="00CF3A28">
        <w:rPr>
          <w:rFonts w:eastAsia="Calibri"/>
          <w:bCs/>
          <w:sz w:val="24"/>
          <w:szCs w:val="24"/>
          <w:lang w:val="en-US"/>
        </w:rPr>
        <w:t xml:space="preserve"> </w:t>
      </w:r>
      <w:r>
        <w:rPr>
          <w:rFonts w:eastAsia="Calibri"/>
          <w:bCs/>
          <w:sz w:val="24"/>
          <w:szCs w:val="24"/>
          <w:lang w:val="en-US"/>
        </w:rPr>
        <w:t xml:space="preserve">rise of Europe’s </w:t>
      </w:r>
      <w:r w:rsidRPr="00E643CC">
        <w:rPr>
          <w:rFonts w:eastAsia="Calibri"/>
          <w:bCs/>
          <w:sz w:val="24"/>
          <w:szCs w:val="24"/>
          <w:lang w:val="en-US"/>
        </w:rPr>
        <w:t xml:space="preserve">nineteenth century market system </w:t>
      </w:r>
      <w:r w:rsidR="00D4700F" w:rsidRPr="00CF3A28">
        <w:rPr>
          <w:rFonts w:eastAsia="Calibri"/>
          <w:bCs/>
          <w:sz w:val="24"/>
          <w:szCs w:val="24"/>
          <w:lang w:val="en-US"/>
        </w:rPr>
        <w:t xml:space="preserve">with </w:t>
      </w:r>
      <w:r w:rsidR="00DB3248" w:rsidRPr="00CF3A28">
        <w:rPr>
          <w:rFonts w:eastAsia="Calibri"/>
          <w:bCs/>
          <w:sz w:val="24"/>
          <w:szCs w:val="24"/>
          <w:lang w:val="en-US"/>
        </w:rPr>
        <w:t xml:space="preserve">the </w:t>
      </w:r>
      <w:r w:rsidR="003D53CA" w:rsidRPr="00CF3A28">
        <w:rPr>
          <w:rFonts w:eastAsia="Calibri"/>
          <w:bCs/>
          <w:sz w:val="24"/>
          <w:szCs w:val="24"/>
          <w:lang w:val="en-US"/>
        </w:rPr>
        <w:t>e</w:t>
      </w:r>
      <w:r w:rsidR="00361CC3">
        <w:rPr>
          <w:rFonts w:eastAsia="Calibri"/>
          <w:bCs/>
          <w:sz w:val="24"/>
          <w:szCs w:val="24"/>
          <w:lang w:val="en-US"/>
        </w:rPr>
        <w:t>mergence</w:t>
      </w:r>
      <w:r w:rsidR="003D53CA" w:rsidRPr="00CF3A28">
        <w:rPr>
          <w:rFonts w:eastAsia="Calibri"/>
          <w:bCs/>
          <w:sz w:val="24"/>
          <w:szCs w:val="24"/>
          <w:lang w:val="en-US"/>
        </w:rPr>
        <w:t xml:space="preserve"> of</w:t>
      </w:r>
      <w:r w:rsidR="00DB3248" w:rsidRPr="00CF3A28">
        <w:rPr>
          <w:rFonts w:eastAsia="Calibri"/>
          <w:bCs/>
          <w:sz w:val="24"/>
          <w:szCs w:val="24"/>
          <w:lang w:val="en-US"/>
        </w:rPr>
        <w:t xml:space="preserve"> a</w:t>
      </w:r>
      <w:r w:rsidR="00D4700F" w:rsidRPr="00CF3A28">
        <w:rPr>
          <w:rFonts w:eastAsia="Calibri"/>
          <w:bCs/>
          <w:sz w:val="24"/>
          <w:szCs w:val="24"/>
          <w:lang w:val="en-US"/>
        </w:rPr>
        <w:t xml:space="preserve"> new liberal international order</w:t>
      </w:r>
      <w:r w:rsidR="008664E5" w:rsidRPr="00CF3A28">
        <w:rPr>
          <w:rFonts w:eastAsia="Calibri"/>
          <w:bCs/>
          <w:sz w:val="24"/>
          <w:szCs w:val="24"/>
          <w:lang w:val="en-US"/>
        </w:rPr>
        <w:t>, t</w:t>
      </w:r>
      <w:r w:rsidR="001D4585" w:rsidRPr="00CF3A28">
        <w:rPr>
          <w:rFonts w:eastAsia="Calibri"/>
          <w:bCs/>
          <w:sz w:val="24"/>
          <w:szCs w:val="24"/>
          <w:lang w:val="en-US"/>
        </w:rPr>
        <w:t xml:space="preserve">he </w:t>
      </w:r>
      <w:r w:rsidR="00172596" w:rsidRPr="00CF3A28">
        <w:rPr>
          <w:rFonts w:eastAsia="Calibri"/>
          <w:bCs/>
          <w:sz w:val="24"/>
          <w:szCs w:val="24"/>
          <w:lang w:val="en-US"/>
        </w:rPr>
        <w:t xml:space="preserve">key </w:t>
      </w:r>
      <w:r w:rsidR="00DB3248" w:rsidRPr="00CF3A28">
        <w:rPr>
          <w:rFonts w:eastAsia="Calibri"/>
          <w:bCs/>
          <w:sz w:val="24"/>
          <w:szCs w:val="24"/>
          <w:lang w:val="en-US"/>
        </w:rPr>
        <w:t xml:space="preserve">institutions </w:t>
      </w:r>
      <w:r w:rsidR="003D53CA" w:rsidRPr="00CF3A28">
        <w:rPr>
          <w:rFonts w:eastAsia="Calibri"/>
          <w:bCs/>
          <w:sz w:val="24"/>
          <w:szCs w:val="24"/>
          <w:lang w:val="en-US"/>
        </w:rPr>
        <w:t xml:space="preserve">of </w:t>
      </w:r>
      <w:r w:rsidR="008664E5" w:rsidRPr="00CF3A28">
        <w:rPr>
          <w:rFonts w:eastAsia="Calibri"/>
          <w:bCs/>
          <w:sz w:val="24"/>
          <w:szCs w:val="24"/>
          <w:lang w:val="en-US"/>
        </w:rPr>
        <w:t>which, he claimed</w:t>
      </w:r>
      <w:r w:rsidR="001D4585" w:rsidRPr="00CF3A28">
        <w:rPr>
          <w:rFonts w:eastAsia="Calibri"/>
          <w:bCs/>
          <w:sz w:val="24"/>
          <w:szCs w:val="24"/>
          <w:lang w:val="en-US"/>
        </w:rPr>
        <w:t xml:space="preserve"> </w:t>
      </w:r>
      <w:r w:rsidR="00666204" w:rsidRPr="00CF3A28">
        <w:rPr>
          <w:rFonts w:eastAsia="Calibri"/>
          <w:bCs/>
          <w:sz w:val="24"/>
          <w:szCs w:val="24"/>
          <w:lang w:val="en-US"/>
        </w:rPr>
        <w:t xml:space="preserve">enabled </w:t>
      </w:r>
      <w:r w:rsidR="00D4700F" w:rsidRPr="00CF3A28">
        <w:rPr>
          <w:rFonts w:eastAsia="Calibri"/>
          <w:bCs/>
          <w:sz w:val="24"/>
          <w:szCs w:val="24"/>
          <w:lang w:val="en-US"/>
        </w:rPr>
        <w:t xml:space="preserve">states to </w:t>
      </w:r>
      <w:r w:rsidR="001D4585" w:rsidRPr="00CF3A28">
        <w:rPr>
          <w:rFonts w:eastAsia="Calibri"/>
          <w:bCs/>
          <w:sz w:val="24"/>
          <w:szCs w:val="24"/>
          <w:lang w:val="en-US"/>
        </w:rPr>
        <w:t xml:space="preserve">pursue </w:t>
      </w:r>
      <w:r w:rsidR="003C1EA6" w:rsidRPr="00CF3A28">
        <w:rPr>
          <w:rFonts w:eastAsia="Calibri"/>
          <w:bCs/>
          <w:sz w:val="24"/>
          <w:szCs w:val="24"/>
          <w:lang w:val="en-US"/>
        </w:rPr>
        <w:t xml:space="preserve">liberal, non-interventionist </w:t>
      </w:r>
      <w:r w:rsidR="001D4585" w:rsidRPr="00CF3A28">
        <w:rPr>
          <w:rFonts w:eastAsia="Calibri"/>
          <w:bCs/>
          <w:sz w:val="24"/>
          <w:szCs w:val="24"/>
          <w:lang w:val="en-US"/>
        </w:rPr>
        <w:t xml:space="preserve">policies </w:t>
      </w:r>
      <w:r w:rsidR="003C1EA6" w:rsidRPr="00CF3A28">
        <w:rPr>
          <w:rFonts w:eastAsia="Calibri"/>
          <w:bCs/>
          <w:sz w:val="24"/>
          <w:szCs w:val="24"/>
          <w:lang w:val="en-US"/>
        </w:rPr>
        <w:t xml:space="preserve">and, thus, to establish </w:t>
      </w:r>
      <w:r w:rsidR="008664E5" w:rsidRPr="00CF3A28">
        <w:rPr>
          <w:rFonts w:eastAsia="Calibri"/>
          <w:bCs/>
          <w:sz w:val="24"/>
          <w:szCs w:val="24"/>
          <w:lang w:val="en-US"/>
        </w:rPr>
        <w:t xml:space="preserve">free </w:t>
      </w:r>
      <w:r w:rsidR="003C1EA6" w:rsidRPr="00CF3A28">
        <w:rPr>
          <w:rFonts w:eastAsia="Calibri"/>
          <w:bCs/>
          <w:sz w:val="24"/>
          <w:szCs w:val="24"/>
        </w:rPr>
        <w:t>trade and free markets</w:t>
      </w:r>
      <w:r w:rsidR="001C6BA1" w:rsidRPr="00CF3A28">
        <w:rPr>
          <w:rFonts w:eastAsia="Calibri"/>
          <w:bCs/>
          <w:sz w:val="24"/>
          <w:szCs w:val="24"/>
        </w:rPr>
        <w:t xml:space="preserve">. </w:t>
      </w:r>
      <w:r w:rsidR="00361CC3">
        <w:rPr>
          <w:rFonts w:eastAsia="Calibri"/>
          <w:bCs/>
          <w:sz w:val="24"/>
          <w:szCs w:val="24"/>
        </w:rPr>
        <w:t>While, previously,</w:t>
      </w:r>
      <w:r w:rsidR="008664E5" w:rsidRPr="00CF3A28">
        <w:rPr>
          <w:rFonts w:eastAsia="Calibri"/>
          <w:bCs/>
          <w:sz w:val="24"/>
          <w:szCs w:val="24"/>
        </w:rPr>
        <w:t xml:space="preserve"> exchange relations had been governed by principles of economic behaviour (reciprocity, reallocation, and house-holding) that were ‘embedded’ in society</w:t>
      </w:r>
      <w:r w:rsidR="00D37BAA" w:rsidRPr="00CF3A28">
        <w:rPr>
          <w:rFonts w:eastAsia="Calibri"/>
          <w:bCs/>
          <w:sz w:val="24"/>
          <w:szCs w:val="24"/>
        </w:rPr>
        <w:t>,</w:t>
      </w:r>
      <w:r w:rsidR="008664E5" w:rsidRPr="00CF3A28">
        <w:rPr>
          <w:rFonts w:eastAsia="Calibri"/>
          <w:bCs/>
          <w:sz w:val="24"/>
          <w:szCs w:val="24"/>
        </w:rPr>
        <w:t xml:space="preserve"> </w:t>
      </w:r>
      <w:r w:rsidR="00361CC3">
        <w:rPr>
          <w:rFonts w:eastAsia="Calibri"/>
          <w:bCs/>
          <w:sz w:val="24"/>
          <w:szCs w:val="24"/>
        </w:rPr>
        <w:t>with the</w:t>
      </w:r>
      <w:r w:rsidR="00D37BAA" w:rsidRPr="00CF3A28">
        <w:rPr>
          <w:rFonts w:eastAsia="Calibri"/>
          <w:bCs/>
          <w:sz w:val="24"/>
          <w:szCs w:val="24"/>
        </w:rPr>
        <w:t xml:space="preserve"> rise </w:t>
      </w:r>
      <w:r>
        <w:rPr>
          <w:rFonts w:eastAsia="Calibri"/>
          <w:bCs/>
          <w:sz w:val="24"/>
          <w:szCs w:val="24"/>
        </w:rPr>
        <w:t>of Europe’s</w:t>
      </w:r>
      <w:r w:rsidR="00D37BAA" w:rsidRPr="00CF3A28">
        <w:rPr>
          <w:rFonts w:eastAsia="Calibri"/>
          <w:bCs/>
          <w:sz w:val="24"/>
          <w:szCs w:val="24"/>
        </w:rPr>
        <w:t xml:space="preserve"> </w:t>
      </w:r>
      <w:r>
        <w:rPr>
          <w:rFonts w:eastAsia="Calibri"/>
          <w:bCs/>
          <w:sz w:val="24"/>
          <w:szCs w:val="24"/>
        </w:rPr>
        <w:t>unregulated</w:t>
      </w:r>
      <w:r w:rsidR="00D37BAA" w:rsidRPr="00CF3A28">
        <w:rPr>
          <w:rFonts w:eastAsia="Calibri"/>
          <w:bCs/>
          <w:sz w:val="24"/>
          <w:szCs w:val="24"/>
        </w:rPr>
        <w:t xml:space="preserve"> market system,</w:t>
      </w:r>
      <w:r w:rsidR="008664E5" w:rsidRPr="00CF3A28">
        <w:rPr>
          <w:rFonts w:eastAsia="Calibri"/>
          <w:bCs/>
          <w:sz w:val="24"/>
          <w:szCs w:val="24"/>
          <w:lang w:val="en-US"/>
        </w:rPr>
        <w:t xml:space="preserve"> local markets were ‘</w:t>
      </w:r>
      <w:proofErr w:type="spellStart"/>
      <w:r w:rsidR="008664E5" w:rsidRPr="00CF3A28">
        <w:rPr>
          <w:rFonts w:eastAsia="Calibri"/>
          <w:bCs/>
          <w:sz w:val="24"/>
          <w:szCs w:val="24"/>
          <w:lang w:val="en-US"/>
        </w:rPr>
        <w:t>disembedded</w:t>
      </w:r>
      <w:proofErr w:type="spellEnd"/>
      <w:r w:rsidR="008664E5" w:rsidRPr="00CF3A28">
        <w:rPr>
          <w:rFonts w:eastAsia="Calibri"/>
          <w:bCs/>
          <w:sz w:val="24"/>
          <w:szCs w:val="24"/>
          <w:lang w:val="en-US"/>
        </w:rPr>
        <w:t xml:space="preserve">’. </w:t>
      </w:r>
    </w:p>
    <w:p w:rsidR="00370EAE" w:rsidRPr="00CF3A28" w:rsidRDefault="00370EAE" w:rsidP="00CF3A28">
      <w:pPr>
        <w:spacing w:line="240" w:lineRule="auto"/>
        <w:jc w:val="left"/>
        <w:rPr>
          <w:rFonts w:eastAsia="Calibri"/>
          <w:bCs/>
          <w:sz w:val="24"/>
          <w:szCs w:val="24"/>
        </w:rPr>
      </w:pPr>
    </w:p>
    <w:p w:rsidR="00370EAE" w:rsidRPr="00CF3A28" w:rsidRDefault="00E643CC" w:rsidP="00832F4B">
      <w:pPr>
        <w:spacing w:line="240" w:lineRule="auto"/>
        <w:jc w:val="left"/>
        <w:rPr>
          <w:rFonts w:eastAsia="Calibri"/>
          <w:bCs/>
          <w:sz w:val="24"/>
          <w:szCs w:val="24"/>
          <w:lang w:val="en-US"/>
        </w:rPr>
      </w:pPr>
      <w:r w:rsidRPr="00361CC3">
        <w:rPr>
          <w:rFonts w:eastAsia="Calibri"/>
          <w:bCs/>
          <w:sz w:val="24"/>
          <w:szCs w:val="24"/>
          <w:lang w:val="en-US"/>
        </w:rPr>
        <w:t>Polanyi does not offer a detailed analysis of the</w:t>
      </w:r>
      <w:r>
        <w:rPr>
          <w:rFonts w:eastAsia="Calibri"/>
          <w:bCs/>
          <w:sz w:val="24"/>
          <w:szCs w:val="24"/>
          <w:lang w:val="en-US"/>
        </w:rPr>
        <w:t>se</w:t>
      </w:r>
      <w:r w:rsidRPr="00361CC3">
        <w:rPr>
          <w:rFonts w:eastAsia="Calibri"/>
          <w:bCs/>
          <w:sz w:val="24"/>
          <w:szCs w:val="24"/>
          <w:lang w:val="en-US"/>
        </w:rPr>
        <w:t xml:space="preserve"> </w:t>
      </w:r>
      <w:r>
        <w:rPr>
          <w:rFonts w:eastAsia="Calibri"/>
          <w:bCs/>
          <w:sz w:val="24"/>
          <w:szCs w:val="24"/>
          <w:lang w:val="en-US"/>
        </w:rPr>
        <w:t>changes</w:t>
      </w:r>
      <w:r w:rsidRPr="00361CC3">
        <w:rPr>
          <w:rFonts w:eastAsia="Calibri"/>
          <w:bCs/>
          <w:sz w:val="24"/>
          <w:szCs w:val="24"/>
          <w:lang w:val="en-US"/>
        </w:rPr>
        <w:t>.</w:t>
      </w:r>
      <w:r>
        <w:rPr>
          <w:rFonts w:eastAsia="Calibri"/>
          <w:bCs/>
          <w:sz w:val="24"/>
          <w:szCs w:val="24"/>
          <w:lang w:val="en-US"/>
        </w:rPr>
        <w:t xml:space="preserve"> </w:t>
      </w:r>
      <w:r w:rsidR="00370EAE" w:rsidRPr="00CF3A28">
        <w:rPr>
          <w:rFonts w:eastAsia="Calibri"/>
          <w:bCs/>
          <w:sz w:val="24"/>
          <w:szCs w:val="24"/>
        </w:rPr>
        <w:t xml:space="preserve">While </w:t>
      </w:r>
      <w:r>
        <w:rPr>
          <w:rFonts w:eastAsia="Calibri"/>
          <w:bCs/>
          <w:sz w:val="24"/>
          <w:szCs w:val="24"/>
        </w:rPr>
        <w:t>he</w:t>
      </w:r>
      <w:r w:rsidR="00370EAE" w:rsidRPr="00CF3A28">
        <w:rPr>
          <w:rFonts w:eastAsia="Calibri"/>
          <w:bCs/>
          <w:sz w:val="24"/>
          <w:szCs w:val="24"/>
          <w:lang w:val="en-US"/>
        </w:rPr>
        <w:t xml:space="preserve"> recognizes </w:t>
      </w:r>
      <w:r>
        <w:rPr>
          <w:rFonts w:eastAsia="Calibri"/>
          <w:bCs/>
          <w:sz w:val="24"/>
          <w:szCs w:val="24"/>
          <w:lang w:val="en-US"/>
        </w:rPr>
        <w:t xml:space="preserve">that </w:t>
      </w:r>
      <w:r w:rsidR="00370EAE" w:rsidRPr="00CF3A28">
        <w:rPr>
          <w:rFonts w:eastAsia="Calibri"/>
          <w:bCs/>
          <w:sz w:val="24"/>
          <w:szCs w:val="24"/>
          <w:lang w:val="en-US"/>
        </w:rPr>
        <w:t>the</w:t>
      </w:r>
      <w:r>
        <w:rPr>
          <w:rFonts w:eastAsia="Calibri"/>
          <w:bCs/>
          <w:sz w:val="24"/>
          <w:szCs w:val="24"/>
          <w:lang w:val="en-US"/>
        </w:rPr>
        <w:t>re</w:t>
      </w:r>
      <w:r w:rsidR="00370EAE" w:rsidRPr="00CF3A28">
        <w:rPr>
          <w:rFonts w:eastAsia="Calibri"/>
          <w:bCs/>
          <w:sz w:val="24"/>
          <w:szCs w:val="24"/>
          <w:lang w:val="en-US"/>
        </w:rPr>
        <w:t xml:space="preserve"> </w:t>
      </w:r>
      <w:r>
        <w:rPr>
          <w:rFonts w:eastAsia="Calibri"/>
          <w:bCs/>
          <w:sz w:val="24"/>
          <w:szCs w:val="24"/>
          <w:lang w:val="en-US"/>
        </w:rPr>
        <w:t xml:space="preserve">were </w:t>
      </w:r>
      <w:r w:rsidR="00370EAE" w:rsidRPr="00CF3A28">
        <w:rPr>
          <w:rFonts w:eastAsia="Calibri"/>
          <w:bCs/>
          <w:sz w:val="24"/>
          <w:szCs w:val="24"/>
          <w:lang w:val="en-US"/>
        </w:rPr>
        <w:t xml:space="preserve">social and economic interests associated with </w:t>
      </w:r>
      <w:r w:rsidR="00832F4B" w:rsidRPr="00832F4B">
        <w:rPr>
          <w:rFonts w:eastAsia="Calibri"/>
          <w:bCs/>
          <w:sz w:val="24"/>
          <w:szCs w:val="24"/>
          <w:lang w:val="en-US"/>
        </w:rPr>
        <w:t>Europe’s nineteenth century market system</w:t>
      </w:r>
      <w:r w:rsidR="00370EAE" w:rsidRPr="00CF3A28">
        <w:rPr>
          <w:rFonts w:eastAsia="Calibri"/>
          <w:bCs/>
          <w:sz w:val="24"/>
          <w:szCs w:val="24"/>
          <w:lang w:val="en-US"/>
        </w:rPr>
        <w:t>, h</w:t>
      </w:r>
      <w:r w:rsidR="00F16BC4">
        <w:rPr>
          <w:rFonts w:eastAsia="Calibri"/>
          <w:bCs/>
          <w:sz w:val="24"/>
          <w:szCs w:val="24"/>
          <w:lang w:val="en-US"/>
        </w:rPr>
        <w:t>e provides no</w:t>
      </w:r>
      <w:r w:rsidR="00370EAE" w:rsidRPr="00CF3A28">
        <w:rPr>
          <w:rFonts w:eastAsia="Calibri"/>
          <w:bCs/>
          <w:sz w:val="24"/>
          <w:szCs w:val="24"/>
          <w:lang w:val="en-US"/>
        </w:rPr>
        <w:t xml:space="preserve"> account </w:t>
      </w:r>
      <w:r w:rsidR="00F16BC4">
        <w:rPr>
          <w:rFonts w:eastAsia="Calibri"/>
          <w:bCs/>
          <w:sz w:val="24"/>
          <w:szCs w:val="24"/>
          <w:lang w:val="en-US"/>
        </w:rPr>
        <w:t>of</w:t>
      </w:r>
      <w:r w:rsidR="00370EAE" w:rsidRPr="00CF3A28">
        <w:rPr>
          <w:rFonts w:eastAsia="Calibri"/>
          <w:bCs/>
          <w:sz w:val="24"/>
          <w:szCs w:val="24"/>
          <w:lang w:val="en-US"/>
        </w:rPr>
        <w:t xml:space="preserve"> the </w:t>
      </w:r>
      <w:r w:rsidR="00F16BC4">
        <w:rPr>
          <w:rFonts w:eastAsia="Calibri"/>
          <w:bCs/>
          <w:sz w:val="24"/>
          <w:szCs w:val="24"/>
          <w:lang w:val="en-US"/>
        </w:rPr>
        <w:t xml:space="preserve">powerful </w:t>
      </w:r>
      <w:r w:rsidR="00370EAE" w:rsidRPr="00CF3A28">
        <w:rPr>
          <w:rFonts w:eastAsia="Calibri"/>
          <w:bCs/>
          <w:sz w:val="24"/>
          <w:szCs w:val="24"/>
          <w:lang w:val="en-US"/>
        </w:rPr>
        <w:t xml:space="preserve">political </w:t>
      </w:r>
      <w:r w:rsidR="00F16BC4">
        <w:rPr>
          <w:rFonts w:eastAsia="Calibri"/>
          <w:bCs/>
          <w:sz w:val="24"/>
          <w:szCs w:val="24"/>
          <w:lang w:val="en-US"/>
        </w:rPr>
        <w:t xml:space="preserve">campaign </w:t>
      </w:r>
      <w:r w:rsidR="00370EAE" w:rsidRPr="00CF3A28">
        <w:rPr>
          <w:rFonts w:eastAsia="Calibri"/>
          <w:bCs/>
          <w:sz w:val="24"/>
          <w:szCs w:val="24"/>
          <w:lang w:val="en-US"/>
        </w:rPr>
        <w:t>which</w:t>
      </w:r>
      <w:r w:rsidR="00832F4B">
        <w:rPr>
          <w:rFonts w:eastAsia="Calibri"/>
          <w:bCs/>
          <w:sz w:val="24"/>
          <w:szCs w:val="24"/>
          <w:lang w:val="en-US"/>
        </w:rPr>
        <w:t>, by</w:t>
      </w:r>
      <w:r w:rsidR="00370EAE" w:rsidRPr="00CF3A28">
        <w:rPr>
          <w:rFonts w:eastAsia="Calibri"/>
          <w:bCs/>
          <w:sz w:val="24"/>
          <w:szCs w:val="24"/>
          <w:lang w:val="en-US"/>
        </w:rPr>
        <w:t xml:space="preserve"> dismantling Europe's eighteenth century ‘moral economy’</w:t>
      </w:r>
      <w:r w:rsidR="00832F4B">
        <w:rPr>
          <w:rFonts w:eastAsia="Calibri"/>
          <w:bCs/>
          <w:sz w:val="24"/>
          <w:szCs w:val="24"/>
          <w:lang w:val="en-US"/>
        </w:rPr>
        <w:t>,</w:t>
      </w:r>
      <w:r w:rsidR="00370EAE" w:rsidRPr="00CF3A28">
        <w:rPr>
          <w:rFonts w:eastAsia="Calibri"/>
          <w:bCs/>
          <w:sz w:val="24"/>
          <w:szCs w:val="24"/>
          <w:lang w:val="en-US"/>
        </w:rPr>
        <w:t xml:space="preserve"> </w:t>
      </w:r>
      <w:r w:rsidR="00F16BC4">
        <w:rPr>
          <w:rFonts w:eastAsia="Calibri"/>
          <w:bCs/>
          <w:sz w:val="24"/>
          <w:szCs w:val="24"/>
          <w:lang w:val="en-US"/>
        </w:rPr>
        <w:t>paved the way for the</w:t>
      </w:r>
      <w:r w:rsidR="00370EAE" w:rsidRPr="00CF3A28">
        <w:rPr>
          <w:rFonts w:eastAsia="Calibri"/>
          <w:bCs/>
          <w:sz w:val="24"/>
          <w:szCs w:val="24"/>
          <w:lang w:val="en-US"/>
        </w:rPr>
        <w:t xml:space="preserve"> rise of the unregulated market system. </w:t>
      </w:r>
      <w:r w:rsidR="00832F4B">
        <w:rPr>
          <w:rFonts w:eastAsia="Calibri"/>
          <w:bCs/>
          <w:sz w:val="24"/>
          <w:szCs w:val="24"/>
          <w:lang w:val="en-US"/>
        </w:rPr>
        <w:t>Missing, too, are the</w:t>
      </w:r>
      <w:r w:rsidR="00370EAE" w:rsidRPr="00CF3A28">
        <w:rPr>
          <w:rFonts w:eastAsia="Calibri"/>
          <w:bCs/>
          <w:sz w:val="24"/>
          <w:szCs w:val="24"/>
          <w:lang w:val="en-US"/>
        </w:rPr>
        <w:t xml:space="preserve"> social conflicts that emerged as a result</w:t>
      </w:r>
      <w:r w:rsidR="00832F4B">
        <w:rPr>
          <w:rFonts w:eastAsia="Calibri"/>
          <w:bCs/>
          <w:sz w:val="24"/>
          <w:szCs w:val="24"/>
          <w:lang w:val="en-US"/>
        </w:rPr>
        <w:t xml:space="preserve"> of these developments. Instead, the focus of the story that unfolds is</w:t>
      </w:r>
      <w:r w:rsidR="00370EAE" w:rsidRPr="00CF3A28">
        <w:rPr>
          <w:rFonts w:eastAsia="Calibri"/>
          <w:bCs/>
          <w:sz w:val="24"/>
          <w:szCs w:val="24"/>
          <w:lang w:val="en-US"/>
        </w:rPr>
        <w:t xml:space="preserve"> the disastrous impact of </w:t>
      </w:r>
      <w:r w:rsidR="00832F4B">
        <w:rPr>
          <w:rFonts w:eastAsia="Calibri"/>
          <w:bCs/>
          <w:sz w:val="24"/>
          <w:szCs w:val="24"/>
          <w:lang w:val="en-US"/>
        </w:rPr>
        <w:t xml:space="preserve">the </w:t>
      </w:r>
      <w:r w:rsidR="00370EAE" w:rsidRPr="00CF3A28">
        <w:rPr>
          <w:rFonts w:eastAsia="Calibri"/>
          <w:bCs/>
          <w:sz w:val="24"/>
          <w:szCs w:val="24"/>
          <w:lang w:val="en-US"/>
        </w:rPr>
        <w:t>unregulated market</w:t>
      </w:r>
      <w:r w:rsidR="00832F4B">
        <w:rPr>
          <w:rFonts w:eastAsia="Calibri"/>
          <w:bCs/>
          <w:sz w:val="24"/>
          <w:szCs w:val="24"/>
          <w:lang w:val="en-US"/>
        </w:rPr>
        <w:t xml:space="preserve"> system</w:t>
      </w:r>
      <w:r w:rsidR="00370EAE" w:rsidRPr="00CF3A28">
        <w:rPr>
          <w:rFonts w:eastAsia="Calibri"/>
          <w:bCs/>
          <w:sz w:val="24"/>
          <w:szCs w:val="24"/>
          <w:lang w:val="en-US"/>
        </w:rPr>
        <w:t xml:space="preserve"> on ‘society as a whole’. While</w:t>
      </w:r>
      <w:r w:rsidR="00370EAE" w:rsidRPr="00CF3A28">
        <w:rPr>
          <w:rFonts w:eastAsia="Calibri"/>
          <w:bCs/>
          <w:sz w:val="24"/>
          <w:szCs w:val="24"/>
        </w:rPr>
        <w:t xml:space="preserve"> nineteenth-century European observers had written prolifically about what they had considered to be the most characteristic aspects of their societies -- domination, exploitation, inequality, and authoritarianism, in Polanyi’s account, </w:t>
      </w:r>
      <w:r w:rsidR="00E742F4">
        <w:rPr>
          <w:rFonts w:eastAsia="Calibri"/>
          <w:bCs/>
          <w:sz w:val="24"/>
          <w:szCs w:val="24"/>
        </w:rPr>
        <w:t>states are politically neutral, and</w:t>
      </w:r>
      <w:r w:rsidR="00370EAE" w:rsidRPr="00CF3A28">
        <w:rPr>
          <w:rFonts w:eastAsia="Calibri"/>
          <w:bCs/>
          <w:sz w:val="24"/>
          <w:szCs w:val="24"/>
        </w:rPr>
        <w:t xml:space="preserve"> societies appear as organic unities in which all are more-or-less equally victimized by the </w:t>
      </w:r>
      <w:r w:rsidR="00370EAE" w:rsidRPr="00CF3A28">
        <w:rPr>
          <w:rFonts w:eastAsia="Calibri"/>
          <w:bCs/>
          <w:sz w:val="24"/>
          <w:szCs w:val="24"/>
          <w:lang w:val="en-US"/>
        </w:rPr>
        <w:t>'soulless institutions' of the self-regulating market system.</w:t>
      </w:r>
      <w:r w:rsidR="00370EAE" w:rsidRPr="00CF3A28">
        <w:rPr>
          <w:rFonts w:eastAsia="Calibri"/>
          <w:bCs/>
          <w:sz w:val="24"/>
          <w:szCs w:val="24"/>
        </w:rPr>
        <w:t xml:space="preserve"> </w:t>
      </w:r>
      <w:r w:rsidR="00370EAE" w:rsidRPr="00CF3A28">
        <w:rPr>
          <w:rFonts w:eastAsia="Calibri"/>
          <w:bCs/>
          <w:sz w:val="24"/>
          <w:szCs w:val="24"/>
          <w:lang w:val="en-US"/>
        </w:rPr>
        <w:t xml:space="preserve"> </w:t>
      </w:r>
    </w:p>
    <w:p w:rsidR="00883872" w:rsidRDefault="00883872" w:rsidP="00CF3A28">
      <w:pPr>
        <w:spacing w:line="240" w:lineRule="auto"/>
        <w:jc w:val="left"/>
        <w:rPr>
          <w:rFonts w:eastAsia="Calibri"/>
          <w:bCs/>
          <w:sz w:val="24"/>
          <w:szCs w:val="24"/>
          <w:lang w:val="en-US"/>
        </w:rPr>
      </w:pPr>
    </w:p>
    <w:p w:rsidR="00E643CC" w:rsidRPr="00E643CC" w:rsidRDefault="00E643CC" w:rsidP="00E643CC">
      <w:pPr>
        <w:spacing w:line="240" w:lineRule="auto"/>
        <w:jc w:val="left"/>
        <w:rPr>
          <w:rFonts w:eastAsia="Calibri"/>
          <w:bCs/>
          <w:sz w:val="24"/>
          <w:szCs w:val="24"/>
          <w:lang w:val="en-US"/>
        </w:rPr>
      </w:pPr>
      <w:r w:rsidRPr="00E643CC">
        <w:rPr>
          <w:rFonts w:eastAsia="Calibri"/>
          <w:bCs/>
          <w:sz w:val="24"/>
          <w:szCs w:val="24"/>
        </w:rPr>
        <w:t>The account presented here begins, not with the overarching international institutional order, but with the social struggles that drove and shaped the changes that occurred at that time.</w:t>
      </w:r>
      <w:r>
        <w:rPr>
          <w:rFonts w:eastAsia="Calibri"/>
          <w:bCs/>
          <w:sz w:val="24"/>
          <w:szCs w:val="24"/>
        </w:rPr>
        <w:t xml:space="preserve"> </w:t>
      </w:r>
      <w:r w:rsidRPr="00E643CC">
        <w:rPr>
          <w:rFonts w:eastAsia="Calibri"/>
          <w:bCs/>
          <w:sz w:val="24"/>
          <w:szCs w:val="24"/>
          <w:lang w:val="en-US"/>
        </w:rPr>
        <w:t xml:space="preserve">A closer look at this chapter in Europe’s industrial expansion shows that the dismantling of market regulations and systems of national welfare prevailing at that time in Britain, France, and elsewhere in Europe was evidence, not of the rise of new liberal commercial interests, but of the continuing power of rural, pre-industrial, and autocratic structures of power and authority </w:t>
      </w:r>
    </w:p>
    <w:p w:rsidR="00E643CC" w:rsidRPr="00CF3A28" w:rsidRDefault="00E643CC" w:rsidP="00CF3A28">
      <w:pPr>
        <w:spacing w:line="240" w:lineRule="auto"/>
        <w:jc w:val="left"/>
        <w:rPr>
          <w:rFonts w:eastAsia="Calibri"/>
          <w:bCs/>
          <w:sz w:val="24"/>
          <w:szCs w:val="24"/>
          <w:lang w:val="en-US"/>
        </w:rPr>
      </w:pPr>
    </w:p>
    <w:p w:rsidR="001C087E" w:rsidRPr="00CF3A28" w:rsidRDefault="001C087E" w:rsidP="00CF3A28">
      <w:pPr>
        <w:spacing w:line="240" w:lineRule="auto"/>
        <w:jc w:val="left"/>
        <w:rPr>
          <w:rFonts w:eastAsia="Calibri"/>
          <w:b/>
          <w:bCs/>
          <w:sz w:val="24"/>
          <w:szCs w:val="24"/>
          <w:lang w:val="en-US"/>
        </w:rPr>
      </w:pPr>
      <w:r w:rsidRPr="00CF3A28">
        <w:rPr>
          <w:rFonts w:eastAsia="Calibri"/>
          <w:b/>
          <w:bCs/>
          <w:sz w:val="24"/>
          <w:szCs w:val="24"/>
          <w:lang w:val="en-US"/>
        </w:rPr>
        <w:t xml:space="preserve">The dismantling of Europe's eighteenth century ‘moral economy’.  </w:t>
      </w:r>
    </w:p>
    <w:p w:rsidR="00B34851" w:rsidRPr="00CF3A28" w:rsidRDefault="00B34851" w:rsidP="00CF3A28">
      <w:pPr>
        <w:spacing w:line="240" w:lineRule="auto"/>
        <w:jc w:val="left"/>
        <w:rPr>
          <w:rFonts w:eastAsia="Calibri"/>
          <w:bCs/>
          <w:sz w:val="24"/>
          <w:szCs w:val="24"/>
          <w:lang w:val="en-US"/>
        </w:rPr>
      </w:pPr>
    </w:p>
    <w:p w:rsidR="00F5037D" w:rsidRPr="00CF3A28" w:rsidRDefault="008664E5" w:rsidP="00CF3A28">
      <w:pPr>
        <w:spacing w:line="240" w:lineRule="auto"/>
        <w:jc w:val="left"/>
        <w:rPr>
          <w:rFonts w:eastAsia="Calibri"/>
          <w:bCs/>
          <w:sz w:val="24"/>
          <w:szCs w:val="24"/>
          <w:lang w:val="en-US"/>
        </w:rPr>
      </w:pPr>
      <w:r w:rsidRPr="00CF3A28">
        <w:rPr>
          <w:rFonts w:eastAsia="Calibri"/>
          <w:bCs/>
          <w:sz w:val="24"/>
          <w:szCs w:val="24"/>
        </w:rPr>
        <w:t xml:space="preserve">Beginning in the sixteenth century, </w:t>
      </w:r>
      <w:r w:rsidRPr="00CF3A28">
        <w:rPr>
          <w:rFonts w:eastAsia="Calibri"/>
          <w:bCs/>
          <w:sz w:val="24"/>
          <w:szCs w:val="24"/>
          <w:lang w:val="en-US"/>
        </w:rPr>
        <w:t xml:space="preserve">‘Absolutist’ rulers in Europe had gradually </w:t>
      </w:r>
      <w:r w:rsidR="0096616E" w:rsidRPr="00CF3A28">
        <w:rPr>
          <w:rFonts w:eastAsia="Calibri"/>
          <w:bCs/>
          <w:sz w:val="24"/>
          <w:szCs w:val="24"/>
          <w:lang w:val="en-US"/>
        </w:rPr>
        <w:t xml:space="preserve">been able to </w:t>
      </w:r>
      <w:r w:rsidRPr="00CF3A28">
        <w:rPr>
          <w:rFonts w:eastAsia="Calibri"/>
          <w:bCs/>
          <w:sz w:val="24"/>
          <w:szCs w:val="24"/>
          <w:lang w:val="en-US"/>
        </w:rPr>
        <w:t xml:space="preserve">achieve sufficient autonomy to establish and maintain what later would be described as a ‘moral economy’. </w:t>
      </w:r>
      <w:r w:rsidR="00DB3248" w:rsidRPr="00CF3A28">
        <w:rPr>
          <w:rFonts w:eastAsia="Calibri"/>
          <w:bCs/>
          <w:sz w:val="24"/>
          <w:szCs w:val="24"/>
          <w:lang w:val="en-US"/>
        </w:rPr>
        <w:t xml:space="preserve">Europe’s ‘moral economy’ </w:t>
      </w:r>
      <w:r w:rsidR="00F5037D" w:rsidRPr="00CF3A28">
        <w:rPr>
          <w:rFonts w:eastAsia="Calibri"/>
          <w:bCs/>
          <w:sz w:val="24"/>
          <w:szCs w:val="24"/>
          <w:lang w:val="en-US"/>
        </w:rPr>
        <w:t xml:space="preserve">was </w:t>
      </w:r>
      <w:proofErr w:type="spellStart"/>
      <w:r w:rsidR="00F5037D" w:rsidRPr="00CF3A28">
        <w:rPr>
          <w:rFonts w:eastAsia="Calibri"/>
          <w:bCs/>
          <w:sz w:val="24"/>
          <w:szCs w:val="24"/>
          <w:lang w:val="en-US"/>
        </w:rPr>
        <w:t>characterised</w:t>
      </w:r>
      <w:proofErr w:type="spellEnd"/>
      <w:r w:rsidR="00F5037D" w:rsidRPr="00CF3A28">
        <w:rPr>
          <w:rFonts w:eastAsia="Calibri"/>
          <w:bCs/>
          <w:sz w:val="24"/>
          <w:szCs w:val="24"/>
          <w:lang w:val="en-US"/>
        </w:rPr>
        <w:t xml:space="preserve"> by ‘the conviction that members of the community possessed certain rights, enforceable at law, including that of  . . .the rights to basic material security, protection from violence, theft and extreme oppression’ (Thane 1990: 7). Beginning in the sixteenth century, </w:t>
      </w:r>
      <w:r w:rsidR="00F5037D" w:rsidRPr="00CF3A28">
        <w:rPr>
          <w:rFonts w:eastAsia="Calibri"/>
          <w:bCs/>
          <w:sz w:val="24"/>
          <w:szCs w:val="24"/>
        </w:rPr>
        <w:t>‘Absolutist’ states in England,</w:t>
      </w:r>
      <w:r w:rsidR="00F5037D" w:rsidRPr="00CF3A28">
        <w:rPr>
          <w:rFonts w:eastAsia="Calibri"/>
          <w:bCs/>
          <w:sz w:val="24"/>
          <w:szCs w:val="24"/>
          <w:vertAlign w:val="superscript"/>
        </w:rPr>
        <w:footnoteReference w:id="5"/>
      </w:r>
      <w:r w:rsidR="00F5037D" w:rsidRPr="00CF3A28">
        <w:rPr>
          <w:rFonts w:eastAsia="Calibri"/>
          <w:bCs/>
          <w:sz w:val="24"/>
          <w:szCs w:val="24"/>
        </w:rPr>
        <w:t xml:space="preserve"> France, and elsewhere in Europe </w:t>
      </w:r>
      <w:r w:rsidRPr="00CF3A28">
        <w:rPr>
          <w:rFonts w:eastAsia="Calibri"/>
          <w:bCs/>
          <w:sz w:val="24"/>
          <w:szCs w:val="24"/>
        </w:rPr>
        <w:t>wer</w:t>
      </w:r>
      <w:r w:rsidR="00D37BAA" w:rsidRPr="00CF3A28">
        <w:rPr>
          <w:rFonts w:eastAsia="Calibri"/>
          <w:bCs/>
          <w:sz w:val="24"/>
          <w:szCs w:val="24"/>
        </w:rPr>
        <w:t>e ensuring</w:t>
      </w:r>
      <w:r w:rsidR="00F5037D" w:rsidRPr="00CF3A28">
        <w:rPr>
          <w:rFonts w:eastAsia="Calibri"/>
          <w:bCs/>
          <w:sz w:val="24"/>
          <w:szCs w:val="24"/>
          <w:lang w:val="en-US"/>
        </w:rPr>
        <w:t xml:space="preserve"> that </w:t>
      </w:r>
      <w:r w:rsidR="00D37BAA" w:rsidRPr="00CF3A28">
        <w:rPr>
          <w:rFonts w:eastAsia="Calibri"/>
          <w:bCs/>
          <w:sz w:val="24"/>
          <w:szCs w:val="24"/>
          <w:lang w:val="en-US"/>
        </w:rPr>
        <w:t>these</w:t>
      </w:r>
      <w:r w:rsidR="00F5037D" w:rsidRPr="00CF3A28">
        <w:rPr>
          <w:rFonts w:eastAsia="Calibri"/>
          <w:bCs/>
          <w:sz w:val="24"/>
          <w:szCs w:val="24"/>
          <w:lang w:val="en-US"/>
        </w:rPr>
        <w:t xml:space="preserve"> needs were met either through public or through private bodies, but with state oversight and enforcement.</w:t>
      </w:r>
      <w:r w:rsidR="00144E50" w:rsidRPr="00CF3A28">
        <w:rPr>
          <w:rStyle w:val="FootnoteReference"/>
          <w:rFonts w:eastAsia="Calibri"/>
          <w:bCs/>
          <w:sz w:val="24"/>
          <w:szCs w:val="24"/>
          <w:lang w:val="en-US"/>
        </w:rPr>
        <w:footnoteReference w:id="6"/>
      </w:r>
      <w:r w:rsidR="00F5037D" w:rsidRPr="00CF3A28">
        <w:rPr>
          <w:rFonts w:eastAsia="Calibri"/>
          <w:bCs/>
          <w:sz w:val="24"/>
          <w:szCs w:val="24"/>
          <w:lang w:val="en-US"/>
        </w:rPr>
        <w:t xml:space="preserve"> </w:t>
      </w:r>
      <w:r w:rsidR="00D37BAA" w:rsidRPr="00CF3A28">
        <w:rPr>
          <w:rFonts w:eastAsia="Calibri"/>
          <w:bCs/>
          <w:sz w:val="24"/>
          <w:szCs w:val="24"/>
          <w:lang w:val="en-US"/>
        </w:rPr>
        <w:t>States regulated markets on</w:t>
      </w:r>
      <w:r w:rsidR="00F5037D" w:rsidRPr="00CF3A28">
        <w:rPr>
          <w:rFonts w:eastAsia="Calibri"/>
          <w:bCs/>
          <w:sz w:val="24"/>
          <w:szCs w:val="24"/>
        </w:rPr>
        <w:t xml:space="preserve"> behalf of local people</w:t>
      </w:r>
      <w:r w:rsidR="00D37BAA" w:rsidRPr="00CF3A28">
        <w:rPr>
          <w:rFonts w:eastAsia="Calibri"/>
          <w:bCs/>
          <w:sz w:val="24"/>
          <w:szCs w:val="24"/>
        </w:rPr>
        <w:t xml:space="preserve"> through legislation which ensured that </w:t>
      </w:r>
      <w:r w:rsidR="00D37BAA" w:rsidRPr="00CF3A28">
        <w:rPr>
          <w:rFonts w:eastAsia="Calibri"/>
          <w:bCs/>
          <w:sz w:val="24"/>
          <w:szCs w:val="24"/>
          <w:lang w:val="en-US"/>
        </w:rPr>
        <w:t>local, face-to-face buying and selling</w:t>
      </w:r>
      <w:r w:rsidR="00D37BAA" w:rsidRPr="00CF3A28">
        <w:rPr>
          <w:rFonts w:eastAsia="Calibri"/>
          <w:bCs/>
          <w:sz w:val="24"/>
          <w:szCs w:val="24"/>
        </w:rPr>
        <w:t xml:space="preserve"> was conducted through open transactions in the marketplace</w:t>
      </w:r>
      <w:r w:rsidR="001D4585" w:rsidRPr="00CF3A28">
        <w:rPr>
          <w:rFonts w:eastAsia="Calibri"/>
          <w:bCs/>
          <w:sz w:val="24"/>
          <w:szCs w:val="24"/>
          <w:lang w:val="en-US"/>
        </w:rPr>
        <w:t>.</w:t>
      </w:r>
      <w:r w:rsidR="001D4585" w:rsidRPr="00CF3A28">
        <w:rPr>
          <w:rFonts w:eastAsia="Calibri"/>
          <w:bCs/>
          <w:sz w:val="24"/>
          <w:szCs w:val="24"/>
          <w:vertAlign w:val="superscript"/>
        </w:rPr>
        <w:footnoteReference w:id="7"/>
      </w:r>
      <w:r w:rsidR="001D4585" w:rsidRPr="00CF3A28">
        <w:rPr>
          <w:rFonts w:eastAsia="Calibri"/>
          <w:bCs/>
          <w:sz w:val="24"/>
          <w:szCs w:val="24"/>
          <w:lang w:val="en-US"/>
        </w:rPr>
        <w:t xml:space="preserve"> </w:t>
      </w:r>
    </w:p>
    <w:p w:rsidR="00F5037D" w:rsidRPr="00CF3A28" w:rsidRDefault="00F5037D" w:rsidP="00CF3A28">
      <w:pPr>
        <w:spacing w:line="240" w:lineRule="auto"/>
        <w:jc w:val="left"/>
        <w:rPr>
          <w:rFonts w:eastAsia="Calibri"/>
          <w:bCs/>
          <w:sz w:val="24"/>
          <w:szCs w:val="24"/>
          <w:lang w:val="en-US"/>
        </w:rPr>
      </w:pPr>
    </w:p>
    <w:p w:rsidR="007D0F3A" w:rsidRPr="00CF3A28" w:rsidRDefault="00D37BAA" w:rsidP="00CF3A28">
      <w:pPr>
        <w:spacing w:line="240" w:lineRule="auto"/>
        <w:jc w:val="left"/>
        <w:rPr>
          <w:rFonts w:eastAsia="Calibri"/>
          <w:bCs/>
          <w:sz w:val="24"/>
          <w:szCs w:val="24"/>
          <w:lang w:val="en-US"/>
        </w:rPr>
      </w:pPr>
      <w:r w:rsidRPr="00CF3A28">
        <w:rPr>
          <w:rFonts w:eastAsia="Calibri"/>
          <w:bCs/>
          <w:sz w:val="24"/>
          <w:szCs w:val="24"/>
        </w:rPr>
        <w:t xml:space="preserve">In addition to </w:t>
      </w:r>
      <w:r w:rsidRPr="00CF3A28">
        <w:rPr>
          <w:rFonts w:eastAsia="Calibri"/>
          <w:bCs/>
          <w:sz w:val="24"/>
          <w:szCs w:val="24"/>
          <w:lang w:val="en-US"/>
        </w:rPr>
        <w:t xml:space="preserve">ensuring </w:t>
      </w:r>
      <w:r w:rsidRPr="00CF3A28">
        <w:rPr>
          <w:rFonts w:eastAsia="Calibri"/>
          <w:bCs/>
          <w:sz w:val="24"/>
          <w:szCs w:val="24"/>
        </w:rPr>
        <w:t>communal control over economic life,</w:t>
      </w:r>
      <w:r w:rsidR="00861A83" w:rsidRPr="00CF3A28">
        <w:rPr>
          <w:rFonts w:eastAsia="Calibri"/>
          <w:bCs/>
          <w:sz w:val="24"/>
          <w:szCs w:val="24"/>
        </w:rPr>
        <w:t xml:space="preserve"> </w:t>
      </w:r>
      <w:r w:rsidR="00D46C38" w:rsidRPr="00CF3A28">
        <w:rPr>
          <w:rFonts w:eastAsia="Calibri"/>
          <w:bCs/>
          <w:sz w:val="24"/>
          <w:szCs w:val="24"/>
        </w:rPr>
        <w:t xml:space="preserve">states </w:t>
      </w:r>
      <w:r w:rsidR="007D0F3A" w:rsidRPr="00CF3A28">
        <w:rPr>
          <w:rFonts w:eastAsia="Calibri"/>
          <w:bCs/>
          <w:sz w:val="24"/>
          <w:szCs w:val="24"/>
        </w:rPr>
        <w:t xml:space="preserve">had pushed legislation to create new institutions for poor relief, and to establish a system of hospitals to provide medical care for paupers. </w:t>
      </w:r>
      <w:r w:rsidR="00D46C38" w:rsidRPr="00CF3A28">
        <w:rPr>
          <w:rFonts w:eastAsia="Calibri"/>
          <w:bCs/>
          <w:sz w:val="24"/>
          <w:szCs w:val="24"/>
        </w:rPr>
        <w:t xml:space="preserve">This was a Europe-wide movement. </w:t>
      </w:r>
      <w:r w:rsidR="00861A83" w:rsidRPr="00CF3A28">
        <w:rPr>
          <w:rFonts w:eastAsia="Calibri"/>
          <w:bCs/>
          <w:sz w:val="24"/>
          <w:szCs w:val="24"/>
        </w:rPr>
        <w:t xml:space="preserve">By the beginning of the eighteenth century, </w:t>
      </w:r>
      <w:r w:rsidR="007D0F3A" w:rsidRPr="00CF3A28">
        <w:rPr>
          <w:rFonts w:eastAsia="Calibri"/>
          <w:bCs/>
          <w:sz w:val="24"/>
          <w:szCs w:val="24"/>
        </w:rPr>
        <w:t>England had a national welfare system.</w:t>
      </w:r>
      <w:r w:rsidR="007D0F3A" w:rsidRPr="00CF3A28">
        <w:rPr>
          <w:rFonts w:eastAsia="Calibri"/>
          <w:bCs/>
          <w:sz w:val="24"/>
          <w:szCs w:val="24"/>
          <w:vertAlign w:val="superscript"/>
        </w:rPr>
        <w:footnoteReference w:id="8"/>
      </w:r>
      <w:r w:rsidR="00861A83" w:rsidRPr="00CF3A28">
        <w:rPr>
          <w:rFonts w:eastAsia="Calibri"/>
          <w:bCs/>
          <w:sz w:val="24"/>
          <w:szCs w:val="24"/>
        </w:rPr>
        <w:t xml:space="preserve"> Later in the century,</w:t>
      </w:r>
      <w:r w:rsidR="007D0F3A" w:rsidRPr="00CF3A28">
        <w:rPr>
          <w:rFonts w:eastAsia="Calibri"/>
          <w:bCs/>
          <w:sz w:val="24"/>
          <w:szCs w:val="24"/>
        </w:rPr>
        <w:t xml:space="preserve"> </w:t>
      </w:r>
      <w:proofErr w:type="spellStart"/>
      <w:r w:rsidR="00861A83" w:rsidRPr="00CF3A28">
        <w:rPr>
          <w:rFonts w:eastAsia="Calibri"/>
          <w:bCs/>
          <w:sz w:val="24"/>
          <w:szCs w:val="24"/>
        </w:rPr>
        <w:t>a</w:t>
      </w:r>
      <w:r w:rsidR="007D0F3A" w:rsidRPr="00CF3A28">
        <w:rPr>
          <w:rFonts w:eastAsia="Calibri"/>
          <w:bCs/>
          <w:i/>
          <w:iCs/>
          <w:sz w:val="24"/>
          <w:szCs w:val="24"/>
        </w:rPr>
        <w:t>ncien</w:t>
      </w:r>
      <w:proofErr w:type="spellEnd"/>
      <w:r w:rsidR="007D0F3A" w:rsidRPr="00CF3A28">
        <w:rPr>
          <w:rFonts w:eastAsia="Calibri"/>
          <w:bCs/>
          <w:i/>
          <w:iCs/>
          <w:sz w:val="24"/>
          <w:szCs w:val="24"/>
        </w:rPr>
        <w:t xml:space="preserve"> </w:t>
      </w:r>
      <w:proofErr w:type="spellStart"/>
      <w:r w:rsidR="007D0F3A" w:rsidRPr="00CF3A28">
        <w:rPr>
          <w:rFonts w:eastAsia="Calibri"/>
          <w:bCs/>
          <w:i/>
          <w:iCs/>
          <w:sz w:val="24"/>
          <w:szCs w:val="24"/>
        </w:rPr>
        <w:t>r</w:t>
      </w:r>
      <w:r w:rsidR="00861A83" w:rsidRPr="00CF3A28">
        <w:rPr>
          <w:rFonts w:eastAsia="Calibri"/>
          <w:bCs/>
          <w:i/>
          <w:iCs/>
          <w:sz w:val="24"/>
          <w:szCs w:val="24"/>
        </w:rPr>
        <w:t>é</w:t>
      </w:r>
      <w:r w:rsidR="007D0F3A" w:rsidRPr="00CF3A28">
        <w:rPr>
          <w:rFonts w:eastAsia="Calibri"/>
          <w:bCs/>
          <w:i/>
          <w:iCs/>
          <w:sz w:val="24"/>
          <w:szCs w:val="24"/>
        </w:rPr>
        <w:t>gime</w:t>
      </w:r>
      <w:proofErr w:type="spellEnd"/>
      <w:r w:rsidR="007D0F3A" w:rsidRPr="00CF3A28">
        <w:rPr>
          <w:rFonts w:eastAsia="Calibri"/>
          <w:bCs/>
          <w:sz w:val="24"/>
          <w:szCs w:val="24"/>
        </w:rPr>
        <w:t xml:space="preserve"> France established a nation-wide welfare system</w:t>
      </w:r>
      <w:r w:rsidR="00272568" w:rsidRPr="00CF3A28">
        <w:rPr>
          <w:rFonts w:eastAsia="Calibri"/>
          <w:bCs/>
          <w:sz w:val="24"/>
          <w:szCs w:val="24"/>
        </w:rPr>
        <w:t>,</w:t>
      </w:r>
      <w:r w:rsidR="00861A83" w:rsidRPr="00CF3A28">
        <w:rPr>
          <w:rFonts w:eastAsia="Calibri"/>
          <w:bCs/>
          <w:sz w:val="24"/>
          <w:szCs w:val="24"/>
        </w:rPr>
        <w:t xml:space="preserve"> and</w:t>
      </w:r>
      <w:r w:rsidR="007D0F3A" w:rsidRPr="00CF3A28">
        <w:rPr>
          <w:rFonts w:eastAsia="Calibri"/>
          <w:bCs/>
          <w:sz w:val="24"/>
          <w:szCs w:val="24"/>
        </w:rPr>
        <w:t xml:space="preserve"> Prussia introduced measures establishing a cradle-to-grave welfare system that guaranteed every subject adequate food, sanitation, and police protection.</w:t>
      </w:r>
      <w:r w:rsidR="007D0F3A" w:rsidRPr="00CF3A28">
        <w:rPr>
          <w:rFonts w:eastAsia="Calibri"/>
          <w:bCs/>
          <w:sz w:val="24"/>
          <w:szCs w:val="24"/>
          <w:vertAlign w:val="superscript"/>
        </w:rPr>
        <w:footnoteReference w:id="9"/>
      </w:r>
      <w:r w:rsidR="007D0F3A" w:rsidRPr="00CF3A28">
        <w:rPr>
          <w:rFonts w:eastAsia="Calibri"/>
          <w:bCs/>
          <w:sz w:val="24"/>
          <w:szCs w:val="24"/>
        </w:rPr>
        <w:t xml:space="preserve"> </w:t>
      </w:r>
      <w:r w:rsidR="00272568" w:rsidRPr="00CF3A28">
        <w:rPr>
          <w:rFonts w:eastAsia="Calibri"/>
          <w:bCs/>
          <w:sz w:val="24"/>
          <w:szCs w:val="24"/>
        </w:rPr>
        <w:t xml:space="preserve">In addition to state regulation of markets, wage controls and other labour protections, and the provision of welfare, the fact that </w:t>
      </w:r>
      <w:r w:rsidR="00190B8F" w:rsidRPr="00CF3A28">
        <w:rPr>
          <w:rFonts w:eastAsia="Calibri"/>
          <w:bCs/>
          <w:sz w:val="24"/>
          <w:szCs w:val="24"/>
        </w:rPr>
        <w:t>European economies at the time still largely based on local markets and face-to-face relations between seller and consumer</w:t>
      </w:r>
      <w:r w:rsidR="00272568" w:rsidRPr="00CF3A28">
        <w:rPr>
          <w:rFonts w:eastAsia="Calibri"/>
          <w:bCs/>
          <w:sz w:val="24"/>
          <w:szCs w:val="24"/>
        </w:rPr>
        <w:t xml:space="preserve"> meant that </w:t>
      </w:r>
      <w:r w:rsidR="00190B8F" w:rsidRPr="00CF3A28">
        <w:rPr>
          <w:rFonts w:eastAsia="Calibri"/>
          <w:bCs/>
          <w:sz w:val="24"/>
          <w:szCs w:val="24"/>
        </w:rPr>
        <w:t>workers were able to exercise power both as labourers and consumers.</w:t>
      </w:r>
    </w:p>
    <w:p w:rsidR="007D0F3A" w:rsidRPr="00CF3A28" w:rsidRDefault="007D0F3A" w:rsidP="00CF3A28">
      <w:pPr>
        <w:spacing w:line="240" w:lineRule="auto"/>
        <w:jc w:val="left"/>
        <w:rPr>
          <w:rFonts w:eastAsia="Calibri"/>
          <w:bCs/>
          <w:sz w:val="24"/>
          <w:szCs w:val="24"/>
          <w:lang w:val="en-US"/>
        </w:rPr>
      </w:pPr>
    </w:p>
    <w:p w:rsidR="001D506D" w:rsidRPr="00CF3A28" w:rsidRDefault="00602A4C" w:rsidP="00CF3A28">
      <w:pPr>
        <w:spacing w:line="240" w:lineRule="auto"/>
        <w:jc w:val="left"/>
        <w:rPr>
          <w:rFonts w:eastAsia="Calibri"/>
          <w:bCs/>
          <w:sz w:val="24"/>
          <w:szCs w:val="24"/>
          <w:lang w:val="en-US"/>
        </w:rPr>
      </w:pPr>
      <w:r w:rsidRPr="00CF3A28">
        <w:rPr>
          <w:rFonts w:eastAsia="Calibri"/>
          <w:bCs/>
          <w:sz w:val="24"/>
          <w:szCs w:val="24"/>
          <w:lang w:val="en-US"/>
        </w:rPr>
        <w:t xml:space="preserve">In the eighteenth century, a </w:t>
      </w:r>
      <w:r w:rsidR="00936F5D" w:rsidRPr="00CF3A28">
        <w:rPr>
          <w:rFonts w:eastAsia="Calibri"/>
          <w:bCs/>
          <w:sz w:val="24"/>
          <w:szCs w:val="24"/>
          <w:lang w:val="en-US"/>
        </w:rPr>
        <w:t xml:space="preserve">revolution of </w:t>
      </w:r>
      <w:r w:rsidRPr="00CF3A28">
        <w:rPr>
          <w:rFonts w:eastAsia="Calibri"/>
          <w:bCs/>
          <w:sz w:val="24"/>
          <w:szCs w:val="24"/>
          <w:lang w:val="en-US"/>
        </w:rPr>
        <w:t xml:space="preserve">consumption </w:t>
      </w:r>
      <w:r w:rsidR="005C5616" w:rsidRPr="00CF3A28">
        <w:rPr>
          <w:rFonts w:eastAsia="Calibri"/>
          <w:bCs/>
          <w:sz w:val="24"/>
          <w:szCs w:val="24"/>
          <w:lang w:val="en-US"/>
        </w:rPr>
        <w:t xml:space="preserve">in Britain had </w:t>
      </w:r>
      <w:r w:rsidRPr="00CF3A28">
        <w:rPr>
          <w:rFonts w:eastAsia="Calibri"/>
          <w:bCs/>
          <w:sz w:val="24"/>
          <w:szCs w:val="24"/>
          <w:lang w:val="en-US"/>
        </w:rPr>
        <w:t xml:space="preserve">fuelled the expansion of </w:t>
      </w:r>
      <w:r w:rsidR="00936F5D" w:rsidRPr="00CF3A28">
        <w:rPr>
          <w:rFonts w:eastAsia="Calibri"/>
          <w:bCs/>
          <w:sz w:val="24"/>
          <w:szCs w:val="24"/>
          <w:lang w:val="en-US"/>
        </w:rPr>
        <w:t>a domestic market for mass</w:t>
      </w:r>
      <w:r w:rsidR="00936F5D" w:rsidRPr="00CF3A28">
        <w:rPr>
          <w:rFonts w:eastAsia="Calibri"/>
          <w:bCs/>
          <w:sz w:val="24"/>
          <w:szCs w:val="24"/>
          <w:lang w:val="en-US"/>
        </w:rPr>
        <w:noBreakHyphen/>
        <w:t>produced consumer goods</w:t>
      </w:r>
      <w:r w:rsidR="005C5616" w:rsidRPr="00CF3A28">
        <w:rPr>
          <w:rFonts w:eastAsia="Calibri"/>
          <w:bCs/>
          <w:sz w:val="24"/>
          <w:szCs w:val="24"/>
          <w:lang w:val="en-US"/>
        </w:rPr>
        <w:t>;</w:t>
      </w:r>
      <w:r w:rsidR="005C5616" w:rsidRPr="00CF3A28">
        <w:rPr>
          <w:rFonts w:eastAsia="Calibri"/>
          <w:bCs/>
          <w:sz w:val="24"/>
          <w:szCs w:val="24"/>
          <w:vertAlign w:val="superscript"/>
          <w:lang w:val="en-US"/>
        </w:rPr>
        <w:footnoteReference w:id="10"/>
      </w:r>
      <w:r w:rsidR="005C5616" w:rsidRPr="00CF3A28">
        <w:rPr>
          <w:rFonts w:eastAsia="Calibri"/>
          <w:bCs/>
          <w:sz w:val="24"/>
          <w:szCs w:val="24"/>
          <w:lang w:val="en-US"/>
        </w:rPr>
        <w:t xml:space="preserve"> as a result, </w:t>
      </w:r>
      <w:r w:rsidR="00F00ED0" w:rsidRPr="00CF3A28">
        <w:rPr>
          <w:rFonts w:eastAsia="Calibri"/>
          <w:bCs/>
          <w:sz w:val="24"/>
          <w:szCs w:val="24"/>
          <w:lang w:val="en-US"/>
        </w:rPr>
        <w:t>there was a marked improvement in the variety and quality of household furnishings, decorations, and ‘luxury’ items among artisans and farmers.</w:t>
      </w:r>
      <w:r w:rsidR="001D506D" w:rsidRPr="00CF3A28">
        <w:rPr>
          <w:rStyle w:val="FootnoteReference"/>
          <w:rFonts w:eastAsia="Calibri"/>
          <w:bCs/>
          <w:sz w:val="24"/>
          <w:szCs w:val="24"/>
          <w:lang w:val="en-US"/>
        </w:rPr>
        <w:footnoteReference w:id="11"/>
      </w:r>
      <w:r w:rsidR="00F00ED0" w:rsidRPr="00CF3A28">
        <w:rPr>
          <w:rFonts w:eastAsia="Calibri"/>
          <w:bCs/>
          <w:sz w:val="24"/>
          <w:szCs w:val="24"/>
          <w:lang w:val="en-US"/>
        </w:rPr>
        <w:t xml:space="preserve"> In fact, in Britain ‘a greater proportion of the population than in any previous society in human history’ was able ‘to enjoy the pleasures of buying consumer goods’ and ‘not only necessities, but decencies, and even luxuries’ (</w:t>
      </w:r>
      <w:proofErr w:type="spellStart"/>
      <w:r w:rsidR="009D2D0B" w:rsidRPr="00CF3A28">
        <w:rPr>
          <w:rFonts w:eastAsia="Calibri"/>
          <w:bCs/>
          <w:sz w:val="24"/>
          <w:szCs w:val="24"/>
          <w:lang w:val="en-US"/>
        </w:rPr>
        <w:t>McKendrick</w:t>
      </w:r>
      <w:proofErr w:type="spellEnd"/>
      <w:r w:rsidR="009D2D0B" w:rsidRPr="00CF3A28">
        <w:rPr>
          <w:rFonts w:eastAsia="Calibri"/>
          <w:bCs/>
          <w:sz w:val="24"/>
          <w:szCs w:val="24"/>
          <w:lang w:val="en-US"/>
        </w:rPr>
        <w:t xml:space="preserve">, Brewer, and Plumb </w:t>
      </w:r>
      <w:r w:rsidR="00F00ED0" w:rsidRPr="00CF3A28">
        <w:rPr>
          <w:rFonts w:eastAsia="Calibri"/>
          <w:bCs/>
          <w:sz w:val="24"/>
          <w:szCs w:val="24"/>
          <w:lang w:val="en-US"/>
        </w:rPr>
        <w:t xml:space="preserve">1982: 29).  </w:t>
      </w:r>
      <w:r w:rsidR="00F00ED0" w:rsidRPr="00CF3A28">
        <w:rPr>
          <w:rFonts w:eastAsia="Calibri"/>
          <w:bCs/>
          <w:sz w:val="24"/>
          <w:szCs w:val="24"/>
        </w:rPr>
        <w:t xml:space="preserve">As the century progressed, </w:t>
      </w:r>
      <w:r w:rsidR="001D506D" w:rsidRPr="00CF3A28">
        <w:rPr>
          <w:rFonts w:eastAsia="Calibri"/>
          <w:bCs/>
          <w:sz w:val="24"/>
          <w:szCs w:val="24"/>
        </w:rPr>
        <w:t xml:space="preserve">elite anxiety over </w:t>
      </w:r>
      <w:proofErr w:type="spellStart"/>
      <w:r w:rsidR="00F00ED0" w:rsidRPr="00CF3A28">
        <w:rPr>
          <w:rFonts w:eastAsia="Calibri"/>
          <w:bCs/>
          <w:sz w:val="24"/>
          <w:szCs w:val="24"/>
        </w:rPr>
        <w:t>th</w:t>
      </w:r>
      <w:r w:rsidR="00E20692" w:rsidRPr="00CF3A28">
        <w:rPr>
          <w:rFonts w:eastAsia="Calibri"/>
          <w:bCs/>
          <w:sz w:val="24"/>
          <w:szCs w:val="24"/>
        </w:rPr>
        <w:t>s</w:t>
      </w:r>
      <w:r w:rsidR="00F00ED0" w:rsidRPr="00CF3A28">
        <w:rPr>
          <w:rFonts w:eastAsia="Calibri"/>
          <w:bCs/>
          <w:sz w:val="24"/>
          <w:szCs w:val="24"/>
        </w:rPr>
        <w:t>s</w:t>
      </w:r>
      <w:proofErr w:type="spellEnd"/>
      <w:r w:rsidR="00E20692" w:rsidRPr="00CF3A28">
        <w:rPr>
          <w:rFonts w:eastAsia="Calibri"/>
          <w:bCs/>
          <w:sz w:val="24"/>
          <w:szCs w:val="24"/>
        </w:rPr>
        <w:t xml:space="preserve"> ‘</w:t>
      </w:r>
      <w:proofErr w:type="spellStart"/>
      <w:r w:rsidR="00E20692" w:rsidRPr="00CF3A28">
        <w:rPr>
          <w:rFonts w:eastAsia="Calibri"/>
          <w:bCs/>
          <w:sz w:val="24"/>
          <w:szCs w:val="24"/>
        </w:rPr>
        <w:t>demoicratisation</w:t>
      </w:r>
      <w:proofErr w:type="spellEnd"/>
      <w:r w:rsidR="00E20692" w:rsidRPr="00CF3A28">
        <w:rPr>
          <w:rFonts w:eastAsia="Calibri"/>
          <w:bCs/>
          <w:sz w:val="24"/>
          <w:szCs w:val="24"/>
        </w:rPr>
        <w:t xml:space="preserve"> of consumption’</w:t>
      </w:r>
      <w:r w:rsidR="001D506D" w:rsidRPr="00CF3A28">
        <w:rPr>
          <w:rFonts w:eastAsia="Calibri"/>
          <w:bCs/>
          <w:sz w:val="24"/>
          <w:szCs w:val="24"/>
        </w:rPr>
        <w:t xml:space="preserve"> </w:t>
      </w:r>
      <w:r w:rsidR="00F00ED0" w:rsidRPr="00CF3A28">
        <w:rPr>
          <w:rFonts w:eastAsia="Calibri"/>
          <w:bCs/>
          <w:sz w:val="24"/>
          <w:szCs w:val="24"/>
        </w:rPr>
        <w:t xml:space="preserve">appeared to be </w:t>
      </w:r>
      <w:r w:rsidR="00E20692" w:rsidRPr="00CF3A28">
        <w:rPr>
          <w:rFonts w:eastAsia="Calibri"/>
          <w:bCs/>
          <w:sz w:val="24"/>
          <w:szCs w:val="24"/>
        </w:rPr>
        <w:t xml:space="preserve">increasing social mobility and </w:t>
      </w:r>
      <w:r w:rsidR="00F00ED0" w:rsidRPr="00CF3A28">
        <w:rPr>
          <w:rFonts w:eastAsia="Calibri"/>
          <w:bCs/>
          <w:sz w:val="24"/>
          <w:szCs w:val="24"/>
        </w:rPr>
        <w:t>undermining class distinctions.</w:t>
      </w:r>
      <w:r w:rsidR="00F00ED0" w:rsidRPr="00CF3A28">
        <w:rPr>
          <w:rFonts w:eastAsia="Calibri"/>
          <w:bCs/>
          <w:sz w:val="24"/>
          <w:szCs w:val="24"/>
          <w:vertAlign w:val="superscript"/>
        </w:rPr>
        <w:footnoteReference w:id="12"/>
      </w:r>
      <w:r w:rsidR="00F00ED0" w:rsidRPr="00CF3A28">
        <w:rPr>
          <w:rFonts w:eastAsia="Calibri"/>
          <w:bCs/>
          <w:sz w:val="24"/>
          <w:szCs w:val="24"/>
        </w:rPr>
        <w:t xml:space="preserve"> Had the</w:t>
      </w:r>
      <w:r w:rsidR="001D506D" w:rsidRPr="00CF3A28">
        <w:rPr>
          <w:rFonts w:eastAsia="Calibri"/>
          <w:bCs/>
          <w:sz w:val="24"/>
          <w:szCs w:val="24"/>
        </w:rPr>
        <w:t xml:space="preserve"> production of mass consumption goods </w:t>
      </w:r>
      <w:r w:rsidR="00F00ED0" w:rsidRPr="00CF3A28">
        <w:rPr>
          <w:rFonts w:eastAsia="Calibri"/>
          <w:bCs/>
          <w:sz w:val="24"/>
          <w:szCs w:val="24"/>
        </w:rPr>
        <w:t xml:space="preserve">continued </w:t>
      </w:r>
      <w:r w:rsidR="001D506D" w:rsidRPr="00CF3A28">
        <w:rPr>
          <w:rFonts w:eastAsia="Calibri"/>
          <w:bCs/>
          <w:sz w:val="24"/>
          <w:szCs w:val="24"/>
        </w:rPr>
        <w:t>to fuel Britain’s</w:t>
      </w:r>
      <w:r w:rsidR="00F00ED0" w:rsidRPr="00CF3A28">
        <w:rPr>
          <w:rFonts w:eastAsia="Calibri"/>
          <w:bCs/>
          <w:sz w:val="24"/>
          <w:szCs w:val="24"/>
        </w:rPr>
        <w:t xml:space="preserve"> industrial growth</w:t>
      </w:r>
      <w:r w:rsidR="001D506D" w:rsidRPr="00CF3A28">
        <w:rPr>
          <w:rFonts w:eastAsia="Calibri"/>
          <w:bCs/>
          <w:sz w:val="24"/>
          <w:szCs w:val="24"/>
        </w:rPr>
        <w:t>,</w:t>
      </w:r>
      <w:r w:rsidR="00F00ED0" w:rsidRPr="00CF3A28">
        <w:rPr>
          <w:rFonts w:eastAsia="Calibri"/>
          <w:bCs/>
          <w:sz w:val="24"/>
          <w:szCs w:val="24"/>
        </w:rPr>
        <w:t xml:space="preserve"> along with the mass purchasing power and internal market needed to support it, the class, land, and income structures on which the existing structure of social power in Europe rested would have been destroyed.</w:t>
      </w:r>
      <w:r w:rsidR="001D506D" w:rsidRPr="00CF3A28">
        <w:rPr>
          <w:rFonts w:eastAsia="Calibri"/>
          <w:bCs/>
          <w:sz w:val="24"/>
          <w:szCs w:val="24"/>
        </w:rPr>
        <w:t xml:space="preserve"> </w:t>
      </w:r>
      <w:r w:rsidR="00F00ED0" w:rsidRPr="00CF3A28">
        <w:rPr>
          <w:rFonts w:eastAsia="Calibri"/>
          <w:bCs/>
          <w:sz w:val="24"/>
          <w:szCs w:val="24"/>
          <w:lang w:val="en-US"/>
        </w:rPr>
        <w:t>Thus, despite the growth of the domestic market in the eighteenth century, and the fact that at the end of the Napoleonic Wars abundant opportunities remained for investment and the expansion of production for home consumption, in the nineteenth century,</w:t>
      </w:r>
      <w:r w:rsidR="001D506D" w:rsidRPr="00CF3A28">
        <w:rPr>
          <w:rFonts w:eastAsia="Calibri"/>
          <w:bCs/>
          <w:sz w:val="24"/>
          <w:szCs w:val="24"/>
          <w:lang w:val="en-US"/>
        </w:rPr>
        <w:t xml:space="preserve"> the gradual democratization of consumption that had taken place throughout Europe in the eighteenth century was halted and put into reverse. Instead, Europeans launched a brutal expansion of production-for-export that became a model for elites and ruling groups throughout the world. </w:t>
      </w:r>
    </w:p>
    <w:p w:rsidR="001D506D" w:rsidRPr="00CF3A28" w:rsidRDefault="001D506D" w:rsidP="00CF3A28">
      <w:pPr>
        <w:spacing w:line="240" w:lineRule="auto"/>
        <w:jc w:val="left"/>
        <w:rPr>
          <w:rFonts w:eastAsia="Calibri"/>
          <w:bCs/>
          <w:sz w:val="24"/>
          <w:szCs w:val="24"/>
          <w:lang w:val="en-US"/>
        </w:rPr>
      </w:pPr>
    </w:p>
    <w:p w:rsidR="00AA7CEC" w:rsidRPr="00CF3A28" w:rsidRDefault="006428DD" w:rsidP="00CF3A28">
      <w:pPr>
        <w:spacing w:line="240" w:lineRule="auto"/>
        <w:jc w:val="left"/>
        <w:rPr>
          <w:bCs/>
          <w:sz w:val="24"/>
          <w:szCs w:val="24"/>
          <w:lang w:val="en-US"/>
        </w:rPr>
      </w:pPr>
      <w:r w:rsidRPr="00CF3A28">
        <w:rPr>
          <w:rFonts w:eastAsia="Calibri"/>
          <w:bCs/>
          <w:sz w:val="24"/>
          <w:szCs w:val="24"/>
          <w:lang w:val="en-US"/>
        </w:rPr>
        <w:t>The success of a</w:t>
      </w:r>
      <w:r w:rsidR="00D4617A" w:rsidRPr="00CF3A28">
        <w:rPr>
          <w:rFonts w:eastAsia="Calibri"/>
          <w:bCs/>
          <w:sz w:val="24"/>
          <w:szCs w:val="24"/>
          <w:lang w:val="en-US"/>
        </w:rPr>
        <w:t xml:space="preserve"> campaign to dismantle regulations tying production and investment to local economies put an end to the expansion of d</w:t>
      </w:r>
      <w:r w:rsidR="00300C0A" w:rsidRPr="00CF3A28">
        <w:rPr>
          <w:rFonts w:eastAsia="Calibri"/>
          <w:bCs/>
          <w:sz w:val="24"/>
          <w:szCs w:val="24"/>
          <w:lang w:val="en-US"/>
        </w:rPr>
        <w:t>omestic market</w:t>
      </w:r>
      <w:r w:rsidR="00D4617A" w:rsidRPr="00CF3A28">
        <w:rPr>
          <w:rFonts w:eastAsia="Calibri"/>
          <w:bCs/>
          <w:sz w:val="24"/>
          <w:szCs w:val="24"/>
          <w:lang w:val="en-US"/>
        </w:rPr>
        <w:t>s and broad-based industrial growth.</w:t>
      </w:r>
      <w:r w:rsidR="001B0976" w:rsidRPr="00CF3A28">
        <w:rPr>
          <w:rFonts w:eastAsia="Calibri"/>
          <w:bCs/>
          <w:sz w:val="24"/>
          <w:szCs w:val="24"/>
          <w:lang w:val="en-US"/>
        </w:rPr>
        <w:t xml:space="preserve"> </w:t>
      </w:r>
      <w:r w:rsidR="007F3870" w:rsidRPr="00CF3A28">
        <w:rPr>
          <w:rFonts w:eastAsia="Calibri"/>
          <w:bCs/>
          <w:sz w:val="24"/>
          <w:szCs w:val="24"/>
          <w:lang w:val="en-US"/>
        </w:rPr>
        <w:t>Th</w:t>
      </w:r>
      <w:r w:rsidRPr="00CF3A28">
        <w:rPr>
          <w:rFonts w:eastAsia="Calibri"/>
          <w:bCs/>
          <w:sz w:val="24"/>
          <w:szCs w:val="24"/>
          <w:lang w:val="en-US"/>
        </w:rPr>
        <w:t>is</w:t>
      </w:r>
      <w:r w:rsidR="00300C0A" w:rsidRPr="00CF3A28">
        <w:rPr>
          <w:rFonts w:eastAsia="Calibri"/>
          <w:bCs/>
          <w:sz w:val="24"/>
          <w:szCs w:val="24"/>
          <w:lang w:val="en-US"/>
        </w:rPr>
        <w:t xml:space="preserve"> marked </w:t>
      </w:r>
      <w:r w:rsidR="00DE779A" w:rsidRPr="00CF3A28">
        <w:rPr>
          <w:rFonts w:eastAsia="Calibri"/>
          <w:bCs/>
          <w:sz w:val="24"/>
          <w:szCs w:val="24"/>
          <w:lang w:val="en-US"/>
        </w:rPr>
        <w:t xml:space="preserve">the </w:t>
      </w:r>
      <w:r w:rsidR="00300C0A" w:rsidRPr="00CF3A28">
        <w:rPr>
          <w:rFonts w:eastAsia="Calibri"/>
          <w:bCs/>
          <w:sz w:val="24"/>
          <w:szCs w:val="24"/>
          <w:lang w:val="en-US"/>
        </w:rPr>
        <w:t>culmination</w:t>
      </w:r>
      <w:r w:rsidR="006B409E" w:rsidRPr="00CF3A28">
        <w:rPr>
          <w:rFonts w:eastAsia="Calibri"/>
          <w:bCs/>
          <w:sz w:val="24"/>
          <w:szCs w:val="24"/>
          <w:lang w:val="en-US"/>
        </w:rPr>
        <w:t xml:space="preserve"> of</w:t>
      </w:r>
      <w:r w:rsidR="00DE779A" w:rsidRPr="00CF3A28">
        <w:rPr>
          <w:rFonts w:eastAsia="Calibri"/>
          <w:bCs/>
          <w:sz w:val="24"/>
          <w:szCs w:val="24"/>
          <w:lang w:val="en-US"/>
        </w:rPr>
        <w:t xml:space="preserve"> a</w:t>
      </w:r>
      <w:r w:rsidR="007F3870" w:rsidRPr="00CF3A28">
        <w:rPr>
          <w:rFonts w:eastAsia="Calibri"/>
          <w:bCs/>
          <w:sz w:val="24"/>
          <w:szCs w:val="24"/>
          <w:lang w:val="en-US"/>
        </w:rPr>
        <w:t xml:space="preserve"> </w:t>
      </w:r>
      <w:r w:rsidR="002E47C0" w:rsidRPr="00CF3A28">
        <w:rPr>
          <w:rFonts w:eastAsia="Calibri"/>
          <w:bCs/>
          <w:sz w:val="24"/>
          <w:szCs w:val="24"/>
          <w:lang w:val="en-US"/>
        </w:rPr>
        <w:t xml:space="preserve">centuries-long </w:t>
      </w:r>
      <w:r w:rsidR="007F3870" w:rsidRPr="00CF3A28">
        <w:rPr>
          <w:rFonts w:eastAsia="Calibri"/>
          <w:bCs/>
          <w:sz w:val="24"/>
          <w:szCs w:val="24"/>
          <w:lang w:val="en-US"/>
        </w:rPr>
        <w:t xml:space="preserve">struggle </w:t>
      </w:r>
      <w:r w:rsidR="00300C0A" w:rsidRPr="00CF3A28">
        <w:rPr>
          <w:rFonts w:eastAsia="Calibri"/>
          <w:bCs/>
          <w:sz w:val="24"/>
          <w:szCs w:val="24"/>
          <w:lang w:val="en-US"/>
        </w:rPr>
        <w:t>by those</w:t>
      </w:r>
      <w:r w:rsidR="007F3870" w:rsidRPr="00CF3A28">
        <w:rPr>
          <w:rFonts w:eastAsia="Calibri"/>
          <w:bCs/>
          <w:sz w:val="24"/>
          <w:szCs w:val="24"/>
          <w:lang w:val="en-US"/>
        </w:rPr>
        <w:t xml:space="preserve"> opposed to the price and wage controls, </w:t>
      </w:r>
      <w:proofErr w:type="spellStart"/>
      <w:r w:rsidR="007F3870" w:rsidRPr="00CF3A28">
        <w:rPr>
          <w:rFonts w:eastAsia="Calibri"/>
          <w:bCs/>
          <w:sz w:val="24"/>
          <w:szCs w:val="24"/>
          <w:lang w:val="en-US"/>
        </w:rPr>
        <w:t>labour</w:t>
      </w:r>
      <w:proofErr w:type="spellEnd"/>
      <w:r w:rsidR="007F3870" w:rsidRPr="00CF3A28">
        <w:rPr>
          <w:rFonts w:eastAsia="Calibri"/>
          <w:bCs/>
          <w:sz w:val="24"/>
          <w:szCs w:val="24"/>
          <w:lang w:val="en-US"/>
        </w:rPr>
        <w:t xml:space="preserve"> protections, and national welfare systems that had been introduced </w:t>
      </w:r>
      <w:r w:rsidR="001B0976" w:rsidRPr="00CF3A28">
        <w:rPr>
          <w:rFonts w:eastAsia="Calibri"/>
          <w:bCs/>
          <w:sz w:val="24"/>
          <w:szCs w:val="24"/>
          <w:lang w:val="en-US"/>
        </w:rPr>
        <w:t xml:space="preserve">by Absolutist rulers </w:t>
      </w:r>
      <w:r w:rsidR="007F3870" w:rsidRPr="00CF3A28">
        <w:rPr>
          <w:rFonts w:eastAsia="Calibri"/>
          <w:bCs/>
          <w:sz w:val="24"/>
          <w:szCs w:val="24"/>
          <w:lang w:val="en-US"/>
        </w:rPr>
        <w:t xml:space="preserve">in Britain, France, and elsewhere </w:t>
      </w:r>
      <w:r w:rsidR="003D5374" w:rsidRPr="00CF3A28">
        <w:rPr>
          <w:rFonts w:eastAsia="Calibri"/>
          <w:bCs/>
          <w:sz w:val="24"/>
          <w:szCs w:val="24"/>
          <w:lang w:val="en-US"/>
        </w:rPr>
        <w:t>in Europe</w:t>
      </w:r>
      <w:r w:rsidR="007F3870" w:rsidRPr="00CF3A28">
        <w:rPr>
          <w:rFonts w:eastAsia="Calibri"/>
          <w:bCs/>
          <w:sz w:val="24"/>
          <w:szCs w:val="24"/>
          <w:lang w:val="en-US"/>
        </w:rPr>
        <w:t>.</w:t>
      </w:r>
      <w:r w:rsidR="001146FF" w:rsidRPr="00CF3A28">
        <w:rPr>
          <w:rFonts w:eastAsia="Calibri"/>
          <w:bCs/>
          <w:sz w:val="24"/>
          <w:szCs w:val="24"/>
          <w:lang w:val="en-US"/>
        </w:rPr>
        <w:t xml:space="preserve"> </w:t>
      </w:r>
      <w:r w:rsidR="003D5374" w:rsidRPr="00CF3A28">
        <w:rPr>
          <w:rFonts w:eastAsia="Calibri"/>
          <w:bCs/>
          <w:sz w:val="24"/>
          <w:szCs w:val="24"/>
          <w:lang w:val="en-US"/>
        </w:rPr>
        <w:t xml:space="preserve"> Opponents of these changes attacked </w:t>
      </w:r>
      <w:r w:rsidR="00955803" w:rsidRPr="00CF3A28">
        <w:rPr>
          <w:bCs/>
          <w:sz w:val="24"/>
          <w:szCs w:val="24"/>
        </w:rPr>
        <w:t>‘</w:t>
      </w:r>
      <w:r w:rsidR="000E31B9" w:rsidRPr="00CF3A28">
        <w:rPr>
          <w:bCs/>
          <w:sz w:val="24"/>
          <w:szCs w:val="24"/>
        </w:rPr>
        <w:t>A</w:t>
      </w:r>
      <w:r w:rsidR="00955803" w:rsidRPr="00CF3A28">
        <w:rPr>
          <w:bCs/>
          <w:sz w:val="24"/>
          <w:szCs w:val="24"/>
        </w:rPr>
        <w:t xml:space="preserve">bsolutism’ </w:t>
      </w:r>
      <w:r w:rsidR="000E31B9" w:rsidRPr="00CF3A28">
        <w:rPr>
          <w:bCs/>
          <w:sz w:val="24"/>
          <w:szCs w:val="24"/>
        </w:rPr>
        <w:t>for</w:t>
      </w:r>
      <w:r w:rsidR="00955803" w:rsidRPr="00CF3A28">
        <w:rPr>
          <w:bCs/>
          <w:sz w:val="24"/>
          <w:szCs w:val="24"/>
        </w:rPr>
        <w:t xml:space="preserve"> its over regulation. However, </w:t>
      </w:r>
      <w:r w:rsidR="003D5374" w:rsidRPr="00CF3A28">
        <w:rPr>
          <w:bCs/>
          <w:sz w:val="24"/>
          <w:szCs w:val="24"/>
        </w:rPr>
        <w:t xml:space="preserve">the regulations that were </w:t>
      </w:r>
      <w:r w:rsidR="000E31B9" w:rsidRPr="00CF3A28">
        <w:rPr>
          <w:bCs/>
          <w:sz w:val="24"/>
          <w:szCs w:val="24"/>
        </w:rPr>
        <w:t>the</w:t>
      </w:r>
      <w:r w:rsidR="00955803" w:rsidRPr="00CF3A28">
        <w:rPr>
          <w:bCs/>
          <w:sz w:val="24"/>
          <w:szCs w:val="24"/>
        </w:rPr>
        <w:t xml:space="preserve"> </w:t>
      </w:r>
      <w:r w:rsidR="000E31B9" w:rsidRPr="00CF3A28">
        <w:rPr>
          <w:bCs/>
          <w:sz w:val="24"/>
          <w:szCs w:val="24"/>
        </w:rPr>
        <w:t>target of this attack were</w:t>
      </w:r>
      <w:r w:rsidR="00955803" w:rsidRPr="00CF3A28">
        <w:rPr>
          <w:bCs/>
          <w:sz w:val="24"/>
          <w:szCs w:val="24"/>
        </w:rPr>
        <w:t xml:space="preserve"> concerned with protecting the local population against monopoly and speculation, and shortages and high prices</w:t>
      </w:r>
      <w:r w:rsidR="003D5374" w:rsidRPr="00CF3A28">
        <w:rPr>
          <w:bCs/>
          <w:sz w:val="24"/>
          <w:szCs w:val="24"/>
        </w:rPr>
        <w:t xml:space="preserve">, ensuring </w:t>
      </w:r>
      <w:r w:rsidR="00955803" w:rsidRPr="00CF3A28">
        <w:rPr>
          <w:bCs/>
          <w:sz w:val="24"/>
          <w:szCs w:val="24"/>
        </w:rPr>
        <w:t>t</w:t>
      </w:r>
      <w:r w:rsidR="003D5374" w:rsidRPr="00CF3A28">
        <w:rPr>
          <w:bCs/>
          <w:sz w:val="24"/>
          <w:szCs w:val="24"/>
        </w:rPr>
        <w:t>hat</w:t>
      </w:r>
      <w:r w:rsidR="00955803" w:rsidRPr="00CF3A28">
        <w:rPr>
          <w:bCs/>
          <w:sz w:val="24"/>
          <w:szCs w:val="24"/>
        </w:rPr>
        <w:t xml:space="preserve"> trade </w:t>
      </w:r>
      <w:r w:rsidR="003D5374" w:rsidRPr="00CF3A28">
        <w:rPr>
          <w:bCs/>
          <w:sz w:val="24"/>
          <w:szCs w:val="24"/>
        </w:rPr>
        <w:t xml:space="preserve">would be </w:t>
      </w:r>
      <w:r w:rsidR="00955803" w:rsidRPr="00CF3A28">
        <w:rPr>
          <w:bCs/>
          <w:sz w:val="24"/>
          <w:szCs w:val="24"/>
        </w:rPr>
        <w:t>inside open markets, by means of open transactions, and according to the rules and regulations which ensured fair practices and prices</w:t>
      </w:r>
      <w:r w:rsidR="006346EB" w:rsidRPr="00CF3A28">
        <w:rPr>
          <w:bCs/>
          <w:sz w:val="24"/>
          <w:szCs w:val="24"/>
        </w:rPr>
        <w:t>.</w:t>
      </w:r>
      <w:r w:rsidR="006346EB" w:rsidRPr="00CF3A28">
        <w:rPr>
          <w:bCs/>
          <w:sz w:val="24"/>
          <w:szCs w:val="24"/>
          <w:vertAlign w:val="superscript"/>
        </w:rPr>
        <w:footnoteReference w:id="13"/>
      </w:r>
      <w:r w:rsidR="00CF1F17" w:rsidRPr="00CF3A28">
        <w:rPr>
          <w:bCs/>
          <w:sz w:val="24"/>
          <w:szCs w:val="24"/>
        </w:rPr>
        <w:t xml:space="preserve"> </w:t>
      </w:r>
      <w:r w:rsidR="002E47C0" w:rsidRPr="00CF3A28">
        <w:rPr>
          <w:bCs/>
          <w:sz w:val="24"/>
          <w:szCs w:val="24"/>
        </w:rPr>
        <w:t>Op</w:t>
      </w:r>
      <w:r w:rsidR="003D5374" w:rsidRPr="00CF3A28">
        <w:rPr>
          <w:bCs/>
          <w:sz w:val="24"/>
          <w:szCs w:val="24"/>
        </w:rPr>
        <w:t>ponents of Absolutism</w:t>
      </w:r>
      <w:r w:rsidR="007412D1" w:rsidRPr="00CF3A28">
        <w:rPr>
          <w:bCs/>
          <w:sz w:val="24"/>
          <w:szCs w:val="24"/>
          <w:lang w:val="en-US"/>
        </w:rPr>
        <w:t xml:space="preserve"> w</w:t>
      </w:r>
      <w:r w:rsidR="001D506D" w:rsidRPr="00CF3A28">
        <w:rPr>
          <w:bCs/>
          <w:sz w:val="24"/>
          <w:szCs w:val="24"/>
          <w:lang w:val="en-US"/>
        </w:rPr>
        <w:t xml:space="preserve">ere </w:t>
      </w:r>
      <w:r w:rsidR="002E47C0" w:rsidRPr="00CF3A28">
        <w:rPr>
          <w:bCs/>
          <w:sz w:val="24"/>
          <w:szCs w:val="24"/>
          <w:lang w:val="en-US"/>
        </w:rPr>
        <w:t xml:space="preserve">thus </w:t>
      </w:r>
      <w:r w:rsidR="001D506D" w:rsidRPr="00CF3A28">
        <w:rPr>
          <w:bCs/>
          <w:sz w:val="24"/>
          <w:szCs w:val="24"/>
          <w:lang w:val="en-US"/>
        </w:rPr>
        <w:t>concerned with</w:t>
      </w:r>
      <w:r w:rsidR="007412D1" w:rsidRPr="00CF3A28">
        <w:rPr>
          <w:bCs/>
          <w:sz w:val="24"/>
          <w:szCs w:val="24"/>
          <w:lang w:val="en-US"/>
        </w:rPr>
        <w:t xml:space="preserve"> dismantling much of what today we would consider socially enlightened about ‘liberal absolutism’</w:t>
      </w:r>
      <w:r w:rsidR="00597318" w:rsidRPr="00CF3A28">
        <w:rPr>
          <w:bCs/>
          <w:sz w:val="24"/>
          <w:szCs w:val="24"/>
          <w:lang w:val="en-US"/>
        </w:rPr>
        <w:t>. At the same time, they were committed to</w:t>
      </w:r>
      <w:r w:rsidR="007412D1" w:rsidRPr="00CF3A28">
        <w:rPr>
          <w:bCs/>
          <w:sz w:val="24"/>
          <w:szCs w:val="24"/>
          <w:lang w:val="en-US"/>
        </w:rPr>
        <w:t xml:space="preserve"> retaining much of what was not in a new guise.</w:t>
      </w:r>
      <w:r w:rsidR="003D5374" w:rsidRPr="00CF3A28">
        <w:rPr>
          <w:bCs/>
          <w:sz w:val="24"/>
          <w:szCs w:val="24"/>
          <w:lang w:val="en-US"/>
        </w:rPr>
        <w:t xml:space="preserve"> </w:t>
      </w:r>
      <w:r w:rsidR="003D5374" w:rsidRPr="00CF3A28">
        <w:rPr>
          <w:bCs/>
          <w:sz w:val="24"/>
          <w:szCs w:val="24"/>
        </w:rPr>
        <w:t>Th</w:t>
      </w:r>
      <w:r w:rsidR="00597318" w:rsidRPr="00CF3A28">
        <w:rPr>
          <w:bCs/>
          <w:sz w:val="24"/>
          <w:szCs w:val="24"/>
        </w:rPr>
        <w:t>us, th</w:t>
      </w:r>
      <w:r w:rsidR="003D5374" w:rsidRPr="00CF3A28">
        <w:rPr>
          <w:bCs/>
          <w:sz w:val="24"/>
          <w:szCs w:val="24"/>
        </w:rPr>
        <w:t>e regulative, protective system of mercantilism was only selectively dismantled and</w:t>
      </w:r>
      <w:r w:rsidR="00597318" w:rsidRPr="00CF3A28">
        <w:rPr>
          <w:bCs/>
          <w:sz w:val="24"/>
          <w:szCs w:val="24"/>
        </w:rPr>
        <w:t>,</w:t>
      </w:r>
      <w:r w:rsidR="003D5374" w:rsidRPr="00CF3A28">
        <w:rPr>
          <w:bCs/>
          <w:sz w:val="24"/>
          <w:szCs w:val="24"/>
        </w:rPr>
        <w:t xml:space="preserve"> by the end of the nineteenth century, there was a full</w:t>
      </w:r>
      <w:r w:rsidR="003D5374" w:rsidRPr="00CF3A28">
        <w:rPr>
          <w:bCs/>
          <w:sz w:val="24"/>
          <w:szCs w:val="24"/>
        </w:rPr>
        <w:noBreakHyphen/>
        <w:t>blown return to monopoly and regulation.</w:t>
      </w:r>
      <w:r w:rsidR="003D5374" w:rsidRPr="00CF3A28">
        <w:rPr>
          <w:bCs/>
          <w:sz w:val="24"/>
          <w:szCs w:val="24"/>
          <w:lang w:val="en-US"/>
        </w:rPr>
        <w:t xml:space="preserve"> </w:t>
      </w:r>
      <w:r w:rsidR="006B409E" w:rsidRPr="00CF3A28">
        <w:rPr>
          <w:bCs/>
          <w:sz w:val="24"/>
          <w:szCs w:val="24"/>
          <w:lang w:val="en-US"/>
        </w:rPr>
        <w:t>D</w:t>
      </w:r>
      <w:r w:rsidR="00760FC9" w:rsidRPr="00CF3A28">
        <w:rPr>
          <w:bCs/>
          <w:sz w:val="24"/>
          <w:szCs w:val="24"/>
          <w:lang w:val="en-US"/>
        </w:rPr>
        <w:t>e</w:t>
      </w:r>
      <w:r w:rsidR="00AA7CEC" w:rsidRPr="00CF3A28">
        <w:rPr>
          <w:bCs/>
          <w:sz w:val="24"/>
          <w:szCs w:val="24"/>
          <w:lang w:val="en-US"/>
        </w:rPr>
        <w:t>regulation of markets and capital</w:t>
      </w:r>
      <w:r w:rsidR="00776A1A" w:rsidRPr="00CF3A28">
        <w:rPr>
          <w:bCs/>
          <w:sz w:val="24"/>
          <w:szCs w:val="24"/>
          <w:lang w:val="en-US"/>
        </w:rPr>
        <w:t>,</w:t>
      </w:r>
      <w:r w:rsidR="00AA7CEC" w:rsidRPr="00CF3A28">
        <w:rPr>
          <w:bCs/>
          <w:sz w:val="24"/>
          <w:szCs w:val="24"/>
          <w:lang w:val="en-US"/>
        </w:rPr>
        <w:t xml:space="preserve"> the end of national welfare systems and ‘moral economies’</w:t>
      </w:r>
      <w:r w:rsidR="00CF1F17" w:rsidRPr="00CF3A28">
        <w:rPr>
          <w:bCs/>
          <w:sz w:val="24"/>
          <w:szCs w:val="24"/>
          <w:lang w:val="en-US"/>
        </w:rPr>
        <w:t>,</w:t>
      </w:r>
      <w:r w:rsidR="00AA7CEC" w:rsidRPr="00CF3A28">
        <w:rPr>
          <w:bCs/>
          <w:sz w:val="24"/>
          <w:szCs w:val="24"/>
          <w:lang w:val="en-US"/>
        </w:rPr>
        <w:t xml:space="preserve"> </w:t>
      </w:r>
      <w:r w:rsidR="00776A1A" w:rsidRPr="00CF3A28">
        <w:rPr>
          <w:bCs/>
          <w:sz w:val="24"/>
          <w:szCs w:val="24"/>
          <w:lang w:val="en-US"/>
        </w:rPr>
        <w:t>and the further</w:t>
      </w:r>
      <w:r w:rsidR="00AA7CEC" w:rsidRPr="00CF3A28">
        <w:rPr>
          <w:bCs/>
          <w:sz w:val="24"/>
          <w:szCs w:val="24"/>
          <w:lang w:val="en-US"/>
        </w:rPr>
        <w:t xml:space="preserve"> de-</w:t>
      </w:r>
      <w:proofErr w:type="spellStart"/>
      <w:r w:rsidR="00AA7CEC" w:rsidRPr="00CF3A28">
        <w:rPr>
          <w:bCs/>
          <w:sz w:val="24"/>
          <w:szCs w:val="24"/>
          <w:lang w:val="en-US"/>
        </w:rPr>
        <w:t>industrialisation</w:t>
      </w:r>
      <w:proofErr w:type="spellEnd"/>
      <w:r w:rsidR="00AA7CEC" w:rsidRPr="00CF3A28">
        <w:rPr>
          <w:bCs/>
          <w:sz w:val="24"/>
          <w:szCs w:val="24"/>
          <w:lang w:val="en-US"/>
        </w:rPr>
        <w:t xml:space="preserve"> of rural areas and concentration of production in cities</w:t>
      </w:r>
      <w:r w:rsidR="00D0736E" w:rsidRPr="00CF3A28">
        <w:rPr>
          <w:bCs/>
          <w:sz w:val="24"/>
          <w:szCs w:val="24"/>
          <w:lang w:val="en-US"/>
        </w:rPr>
        <w:t>,</w:t>
      </w:r>
      <w:r w:rsidR="006B409E" w:rsidRPr="00CF3A28">
        <w:rPr>
          <w:bCs/>
          <w:sz w:val="24"/>
          <w:szCs w:val="24"/>
          <w:lang w:val="en-US"/>
        </w:rPr>
        <w:t xml:space="preserve"> succeeded in ‘</w:t>
      </w:r>
      <w:proofErr w:type="spellStart"/>
      <w:r w:rsidR="006B409E" w:rsidRPr="00CF3A28">
        <w:rPr>
          <w:bCs/>
          <w:sz w:val="24"/>
          <w:szCs w:val="24"/>
          <w:lang w:val="en-US"/>
        </w:rPr>
        <w:t>dis</w:t>
      </w:r>
      <w:proofErr w:type="spellEnd"/>
      <w:r w:rsidR="006B409E" w:rsidRPr="00CF3A28">
        <w:rPr>
          <w:bCs/>
          <w:sz w:val="24"/>
          <w:szCs w:val="24"/>
          <w:lang w:val="en-US"/>
        </w:rPr>
        <w:t xml:space="preserve">-embedding’ markets and. accelerating the globalization of capital. </w:t>
      </w:r>
    </w:p>
    <w:p w:rsidR="00AA7CEC" w:rsidRPr="00CF3A28" w:rsidRDefault="00AA7CEC" w:rsidP="00CF3A28">
      <w:pPr>
        <w:autoSpaceDE w:val="0"/>
        <w:autoSpaceDN w:val="0"/>
        <w:spacing w:line="240" w:lineRule="auto"/>
        <w:jc w:val="left"/>
        <w:rPr>
          <w:bCs/>
          <w:sz w:val="24"/>
          <w:szCs w:val="24"/>
        </w:rPr>
      </w:pPr>
    </w:p>
    <w:p w:rsidR="00883872" w:rsidRPr="00CF3A28" w:rsidRDefault="00883872" w:rsidP="00CF3A28">
      <w:pPr>
        <w:autoSpaceDE w:val="0"/>
        <w:autoSpaceDN w:val="0"/>
        <w:spacing w:line="240" w:lineRule="auto"/>
        <w:jc w:val="left"/>
        <w:rPr>
          <w:bCs/>
          <w:sz w:val="24"/>
          <w:szCs w:val="24"/>
        </w:rPr>
      </w:pPr>
      <w:r w:rsidRPr="00CF3A28">
        <w:rPr>
          <w:bCs/>
          <w:sz w:val="24"/>
          <w:szCs w:val="24"/>
        </w:rPr>
        <w:t xml:space="preserve">The context for these developments was the quarter century </w:t>
      </w:r>
      <w:r w:rsidR="00153066" w:rsidRPr="00CF3A28">
        <w:rPr>
          <w:bCs/>
          <w:sz w:val="24"/>
          <w:szCs w:val="24"/>
        </w:rPr>
        <w:t xml:space="preserve">of war </w:t>
      </w:r>
      <w:r w:rsidRPr="00CF3A28">
        <w:rPr>
          <w:bCs/>
          <w:sz w:val="24"/>
          <w:szCs w:val="24"/>
        </w:rPr>
        <w:t>that began with the French Revolution and end</w:t>
      </w:r>
      <w:r w:rsidR="00153066" w:rsidRPr="00CF3A28">
        <w:rPr>
          <w:bCs/>
          <w:sz w:val="24"/>
          <w:szCs w:val="24"/>
        </w:rPr>
        <w:t>ed i</w:t>
      </w:r>
      <w:r w:rsidRPr="00CF3A28">
        <w:rPr>
          <w:bCs/>
          <w:sz w:val="24"/>
          <w:szCs w:val="24"/>
        </w:rPr>
        <w:t xml:space="preserve">n 1815.  </w:t>
      </w:r>
      <w:r w:rsidR="00492B03" w:rsidRPr="00CF3A28">
        <w:rPr>
          <w:bCs/>
          <w:sz w:val="24"/>
          <w:szCs w:val="24"/>
        </w:rPr>
        <w:t>The dangers of a trained and compact mass army had been revealed in t</w:t>
      </w:r>
      <w:r w:rsidRPr="00CF3A28">
        <w:rPr>
          <w:bCs/>
          <w:sz w:val="24"/>
          <w:szCs w:val="24"/>
        </w:rPr>
        <w:t>his period of mass warfare and revolutionary turmoil</w:t>
      </w:r>
      <w:r w:rsidR="00492B03" w:rsidRPr="00CF3A28">
        <w:rPr>
          <w:bCs/>
          <w:sz w:val="24"/>
          <w:szCs w:val="24"/>
        </w:rPr>
        <w:t>,</w:t>
      </w:r>
      <w:r w:rsidRPr="00CF3A28">
        <w:rPr>
          <w:bCs/>
          <w:sz w:val="24"/>
          <w:szCs w:val="24"/>
        </w:rPr>
        <w:t xml:space="preserve"> and</w:t>
      </w:r>
      <w:r w:rsidRPr="00CF3A28">
        <w:rPr>
          <w:bCs/>
          <w:sz w:val="24"/>
          <w:szCs w:val="24"/>
          <w:lang w:val="en-US"/>
        </w:rPr>
        <w:t xml:space="preserve"> elites </w:t>
      </w:r>
      <w:r w:rsidR="00492B03" w:rsidRPr="00CF3A28">
        <w:rPr>
          <w:bCs/>
          <w:sz w:val="24"/>
          <w:szCs w:val="24"/>
          <w:lang w:val="en-US"/>
        </w:rPr>
        <w:t xml:space="preserve">had </w:t>
      </w:r>
      <w:r w:rsidRPr="00CF3A28">
        <w:rPr>
          <w:bCs/>
          <w:sz w:val="24"/>
          <w:szCs w:val="24"/>
          <w:lang w:val="en-US"/>
        </w:rPr>
        <w:t>dr</w:t>
      </w:r>
      <w:r w:rsidR="00492B03" w:rsidRPr="00CF3A28">
        <w:rPr>
          <w:bCs/>
          <w:sz w:val="24"/>
          <w:szCs w:val="24"/>
          <w:lang w:val="en-US"/>
        </w:rPr>
        <w:t>a</w:t>
      </w:r>
      <w:r w:rsidRPr="00CF3A28">
        <w:rPr>
          <w:bCs/>
          <w:sz w:val="24"/>
          <w:szCs w:val="24"/>
          <w:lang w:val="en-US"/>
        </w:rPr>
        <w:t>w</w:t>
      </w:r>
      <w:r w:rsidR="00492B03" w:rsidRPr="00CF3A28">
        <w:rPr>
          <w:bCs/>
          <w:sz w:val="24"/>
          <w:szCs w:val="24"/>
          <w:lang w:val="en-US"/>
        </w:rPr>
        <w:t xml:space="preserve">n </w:t>
      </w:r>
      <w:r w:rsidRPr="00CF3A28">
        <w:rPr>
          <w:bCs/>
          <w:sz w:val="24"/>
          <w:szCs w:val="24"/>
          <w:lang w:val="en-US"/>
        </w:rPr>
        <w:t xml:space="preserve">many analogies between the revolutionary currents unleashed by the mass army of soldiers that had been created for the Napoleonic Wars and the dangers of mobilizing a mass army of workers to expand industrial production. </w:t>
      </w:r>
      <w:r w:rsidR="00A75A09" w:rsidRPr="00CF3A28">
        <w:rPr>
          <w:bCs/>
          <w:sz w:val="24"/>
          <w:szCs w:val="24"/>
          <w:lang w:val="en-US"/>
        </w:rPr>
        <w:t>The French Revolution had also seen the birth of socialism,</w:t>
      </w:r>
      <w:r w:rsidRPr="00CF3A28">
        <w:rPr>
          <w:bCs/>
          <w:sz w:val="24"/>
          <w:szCs w:val="24"/>
        </w:rPr>
        <w:t xml:space="preserve"> and its focus on eradicating private property -- something </w:t>
      </w:r>
      <w:r w:rsidR="00D27EA5" w:rsidRPr="00CF3A28">
        <w:rPr>
          <w:bCs/>
          <w:sz w:val="24"/>
          <w:szCs w:val="24"/>
        </w:rPr>
        <w:t xml:space="preserve">for which </w:t>
      </w:r>
      <w:r w:rsidRPr="00CF3A28">
        <w:rPr>
          <w:bCs/>
          <w:sz w:val="24"/>
          <w:szCs w:val="24"/>
        </w:rPr>
        <w:t xml:space="preserve">dominant classes had </w:t>
      </w:r>
      <w:r w:rsidR="00D27EA5" w:rsidRPr="00CF3A28">
        <w:rPr>
          <w:bCs/>
          <w:sz w:val="24"/>
          <w:szCs w:val="24"/>
        </w:rPr>
        <w:t>struggled over the course of</w:t>
      </w:r>
      <w:r w:rsidRPr="00CF3A28">
        <w:rPr>
          <w:bCs/>
          <w:sz w:val="24"/>
          <w:szCs w:val="24"/>
        </w:rPr>
        <w:t xml:space="preserve"> a century or more -- seemed, in combination with the revolutionary ferment unleashed by the war, to threaten an anti-capitalist revolt of the masses. Thus, the central dilemma for dominant groups tempted to mobilise labour for the expansion of industrial production was how it would be possible both to mobilize -- train, educate and, in other ways, empower -- labour while, at the same time, maintaining its subordination to capital. Mass mobilization for industry (as for war) creates, out of the relatively disadvantaged majority of the population, a compact and potentially dangerous force; thus, elites showed little interest in the expansion of industry at home. </w:t>
      </w:r>
    </w:p>
    <w:p w:rsidR="00883872" w:rsidRPr="00CF3A28" w:rsidRDefault="00883872" w:rsidP="00CF3A28">
      <w:pPr>
        <w:autoSpaceDE w:val="0"/>
        <w:autoSpaceDN w:val="0"/>
        <w:spacing w:line="240" w:lineRule="auto"/>
        <w:jc w:val="left"/>
        <w:rPr>
          <w:bCs/>
          <w:sz w:val="24"/>
          <w:szCs w:val="24"/>
        </w:rPr>
      </w:pPr>
    </w:p>
    <w:p w:rsidR="00883872" w:rsidRPr="00CF3A28" w:rsidRDefault="003474F6" w:rsidP="00CF3A28">
      <w:pPr>
        <w:autoSpaceDE w:val="0"/>
        <w:autoSpaceDN w:val="0"/>
        <w:spacing w:line="240" w:lineRule="auto"/>
        <w:jc w:val="left"/>
        <w:rPr>
          <w:bCs/>
          <w:sz w:val="24"/>
          <w:szCs w:val="24"/>
        </w:rPr>
      </w:pPr>
      <w:r w:rsidRPr="00CF3A28">
        <w:rPr>
          <w:bCs/>
          <w:sz w:val="24"/>
          <w:szCs w:val="24"/>
        </w:rPr>
        <w:t>This, then, was the context in which industrial expansion became externally-oriented and markets were ‘</w:t>
      </w:r>
      <w:proofErr w:type="spellStart"/>
      <w:r w:rsidRPr="00CF3A28">
        <w:rPr>
          <w:bCs/>
          <w:sz w:val="24"/>
          <w:szCs w:val="24"/>
        </w:rPr>
        <w:t>disembedded</w:t>
      </w:r>
      <w:proofErr w:type="spellEnd"/>
      <w:r w:rsidRPr="00CF3A28">
        <w:rPr>
          <w:bCs/>
          <w:sz w:val="24"/>
          <w:szCs w:val="24"/>
        </w:rPr>
        <w:t>’</w:t>
      </w:r>
      <w:r w:rsidRPr="00CF3A28">
        <w:rPr>
          <w:bCs/>
          <w:sz w:val="24"/>
          <w:szCs w:val="24"/>
          <w:lang w:val="en-US"/>
        </w:rPr>
        <w:t xml:space="preserve">. </w:t>
      </w:r>
      <w:r w:rsidR="00883872" w:rsidRPr="00CF3A28">
        <w:rPr>
          <w:bCs/>
          <w:sz w:val="24"/>
          <w:szCs w:val="24"/>
        </w:rPr>
        <w:t xml:space="preserve">Wherever industrial production expanded, whether of manufactured or agricultural or mineral goods, it was in order to increase exports. By expanding production largely for export, </w:t>
      </w:r>
      <w:r w:rsidRPr="00CF3A28">
        <w:rPr>
          <w:bCs/>
          <w:sz w:val="24"/>
          <w:szCs w:val="24"/>
        </w:rPr>
        <w:t xml:space="preserve">dominant classes </w:t>
      </w:r>
      <w:r w:rsidR="00883872" w:rsidRPr="00CF3A28">
        <w:rPr>
          <w:bCs/>
          <w:sz w:val="24"/>
          <w:szCs w:val="24"/>
        </w:rPr>
        <w:t xml:space="preserve">obviated the need to provide labourers with the means to buy what they produced and deprived them of the ability to exercise power through consumer choice or boycott. Thus, while Europe at that time saw an increase in the scale of industrial production, involving a massive mobilisation of human and material resources and a re-organisation of production processes, this revolution of scale, as it might be called, involved neither a revolution in technology nor a transformation either of means or relations of production (see </w:t>
      </w:r>
      <w:proofErr w:type="spellStart"/>
      <w:r w:rsidR="00883872" w:rsidRPr="00CF3A28">
        <w:rPr>
          <w:bCs/>
          <w:sz w:val="24"/>
          <w:szCs w:val="24"/>
        </w:rPr>
        <w:t>Halperin</w:t>
      </w:r>
      <w:proofErr w:type="spellEnd"/>
      <w:r w:rsidR="00883872" w:rsidRPr="00CF3A28">
        <w:rPr>
          <w:bCs/>
          <w:sz w:val="24"/>
          <w:szCs w:val="24"/>
        </w:rPr>
        <w:t xml:space="preserve"> 2014: chapter 3). </w:t>
      </w:r>
    </w:p>
    <w:p w:rsidR="00883872" w:rsidRPr="00CF3A28" w:rsidRDefault="00883872" w:rsidP="00CF3A28">
      <w:pPr>
        <w:autoSpaceDE w:val="0"/>
        <w:autoSpaceDN w:val="0"/>
        <w:spacing w:line="240" w:lineRule="auto"/>
        <w:jc w:val="left"/>
        <w:rPr>
          <w:bCs/>
          <w:sz w:val="24"/>
          <w:szCs w:val="24"/>
          <w:lang w:val="en-US"/>
        </w:rPr>
      </w:pPr>
    </w:p>
    <w:p w:rsidR="00883872" w:rsidRPr="00CF3A28" w:rsidRDefault="00883872" w:rsidP="00CF3A28">
      <w:pPr>
        <w:autoSpaceDE w:val="0"/>
        <w:autoSpaceDN w:val="0"/>
        <w:spacing w:line="240" w:lineRule="auto"/>
        <w:jc w:val="left"/>
        <w:rPr>
          <w:bCs/>
          <w:sz w:val="24"/>
          <w:szCs w:val="24"/>
        </w:rPr>
      </w:pPr>
      <w:r w:rsidRPr="00CF3A28">
        <w:rPr>
          <w:bCs/>
          <w:sz w:val="24"/>
          <w:szCs w:val="24"/>
        </w:rPr>
        <w:t>In Europe, mechanisation was introduced very slowly and selectively and methods of production were employed that deskilled workers and kept labour, as a whole, fragmented and poorly paid. The overall pattern of expansion that emerged was ‘dualistic’ -- based on production principally for export to foreign ruling groups or areas of ‘new’ settlement abroad,</w:t>
      </w:r>
      <w:r w:rsidRPr="00CF3A28">
        <w:rPr>
          <w:bCs/>
          <w:sz w:val="24"/>
          <w:szCs w:val="24"/>
          <w:vertAlign w:val="superscript"/>
        </w:rPr>
        <w:footnoteReference w:id="14"/>
      </w:r>
      <w:r w:rsidRPr="00CF3A28">
        <w:rPr>
          <w:bCs/>
          <w:sz w:val="24"/>
          <w:szCs w:val="24"/>
        </w:rPr>
        <w:t xml:space="preserve"> rather than on the growth and integration of local markets. It was based on developing purchasing power </w:t>
      </w:r>
      <w:r w:rsidRPr="00CF3A28">
        <w:rPr>
          <w:bCs/>
          <w:i/>
          <w:sz w:val="24"/>
          <w:szCs w:val="24"/>
        </w:rPr>
        <w:t>abroad</w:t>
      </w:r>
      <w:r w:rsidRPr="00CF3A28">
        <w:rPr>
          <w:bCs/>
          <w:sz w:val="24"/>
          <w:szCs w:val="24"/>
        </w:rPr>
        <w:t xml:space="preserve"> (through loans and investment in infrastructure, railroads and armaments), and on repression and exploitation at home. </w:t>
      </w:r>
      <w:r w:rsidRPr="00CF3A28">
        <w:rPr>
          <w:bCs/>
          <w:sz w:val="24"/>
          <w:szCs w:val="24"/>
          <w:vertAlign w:val="superscript"/>
        </w:rPr>
        <w:footnoteReference w:id="15"/>
      </w:r>
      <w:r w:rsidRPr="00CF3A28">
        <w:rPr>
          <w:bCs/>
          <w:sz w:val="24"/>
          <w:szCs w:val="24"/>
        </w:rPr>
        <w:t xml:space="preserve"> </w:t>
      </w:r>
    </w:p>
    <w:p w:rsidR="00370EAE" w:rsidRPr="00CF3A28" w:rsidRDefault="00370EAE" w:rsidP="00CF3A28">
      <w:pPr>
        <w:autoSpaceDE w:val="0"/>
        <w:autoSpaceDN w:val="0"/>
        <w:spacing w:line="240" w:lineRule="auto"/>
        <w:jc w:val="left"/>
        <w:rPr>
          <w:bCs/>
          <w:sz w:val="24"/>
          <w:szCs w:val="24"/>
        </w:rPr>
      </w:pPr>
    </w:p>
    <w:p w:rsidR="00883872" w:rsidRPr="00CF3A28" w:rsidRDefault="00883872" w:rsidP="00CF3A28">
      <w:pPr>
        <w:autoSpaceDE w:val="0"/>
        <w:autoSpaceDN w:val="0"/>
        <w:spacing w:line="240" w:lineRule="auto"/>
        <w:jc w:val="left"/>
        <w:rPr>
          <w:bCs/>
          <w:sz w:val="24"/>
          <w:szCs w:val="24"/>
        </w:rPr>
      </w:pPr>
      <w:r w:rsidRPr="00CF3A28">
        <w:rPr>
          <w:bCs/>
          <w:sz w:val="24"/>
          <w:szCs w:val="24"/>
        </w:rPr>
        <w:t>In 1914, mechanization, skilled labour, and rising productivity and real wages in Britain (the ‘first industrial nation’) were found only in sectors producing for export. These sectors had only a limited impact on the rest of the economy. Little attempt was made to expand or mechanize industries producing goods for domestic household consumption. Britain’s exports of capital provided purchasing power among foreign governments and elites. British built foreign railways, canals, and other public works, including banks, telegraphs, and other public services owned or dependent upon governments, funded the development and transport of food and raw materials exports to Europe, thus creating additional foreign purchasing power and demand for British goods. At the centre of this expansion was the City of London which, like the advanced sector of a ‘dependent’ third world economy, worked to build strong linkages between British export industries and foreign economies, rather than to integrate various parts of the domestic economy.</w:t>
      </w:r>
    </w:p>
    <w:p w:rsidR="00883872" w:rsidRPr="00CF3A28" w:rsidRDefault="00883872" w:rsidP="00CF3A28">
      <w:pPr>
        <w:autoSpaceDE w:val="0"/>
        <w:autoSpaceDN w:val="0"/>
        <w:spacing w:line="240" w:lineRule="auto"/>
        <w:jc w:val="left"/>
        <w:rPr>
          <w:bCs/>
          <w:sz w:val="24"/>
          <w:szCs w:val="24"/>
        </w:rPr>
      </w:pPr>
    </w:p>
    <w:p w:rsidR="00370EAE" w:rsidRPr="00CF3A28" w:rsidRDefault="00370EAE" w:rsidP="00CF3A28">
      <w:pPr>
        <w:autoSpaceDE w:val="0"/>
        <w:autoSpaceDN w:val="0"/>
        <w:spacing w:line="240" w:lineRule="auto"/>
        <w:jc w:val="left"/>
        <w:rPr>
          <w:bCs/>
          <w:sz w:val="24"/>
          <w:szCs w:val="24"/>
          <w:lang w:val="en-US"/>
        </w:rPr>
      </w:pPr>
      <w:r w:rsidRPr="00CF3A28">
        <w:rPr>
          <w:bCs/>
          <w:sz w:val="24"/>
          <w:szCs w:val="24"/>
        </w:rPr>
        <w:t>T</w:t>
      </w:r>
      <w:r w:rsidRPr="00CF3A28">
        <w:rPr>
          <w:bCs/>
          <w:sz w:val="24"/>
          <w:szCs w:val="24"/>
          <w:lang w:val="en-US"/>
        </w:rPr>
        <w:t xml:space="preserve">he </w:t>
      </w:r>
      <w:r w:rsidRPr="00CF3A28">
        <w:rPr>
          <w:bCs/>
          <w:sz w:val="24"/>
          <w:szCs w:val="24"/>
        </w:rPr>
        <w:t>two central features of Europe’s system of industrial expansion, then, of internal repression and external expansion</w:t>
      </w:r>
      <w:r w:rsidRPr="00CF3A28">
        <w:rPr>
          <w:bCs/>
          <w:sz w:val="24"/>
          <w:szCs w:val="24"/>
          <w:lang w:val="en-US"/>
        </w:rPr>
        <w:t xml:space="preserve"> generated what might be characterized as </w:t>
      </w:r>
      <w:r w:rsidRPr="00CF3A28">
        <w:rPr>
          <w:bCs/>
          <w:sz w:val="24"/>
          <w:szCs w:val="24"/>
        </w:rPr>
        <w:t xml:space="preserve">a ‘double movement’ of imperialist expansion abroad, and the persistent opposition of  disaffected and exploited classes at home. </w:t>
      </w:r>
    </w:p>
    <w:p w:rsidR="00370EAE" w:rsidRPr="00CF3A28" w:rsidRDefault="00370EAE" w:rsidP="00CF3A28">
      <w:pPr>
        <w:autoSpaceDE w:val="0"/>
        <w:autoSpaceDN w:val="0"/>
        <w:spacing w:line="240" w:lineRule="auto"/>
        <w:jc w:val="left"/>
        <w:rPr>
          <w:bCs/>
          <w:sz w:val="24"/>
          <w:szCs w:val="24"/>
        </w:rPr>
      </w:pPr>
    </w:p>
    <w:p w:rsidR="00883872" w:rsidRPr="00CF3A28" w:rsidRDefault="00883872" w:rsidP="00CF3A28">
      <w:pPr>
        <w:autoSpaceDE w:val="0"/>
        <w:autoSpaceDN w:val="0"/>
        <w:spacing w:line="240" w:lineRule="auto"/>
        <w:jc w:val="left"/>
        <w:rPr>
          <w:bCs/>
          <w:sz w:val="24"/>
          <w:szCs w:val="24"/>
        </w:rPr>
      </w:pPr>
      <w:r w:rsidRPr="00CF3A28">
        <w:rPr>
          <w:bCs/>
          <w:sz w:val="24"/>
          <w:szCs w:val="24"/>
          <w:lang w:val="en-US"/>
        </w:rPr>
        <w:t xml:space="preserve">Polanyi argued that the unfettering and expansion of the market triggered a simultaneous countermovement on the part of all groups within society. However, the disadvantageous consequences of the unregulated market in the nineteenth century were </w:t>
      </w:r>
      <w:r w:rsidR="00370EAE" w:rsidRPr="00CF3A28">
        <w:rPr>
          <w:bCs/>
          <w:sz w:val="24"/>
          <w:szCs w:val="24"/>
          <w:lang w:val="en-US"/>
        </w:rPr>
        <w:t xml:space="preserve">not </w:t>
      </w:r>
      <w:r w:rsidRPr="00CF3A28">
        <w:rPr>
          <w:bCs/>
          <w:sz w:val="24"/>
          <w:szCs w:val="24"/>
          <w:lang w:val="en-US"/>
        </w:rPr>
        <w:t>experienced by 'society as a whole': some benefitted, some didn't.</w:t>
      </w:r>
      <w:r w:rsidR="00370EAE" w:rsidRPr="00CF3A28">
        <w:rPr>
          <w:bCs/>
          <w:sz w:val="24"/>
          <w:szCs w:val="24"/>
          <w:lang w:val="en-US"/>
        </w:rPr>
        <w:t xml:space="preserve"> Moreover, if d</w:t>
      </w:r>
      <w:r w:rsidRPr="00CF3A28">
        <w:rPr>
          <w:bCs/>
          <w:sz w:val="24"/>
          <w:szCs w:val="24"/>
          <w:lang w:val="en-US"/>
        </w:rPr>
        <w:t>ominant groups sought protection</w:t>
      </w:r>
      <w:r w:rsidR="00370EAE" w:rsidRPr="00CF3A28">
        <w:rPr>
          <w:bCs/>
          <w:sz w:val="24"/>
          <w:szCs w:val="24"/>
          <w:lang w:val="en-US"/>
        </w:rPr>
        <w:t xml:space="preserve"> it was</w:t>
      </w:r>
      <w:r w:rsidRPr="00CF3A28">
        <w:rPr>
          <w:bCs/>
          <w:sz w:val="24"/>
          <w:szCs w:val="24"/>
          <w:lang w:val="en-US"/>
        </w:rPr>
        <w:t xml:space="preserve">, not from the market, but from pressures for redistribution and reform that threatened their monopoly and privilege. As </w:t>
      </w:r>
      <w:r w:rsidRPr="00CF3A28">
        <w:rPr>
          <w:bCs/>
          <w:sz w:val="24"/>
          <w:szCs w:val="24"/>
        </w:rPr>
        <w:t>Polanyi himself observe</w:t>
      </w:r>
      <w:r w:rsidR="00370EAE" w:rsidRPr="00CF3A28">
        <w:rPr>
          <w:bCs/>
          <w:sz w:val="24"/>
          <w:szCs w:val="24"/>
        </w:rPr>
        <w:t>d</w:t>
      </w:r>
      <w:r w:rsidRPr="00CF3A28">
        <w:rPr>
          <w:bCs/>
          <w:sz w:val="24"/>
          <w:szCs w:val="24"/>
        </w:rPr>
        <w:t xml:space="preserve">, industrialists demanded from the state that their property be protected, not from the market, but 'from the people' (1957: 225).  </w:t>
      </w:r>
    </w:p>
    <w:p w:rsidR="00883872" w:rsidRPr="00CF3A28" w:rsidRDefault="00883872" w:rsidP="00CF3A28">
      <w:pPr>
        <w:autoSpaceDE w:val="0"/>
        <w:autoSpaceDN w:val="0"/>
        <w:spacing w:line="240" w:lineRule="auto"/>
        <w:jc w:val="left"/>
        <w:rPr>
          <w:bCs/>
          <w:sz w:val="24"/>
          <w:szCs w:val="24"/>
          <w:lang w:val="en-US"/>
        </w:rPr>
      </w:pPr>
    </w:p>
    <w:p w:rsidR="00DD45E7" w:rsidRPr="00CF3A28" w:rsidRDefault="00270686" w:rsidP="00CF3A28">
      <w:pPr>
        <w:autoSpaceDE w:val="0"/>
        <w:autoSpaceDN w:val="0"/>
        <w:spacing w:line="240" w:lineRule="auto"/>
        <w:jc w:val="left"/>
        <w:rPr>
          <w:b/>
          <w:sz w:val="24"/>
          <w:szCs w:val="24"/>
        </w:rPr>
      </w:pPr>
      <w:r w:rsidRPr="00CF3A28">
        <w:rPr>
          <w:b/>
          <w:sz w:val="24"/>
          <w:szCs w:val="24"/>
        </w:rPr>
        <w:t>States and International Structures</w:t>
      </w:r>
    </w:p>
    <w:p w:rsidR="00270686" w:rsidRPr="00CF3A28" w:rsidRDefault="00270686" w:rsidP="00CF3A28">
      <w:pPr>
        <w:autoSpaceDE w:val="0"/>
        <w:autoSpaceDN w:val="0"/>
        <w:spacing w:line="240" w:lineRule="auto"/>
        <w:jc w:val="left"/>
        <w:rPr>
          <w:sz w:val="24"/>
          <w:szCs w:val="24"/>
          <w:lang w:val="en-US"/>
        </w:rPr>
      </w:pPr>
    </w:p>
    <w:p w:rsidR="00F715C3" w:rsidRPr="00CF3A28" w:rsidRDefault="00F715C3" w:rsidP="00CF3A28">
      <w:pPr>
        <w:autoSpaceDE w:val="0"/>
        <w:autoSpaceDN w:val="0"/>
        <w:spacing w:line="240" w:lineRule="auto"/>
        <w:jc w:val="left"/>
        <w:rPr>
          <w:bCs/>
          <w:sz w:val="24"/>
          <w:szCs w:val="24"/>
          <w:lang w:val="en-US"/>
        </w:rPr>
      </w:pPr>
      <w:r w:rsidRPr="00CF3A28">
        <w:rPr>
          <w:bCs/>
          <w:sz w:val="24"/>
          <w:szCs w:val="24"/>
          <w:lang w:val="en-US"/>
        </w:rPr>
        <w:t xml:space="preserve">Polanyi argued that Europe’s nineteenth century market system represented the victory of liberal interests and values. But </w:t>
      </w:r>
      <w:proofErr w:type="spellStart"/>
      <w:r w:rsidRPr="00CF3A28">
        <w:rPr>
          <w:bCs/>
          <w:sz w:val="24"/>
          <w:szCs w:val="24"/>
          <w:lang w:val="en-US"/>
        </w:rPr>
        <w:t>i</w:t>
      </w:r>
      <w:r w:rsidRPr="00CF3A28">
        <w:rPr>
          <w:bCs/>
          <w:sz w:val="24"/>
          <w:szCs w:val="24"/>
        </w:rPr>
        <w:t>ndustrial</w:t>
      </w:r>
      <w:proofErr w:type="spellEnd"/>
      <w:r w:rsidRPr="00CF3A28">
        <w:rPr>
          <w:bCs/>
          <w:sz w:val="24"/>
          <w:szCs w:val="24"/>
        </w:rPr>
        <w:t xml:space="preserve"> expansion in Europe was shaped, not by a liberal, competitive ethos, but by </w:t>
      </w:r>
      <w:proofErr w:type="spellStart"/>
      <w:r w:rsidRPr="00CF3A28">
        <w:rPr>
          <w:bCs/>
          <w:sz w:val="24"/>
          <w:szCs w:val="24"/>
        </w:rPr>
        <w:t>monopolism</w:t>
      </w:r>
      <w:proofErr w:type="spellEnd"/>
      <w:r w:rsidRPr="00CF3A28">
        <w:rPr>
          <w:bCs/>
          <w:sz w:val="24"/>
          <w:szCs w:val="24"/>
        </w:rPr>
        <w:t xml:space="preserve">, protectionism, </w:t>
      </w:r>
      <w:proofErr w:type="spellStart"/>
      <w:r w:rsidRPr="00CF3A28">
        <w:rPr>
          <w:bCs/>
          <w:sz w:val="24"/>
          <w:szCs w:val="24"/>
        </w:rPr>
        <w:t>cartellization</w:t>
      </w:r>
      <w:proofErr w:type="spellEnd"/>
      <w:r w:rsidRPr="00CF3A28">
        <w:rPr>
          <w:bCs/>
          <w:sz w:val="24"/>
          <w:szCs w:val="24"/>
        </w:rPr>
        <w:t xml:space="preserve"> and corporatism, and by rural, pre-industrial, and autocratic structures of power and authority. </w:t>
      </w:r>
    </w:p>
    <w:p w:rsidR="00F715C3" w:rsidRPr="00CF3A28" w:rsidRDefault="00F715C3" w:rsidP="00CF3A28">
      <w:pPr>
        <w:autoSpaceDE w:val="0"/>
        <w:autoSpaceDN w:val="0"/>
        <w:spacing w:line="240" w:lineRule="auto"/>
        <w:jc w:val="left"/>
        <w:rPr>
          <w:bCs/>
          <w:sz w:val="24"/>
          <w:szCs w:val="24"/>
          <w:lang w:val="en-US"/>
        </w:rPr>
      </w:pPr>
    </w:p>
    <w:p w:rsidR="00A25C50" w:rsidRPr="00CF3A28" w:rsidRDefault="00A25C50" w:rsidP="00CF3A28">
      <w:pPr>
        <w:autoSpaceDE w:val="0"/>
        <w:autoSpaceDN w:val="0"/>
        <w:spacing w:line="240" w:lineRule="auto"/>
        <w:jc w:val="left"/>
        <w:rPr>
          <w:bCs/>
          <w:sz w:val="24"/>
          <w:szCs w:val="24"/>
          <w:lang w:val="en-US"/>
        </w:rPr>
      </w:pPr>
      <w:r w:rsidRPr="00CF3A28">
        <w:rPr>
          <w:bCs/>
          <w:sz w:val="24"/>
          <w:szCs w:val="24"/>
          <w:lang w:val="en-US"/>
        </w:rPr>
        <w:t xml:space="preserve">Polanyi begins his account </w:t>
      </w:r>
      <w:r w:rsidR="00F715C3" w:rsidRPr="00CF3A28">
        <w:rPr>
          <w:bCs/>
          <w:sz w:val="24"/>
          <w:szCs w:val="24"/>
          <w:lang w:val="en-US"/>
        </w:rPr>
        <w:t xml:space="preserve">of the nineteenth century market system </w:t>
      </w:r>
      <w:r w:rsidRPr="00CF3A28">
        <w:rPr>
          <w:bCs/>
          <w:sz w:val="24"/>
          <w:szCs w:val="24"/>
          <w:lang w:val="en-US"/>
        </w:rPr>
        <w:t xml:space="preserve">with an analysis of the institutions of what </w:t>
      </w:r>
      <w:r w:rsidR="00321AEA" w:rsidRPr="00CF3A28">
        <w:rPr>
          <w:bCs/>
          <w:sz w:val="24"/>
          <w:szCs w:val="24"/>
          <w:lang w:val="en-US"/>
        </w:rPr>
        <w:t xml:space="preserve">he calls </w:t>
      </w:r>
      <w:r w:rsidRPr="00CF3A28">
        <w:rPr>
          <w:bCs/>
          <w:sz w:val="24"/>
          <w:szCs w:val="24"/>
          <w:lang w:val="en-US"/>
        </w:rPr>
        <w:t xml:space="preserve">a ‘new liberal international order’: the Concert of Europe, the balance of power and imperialist ‘regimes’, and the gold standard. </w:t>
      </w:r>
      <w:r w:rsidR="00F715C3" w:rsidRPr="00CF3A28">
        <w:rPr>
          <w:bCs/>
          <w:sz w:val="24"/>
          <w:szCs w:val="24"/>
          <w:lang w:val="en-US"/>
        </w:rPr>
        <w:t xml:space="preserve">He claimed that </w:t>
      </w:r>
      <w:r w:rsidR="00321AEA" w:rsidRPr="00CF3A28">
        <w:rPr>
          <w:bCs/>
          <w:sz w:val="24"/>
          <w:szCs w:val="24"/>
          <w:lang w:val="en-US"/>
        </w:rPr>
        <w:t xml:space="preserve">it was </w:t>
      </w:r>
      <w:r w:rsidRPr="00CF3A28">
        <w:rPr>
          <w:bCs/>
          <w:sz w:val="24"/>
          <w:szCs w:val="24"/>
          <w:lang w:val="en-US"/>
        </w:rPr>
        <w:t>this international order</w:t>
      </w:r>
      <w:r w:rsidR="00321AEA" w:rsidRPr="00CF3A28">
        <w:rPr>
          <w:bCs/>
          <w:sz w:val="24"/>
          <w:szCs w:val="24"/>
          <w:lang w:val="en-US"/>
        </w:rPr>
        <w:t xml:space="preserve"> that</w:t>
      </w:r>
      <w:r w:rsidRPr="00CF3A28">
        <w:rPr>
          <w:bCs/>
          <w:sz w:val="24"/>
          <w:szCs w:val="24"/>
          <w:lang w:val="en-US"/>
        </w:rPr>
        <w:t xml:space="preserve"> made </w:t>
      </w:r>
      <w:r w:rsidR="00321AEA" w:rsidRPr="00CF3A28">
        <w:rPr>
          <w:bCs/>
          <w:sz w:val="24"/>
          <w:szCs w:val="24"/>
          <w:lang w:val="en-US"/>
        </w:rPr>
        <w:t xml:space="preserve">possible the establishment of </w:t>
      </w:r>
      <w:r w:rsidRPr="00CF3A28">
        <w:rPr>
          <w:bCs/>
          <w:sz w:val="24"/>
          <w:szCs w:val="24"/>
          <w:lang w:val="en-US"/>
        </w:rPr>
        <w:t xml:space="preserve">‘liberal’ states and ‘free’ markets. </w:t>
      </w:r>
    </w:p>
    <w:p w:rsidR="00A25C50" w:rsidRPr="00CF3A28" w:rsidRDefault="00A25C50" w:rsidP="00CF3A28">
      <w:pPr>
        <w:autoSpaceDE w:val="0"/>
        <w:autoSpaceDN w:val="0"/>
        <w:spacing w:line="240" w:lineRule="auto"/>
        <w:jc w:val="left"/>
        <w:rPr>
          <w:sz w:val="24"/>
          <w:szCs w:val="24"/>
          <w:lang w:val="en-US"/>
        </w:rPr>
      </w:pPr>
    </w:p>
    <w:p w:rsidR="00961CF8" w:rsidRPr="00CF3A28" w:rsidRDefault="006B4DEB" w:rsidP="00CF3A28">
      <w:pPr>
        <w:autoSpaceDE w:val="0"/>
        <w:autoSpaceDN w:val="0"/>
        <w:spacing w:line="240" w:lineRule="auto"/>
        <w:jc w:val="left"/>
        <w:rPr>
          <w:bCs/>
          <w:sz w:val="24"/>
          <w:szCs w:val="24"/>
        </w:rPr>
      </w:pPr>
      <w:r w:rsidRPr="00CF3A28">
        <w:rPr>
          <w:sz w:val="24"/>
          <w:szCs w:val="24"/>
          <w:lang w:val="en-US"/>
        </w:rPr>
        <w:t>But s</w:t>
      </w:r>
      <w:r w:rsidR="003E0BD7" w:rsidRPr="00CF3A28">
        <w:rPr>
          <w:sz w:val="24"/>
          <w:szCs w:val="24"/>
          <w:lang w:val="en-US"/>
        </w:rPr>
        <w:t xml:space="preserve">tates </w:t>
      </w:r>
      <w:r w:rsidR="00707774" w:rsidRPr="00CF3A28">
        <w:rPr>
          <w:sz w:val="24"/>
          <w:szCs w:val="24"/>
          <w:lang w:val="en-US"/>
        </w:rPr>
        <w:t xml:space="preserve">in nineteenth century Europe </w:t>
      </w:r>
      <w:r w:rsidR="003E0BD7" w:rsidRPr="00CF3A28">
        <w:rPr>
          <w:sz w:val="24"/>
          <w:szCs w:val="24"/>
          <w:lang w:val="en-US"/>
        </w:rPr>
        <w:t>were not Liberal</w:t>
      </w:r>
      <w:r w:rsidR="00CE1097" w:rsidRPr="00CF3A28">
        <w:rPr>
          <w:sz w:val="24"/>
          <w:szCs w:val="24"/>
          <w:lang w:val="en-US"/>
        </w:rPr>
        <w:t>: they were</w:t>
      </w:r>
      <w:r w:rsidR="003E0BD7" w:rsidRPr="00CF3A28">
        <w:rPr>
          <w:sz w:val="24"/>
          <w:szCs w:val="24"/>
          <w:lang w:val="en-US"/>
        </w:rPr>
        <w:t xml:space="preserve"> exclusionary and </w:t>
      </w:r>
      <w:proofErr w:type="spellStart"/>
      <w:r w:rsidR="003E0BD7" w:rsidRPr="00CF3A28">
        <w:rPr>
          <w:sz w:val="24"/>
          <w:szCs w:val="24"/>
          <w:lang w:val="en-US"/>
        </w:rPr>
        <w:t>nobilitarian</w:t>
      </w:r>
      <w:proofErr w:type="spellEnd"/>
      <w:r w:rsidR="0048755D" w:rsidRPr="00CF3A28">
        <w:rPr>
          <w:sz w:val="24"/>
          <w:szCs w:val="24"/>
          <w:lang w:val="en-US"/>
        </w:rPr>
        <w:t xml:space="preserve">. </w:t>
      </w:r>
      <w:r w:rsidRPr="00CF3A28">
        <w:rPr>
          <w:sz w:val="24"/>
          <w:szCs w:val="24"/>
          <w:lang w:val="en-US"/>
        </w:rPr>
        <w:t>D</w:t>
      </w:r>
      <w:r w:rsidR="00D4649E" w:rsidRPr="00CF3A28">
        <w:rPr>
          <w:sz w:val="24"/>
          <w:szCs w:val="24"/>
          <w:lang w:val="en-US"/>
        </w:rPr>
        <w:t>ominant classes</w:t>
      </w:r>
      <w:r w:rsidR="00D4649E" w:rsidRPr="00CF3A28">
        <w:rPr>
          <w:sz w:val="24"/>
          <w:szCs w:val="24"/>
        </w:rPr>
        <w:t xml:space="preserve"> either controlled the apparatus of the state directly or had access to political leaders and could trade their political support, or the withdrawal of political opposition, for concessions from them. </w:t>
      </w:r>
      <w:r w:rsidR="007A1F45" w:rsidRPr="00CF3A28">
        <w:rPr>
          <w:sz w:val="24"/>
          <w:szCs w:val="24"/>
          <w:lang w:val="en-US"/>
        </w:rPr>
        <w:t>Consequently, landowners did not experience significant political setbacks with respect to tariffs, labor legislation, land reform, state allocations, tax policy, or internal terms of trade until after World War II.</w:t>
      </w:r>
      <w:r w:rsidR="007A1F45" w:rsidRPr="00CF3A28">
        <w:rPr>
          <w:rStyle w:val="FootnoteReference"/>
          <w:sz w:val="24"/>
          <w:szCs w:val="24"/>
          <w:lang w:val="en-US"/>
        </w:rPr>
        <w:footnoteReference w:id="16"/>
      </w:r>
      <w:r w:rsidR="007A1F45" w:rsidRPr="00CF3A28">
        <w:rPr>
          <w:sz w:val="24"/>
          <w:szCs w:val="24"/>
          <w:lang w:val="en-US"/>
        </w:rPr>
        <w:t xml:space="preserve"> </w:t>
      </w:r>
      <w:r w:rsidR="00CE1097" w:rsidRPr="00CF3A28">
        <w:rPr>
          <w:sz w:val="24"/>
          <w:szCs w:val="24"/>
          <w:lang w:val="en-US"/>
        </w:rPr>
        <w:t xml:space="preserve">Moreover, markets were not unregulated. </w:t>
      </w:r>
      <w:r w:rsidRPr="00CF3A28">
        <w:rPr>
          <w:sz w:val="24"/>
          <w:szCs w:val="24"/>
          <w:lang w:val="en-US"/>
        </w:rPr>
        <w:t>S</w:t>
      </w:r>
      <w:r w:rsidR="00F715C3" w:rsidRPr="00CF3A28">
        <w:rPr>
          <w:sz w:val="24"/>
          <w:szCs w:val="24"/>
          <w:lang w:val="en-US"/>
        </w:rPr>
        <w:t xml:space="preserve">tates regulated markets </w:t>
      </w:r>
      <w:r w:rsidR="007F62C6" w:rsidRPr="00CF3A28">
        <w:rPr>
          <w:sz w:val="24"/>
          <w:szCs w:val="24"/>
          <w:lang w:val="en-US"/>
        </w:rPr>
        <w:t xml:space="preserve">for the benefit of the dominant classes. </w:t>
      </w:r>
      <w:r w:rsidR="00F715C3" w:rsidRPr="00CF3A28">
        <w:rPr>
          <w:sz w:val="24"/>
          <w:szCs w:val="24"/>
          <w:lang w:val="en-US"/>
        </w:rPr>
        <w:t>They</w:t>
      </w:r>
      <w:r w:rsidR="007F62C6" w:rsidRPr="00CF3A28">
        <w:rPr>
          <w:sz w:val="24"/>
          <w:szCs w:val="24"/>
          <w:lang w:val="en-US"/>
        </w:rPr>
        <w:t xml:space="preserve"> adopted interventionist economic policies with regard to labor, industry, markets, and trade which enabled dominant classes</w:t>
      </w:r>
      <w:r w:rsidR="007F62C6" w:rsidRPr="00CF3A28">
        <w:rPr>
          <w:sz w:val="24"/>
          <w:szCs w:val="24"/>
        </w:rPr>
        <w:t xml:space="preserve"> to carry on a</w:t>
      </w:r>
      <w:r w:rsidR="00F715C3" w:rsidRPr="00CF3A28">
        <w:rPr>
          <w:sz w:val="24"/>
          <w:szCs w:val="24"/>
        </w:rPr>
        <w:t>n</w:t>
      </w:r>
      <w:r w:rsidR="007F62C6" w:rsidRPr="00CF3A28">
        <w:rPr>
          <w:sz w:val="24"/>
          <w:szCs w:val="24"/>
        </w:rPr>
        <w:t xml:space="preserve"> essentially coherent legislative, legal, military, and political assault on artisans, labourers, and peasants. </w:t>
      </w:r>
      <w:r w:rsidR="00A25C50" w:rsidRPr="00CF3A28">
        <w:rPr>
          <w:sz w:val="24"/>
          <w:szCs w:val="24"/>
          <w:lang w:val="en-US"/>
        </w:rPr>
        <w:t>They</w:t>
      </w:r>
      <w:r w:rsidR="00961CF8" w:rsidRPr="00CF3A28">
        <w:rPr>
          <w:sz w:val="24"/>
          <w:szCs w:val="24"/>
          <w:lang w:val="en-US"/>
        </w:rPr>
        <w:t xml:space="preserve"> restricted</w:t>
      </w:r>
      <w:r w:rsidR="00961CF8" w:rsidRPr="00CF3A28">
        <w:rPr>
          <w:bCs/>
          <w:sz w:val="24"/>
          <w:szCs w:val="24"/>
          <w:lang w:val="en-US"/>
        </w:rPr>
        <w:t xml:space="preserve"> the expansion of domestic</w:t>
      </w:r>
      <w:r w:rsidR="00961CF8" w:rsidRPr="00CF3A28">
        <w:rPr>
          <w:bCs/>
          <w:i/>
          <w:sz w:val="24"/>
          <w:szCs w:val="24"/>
          <w:lang w:val="en-US"/>
        </w:rPr>
        <w:t xml:space="preserve"> </w:t>
      </w:r>
      <w:r w:rsidR="00961CF8" w:rsidRPr="00CF3A28">
        <w:rPr>
          <w:bCs/>
          <w:sz w:val="24"/>
          <w:szCs w:val="24"/>
          <w:lang w:val="en-US"/>
        </w:rPr>
        <w:t>markets because of their potential to increase social mobility and promote the growth of new commercial classes. They blocked land reform</w:t>
      </w:r>
      <w:r w:rsidR="00961CF8" w:rsidRPr="00CF3A28">
        <w:rPr>
          <w:bCs/>
          <w:sz w:val="24"/>
          <w:szCs w:val="24"/>
        </w:rPr>
        <w:t xml:space="preserve">; monopolized domestic industry and international trade through the creation of cartels and syndicates, and through tariffs and various other controls; and placed further limits on competition by instituting corporatist arrangements of a discriminatory and 'asymmetrical' nature. </w:t>
      </w:r>
    </w:p>
    <w:p w:rsidR="006B4DEB" w:rsidRPr="00CF3A28" w:rsidRDefault="006B4DEB" w:rsidP="00CF3A28">
      <w:pPr>
        <w:spacing w:line="240" w:lineRule="auto"/>
        <w:jc w:val="left"/>
        <w:rPr>
          <w:sz w:val="24"/>
          <w:szCs w:val="24"/>
          <w:lang w:val="en-US"/>
        </w:rPr>
      </w:pPr>
    </w:p>
    <w:p w:rsidR="0080406D" w:rsidRPr="00CF3A28" w:rsidRDefault="00F664FB" w:rsidP="00CF3A28">
      <w:pPr>
        <w:spacing w:line="240" w:lineRule="auto"/>
        <w:jc w:val="left"/>
        <w:rPr>
          <w:sz w:val="24"/>
          <w:szCs w:val="24"/>
          <w:lang w:val="en-US"/>
        </w:rPr>
      </w:pPr>
      <w:r w:rsidRPr="00CF3A28">
        <w:rPr>
          <w:sz w:val="24"/>
          <w:szCs w:val="24"/>
          <w:lang w:val="en-US"/>
        </w:rPr>
        <w:t>Europe's nineteenth-century balance-of-power system was maintained by a Concert of Europe which</w:t>
      </w:r>
      <w:r w:rsidR="00F715C3" w:rsidRPr="00CF3A28">
        <w:rPr>
          <w:sz w:val="24"/>
          <w:szCs w:val="24"/>
          <w:lang w:val="en-US"/>
        </w:rPr>
        <w:t>, Polanyi claimed,</w:t>
      </w:r>
      <w:r w:rsidRPr="00CF3A28">
        <w:rPr>
          <w:sz w:val="24"/>
          <w:szCs w:val="24"/>
          <w:lang w:val="en-US"/>
        </w:rPr>
        <w:t xml:space="preserve"> was dominated by a concern for the preservation of liberal, free-market institutions. </w:t>
      </w:r>
      <w:r w:rsidR="00F715C3" w:rsidRPr="00CF3A28">
        <w:rPr>
          <w:sz w:val="24"/>
          <w:szCs w:val="24"/>
          <w:lang w:val="en-US"/>
        </w:rPr>
        <w:t>Polanyi claimed that, in pursuit of this interest,</w:t>
      </w:r>
      <w:r w:rsidRPr="00CF3A28">
        <w:rPr>
          <w:sz w:val="24"/>
          <w:szCs w:val="24"/>
          <w:lang w:val="en-US"/>
        </w:rPr>
        <w:t xml:space="preserve"> Concert act</w:t>
      </w:r>
      <w:r w:rsidR="00F715C3" w:rsidRPr="00CF3A28">
        <w:rPr>
          <w:sz w:val="24"/>
          <w:szCs w:val="24"/>
          <w:lang w:val="en-US"/>
        </w:rPr>
        <w:t>ed</w:t>
      </w:r>
      <w:r w:rsidRPr="00CF3A28">
        <w:rPr>
          <w:sz w:val="24"/>
          <w:szCs w:val="24"/>
          <w:lang w:val="en-US"/>
        </w:rPr>
        <w:t xml:space="preserve"> as an 'international peace interest' </w:t>
      </w:r>
      <w:r w:rsidR="0064097F" w:rsidRPr="00CF3A28">
        <w:rPr>
          <w:sz w:val="24"/>
          <w:szCs w:val="24"/>
          <w:lang w:val="en-US"/>
        </w:rPr>
        <w:t xml:space="preserve">and </w:t>
      </w:r>
      <w:r w:rsidR="00F715C3" w:rsidRPr="00CF3A28">
        <w:rPr>
          <w:sz w:val="24"/>
          <w:szCs w:val="24"/>
          <w:lang w:val="en-US"/>
        </w:rPr>
        <w:t>this, he argued,</w:t>
      </w:r>
      <w:r w:rsidR="0064097F" w:rsidRPr="00CF3A28">
        <w:rPr>
          <w:sz w:val="24"/>
          <w:szCs w:val="24"/>
          <w:lang w:val="en-US"/>
        </w:rPr>
        <w:t xml:space="preserve"> resulted in </w:t>
      </w:r>
      <w:r w:rsidR="002C37F0" w:rsidRPr="00CF3A28">
        <w:rPr>
          <w:sz w:val="24"/>
          <w:szCs w:val="24"/>
          <w:lang w:val="en-US"/>
        </w:rPr>
        <w:t xml:space="preserve">what he saw as one of the most striking features of the new liberal international order: </w:t>
      </w:r>
      <w:r w:rsidR="00AF3541" w:rsidRPr="00CF3A28">
        <w:rPr>
          <w:sz w:val="24"/>
          <w:szCs w:val="24"/>
          <w:lang w:val="en-US"/>
        </w:rPr>
        <w:t>the</w:t>
      </w:r>
      <w:r w:rsidR="0064097F" w:rsidRPr="00CF3A28">
        <w:rPr>
          <w:sz w:val="24"/>
          <w:szCs w:val="24"/>
          <w:lang w:val="en-US"/>
        </w:rPr>
        <w:t xml:space="preserve"> ‘Hundred Years' Peace’</w:t>
      </w:r>
      <w:r w:rsidR="00AF3541" w:rsidRPr="00CF3A28">
        <w:rPr>
          <w:sz w:val="24"/>
          <w:szCs w:val="24"/>
          <w:lang w:val="en-US"/>
        </w:rPr>
        <w:t xml:space="preserve"> in Europe</w:t>
      </w:r>
      <w:r w:rsidR="0064097F" w:rsidRPr="00CF3A28">
        <w:rPr>
          <w:sz w:val="24"/>
          <w:szCs w:val="24"/>
          <w:lang w:val="en-US"/>
        </w:rPr>
        <w:t xml:space="preserve">. </w:t>
      </w:r>
    </w:p>
    <w:p w:rsidR="0080406D" w:rsidRPr="00CF3A28" w:rsidRDefault="0080406D" w:rsidP="00CF3A28">
      <w:pPr>
        <w:spacing w:line="240" w:lineRule="auto"/>
        <w:jc w:val="left"/>
        <w:rPr>
          <w:sz w:val="24"/>
          <w:szCs w:val="24"/>
          <w:lang w:val="en-US"/>
        </w:rPr>
      </w:pPr>
    </w:p>
    <w:p w:rsidR="00D4649E" w:rsidRPr="00CF3A28" w:rsidRDefault="006B4DEB" w:rsidP="00CF3A28">
      <w:pPr>
        <w:spacing w:line="240" w:lineRule="auto"/>
        <w:jc w:val="left"/>
        <w:rPr>
          <w:sz w:val="24"/>
          <w:szCs w:val="24"/>
          <w:lang w:val="en-US"/>
        </w:rPr>
      </w:pPr>
      <w:r w:rsidRPr="00CF3A28">
        <w:rPr>
          <w:bCs/>
          <w:sz w:val="24"/>
          <w:szCs w:val="24"/>
          <w:lang w:val="en-US"/>
        </w:rPr>
        <w:t>But, like all international institutions, the Concert and other nineteenth century international institutions were state-created and –supported; and these served the interests of states committed, not to free trade and free markets, but to the militant pursuit of foreign markets and repression at home.</w:t>
      </w:r>
      <w:r w:rsidRPr="00CF3A28">
        <w:rPr>
          <w:bCs/>
          <w:sz w:val="24"/>
          <w:szCs w:val="24"/>
          <w:vertAlign w:val="superscript"/>
          <w:lang w:val="en-US"/>
        </w:rPr>
        <w:footnoteReference w:id="17"/>
      </w:r>
      <w:r w:rsidRPr="00CF3A28">
        <w:rPr>
          <w:bCs/>
          <w:sz w:val="24"/>
          <w:szCs w:val="24"/>
          <w:lang w:val="en-US"/>
        </w:rPr>
        <w:t xml:space="preserve"> </w:t>
      </w:r>
      <w:r w:rsidR="0080406D" w:rsidRPr="00CF3A28">
        <w:rPr>
          <w:bCs/>
          <w:sz w:val="24"/>
          <w:szCs w:val="24"/>
          <w:lang w:val="en-US"/>
        </w:rPr>
        <w:t>T</w:t>
      </w:r>
      <w:r w:rsidR="002C37F0" w:rsidRPr="00CF3A28">
        <w:rPr>
          <w:sz w:val="24"/>
          <w:szCs w:val="24"/>
          <w:lang w:val="en-US"/>
        </w:rPr>
        <w:t>hroughout the century</w:t>
      </w:r>
      <w:r w:rsidR="00F664FB" w:rsidRPr="00CF3A28">
        <w:rPr>
          <w:sz w:val="24"/>
          <w:szCs w:val="24"/>
          <w:lang w:val="en-US"/>
        </w:rPr>
        <w:t xml:space="preserve"> the Concert </w:t>
      </w:r>
      <w:r w:rsidR="002C37F0" w:rsidRPr="00CF3A28">
        <w:rPr>
          <w:sz w:val="24"/>
          <w:szCs w:val="24"/>
          <w:lang w:val="en-US"/>
        </w:rPr>
        <w:t>remained</w:t>
      </w:r>
      <w:r w:rsidR="00F664FB" w:rsidRPr="00CF3A28">
        <w:rPr>
          <w:sz w:val="24"/>
          <w:szCs w:val="24"/>
          <w:lang w:val="en-US"/>
        </w:rPr>
        <w:t xml:space="preserve"> committed, not to free markets and liberal states, but to protection</w:t>
      </w:r>
      <w:r w:rsidR="007F62C6" w:rsidRPr="00CF3A28">
        <w:rPr>
          <w:sz w:val="24"/>
          <w:szCs w:val="24"/>
          <w:lang w:val="en-US"/>
        </w:rPr>
        <w:t>,</w:t>
      </w:r>
      <w:r w:rsidR="00F664FB" w:rsidRPr="00CF3A28">
        <w:rPr>
          <w:sz w:val="24"/>
          <w:szCs w:val="24"/>
          <w:lang w:val="en-US"/>
        </w:rPr>
        <w:t xml:space="preserve"> autocracy</w:t>
      </w:r>
      <w:r w:rsidR="007F62C6" w:rsidRPr="00CF3A28">
        <w:rPr>
          <w:sz w:val="24"/>
          <w:szCs w:val="24"/>
          <w:lang w:val="en-US"/>
        </w:rPr>
        <w:t>, and the</w:t>
      </w:r>
      <w:r w:rsidR="00F664FB" w:rsidRPr="00CF3A28">
        <w:rPr>
          <w:sz w:val="24"/>
          <w:szCs w:val="24"/>
          <w:lang w:val="en-US"/>
        </w:rPr>
        <w:t xml:space="preserve"> defen</w:t>
      </w:r>
      <w:r w:rsidR="007F62C6" w:rsidRPr="00CF3A28">
        <w:rPr>
          <w:sz w:val="24"/>
          <w:szCs w:val="24"/>
          <w:lang w:val="en-US"/>
        </w:rPr>
        <w:t>se of</w:t>
      </w:r>
      <w:r w:rsidR="00F664FB" w:rsidRPr="00CF3A28">
        <w:rPr>
          <w:sz w:val="24"/>
          <w:szCs w:val="24"/>
          <w:lang w:val="en-US"/>
        </w:rPr>
        <w:t xml:space="preserve"> the existing sociopolitical order against revolutionary threats</w:t>
      </w:r>
      <w:r w:rsidR="007F62C6" w:rsidRPr="00CF3A28">
        <w:rPr>
          <w:sz w:val="24"/>
          <w:szCs w:val="24"/>
          <w:lang w:val="en-US"/>
        </w:rPr>
        <w:t>.</w:t>
      </w:r>
      <w:r w:rsidR="007F62C6" w:rsidRPr="00CF3A28">
        <w:rPr>
          <w:rStyle w:val="FootnoteReference"/>
          <w:sz w:val="24"/>
          <w:szCs w:val="24"/>
          <w:lang w:val="en-US"/>
        </w:rPr>
        <w:footnoteReference w:id="18"/>
      </w:r>
      <w:r w:rsidR="007F62C6" w:rsidRPr="00CF3A28">
        <w:rPr>
          <w:sz w:val="24"/>
          <w:szCs w:val="24"/>
          <w:lang w:val="en-US"/>
        </w:rPr>
        <w:t xml:space="preserve"> </w:t>
      </w:r>
      <w:r w:rsidR="00672793" w:rsidRPr="00CF3A28">
        <w:rPr>
          <w:sz w:val="24"/>
          <w:szCs w:val="24"/>
          <w:lang w:val="en-US"/>
        </w:rPr>
        <w:t>If the Concert helped to prevent</w:t>
      </w:r>
      <w:r w:rsidR="007F62C6" w:rsidRPr="00CF3A28">
        <w:rPr>
          <w:sz w:val="24"/>
          <w:szCs w:val="24"/>
          <w:lang w:val="en-US"/>
        </w:rPr>
        <w:t xml:space="preserve"> m</w:t>
      </w:r>
      <w:r w:rsidR="00B84CE1" w:rsidRPr="00CF3A28">
        <w:rPr>
          <w:sz w:val="24"/>
          <w:szCs w:val="24"/>
          <w:lang w:val="en-US"/>
        </w:rPr>
        <w:t>ultilateral great power conflicts in Europe</w:t>
      </w:r>
      <w:r w:rsidR="00672793" w:rsidRPr="00CF3A28">
        <w:rPr>
          <w:sz w:val="24"/>
          <w:szCs w:val="24"/>
          <w:lang w:val="en-US"/>
        </w:rPr>
        <w:t>, it was because</w:t>
      </w:r>
      <w:r w:rsidR="002C37F0" w:rsidRPr="00CF3A28">
        <w:rPr>
          <w:sz w:val="24"/>
          <w:szCs w:val="24"/>
          <w:lang w:val="en-US"/>
        </w:rPr>
        <w:t xml:space="preserve"> </w:t>
      </w:r>
      <w:r w:rsidR="00B84CE1" w:rsidRPr="00CF3A28">
        <w:rPr>
          <w:sz w:val="24"/>
          <w:szCs w:val="24"/>
          <w:lang w:val="en-US"/>
        </w:rPr>
        <w:t xml:space="preserve">Europe's aristocracies </w:t>
      </w:r>
      <w:r w:rsidR="00672793" w:rsidRPr="00CF3A28">
        <w:rPr>
          <w:sz w:val="24"/>
          <w:szCs w:val="24"/>
          <w:lang w:val="en-US"/>
        </w:rPr>
        <w:t xml:space="preserve">feared </w:t>
      </w:r>
      <w:r w:rsidR="00B84CE1" w:rsidRPr="00CF3A28">
        <w:rPr>
          <w:sz w:val="24"/>
          <w:szCs w:val="24"/>
          <w:lang w:val="en-US"/>
        </w:rPr>
        <w:t xml:space="preserve">that </w:t>
      </w:r>
      <w:r w:rsidR="002C37F0" w:rsidRPr="00CF3A28">
        <w:rPr>
          <w:sz w:val="24"/>
          <w:szCs w:val="24"/>
          <w:lang w:val="en-US"/>
        </w:rPr>
        <w:t>such conflicts</w:t>
      </w:r>
      <w:r w:rsidR="00B84CE1" w:rsidRPr="00CF3A28">
        <w:rPr>
          <w:sz w:val="24"/>
          <w:szCs w:val="24"/>
          <w:lang w:val="en-US"/>
        </w:rPr>
        <w:t xml:space="preserve"> would call into use the mass armies that, during and immediately after the Napoleonic Wars, had triggered revolutionary upheavals</w:t>
      </w:r>
      <w:r w:rsidR="00085D3A" w:rsidRPr="00CF3A28">
        <w:rPr>
          <w:sz w:val="24"/>
          <w:szCs w:val="24"/>
          <w:lang w:val="en-US"/>
        </w:rPr>
        <w:t xml:space="preserve"> throughout Europe</w:t>
      </w:r>
      <w:r w:rsidR="00B84CE1" w:rsidRPr="00CF3A28">
        <w:rPr>
          <w:sz w:val="24"/>
          <w:szCs w:val="24"/>
          <w:lang w:val="en-US"/>
        </w:rPr>
        <w:t xml:space="preserve">. </w:t>
      </w:r>
      <w:r w:rsidR="00672793" w:rsidRPr="00CF3A28">
        <w:rPr>
          <w:sz w:val="24"/>
          <w:szCs w:val="24"/>
          <w:lang w:val="en-US"/>
        </w:rPr>
        <w:t>However, i</w:t>
      </w:r>
      <w:r w:rsidR="002C37F0" w:rsidRPr="00CF3A28">
        <w:rPr>
          <w:sz w:val="24"/>
          <w:szCs w:val="24"/>
          <w:lang w:val="en-US"/>
        </w:rPr>
        <w:t>n spite of the Congress</w:t>
      </w:r>
      <w:r w:rsidR="0080406D" w:rsidRPr="00CF3A28">
        <w:rPr>
          <w:sz w:val="24"/>
          <w:szCs w:val="24"/>
          <w:lang w:val="en-US"/>
        </w:rPr>
        <w:t>,</w:t>
      </w:r>
      <w:r w:rsidR="00672793" w:rsidRPr="00CF3A28">
        <w:rPr>
          <w:sz w:val="24"/>
          <w:szCs w:val="24"/>
          <w:lang w:val="en-US"/>
        </w:rPr>
        <w:t xml:space="preserve"> </w:t>
      </w:r>
      <w:r w:rsidR="00F664FB" w:rsidRPr="00CF3A28">
        <w:rPr>
          <w:sz w:val="24"/>
          <w:szCs w:val="24"/>
          <w:lang w:val="en-US"/>
        </w:rPr>
        <w:t xml:space="preserve">European states were continually engaged in conflict with their own populations, with other European states and populations, and with territories and states outside of Europe. </w:t>
      </w:r>
      <w:r w:rsidR="0080406D" w:rsidRPr="00CF3A28">
        <w:rPr>
          <w:sz w:val="24"/>
          <w:szCs w:val="24"/>
          <w:lang w:val="en-US"/>
        </w:rPr>
        <w:t>During the nineteenth century, d</w:t>
      </w:r>
      <w:r w:rsidR="00B2013B" w:rsidRPr="00CF3A28">
        <w:rPr>
          <w:sz w:val="24"/>
          <w:szCs w:val="24"/>
          <w:lang w:val="en-US"/>
        </w:rPr>
        <w:t xml:space="preserve">ozens of wars </w:t>
      </w:r>
      <w:r w:rsidR="002C37F0" w:rsidRPr="00CF3A28">
        <w:rPr>
          <w:sz w:val="24"/>
          <w:szCs w:val="24"/>
          <w:lang w:val="en-US"/>
        </w:rPr>
        <w:t xml:space="preserve">were </w:t>
      </w:r>
      <w:r w:rsidR="00B2013B" w:rsidRPr="00CF3A28">
        <w:rPr>
          <w:sz w:val="24"/>
          <w:szCs w:val="24"/>
          <w:lang w:val="en-US"/>
        </w:rPr>
        <w:t>waged by European states</w:t>
      </w:r>
      <w:r w:rsidR="002C37F0" w:rsidRPr="00CF3A28">
        <w:rPr>
          <w:sz w:val="24"/>
          <w:szCs w:val="24"/>
          <w:lang w:val="en-US"/>
        </w:rPr>
        <w:t>: f</w:t>
      </w:r>
      <w:r w:rsidR="00B2013B" w:rsidRPr="00CF3A28">
        <w:rPr>
          <w:sz w:val="24"/>
          <w:szCs w:val="24"/>
          <w:lang w:val="en-US"/>
        </w:rPr>
        <w:t>ourteen were fought in Europe between and among Britain, France, Germany, Spain, Russia, Denmark, Austria, Italy, Greece, and Serbia</w:t>
      </w:r>
      <w:r w:rsidR="002C37F0" w:rsidRPr="00CF3A28">
        <w:rPr>
          <w:sz w:val="24"/>
          <w:szCs w:val="24"/>
          <w:lang w:val="en-US"/>
        </w:rPr>
        <w:t>;</w:t>
      </w:r>
      <w:r w:rsidR="00B2013B" w:rsidRPr="00CF3A28">
        <w:rPr>
          <w:sz w:val="24"/>
          <w:szCs w:val="24"/>
          <w:lang w:val="en-US"/>
        </w:rPr>
        <w:t xml:space="preserve"> </w:t>
      </w:r>
      <w:r w:rsidR="002C37F0" w:rsidRPr="00CF3A28">
        <w:rPr>
          <w:sz w:val="24"/>
          <w:szCs w:val="24"/>
          <w:lang w:val="en-US"/>
        </w:rPr>
        <w:t>t</w:t>
      </w:r>
      <w:r w:rsidR="00B2013B" w:rsidRPr="00CF3A28">
        <w:rPr>
          <w:sz w:val="24"/>
          <w:szCs w:val="24"/>
          <w:lang w:val="en-US"/>
        </w:rPr>
        <w:t>welve were fought by Britain, France, Russia, Austria, against foreign populations in Europe. During that period, European states also fought some fifty-eight wars outside of Europe</w:t>
      </w:r>
      <w:r w:rsidR="00B84CE1" w:rsidRPr="00CF3A28">
        <w:rPr>
          <w:sz w:val="24"/>
          <w:szCs w:val="24"/>
          <w:lang w:val="en-US"/>
        </w:rPr>
        <w:t xml:space="preserve"> (</w:t>
      </w:r>
      <w:r w:rsidR="00434726" w:rsidRPr="00CF3A28">
        <w:rPr>
          <w:sz w:val="24"/>
          <w:szCs w:val="24"/>
          <w:lang w:val="en-US"/>
        </w:rPr>
        <w:t xml:space="preserve">see </w:t>
      </w:r>
      <w:proofErr w:type="spellStart"/>
      <w:r w:rsidR="00B84CE1" w:rsidRPr="00CF3A28">
        <w:rPr>
          <w:sz w:val="24"/>
          <w:szCs w:val="24"/>
          <w:lang w:val="en-US"/>
        </w:rPr>
        <w:t>Halperin</w:t>
      </w:r>
      <w:proofErr w:type="spellEnd"/>
      <w:r w:rsidR="00B84CE1" w:rsidRPr="00CF3A28">
        <w:rPr>
          <w:sz w:val="24"/>
          <w:szCs w:val="24"/>
          <w:lang w:val="en-US"/>
        </w:rPr>
        <w:t xml:space="preserve"> 2004</w:t>
      </w:r>
      <w:r w:rsidR="00434726" w:rsidRPr="00CF3A28">
        <w:rPr>
          <w:sz w:val="24"/>
          <w:szCs w:val="24"/>
          <w:lang w:val="en-US"/>
        </w:rPr>
        <w:t>:  Chapter 4</w:t>
      </w:r>
      <w:r w:rsidR="00B84CE1" w:rsidRPr="00CF3A28">
        <w:rPr>
          <w:sz w:val="24"/>
          <w:szCs w:val="24"/>
          <w:lang w:val="en-US"/>
        </w:rPr>
        <w:t xml:space="preserve">). </w:t>
      </w:r>
      <w:r w:rsidR="00B2013B" w:rsidRPr="00CF3A28">
        <w:rPr>
          <w:sz w:val="24"/>
          <w:szCs w:val="24"/>
          <w:lang w:val="en-US"/>
        </w:rPr>
        <w:t xml:space="preserve"> </w:t>
      </w:r>
      <w:r w:rsidR="00B84CE1" w:rsidRPr="00CF3A28">
        <w:rPr>
          <w:sz w:val="24"/>
          <w:szCs w:val="24"/>
          <w:lang w:val="en-US"/>
        </w:rPr>
        <w:t>Fa</w:t>
      </w:r>
      <w:r w:rsidR="00D4649E" w:rsidRPr="00CF3A28">
        <w:rPr>
          <w:sz w:val="24"/>
          <w:szCs w:val="24"/>
          <w:lang w:val="en-US"/>
        </w:rPr>
        <w:t xml:space="preserve">r from being a period of peace gradually overtaken by the contradictions of the unregulated market, </w:t>
      </w:r>
      <w:r w:rsidR="00B84CE1" w:rsidRPr="00CF3A28">
        <w:rPr>
          <w:sz w:val="24"/>
          <w:szCs w:val="24"/>
          <w:lang w:val="en-US"/>
        </w:rPr>
        <w:t xml:space="preserve">the nineteenth century </w:t>
      </w:r>
      <w:r w:rsidR="00D4649E" w:rsidRPr="00CF3A28">
        <w:rPr>
          <w:sz w:val="24"/>
          <w:szCs w:val="24"/>
          <w:lang w:val="en-US"/>
        </w:rPr>
        <w:t xml:space="preserve">was </w:t>
      </w:r>
      <w:r w:rsidR="00B84CE1" w:rsidRPr="00CF3A28">
        <w:rPr>
          <w:sz w:val="24"/>
          <w:szCs w:val="24"/>
          <w:lang w:val="en-US"/>
        </w:rPr>
        <w:t xml:space="preserve">a century of social conflict and war. It was </w:t>
      </w:r>
      <w:r w:rsidR="00D4649E" w:rsidRPr="00CF3A28">
        <w:rPr>
          <w:sz w:val="24"/>
          <w:szCs w:val="24"/>
          <w:lang w:val="en-US"/>
        </w:rPr>
        <w:t>born in violence and remained violent throughout.</w:t>
      </w:r>
    </w:p>
    <w:p w:rsidR="00683F14" w:rsidRPr="00CF3A28" w:rsidRDefault="00683F14" w:rsidP="00CF3A28">
      <w:pPr>
        <w:autoSpaceDE w:val="0"/>
        <w:autoSpaceDN w:val="0"/>
        <w:spacing w:line="240" w:lineRule="auto"/>
        <w:jc w:val="left"/>
        <w:rPr>
          <w:b/>
          <w:sz w:val="24"/>
          <w:szCs w:val="24"/>
        </w:rPr>
      </w:pPr>
    </w:p>
    <w:p w:rsidR="00460F39" w:rsidRPr="00CF3A28" w:rsidRDefault="00460F39" w:rsidP="00CF3A28">
      <w:pPr>
        <w:autoSpaceDE w:val="0"/>
        <w:autoSpaceDN w:val="0"/>
        <w:spacing w:line="240" w:lineRule="auto"/>
        <w:jc w:val="left"/>
        <w:rPr>
          <w:b/>
          <w:sz w:val="24"/>
          <w:szCs w:val="24"/>
        </w:rPr>
      </w:pPr>
      <w:r w:rsidRPr="00CF3A28">
        <w:rPr>
          <w:b/>
          <w:sz w:val="24"/>
          <w:szCs w:val="24"/>
        </w:rPr>
        <w:t xml:space="preserve">The </w:t>
      </w:r>
      <w:r w:rsidR="00683F14" w:rsidRPr="00CF3A28">
        <w:rPr>
          <w:b/>
          <w:sz w:val="24"/>
          <w:szCs w:val="24"/>
        </w:rPr>
        <w:t>Great</w:t>
      </w:r>
      <w:r w:rsidRPr="00CF3A28">
        <w:rPr>
          <w:b/>
          <w:sz w:val="24"/>
          <w:szCs w:val="24"/>
        </w:rPr>
        <w:t xml:space="preserve"> Transformation</w:t>
      </w:r>
    </w:p>
    <w:p w:rsidR="00975981" w:rsidRPr="00CF3A28" w:rsidRDefault="00975981" w:rsidP="00CF3A28">
      <w:pPr>
        <w:autoSpaceDE w:val="0"/>
        <w:autoSpaceDN w:val="0"/>
        <w:spacing w:line="240" w:lineRule="auto"/>
        <w:jc w:val="left"/>
        <w:rPr>
          <w:sz w:val="24"/>
          <w:szCs w:val="24"/>
        </w:rPr>
      </w:pPr>
    </w:p>
    <w:p w:rsidR="00886F55" w:rsidRPr="00CF3A28" w:rsidRDefault="00886F55" w:rsidP="00CF3A28">
      <w:pPr>
        <w:autoSpaceDE w:val="0"/>
        <w:autoSpaceDN w:val="0"/>
        <w:spacing w:line="240" w:lineRule="auto"/>
        <w:jc w:val="left"/>
        <w:rPr>
          <w:bCs/>
          <w:sz w:val="24"/>
          <w:szCs w:val="24"/>
          <w:lang w:val="en-US"/>
        </w:rPr>
      </w:pPr>
      <w:r w:rsidRPr="00CF3A28">
        <w:rPr>
          <w:bCs/>
          <w:sz w:val="24"/>
          <w:szCs w:val="24"/>
        </w:rPr>
        <w:t>Polanyi argued that, with the unfettering of markets, there emerged a protective countermovement on the part of society as a whole, and that it was the stresses and strains generated by this countermovement which ultimately led to two world wars and to the collapse of the system. But, as the account developed thus far suggests, Europe’s nineteenth century industrial expansion was characterised by a double movement of e</w:t>
      </w:r>
      <w:proofErr w:type="spellStart"/>
      <w:r w:rsidRPr="00CF3A28">
        <w:rPr>
          <w:bCs/>
          <w:sz w:val="24"/>
          <w:szCs w:val="24"/>
          <w:lang w:val="en-US"/>
        </w:rPr>
        <w:t>xternal</w:t>
      </w:r>
      <w:proofErr w:type="spellEnd"/>
      <w:r w:rsidRPr="00CF3A28">
        <w:rPr>
          <w:bCs/>
          <w:sz w:val="24"/>
          <w:szCs w:val="24"/>
          <w:lang w:val="en-US"/>
        </w:rPr>
        <w:t xml:space="preserve"> expansion and internal repression. It was this that generated recurring social conflicts throughout the century and that, eventually, led to stagnation, social polarization, and crisis. </w:t>
      </w:r>
    </w:p>
    <w:p w:rsidR="00886F55" w:rsidRPr="00CF3A28" w:rsidRDefault="00886F55" w:rsidP="00CF3A28">
      <w:pPr>
        <w:autoSpaceDE w:val="0"/>
        <w:autoSpaceDN w:val="0"/>
        <w:spacing w:line="240" w:lineRule="auto"/>
        <w:jc w:val="left"/>
        <w:rPr>
          <w:bCs/>
          <w:sz w:val="24"/>
          <w:szCs w:val="24"/>
          <w:lang w:val="en-US"/>
        </w:rPr>
      </w:pPr>
    </w:p>
    <w:p w:rsidR="00886F55" w:rsidRPr="00CF3A28" w:rsidRDefault="00886F55" w:rsidP="00CF3A28">
      <w:pPr>
        <w:autoSpaceDE w:val="0"/>
        <w:autoSpaceDN w:val="0"/>
        <w:spacing w:line="240" w:lineRule="auto"/>
        <w:jc w:val="left"/>
        <w:rPr>
          <w:bCs/>
          <w:sz w:val="24"/>
          <w:szCs w:val="24"/>
          <w:lang w:val="en-US"/>
        </w:rPr>
      </w:pPr>
      <w:r w:rsidRPr="00CF3A28">
        <w:rPr>
          <w:bCs/>
          <w:sz w:val="24"/>
          <w:szCs w:val="24"/>
          <w:lang w:val="en-US"/>
        </w:rPr>
        <w:t xml:space="preserve">Throughout the nineteenth century, Europe experienced more or less continual conflict over the distribution of resources and the terms and conditions under which market forces operated. Conflicts involving labor were a continuous source of tension; and, as the century progressed, these increasingly overlapped with enfranchisement struggles and nationalist conflicts. Workers were not simply clamoring for protection, but struggling against monopoly and greed. Recurring conflict erupted for changes in property relations, higher wages, extension of the suffrage, redistribution of the national product: shorter hours of employment, and the right to secure bread at an affordable price, to organize, and to work in safe conditions. </w:t>
      </w:r>
    </w:p>
    <w:p w:rsidR="00886F55" w:rsidRPr="00CF3A28" w:rsidRDefault="00886F55" w:rsidP="00CF3A28">
      <w:pPr>
        <w:autoSpaceDE w:val="0"/>
        <w:autoSpaceDN w:val="0"/>
        <w:spacing w:line="240" w:lineRule="auto"/>
        <w:jc w:val="left"/>
        <w:rPr>
          <w:sz w:val="24"/>
          <w:szCs w:val="24"/>
        </w:rPr>
      </w:pPr>
    </w:p>
    <w:p w:rsidR="0015251A" w:rsidRPr="00CF3A28" w:rsidRDefault="00903F64" w:rsidP="00CF3A28">
      <w:pPr>
        <w:autoSpaceDE w:val="0"/>
        <w:autoSpaceDN w:val="0"/>
        <w:spacing w:line="240" w:lineRule="auto"/>
        <w:jc w:val="left"/>
        <w:rPr>
          <w:sz w:val="24"/>
          <w:szCs w:val="24"/>
        </w:rPr>
      </w:pPr>
      <w:r w:rsidRPr="00CF3A28">
        <w:rPr>
          <w:sz w:val="24"/>
          <w:szCs w:val="24"/>
        </w:rPr>
        <w:t>By the end of the nineteenth century, the central features of Europe’s industrial expansion—external expansion and internal repression -- were coming into increasing conflict. A</w:t>
      </w:r>
      <w:r w:rsidR="0015251A" w:rsidRPr="00CF3A28">
        <w:rPr>
          <w:sz w:val="24"/>
          <w:szCs w:val="24"/>
        </w:rPr>
        <w:t xml:space="preserve"> global depression and rising ‘red tide’, and a sharp escalation of imperialist rivalry combined to produce a multi-lateral war in Europe.</w:t>
      </w:r>
      <w:r w:rsidR="0015251A" w:rsidRPr="00CF3A28">
        <w:rPr>
          <w:sz w:val="24"/>
          <w:szCs w:val="24"/>
          <w:lang w:val="en-US"/>
        </w:rPr>
        <w:t xml:space="preserve"> Consequently,</w:t>
      </w:r>
      <w:r w:rsidR="0015251A" w:rsidRPr="00CF3A28">
        <w:rPr>
          <w:sz w:val="24"/>
          <w:szCs w:val="24"/>
        </w:rPr>
        <w:t xml:space="preserve"> states were forced, for the first time since 1815, to mobilise the masses, both for war and for the expansion of industrial production needed to support it. </w:t>
      </w:r>
    </w:p>
    <w:p w:rsidR="0015251A" w:rsidRPr="00CF3A28" w:rsidRDefault="0015251A" w:rsidP="00CF3A28">
      <w:pPr>
        <w:autoSpaceDE w:val="0"/>
        <w:autoSpaceDN w:val="0"/>
        <w:spacing w:line="240" w:lineRule="auto"/>
        <w:jc w:val="left"/>
        <w:rPr>
          <w:sz w:val="24"/>
          <w:szCs w:val="24"/>
        </w:rPr>
      </w:pPr>
    </w:p>
    <w:p w:rsidR="003C55F1" w:rsidRPr="00CF3A28" w:rsidRDefault="003C55F1" w:rsidP="00CF3A28">
      <w:pPr>
        <w:autoSpaceDE w:val="0"/>
        <w:autoSpaceDN w:val="0"/>
        <w:spacing w:line="240" w:lineRule="auto"/>
        <w:jc w:val="left"/>
        <w:rPr>
          <w:b/>
          <w:sz w:val="24"/>
          <w:szCs w:val="24"/>
        </w:rPr>
      </w:pPr>
      <w:r w:rsidRPr="00CF3A28">
        <w:rPr>
          <w:b/>
          <w:sz w:val="24"/>
          <w:szCs w:val="24"/>
        </w:rPr>
        <w:t>The unravelling of the nineteenth-century system</w:t>
      </w:r>
    </w:p>
    <w:p w:rsidR="003C55F1" w:rsidRPr="00CF3A28" w:rsidRDefault="003C55F1" w:rsidP="00CF3A28">
      <w:pPr>
        <w:autoSpaceDE w:val="0"/>
        <w:autoSpaceDN w:val="0"/>
        <w:spacing w:line="240" w:lineRule="auto"/>
        <w:jc w:val="left"/>
        <w:rPr>
          <w:sz w:val="24"/>
          <w:szCs w:val="24"/>
        </w:rPr>
      </w:pPr>
    </w:p>
    <w:p w:rsidR="00603F6C" w:rsidRPr="00CF3A28" w:rsidRDefault="00181221" w:rsidP="00CF3A28">
      <w:pPr>
        <w:autoSpaceDE w:val="0"/>
        <w:autoSpaceDN w:val="0"/>
        <w:spacing w:line="240" w:lineRule="auto"/>
        <w:jc w:val="left"/>
        <w:rPr>
          <w:sz w:val="24"/>
          <w:szCs w:val="24"/>
          <w:lang w:val="en-US"/>
        </w:rPr>
      </w:pPr>
      <w:r w:rsidRPr="00CF3A28">
        <w:rPr>
          <w:sz w:val="24"/>
          <w:szCs w:val="24"/>
        </w:rPr>
        <w:t xml:space="preserve">The </w:t>
      </w:r>
      <w:r w:rsidR="00383284" w:rsidRPr="00CF3A28">
        <w:rPr>
          <w:sz w:val="24"/>
          <w:szCs w:val="24"/>
        </w:rPr>
        <w:t xml:space="preserve">unravelling of the </w:t>
      </w:r>
      <w:r w:rsidRPr="00CF3A28">
        <w:rPr>
          <w:sz w:val="24"/>
          <w:szCs w:val="24"/>
        </w:rPr>
        <w:t xml:space="preserve">nineteenth-century system began </w:t>
      </w:r>
      <w:r w:rsidR="00383284" w:rsidRPr="00CF3A28">
        <w:rPr>
          <w:sz w:val="24"/>
          <w:szCs w:val="24"/>
        </w:rPr>
        <w:t xml:space="preserve">with </w:t>
      </w:r>
      <w:r w:rsidR="00C84D1D" w:rsidRPr="00CF3A28">
        <w:rPr>
          <w:sz w:val="24"/>
          <w:szCs w:val="24"/>
        </w:rPr>
        <w:t>t</w:t>
      </w:r>
      <w:r w:rsidR="00436DCB" w:rsidRPr="00CF3A28">
        <w:rPr>
          <w:sz w:val="24"/>
          <w:szCs w:val="24"/>
        </w:rPr>
        <w:t xml:space="preserve">he </w:t>
      </w:r>
      <w:r w:rsidR="00A718DD" w:rsidRPr="00CF3A28">
        <w:rPr>
          <w:sz w:val="24"/>
          <w:szCs w:val="24"/>
        </w:rPr>
        <w:t xml:space="preserve">global </w:t>
      </w:r>
      <w:r w:rsidR="00436DCB" w:rsidRPr="00CF3A28">
        <w:rPr>
          <w:sz w:val="24"/>
          <w:szCs w:val="24"/>
        </w:rPr>
        <w:t>Great Depression of 1873–1896</w:t>
      </w:r>
      <w:r w:rsidR="00E948B1" w:rsidRPr="00CF3A28">
        <w:rPr>
          <w:sz w:val="24"/>
          <w:szCs w:val="24"/>
        </w:rPr>
        <w:t xml:space="preserve"> </w:t>
      </w:r>
      <w:r w:rsidR="00383284" w:rsidRPr="00CF3A28">
        <w:rPr>
          <w:sz w:val="24"/>
          <w:szCs w:val="24"/>
        </w:rPr>
        <w:t xml:space="preserve">and the </w:t>
      </w:r>
      <w:r w:rsidR="00436DCB" w:rsidRPr="00CF3A28">
        <w:rPr>
          <w:sz w:val="24"/>
          <w:szCs w:val="24"/>
          <w:lang w:val="en-US"/>
        </w:rPr>
        <w:t>accelerated rise of a global ‘red tide’</w:t>
      </w:r>
      <w:r w:rsidR="00A718DD" w:rsidRPr="00CF3A28">
        <w:rPr>
          <w:sz w:val="24"/>
          <w:szCs w:val="24"/>
          <w:lang w:val="en-US"/>
        </w:rPr>
        <w:t>.</w:t>
      </w:r>
      <w:r w:rsidR="00436DCB" w:rsidRPr="00CF3A28">
        <w:rPr>
          <w:sz w:val="24"/>
          <w:szCs w:val="24"/>
          <w:lang w:val="en-US"/>
        </w:rPr>
        <w:t xml:space="preserve"> </w:t>
      </w:r>
      <w:r w:rsidR="00603F6C" w:rsidRPr="00CF3A28">
        <w:rPr>
          <w:sz w:val="24"/>
          <w:szCs w:val="24"/>
          <w:lang w:val="en-US"/>
        </w:rPr>
        <w:t xml:space="preserve">The depression </w:t>
      </w:r>
      <w:r w:rsidR="00383284" w:rsidRPr="00CF3A28">
        <w:rPr>
          <w:sz w:val="24"/>
          <w:szCs w:val="24"/>
          <w:lang w:val="en-US"/>
        </w:rPr>
        <w:t>had an</w:t>
      </w:r>
      <w:r w:rsidR="00E948B1" w:rsidRPr="00CF3A28">
        <w:rPr>
          <w:sz w:val="24"/>
          <w:szCs w:val="24"/>
          <w:lang w:val="en-US"/>
        </w:rPr>
        <w:t xml:space="preserve"> immediate </w:t>
      </w:r>
      <w:r w:rsidR="00383284" w:rsidRPr="00CF3A28">
        <w:rPr>
          <w:sz w:val="24"/>
          <w:szCs w:val="24"/>
          <w:lang w:val="en-US"/>
        </w:rPr>
        <w:t>impact</w:t>
      </w:r>
      <w:r w:rsidR="00603F6C" w:rsidRPr="00CF3A28">
        <w:rPr>
          <w:sz w:val="24"/>
          <w:szCs w:val="24"/>
          <w:lang w:val="en-US"/>
        </w:rPr>
        <w:t xml:space="preserve"> </w:t>
      </w:r>
      <w:r w:rsidR="00383284" w:rsidRPr="00CF3A28">
        <w:rPr>
          <w:sz w:val="24"/>
          <w:szCs w:val="24"/>
          <w:lang w:val="en-US"/>
        </w:rPr>
        <w:t>o</w:t>
      </w:r>
      <w:r w:rsidR="00603F6C" w:rsidRPr="00CF3A28">
        <w:rPr>
          <w:sz w:val="24"/>
          <w:szCs w:val="24"/>
          <w:lang w:val="en-US"/>
        </w:rPr>
        <w:t xml:space="preserve">n strike activity in Europe. The </w:t>
      </w:r>
      <w:r w:rsidR="00703E31" w:rsidRPr="00CF3A28">
        <w:rPr>
          <w:sz w:val="24"/>
          <w:szCs w:val="24"/>
          <w:lang w:val="en-US"/>
        </w:rPr>
        <w:t>sharp increase in</w:t>
      </w:r>
      <w:r w:rsidR="00603F6C" w:rsidRPr="00CF3A28">
        <w:rPr>
          <w:sz w:val="24"/>
          <w:szCs w:val="24"/>
          <w:lang w:val="en-US"/>
        </w:rPr>
        <w:t xml:space="preserve"> the number of strikes in Britain each year of that decade</w:t>
      </w:r>
      <w:r w:rsidR="006F7EF0" w:rsidRPr="00CF3A28">
        <w:rPr>
          <w:sz w:val="24"/>
          <w:szCs w:val="24"/>
          <w:lang w:val="en-US"/>
        </w:rPr>
        <w:t>, shown below,</w:t>
      </w:r>
      <w:r w:rsidR="00603F6C" w:rsidRPr="00CF3A28">
        <w:rPr>
          <w:sz w:val="24"/>
          <w:szCs w:val="24"/>
          <w:lang w:val="en-US"/>
        </w:rPr>
        <w:t xml:space="preserve"> was indicative of the general trend.</w:t>
      </w:r>
    </w:p>
    <w:p w:rsidR="00603F6C" w:rsidRPr="00CF3A28" w:rsidRDefault="00603F6C" w:rsidP="00CF3A28">
      <w:pPr>
        <w:autoSpaceDE w:val="0"/>
        <w:autoSpaceDN w:val="0"/>
        <w:spacing w:line="240" w:lineRule="auto"/>
        <w:jc w:val="left"/>
        <w:rPr>
          <w:sz w:val="24"/>
          <w:szCs w:val="24"/>
          <w:lang w:val="en-US"/>
        </w:rPr>
      </w:pPr>
    </w:p>
    <w:p w:rsidR="00603F6C" w:rsidRPr="00CF3A28" w:rsidRDefault="00603F6C" w:rsidP="00CF3A28">
      <w:pPr>
        <w:autoSpaceDE w:val="0"/>
        <w:autoSpaceDN w:val="0"/>
        <w:spacing w:line="240" w:lineRule="auto"/>
        <w:jc w:val="left"/>
        <w:rPr>
          <w:b/>
          <w:sz w:val="24"/>
          <w:szCs w:val="24"/>
          <w:lang w:val="en-US"/>
        </w:rPr>
      </w:pPr>
      <w:r w:rsidRPr="00CF3A28">
        <w:rPr>
          <w:b/>
          <w:sz w:val="24"/>
          <w:szCs w:val="24"/>
          <w:lang w:val="en-US"/>
        </w:rPr>
        <w:tab/>
      </w:r>
      <w:r w:rsidRPr="00CF3A28">
        <w:rPr>
          <w:b/>
          <w:sz w:val="24"/>
          <w:szCs w:val="24"/>
          <w:lang w:val="en-US"/>
        </w:rPr>
        <w:tab/>
        <w:t>Strikes in the 1870s: Britain</w:t>
      </w:r>
      <w:r w:rsidRPr="00CF3A28">
        <w:rPr>
          <w:b/>
          <w:sz w:val="24"/>
          <w:szCs w:val="24"/>
          <w:vertAlign w:val="superscript"/>
          <w:lang w:val="en-US"/>
        </w:rPr>
        <w:footnoteReference w:id="19"/>
      </w:r>
    </w:p>
    <w:p w:rsidR="00E948B1" w:rsidRPr="00CF3A28" w:rsidRDefault="00E948B1" w:rsidP="00CF3A28">
      <w:pPr>
        <w:autoSpaceDE w:val="0"/>
        <w:autoSpaceDN w:val="0"/>
        <w:spacing w:line="240" w:lineRule="auto"/>
        <w:jc w:val="left"/>
        <w:rPr>
          <w:sz w:val="24"/>
          <w:szCs w:val="24"/>
          <w:lang w:val="en-US"/>
        </w:rPr>
      </w:pPr>
    </w:p>
    <w:p w:rsidR="00603F6C" w:rsidRPr="00CF3A28" w:rsidRDefault="00603F6C" w:rsidP="00CF3A28">
      <w:pPr>
        <w:autoSpaceDE w:val="0"/>
        <w:autoSpaceDN w:val="0"/>
        <w:spacing w:line="240" w:lineRule="auto"/>
        <w:jc w:val="left"/>
        <w:rPr>
          <w:sz w:val="24"/>
          <w:szCs w:val="24"/>
          <w:lang w:val="en-US"/>
        </w:rPr>
      </w:pPr>
      <w:r w:rsidRPr="00CF3A28">
        <w:rPr>
          <w:sz w:val="24"/>
          <w:szCs w:val="24"/>
          <w:lang w:val="en-US"/>
        </w:rPr>
        <w:tab/>
        <w:t>1870........</w:t>
      </w:r>
      <w:r w:rsidR="00886F55" w:rsidRPr="00CF3A28">
        <w:rPr>
          <w:sz w:val="24"/>
          <w:szCs w:val="24"/>
          <w:lang w:val="en-US"/>
        </w:rPr>
        <w:t xml:space="preserve">   </w:t>
      </w:r>
      <w:r w:rsidRPr="00CF3A28">
        <w:rPr>
          <w:sz w:val="24"/>
          <w:szCs w:val="24"/>
          <w:lang w:val="en-US"/>
        </w:rPr>
        <w:t>30</w:t>
      </w:r>
      <w:r w:rsidRPr="00CF3A28">
        <w:rPr>
          <w:sz w:val="24"/>
          <w:szCs w:val="24"/>
          <w:lang w:val="en-US"/>
        </w:rPr>
        <w:tab/>
      </w:r>
      <w:r w:rsidRPr="00CF3A28">
        <w:rPr>
          <w:sz w:val="24"/>
          <w:szCs w:val="24"/>
          <w:lang w:val="en-US"/>
        </w:rPr>
        <w:tab/>
      </w:r>
      <w:r w:rsidRPr="00CF3A28">
        <w:rPr>
          <w:sz w:val="24"/>
          <w:szCs w:val="24"/>
          <w:lang w:val="en-US"/>
        </w:rPr>
        <w:tab/>
        <w:t>1875........</w:t>
      </w:r>
      <w:r w:rsidR="00886F55" w:rsidRPr="00CF3A28">
        <w:rPr>
          <w:sz w:val="24"/>
          <w:szCs w:val="24"/>
          <w:lang w:val="en-US"/>
        </w:rPr>
        <w:t xml:space="preserve"> </w:t>
      </w:r>
      <w:r w:rsidRPr="00CF3A28">
        <w:rPr>
          <w:sz w:val="24"/>
          <w:szCs w:val="24"/>
          <w:lang w:val="en-US"/>
        </w:rPr>
        <w:t>245</w:t>
      </w:r>
    </w:p>
    <w:p w:rsidR="00603F6C" w:rsidRPr="00CF3A28" w:rsidRDefault="00603F6C" w:rsidP="00CF3A28">
      <w:pPr>
        <w:autoSpaceDE w:val="0"/>
        <w:autoSpaceDN w:val="0"/>
        <w:spacing w:line="240" w:lineRule="auto"/>
        <w:jc w:val="left"/>
        <w:rPr>
          <w:sz w:val="24"/>
          <w:szCs w:val="24"/>
          <w:lang w:val="en-US"/>
        </w:rPr>
      </w:pPr>
      <w:r w:rsidRPr="00CF3A28">
        <w:rPr>
          <w:sz w:val="24"/>
          <w:szCs w:val="24"/>
          <w:lang w:val="en-US"/>
        </w:rPr>
        <w:tab/>
        <w:t>1871........</w:t>
      </w:r>
      <w:r w:rsidR="00886F55" w:rsidRPr="00CF3A28">
        <w:rPr>
          <w:sz w:val="24"/>
          <w:szCs w:val="24"/>
          <w:lang w:val="en-US"/>
        </w:rPr>
        <w:t xml:space="preserve">   </w:t>
      </w:r>
      <w:r w:rsidRPr="00CF3A28">
        <w:rPr>
          <w:sz w:val="24"/>
          <w:szCs w:val="24"/>
          <w:lang w:val="en-US"/>
        </w:rPr>
        <w:t>98</w:t>
      </w:r>
      <w:r w:rsidRPr="00CF3A28">
        <w:rPr>
          <w:sz w:val="24"/>
          <w:szCs w:val="24"/>
          <w:lang w:val="en-US"/>
        </w:rPr>
        <w:tab/>
      </w:r>
      <w:r w:rsidRPr="00CF3A28">
        <w:rPr>
          <w:sz w:val="24"/>
          <w:szCs w:val="24"/>
          <w:lang w:val="en-US"/>
        </w:rPr>
        <w:tab/>
      </w:r>
      <w:r w:rsidRPr="00CF3A28">
        <w:rPr>
          <w:sz w:val="24"/>
          <w:szCs w:val="24"/>
          <w:lang w:val="en-US"/>
        </w:rPr>
        <w:tab/>
        <w:t>1876........</w:t>
      </w:r>
      <w:r w:rsidR="00886F55" w:rsidRPr="00CF3A28">
        <w:rPr>
          <w:sz w:val="24"/>
          <w:szCs w:val="24"/>
          <w:lang w:val="en-US"/>
        </w:rPr>
        <w:t xml:space="preserve"> </w:t>
      </w:r>
      <w:r w:rsidRPr="00CF3A28">
        <w:rPr>
          <w:sz w:val="24"/>
          <w:szCs w:val="24"/>
          <w:lang w:val="en-US"/>
        </w:rPr>
        <w:t>229</w:t>
      </w:r>
    </w:p>
    <w:p w:rsidR="00603F6C" w:rsidRPr="00CF3A28" w:rsidRDefault="00603F6C" w:rsidP="00CF3A28">
      <w:pPr>
        <w:autoSpaceDE w:val="0"/>
        <w:autoSpaceDN w:val="0"/>
        <w:spacing w:line="240" w:lineRule="auto"/>
        <w:jc w:val="left"/>
        <w:rPr>
          <w:sz w:val="24"/>
          <w:szCs w:val="24"/>
          <w:lang w:val="en-US"/>
        </w:rPr>
      </w:pPr>
      <w:r w:rsidRPr="00CF3A28">
        <w:rPr>
          <w:sz w:val="24"/>
          <w:szCs w:val="24"/>
          <w:lang w:val="en-US"/>
        </w:rPr>
        <w:tab/>
        <w:t>1872........</w:t>
      </w:r>
      <w:r w:rsidR="00886F55" w:rsidRPr="00CF3A28">
        <w:rPr>
          <w:sz w:val="24"/>
          <w:szCs w:val="24"/>
          <w:lang w:val="en-US"/>
        </w:rPr>
        <w:t xml:space="preserve"> </w:t>
      </w:r>
      <w:r w:rsidRPr="00CF3A28">
        <w:rPr>
          <w:sz w:val="24"/>
          <w:szCs w:val="24"/>
          <w:lang w:val="en-US"/>
        </w:rPr>
        <w:t>343</w:t>
      </w:r>
      <w:r w:rsidRPr="00CF3A28">
        <w:rPr>
          <w:sz w:val="24"/>
          <w:szCs w:val="24"/>
          <w:lang w:val="en-US"/>
        </w:rPr>
        <w:tab/>
      </w:r>
      <w:r w:rsidRPr="00CF3A28">
        <w:rPr>
          <w:sz w:val="24"/>
          <w:szCs w:val="24"/>
          <w:lang w:val="en-US"/>
        </w:rPr>
        <w:tab/>
      </w:r>
      <w:r w:rsidRPr="00CF3A28">
        <w:rPr>
          <w:sz w:val="24"/>
          <w:szCs w:val="24"/>
          <w:lang w:val="en-US"/>
        </w:rPr>
        <w:tab/>
        <w:t>1877........</w:t>
      </w:r>
      <w:r w:rsidR="00886F55" w:rsidRPr="00CF3A28">
        <w:rPr>
          <w:sz w:val="24"/>
          <w:szCs w:val="24"/>
          <w:lang w:val="en-US"/>
        </w:rPr>
        <w:t xml:space="preserve"> </w:t>
      </w:r>
      <w:r w:rsidRPr="00CF3A28">
        <w:rPr>
          <w:sz w:val="24"/>
          <w:szCs w:val="24"/>
          <w:lang w:val="en-US"/>
        </w:rPr>
        <w:t>180</w:t>
      </w:r>
    </w:p>
    <w:p w:rsidR="00603F6C" w:rsidRPr="00CF3A28" w:rsidRDefault="00603F6C" w:rsidP="00CF3A28">
      <w:pPr>
        <w:autoSpaceDE w:val="0"/>
        <w:autoSpaceDN w:val="0"/>
        <w:spacing w:line="240" w:lineRule="auto"/>
        <w:jc w:val="left"/>
        <w:rPr>
          <w:sz w:val="24"/>
          <w:szCs w:val="24"/>
          <w:lang w:val="en-US"/>
        </w:rPr>
      </w:pPr>
      <w:r w:rsidRPr="00CF3A28">
        <w:rPr>
          <w:sz w:val="24"/>
          <w:szCs w:val="24"/>
          <w:lang w:val="en-US"/>
        </w:rPr>
        <w:tab/>
        <w:t>1873........</w:t>
      </w:r>
      <w:r w:rsidR="00886F55" w:rsidRPr="00CF3A28">
        <w:rPr>
          <w:sz w:val="24"/>
          <w:szCs w:val="24"/>
          <w:lang w:val="en-US"/>
        </w:rPr>
        <w:t xml:space="preserve"> </w:t>
      </w:r>
      <w:r w:rsidRPr="00CF3A28">
        <w:rPr>
          <w:sz w:val="24"/>
          <w:szCs w:val="24"/>
          <w:lang w:val="en-US"/>
        </w:rPr>
        <w:t>365</w:t>
      </w:r>
      <w:r w:rsidRPr="00CF3A28">
        <w:rPr>
          <w:sz w:val="24"/>
          <w:szCs w:val="24"/>
          <w:lang w:val="en-US"/>
        </w:rPr>
        <w:tab/>
      </w:r>
      <w:r w:rsidRPr="00CF3A28">
        <w:rPr>
          <w:sz w:val="24"/>
          <w:szCs w:val="24"/>
          <w:lang w:val="en-US"/>
        </w:rPr>
        <w:tab/>
      </w:r>
      <w:r w:rsidRPr="00CF3A28">
        <w:rPr>
          <w:sz w:val="24"/>
          <w:szCs w:val="24"/>
          <w:lang w:val="en-US"/>
        </w:rPr>
        <w:tab/>
        <w:t>1878........</w:t>
      </w:r>
      <w:r w:rsidR="00886F55" w:rsidRPr="00CF3A28">
        <w:rPr>
          <w:sz w:val="24"/>
          <w:szCs w:val="24"/>
          <w:lang w:val="en-US"/>
        </w:rPr>
        <w:t xml:space="preserve"> </w:t>
      </w:r>
      <w:r w:rsidRPr="00CF3A28">
        <w:rPr>
          <w:sz w:val="24"/>
          <w:szCs w:val="24"/>
          <w:lang w:val="en-US"/>
        </w:rPr>
        <w:t>268</w:t>
      </w:r>
    </w:p>
    <w:p w:rsidR="00603F6C" w:rsidRPr="00CF3A28" w:rsidRDefault="00603F6C" w:rsidP="00CF3A28">
      <w:pPr>
        <w:autoSpaceDE w:val="0"/>
        <w:autoSpaceDN w:val="0"/>
        <w:spacing w:line="240" w:lineRule="auto"/>
        <w:jc w:val="left"/>
        <w:rPr>
          <w:sz w:val="24"/>
          <w:szCs w:val="24"/>
          <w:lang w:val="en-US"/>
        </w:rPr>
      </w:pPr>
      <w:r w:rsidRPr="00CF3A28">
        <w:rPr>
          <w:sz w:val="24"/>
          <w:szCs w:val="24"/>
          <w:lang w:val="en-US"/>
        </w:rPr>
        <w:tab/>
        <w:t>1874........</w:t>
      </w:r>
      <w:r w:rsidR="00886F55" w:rsidRPr="00CF3A28">
        <w:rPr>
          <w:sz w:val="24"/>
          <w:szCs w:val="24"/>
          <w:lang w:val="en-US"/>
        </w:rPr>
        <w:t xml:space="preserve"> </w:t>
      </w:r>
      <w:r w:rsidRPr="00CF3A28">
        <w:rPr>
          <w:sz w:val="24"/>
          <w:szCs w:val="24"/>
          <w:lang w:val="en-US"/>
        </w:rPr>
        <w:t>286</w:t>
      </w:r>
      <w:r w:rsidRPr="00CF3A28">
        <w:rPr>
          <w:sz w:val="24"/>
          <w:szCs w:val="24"/>
          <w:lang w:val="en-US"/>
        </w:rPr>
        <w:tab/>
      </w:r>
      <w:r w:rsidRPr="00CF3A28">
        <w:rPr>
          <w:sz w:val="24"/>
          <w:szCs w:val="24"/>
          <w:lang w:val="en-US"/>
        </w:rPr>
        <w:tab/>
      </w:r>
      <w:r w:rsidRPr="00CF3A28">
        <w:rPr>
          <w:sz w:val="24"/>
          <w:szCs w:val="24"/>
          <w:lang w:val="en-US"/>
        </w:rPr>
        <w:tab/>
        <w:t>1879........</w:t>
      </w:r>
      <w:r w:rsidR="00886F55" w:rsidRPr="00CF3A28">
        <w:rPr>
          <w:sz w:val="24"/>
          <w:szCs w:val="24"/>
          <w:lang w:val="en-US"/>
        </w:rPr>
        <w:t xml:space="preserve"> </w:t>
      </w:r>
      <w:r w:rsidRPr="00CF3A28">
        <w:rPr>
          <w:sz w:val="24"/>
          <w:szCs w:val="24"/>
          <w:lang w:val="en-US"/>
        </w:rPr>
        <w:t>308</w:t>
      </w:r>
    </w:p>
    <w:p w:rsidR="00603F6C" w:rsidRPr="00CF3A28" w:rsidRDefault="00603F6C" w:rsidP="00CF3A28">
      <w:pPr>
        <w:autoSpaceDE w:val="0"/>
        <w:autoSpaceDN w:val="0"/>
        <w:spacing w:line="240" w:lineRule="auto"/>
        <w:jc w:val="left"/>
        <w:rPr>
          <w:sz w:val="24"/>
          <w:szCs w:val="24"/>
          <w:lang w:val="en-US"/>
        </w:rPr>
      </w:pPr>
    </w:p>
    <w:p w:rsidR="00886F55" w:rsidRPr="00CF3A28" w:rsidRDefault="006C2419" w:rsidP="00CF3A28">
      <w:pPr>
        <w:autoSpaceDE w:val="0"/>
        <w:autoSpaceDN w:val="0"/>
        <w:spacing w:line="240" w:lineRule="auto"/>
        <w:jc w:val="left"/>
        <w:rPr>
          <w:sz w:val="24"/>
          <w:szCs w:val="24"/>
        </w:rPr>
      </w:pPr>
      <w:r w:rsidRPr="00CF3A28">
        <w:rPr>
          <w:sz w:val="24"/>
          <w:szCs w:val="24"/>
          <w:lang w:val="en-US"/>
        </w:rPr>
        <w:t>V</w:t>
      </w:r>
      <w:r w:rsidR="00436DCB" w:rsidRPr="00CF3A28">
        <w:rPr>
          <w:sz w:val="24"/>
          <w:szCs w:val="24"/>
          <w:lang w:val="en-US"/>
        </w:rPr>
        <w:t xml:space="preserve">iolent strikes </w:t>
      </w:r>
      <w:r w:rsidRPr="00CF3A28">
        <w:rPr>
          <w:sz w:val="24"/>
          <w:szCs w:val="24"/>
          <w:lang w:val="en-US"/>
        </w:rPr>
        <w:t>continued right up to 1914</w:t>
      </w:r>
      <w:r w:rsidR="00436DCB" w:rsidRPr="00CF3A28">
        <w:rPr>
          <w:sz w:val="24"/>
          <w:szCs w:val="24"/>
        </w:rPr>
        <w:t>.</w:t>
      </w:r>
      <w:r w:rsidR="00436DCB" w:rsidRPr="00CF3A28">
        <w:rPr>
          <w:sz w:val="24"/>
          <w:szCs w:val="24"/>
          <w:vertAlign w:val="superscript"/>
        </w:rPr>
        <w:footnoteReference w:id="20"/>
      </w:r>
      <w:r w:rsidR="00436DCB" w:rsidRPr="00CF3A28">
        <w:rPr>
          <w:sz w:val="24"/>
          <w:szCs w:val="24"/>
        </w:rPr>
        <w:t xml:space="preserve"> </w:t>
      </w:r>
      <w:r w:rsidR="000E1366" w:rsidRPr="00CF3A28">
        <w:rPr>
          <w:sz w:val="24"/>
          <w:szCs w:val="24"/>
        </w:rPr>
        <w:t>As</w:t>
      </w:r>
      <w:r w:rsidR="00744A92" w:rsidRPr="00CF3A28">
        <w:rPr>
          <w:sz w:val="24"/>
          <w:szCs w:val="24"/>
        </w:rPr>
        <w:t xml:space="preserve"> </w:t>
      </w:r>
      <w:r w:rsidR="00744A92" w:rsidRPr="00CF3A28">
        <w:rPr>
          <w:sz w:val="24"/>
          <w:szCs w:val="24"/>
          <w:lang w:val="en-US"/>
        </w:rPr>
        <w:t xml:space="preserve">these </w:t>
      </w:r>
      <w:r w:rsidR="001444F1" w:rsidRPr="00CF3A28">
        <w:rPr>
          <w:sz w:val="24"/>
          <w:szCs w:val="24"/>
          <w:lang w:val="en-US"/>
        </w:rPr>
        <w:t>stresses and strains</w:t>
      </w:r>
      <w:r w:rsidR="000E1366" w:rsidRPr="00CF3A28">
        <w:rPr>
          <w:sz w:val="24"/>
          <w:szCs w:val="24"/>
          <w:lang w:val="en-US"/>
        </w:rPr>
        <w:t xml:space="preserve"> escalated</w:t>
      </w:r>
      <w:r w:rsidR="00744A92" w:rsidRPr="00CF3A28">
        <w:rPr>
          <w:sz w:val="24"/>
          <w:szCs w:val="24"/>
          <w:lang w:val="en-US"/>
        </w:rPr>
        <w:t>, European states sought to escape</w:t>
      </w:r>
      <w:r w:rsidR="001444F1" w:rsidRPr="00CF3A28">
        <w:rPr>
          <w:sz w:val="24"/>
          <w:szCs w:val="24"/>
          <w:lang w:val="en-US"/>
        </w:rPr>
        <w:t xml:space="preserve"> </w:t>
      </w:r>
      <w:r w:rsidR="00744A92" w:rsidRPr="00CF3A28">
        <w:rPr>
          <w:sz w:val="24"/>
          <w:szCs w:val="24"/>
          <w:lang w:val="en-US"/>
        </w:rPr>
        <w:t xml:space="preserve">their </w:t>
      </w:r>
      <w:r w:rsidR="001444F1" w:rsidRPr="00CF3A28">
        <w:rPr>
          <w:sz w:val="24"/>
          <w:szCs w:val="24"/>
          <w:lang w:val="en-US"/>
        </w:rPr>
        <w:t>increasingly</w:t>
      </w:r>
      <w:r w:rsidRPr="00CF3A28">
        <w:rPr>
          <w:sz w:val="24"/>
          <w:szCs w:val="24"/>
          <w:lang w:val="en-US"/>
        </w:rPr>
        <w:t xml:space="preserve"> polarized societies</w:t>
      </w:r>
      <w:r w:rsidR="00A718DD" w:rsidRPr="00CF3A28">
        <w:rPr>
          <w:sz w:val="24"/>
          <w:szCs w:val="24"/>
          <w:lang w:val="en-US"/>
        </w:rPr>
        <w:t xml:space="preserve"> </w:t>
      </w:r>
      <w:r w:rsidR="001444F1" w:rsidRPr="00CF3A28">
        <w:rPr>
          <w:sz w:val="24"/>
          <w:szCs w:val="24"/>
          <w:lang w:val="en-US"/>
        </w:rPr>
        <w:t xml:space="preserve">through </w:t>
      </w:r>
      <w:r w:rsidR="00A718DD" w:rsidRPr="00CF3A28">
        <w:rPr>
          <w:sz w:val="24"/>
          <w:szCs w:val="24"/>
          <w:lang w:val="en-US"/>
        </w:rPr>
        <w:t>a sharp escalation of</w:t>
      </w:r>
      <w:r w:rsidR="00A718DD" w:rsidRPr="00CF3A28">
        <w:rPr>
          <w:sz w:val="24"/>
          <w:szCs w:val="24"/>
        </w:rPr>
        <w:t xml:space="preserve"> imperialist expansion</w:t>
      </w:r>
      <w:r w:rsidR="00744A92" w:rsidRPr="00CF3A28">
        <w:rPr>
          <w:sz w:val="24"/>
          <w:szCs w:val="24"/>
        </w:rPr>
        <w:t>.</w:t>
      </w:r>
      <w:r w:rsidR="000E1366" w:rsidRPr="00CF3A28">
        <w:rPr>
          <w:sz w:val="24"/>
          <w:szCs w:val="24"/>
        </w:rPr>
        <w:t xml:space="preserve"> After the 1890s, o</w:t>
      </w:r>
      <w:r w:rsidR="00B71142" w:rsidRPr="00CF3A28">
        <w:rPr>
          <w:sz w:val="24"/>
          <w:szCs w:val="24"/>
        </w:rPr>
        <w:t>pportunities to expand overseas quickly diminish</w:t>
      </w:r>
      <w:r w:rsidR="000E1366" w:rsidRPr="00CF3A28">
        <w:rPr>
          <w:sz w:val="24"/>
          <w:szCs w:val="24"/>
        </w:rPr>
        <w:t>ed</w:t>
      </w:r>
      <w:r w:rsidR="00744A92" w:rsidRPr="00CF3A28">
        <w:rPr>
          <w:sz w:val="24"/>
          <w:szCs w:val="24"/>
        </w:rPr>
        <w:t>,</w:t>
      </w:r>
      <w:r w:rsidR="001444F1" w:rsidRPr="00CF3A28">
        <w:rPr>
          <w:sz w:val="24"/>
          <w:szCs w:val="24"/>
        </w:rPr>
        <w:t xml:space="preserve"> </w:t>
      </w:r>
      <w:r w:rsidR="000E1366" w:rsidRPr="00CF3A28">
        <w:rPr>
          <w:sz w:val="24"/>
          <w:szCs w:val="24"/>
        </w:rPr>
        <w:t xml:space="preserve">and </w:t>
      </w:r>
      <w:r w:rsidR="00B71142" w:rsidRPr="00CF3A28">
        <w:rPr>
          <w:sz w:val="24"/>
          <w:szCs w:val="24"/>
        </w:rPr>
        <w:t>the expansionist aims of European powers began to focus</w:t>
      </w:r>
      <w:r w:rsidR="00744A92" w:rsidRPr="00CF3A28">
        <w:rPr>
          <w:sz w:val="24"/>
          <w:szCs w:val="24"/>
        </w:rPr>
        <w:t>, once again,</w:t>
      </w:r>
      <w:r w:rsidR="00B71142" w:rsidRPr="00CF3A28">
        <w:rPr>
          <w:sz w:val="24"/>
          <w:szCs w:val="24"/>
        </w:rPr>
        <w:t xml:space="preserve"> on Europe itself.</w:t>
      </w:r>
      <w:r w:rsidR="00B71142" w:rsidRPr="00CF3A28">
        <w:rPr>
          <w:sz w:val="24"/>
          <w:szCs w:val="24"/>
          <w:vertAlign w:val="superscript"/>
          <w:lang w:val="en-US"/>
        </w:rPr>
        <w:footnoteReference w:id="21"/>
      </w:r>
      <w:r w:rsidR="00B71142" w:rsidRPr="00CF3A28">
        <w:rPr>
          <w:sz w:val="24"/>
          <w:szCs w:val="24"/>
        </w:rPr>
        <w:t xml:space="preserve"> </w:t>
      </w:r>
      <w:r w:rsidR="001444F1" w:rsidRPr="00CF3A28">
        <w:rPr>
          <w:sz w:val="24"/>
          <w:szCs w:val="24"/>
        </w:rPr>
        <w:t>Th</w:t>
      </w:r>
      <w:r w:rsidR="00744A92" w:rsidRPr="00CF3A28">
        <w:rPr>
          <w:sz w:val="24"/>
          <w:szCs w:val="24"/>
        </w:rPr>
        <w:t>e tensions and rivalries this generated</w:t>
      </w:r>
      <w:r w:rsidR="001444F1" w:rsidRPr="00CF3A28">
        <w:rPr>
          <w:sz w:val="24"/>
          <w:szCs w:val="24"/>
        </w:rPr>
        <w:t xml:space="preserve"> </w:t>
      </w:r>
      <w:r w:rsidR="00975981" w:rsidRPr="00CF3A28">
        <w:rPr>
          <w:sz w:val="24"/>
          <w:szCs w:val="24"/>
        </w:rPr>
        <w:t xml:space="preserve">culminated in </w:t>
      </w:r>
      <w:r w:rsidR="00744A92" w:rsidRPr="00CF3A28">
        <w:rPr>
          <w:sz w:val="24"/>
          <w:szCs w:val="24"/>
        </w:rPr>
        <w:t xml:space="preserve">a </w:t>
      </w:r>
      <w:r w:rsidR="00975981" w:rsidRPr="00CF3A28">
        <w:rPr>
          <w:sz w:val="24"/>
          <w:szCs w:val="24"/>
        </w:rPr>
        <w:t>multi-lateral great power war in Europe</w:t>
      </w:r>
      <w:r w:rsidR="005B2EA7" w:rsidRPr="00CF3A28">
        <w:rPr>
          <w:sz w:val="24"/>
          <w:szCs w:val="24"/>
        </w:rPr>
        <w:t>&gt; This</w:t>
      </w:r>
      <w:r w:rsidR="00975981" w:rsidRPr="00CF3A28">
        <w:rPr>
          <w:sz w:val="24"/>
          <w:szCs w:val="24"/>
        </w:rPr>
        <w:t xml:space="preserve"> </w:t>
      </w:r>
      <w:r w:rsidR="00B71142" w:rsidRPr="00CF3A28">
        <w:rPr>
          <w:sz w:val="24"/>
          <w:szCs w:val="24"/>
        </w:rPr>
        <w:t>forc</w:t>
      </w:r>
      <w:r w:rsidR="00744A92" w:rsidRPr="00CF3A28">
        <w:rPr>
          <w:sz w:val="24"/>
          <w:szCs w:val="24"/>
        </w:rPr>
        <w:t>ed</w:t>
      </w:r>
      <w:r w:rsidR="00975981" w:rsidRPr="00CF3A28">
        <w:rPr>
          <w:sz w:val="24"/>
          <w:szCs w:val="24"/>
        </w:rPr>
        <w:t xml:space="preserve"> ruling groups to </w:t>
      </w:r>
      <w:r w:rsidR="00B71142" w:rsidRPr="00CF3A28">
        <w:rPr>
          <w:sz w:val="24"/>
          <w:szCs w:val="24"/>
        </w:rPr>
        <w:t xml:space="preserve">do precisely what a century of external expansion had enabled them to avoid: </w:t>
      </w:r>
      <w:r w:rsidR="00975981" w:rsidRPr="00CF3A28">
        <w:rPr>
          <w:sz w:val="24"/>
          <w:szCs w:val="24"/>
        </w:rPr>
        <w:t>mobilize (and, thus, organize, train and, in other ways, empower) the masses. As numerous scholars have shown, war often produces social levelling, revolution, and shifts in the balance of social forces.</w:t>
      </w:r>
      <w:r w:rsidR="00975981" w:rsidRPr="00CF3A28">
        <w:rPr>
          <w:sz w:val="24"/>
          <w:szCs w:val="24"/>
          <w:vertAlign w:val="superscript"/>
        </w:rPr>
        <w:footnoteReference w:id="22"/>
      </w:r>
      <w:r w:rsidR="00975981" w:rsidRPr="00CF3A28">
        <w:rPr>
          <w:sz w:val="24"/>
          <w:szCs w:val="24"/>
        </w:rPr>
        <w:t xml:space="preserve"> During the world wars this is what happened in Europe.</w:t>
      </w:r>
      <w:r w:rsidR="00886F55" w:rsidRPr="00CF3A28">
        <w:rPr>
          <w:sz w:val="24"/>
          <w:szCs w:val="24"/>
        </w:rPr>
        <w:t xml:space="preserve"> The mobilisation of increasingly politicised, radicalised and, as a result of the mobilisation itself,  organised masses to fight for a system that had, for decades, generated increasingly divisive social conflict, set in motion a social revolution that began in 1917 and, thereafter, swept through all of Europe. </w:t>
      </w:r>
    </w:p>
    <w:p w:rsidR="00975981" w:rsidRPr="00CF3A28" w:rsidRDefault="00975981" w:rsidP="00CF3A28">
      <w:pPr>
        <w:autoSpaceDE w:val="0"/>
        <w:autoSpaceDN w:val="0"/>
        <w:spacing w:line="240" w:lineRule="auto"/>
        <w:jc w:val="left"/>
        <w:rPr>
          <w:sz w:val="24"/>
          <w:szCs w:val="24"/>
        </w:rPr>
      </w:pPr>
    </w:p>
    <w:p w:rsidR="00532311" w:rsidRPr="00CF3A28" w:rsidRDefault="00886F55" w:rsidP="00CF3A28">
      <w:pPr>
        <w:autoSpaceDE w:val="0"/>
        <w:autoSpaceDN w:val="0"/>
        <w:spacing w:line="240" w:lineRule="auto"/>
        <w:jc w:val="left"/>
        <w:rPr>
          <w:sz w:val="24"/>
          <w:szCs w:val="24"/>
        </w:rPr>
      </w:pPr>
      <w:r w:rsidRPr="00CF3A28">
        <w:rPr>
          <w:sz w:val="24"/>
          <w:szCs w:val="24"/>
          <w:lang w:val="en-US"/>
        </w:rPr>
        <w:t>Contrary to m</w:t>
      </w:r>
      <w:r w:rsidR="00436DCB" w:rsidRPr="00CF3A28">
        <w:rPr>
          <w:sz w:val="24"/>
          <w:szCs w:val="24"/>
          <w:lang w:val="en-US"/>
        </w:rPr>
        <w:t>any contemporary observers</w:t>
      </w:r>
      <w:r w:rsidR="001444F1" w:rsidRPr="00CF3A28">
        <w:rPr>
          <w:sz w:val="24"/>
          <w:szCs w:val="24"/>
          <w:lang w:val="en-US"/>
        </w:rPr>
        <w:t>,</w:t>
      </w:r>
      <w:r w:rsidR="00436DCB" w:rsidRPr="00CF3A28">
        <w:rPr>
          <w:sz w:val="24"/>
          <w:szCs w:val="24"/>
          <w:lang w:val="en-US"/>
        </w:rPr>
        <w:t xml:space="preserve"> as </w:t>
      </w:r>
      <w:r w:rsidR="001444F1" w:rsidRPr="00CF3A28">
        <w:rPr>
          <w:sz w:val="24"/>
          <w:szCs w:val="24"/>
          <w:lang w:val="en-US"/>
        </w:rPr>
        <w:t xml:space="preserve">well as </w:t>
      </w:r>
      <w:r w:rsidR="00973463" w:rsidRPr="00CF3A28">
        <w:rPr>
          <w:sz w:val="24"/>
          <w:szCs w:val="24"/>
          <w:lang w:val="en-US"/>
        </w:rPr>
        <w:t xml:space="preserve">to </w:t>
      </w:r>
      <w:r w:rsidR="001444F1" w:rsidRPr="00CF3A28">
        <w:rPr>
          <w:sz w:val="24"/>
          <w:szCs w:val="24"/>
          <w:lang w:val="en-US"/>
        </w:rPr>
        <w:t>later</w:t>
      </w:r>
      <w:r w:rsidR="00436DCB" w:rsidRPr="00CF3A28">
        <w:rPr>
          <w:sz w:val="24"/>
          <w:szCs w:val="24"/>
          <w:lang w:val="en-US"/>
        </w:rPr>
        <w:t xml:space="preserve"> accounts of this period, working-class participation in the war effort </w:t>
      </w:r>
      <w:r w:rsidRPr="00CF3A28">
        <w:rPr>
          <w:sz w:val="24"/>
          <w:szCs w:val="24"/>
          <w:lang w:val="en-US"/>
        </w:rPr>
        <w:t xml:space="preserve">did not </w:t>
      </w:r>
      <w:r w:rsidR="00436DCB" w:rsidRPr="00CF3A28">
        <w:rPr>
          <w:sz w:val="24"/>
          <w:szCs w:val="24"/>
          <w:lang w:val="en-US"/>
        </w:rPr>
        <w:t>represent a victory of nationalism over Socialist solidarity.</w:t>
      </w:r>
      <w:r w:rsidR="00436DCB" w:rsidRPr="00CF3A28">
        <w:rPr>
          <w:sz w:val="24"/>
          <w:szCs w:val="24"/>
          <w:vertAlign w:val="superscript"/>
          <w:lang w:val="en-US"/>
        </w:rPr>
        <w:footnoteReference w:id="23"/>
      </w:r>
      <w:r w:rsidR="00436DCB" w:rsidRPr="00CF3A28">
        <w:rPr>
          <w:sz w:val="24"/>
          <w:szCs w:val="24"/>
          <w:lang w:val="en-US"/>
        </w:rPr>
        <w:t xml:space="preserve"> </w:t>
      </w:r>
      <w:r w:rsidRPr="00CF3A28">
        <w:rPr>
          <w:sz w:val="24"/>
          <w:szCs w:val="24"/>
          <w:lang w:val="en-US"/>
        </w:rPr>
        <w:t>Instead,</w:t>
      </w:r>
      <w:r w:rsidR="004D3ED9" w:rsidRPr="00CF3A28">
        <w:rPr>
          <w:sz w:val="24"/>
          <w:szCs w:val="24"/>
          <w:lang w:val="en-US"/>
        </w:rPr>
        <w:t xml:space="preserve"> </w:t>
      </w:r>
      <w:r w:rsidRPr="00CF3A28">
        <w:rPr>
          <w:sz w:val="24"/>
          <w:szCs w:val="24"/>
          <w:lang w:val="en-US"/>
        </w:rPr>
        <w:t>workers’ struggles continued during the war</w:t>
      </w:r>
      <w:r w:rsidR="004C101D" w:rsidRPr="00CF3A28">
        <w:rPr>
          <w:sz w:val="24"/>
          <w:szCs w:val="24"/>
          <w:lang w:val="en-US"/>
        </w:rPr>
        <w:t>. T</w:t>
      </w:r>
      <w:r w:rsidR="00E2322B" w:rsidRPr="00CF3A28">
        <w:rPr>
          <w:sz w:val="24"/>
          <w:szCs w:val="24"/>
          <w:lang w:val="en-US"/>
        </w:rPr>
        <w:t>he</w:t>
      </w:r>
      <w:r w:rsidR="00E2322B" w:rsidRPr="00CF3A28">
        <w:rPr>
          <w:sz w:val="24"/>
          <w:szCs w:val="24"/>
        </w:rPr>
        <w:t xml:space="preserve"> wartime mobilisation and participation of urban working classes and peasant masses produced stronger, larger, more united and better organised labour movements. </w:t>
      </w:r>
      <w:r w:rsidRPr="00CF3A28">
        <w:rPr>
          <w:sz w:val="24"/>
          <w:szCs w:val="24"/>
        </w:rPr>
        <w:t>A</w:t>
      </w:r>
      <w:r w:rsidR="000F6C6D" w:rsidRPr="00CF3A28">
        <w:rPr>
          <w:sz w:val="24"/>
          <w:szCs w:val="24"/>
          <w:lang w:val="en-US"/>
        </w:rPr>
        <w:t xml:space="preserve">t </w:t>
      </w:r>
      <w:r w:rsidRPr="00CF3A28">
        <w:rPr>
          <w:sz w:val="24"/>
          <w:szCs w:val="24"/>
          <w:lang w:val="en-US"/>
        </w:rPr>
        <w:t>the</w:t>
      </w:r>
      <w:r w:rsidR="000F6C6D" w:rsidRPr="00CF3A28">
        <w:rPr>
          <w:sz w:val="24"/>
          <w:szCs w:val="24"/>
          <w:lang w:val="en-US"/>
        </w:rPr>
        <w:t xml:space="preserve"> end</w:t>
      </w:r>
      <w:r w:rsidR="00E2322B" w:rsidRPr="00CF3A28">
        <w:rPr>
          <w:sz w:val="24"/>
          <w:szCs w:val="24"/>
          <w:lang w:val="en-US"/>
        </w:rPr>
        <w:t xml:space="preserve"> </w:t>
      </w:r>
      <w:r w:rsidRPr="00CF3A28">
        <w:rPr>
          <w:sz w:val="24"/>
          <w:szCs w:val="24"/>
          <w:lang w:val="en-US"/>
        </w:rPr>
        <w:t xml:space="preserve">of the war, </w:t>
      </w:r>
      <w:r w:rsidR="00436DCB" w:rsidRPr="00CF3A28">
        <w:rPr>
          <w:sz w:val="24"/>
          <w:szCs w:val="24"/>
        </w:rPr>
        <w:t>Europe had 34 million trade unionists.</w:t>
      </w:r>
      <w:r w:rsidR="00436DCB" w:rsidRPr="00CF3A28">
        <w:rPr>
          <w:sz w:val="24"/>
          <w:szCs w:val="24"/>
          <w:vertAlign w:val="superscript"/>
          <w:lang w:val="en-US"/>
        </w:rPr>
        <w:footnoteReference w:id="24"/>
      </w:r>
      <w:r w:rsidR="00436DCB" w:rsidRPr="00CF3A28">
        <w:rPr>
          <w:sz w:val="24"/>
          <w:szCs w:val="24"/>
        </w:rPr>
        <w:t xml:space="preserve"> </w:t>
      </w:r>
      <w:r w:rsidR="00532311" w:rsidRPr="00CF3A28">
        <w:rPr>
          <w:sz w:val="24"/>
          <w:szCs w:val="24"/>
        </w:rPr>
        <w:t>As s</w:t>
      </w:r>
      <w:r w:rsidR="00436DCB" w:rsidRPr="00CF3A28">
        <w:rPr>
          <w:sz w:val="24"/>
          <w:szCs w:val="24"/>
        </w:rPr>
        <w:t>killed and unskilled workers, workers of different occupations, anarchists and socialists, Social Democrats and Communists, revolutionaries and reformists closed ranks (Cronin 1982</w:t>
      </w:r>
      <w:r w:rsidR="00257C41" w:rsidRPr="00CF3A28">
        <w:rPr>
          <w:sz w:val="24"/>
          <w:szCs w:val="24"/>
        </w:rPr>
        <w:t xml:space="preserve">: </w:t>
      </w:r>
      <w:r w:rsidR="00436DCB" w:rsidRPr="00CF3A28">
        <w:rPr>
          <w:sz w:val="24"/>
          <w:szCs w:val="24"/>
        </w:rPr>
        <w:t>139, 121)</w:t>
      </w:r>
      <w:r w:rsidR="00532311" w:rsidRPr="00CF3A28">
        <w:rPr>
          <w:sz w:val="24"/>
          <w:szCs w:val="24"/>
        </w:rPr>
        <w:t>, there was an</w:t>
      </w:r>
      <w:r w:rsidR="00436DCB" w:rsidRPr="00CF3A28">
        <w:rPr>
          <w:sz w:val="24"/>
          <w:szCs w:val="24"/>
        </w:rPr>
        <w:t xml:space="preserve"> explosive rise of trade union membership, peasant organisation, socialist parties and socialist radicalism</w:t>
      </w:r>
      <w:r w:rsidR="00532311" w:rsidRPr="00CF3A28">
        <w:rPr>
          <w:sz w:val="24"/>
          <w:szCs w:val="24"/>
        </w:rPr>
        <w:t xml:space="preserve">. </w:t>
      </w:r>
      <w:r w:rsidR="00436DCB" w:rsidRPr="00CF3A28">
        <w:rPr>
          <w:sz w:val="24"/>
          <w:szCs w:val="24"/>
        </w:rPr>
        <w:t>Attempts to block the rising ‘red tide’ by</w:t>
      </w:r>
      <w:r w:rsidR="00532311" w:rsidRPr="00CF3A28">
        <w:rPr>
          <w:sz w:val="24"/>
          <w:szCs w:val="24"/>
        </w:rPr>
        <w:t xml:space="preserve"> a strategy of</w:t>
      </w:r>
      <w:r w:rsidR="00436DCB" w:rsidRPr="00CF3A28">
        <w:rPr>
          <w:sz w:val="24"/>
          <w:szCs w:val="24"/>
        </w:rPr>
        <w:t xml:space="preserve"> actively aiding and abetting the re-armament and expansion of Germany as a bulwark against Bolshevism led directly to World War II</w:t>
      </w:r>
      <w:r w:rsidR="00744A92" w:rsidRPr="00CF3A28">
        <w:rPr>
          <w:sz w:val="24"/>
          <w:szCs w:val="24"/>
        </w:rPr>
        <w:t xml:space="preserve"> (see </w:t>
      </w:r>
      <w:proofErr w:type="spellStart"/>
      <w:r w:rsidR="00744A92" w:rsidRPr="00CF3A28">
        <w:rPr>
          <w:sz w:val="24"/>
          <w:szCs w:val="24"/>
        </w:rPr>
        <w:t>Halperin</w:t>
      </w:r>
      <w:proofErr w:type="spellEnd"/>
      <w:r w:rsidR="00744A92" w:rsidRPr="00CF3A28">
        <w:rPr>
          <w:sz w:val="24"/>
          <w:szCs w:val="24"/>
        </w:rPr>
        <w:t xml:space="preserve"> 2004, chapter 7)</w:t>
      </w:r>
      <w:r w:rsidR="00436DCB" w:rsidRPr="00CF3A28">
        <w:rPr>
          <w:sz w:val="24"/>
          <w:szCs w:val="24"/>
        </w:rPr>
        <w:t xml:space="preserve">. </w:t>
      </w:r>
    </w:p>
    <w:p w:rsidR="00532311" w:rsidRPr="00CF3A28" w:rsidRDefault="00532311" w:rsidP="00CF3A28">
      <w:pPr>
        <w:autoSpaceDE w:val="0"/>
        <w:autoSpaceDN w:val="0"/>
        <w:spacing w:line="240" w:lineRule="auto"/>
        <w:jc w:val="left"/>
        <w:rPr>
          <w:sz w:val="24"/>
          <w:szCs w:val="24"/>
        </w:rPr>
      </w:pPr>
    </w:p>
    <w:p w:rsidR="00FB004D" w:rsidRPr="00CF3A28" w:rsidRDefault="00532311" w:rsidP="00CF3A28">
      <w:pPr>
        <w:autoSpaceDE w:val="0"/>
        <w:autoSpaceDN w:val="0"/>
        <w:spacing w:line="240" w:lineRule="auto"/>
        <w:jc w:val="left"/>
        <w:rPr>
          <w:sz w:val="24"/>
          <w:szCs w:val="24"/>
        </w:rPr>
      </w:pPr>
      <w:r w:rsidRPr="00CF3A28">
        <w:rPr>
          <w:sz w:val="24"/>
          <w:szCs w:val="24"/>
        </w:rPr>
        <w:t>T</w:t>
      </w:r>
      <w:r w:rsidR="00436DCB" w:rsidRPr="00CF3A28">
        <w:rPr>
          <w:sz w:val="24"/>
          <w:szCs w:val="24"/>
        </w:rPr>
        <w:t>he demand for labour</w:t>
      </w:r>
      <w:r w:rsidR="000A3DE7" w:rsidRPr="00CF3A28">
        <w:rPr>
          <w:sz w:val="24"/>
          <w:szCs w:val="24"/>
        </w:rPr>
        <w:t>,</w:t>
      </w:r>
      <w:r w:rsidR="00436DCB" w:rsidRPr="00CF3A28">
        <w:rPr>
          <w:sz w:val="24"/>
          <w:szCs w:val="24"/>
        </w:rPr>
        <w:t xml:space="preserve"> and need for its cooperation for a second European war</w:t>
      </w:r>
      <w:r w:rsidR="000A3DE7" w:rsidRPr="00CF3A28">
        <w:rPr>
          <w:sz w:val="24"/>
          <w:szCs w:val="24"/>
        </w:rPr>
        <w:t>,</w:t>
      </w:r>
      <w:r w:rsidR="00436DCB" w:rsidRPr="00CF3A28">
        <w:rPr>
          <w:sz w:val="24"/>
          <w:szCs w:val="24"/>
        </w:rPr>
        <w:t xml:space="preserve"> compelled a political accommodation of working-class movements</w:t>
      </w:r>
      <w:r w:rsidR="001F3D52" w:rsidRPr="00CF3A28">
        <w:rPr>
          <w:sz w:val="24"/>
          <w:szCs w:val="24"/>
        </w:rPr>
        <w:t xml:space="preserve"> that, in many </w:t>
      </w:r>
      <w:r w:rsidR="00FB004D" w:rsidRPr="00CF3A28">
        <w:rPr>
          <w:sz w:val="24"/>
          <w:szCs w:val="24"/>
        </w:rPr>
        <w:t xml:space="preserve">aspects, represented </w:t>
      </w:r>
      <w:r w:rsidR="00FB004D" w:rsidRPr="00CF3A28">
        <w:rPr>
          <w:bCs/>
          <w:sz w:val="24"/>
          <w:szCs w:val="24"/>
          <w:lang w:val="en-US"/>
        </w:rPr>
        <w:t xml:space="preserve">a resumption of policies associated with </w:t>
      </w:r>
      <w:r w:rsidR="002609E1" w:rsidRPr="00CF3A28">
        <w:rPr>
          <w:bCs/>
          <w:sz w:val="24"/>
          <w:szCs w:val="24"/>
          <w:lang w:val="en-US"/>
        </w:rPr>
        <w:t xml:space="preserve">Europe’s </w:t>
      </w:r>
      <w:r w:rsidR="00FB004D" w:rsidRPr="00CF3A28">
        <w:rPr>
          <w:bCs/>
          <w:sz w:val="24"/>
          <w:szCs w:val="24"/>
          <w:lang w:val="en-US"/>
        </w:rPr>
        <w:t>eighteenth-century ‘moral economies.</w:t>
      </w:r>
      <w:r w:rsidR="001F3D52" w:rsidRPr="00CF3A28">
        <w:rPr>
          <w:sz w:val="24"/>
          <w:szCs w:val="24"/>
          <w:vertAlign w:val="superscript"/>
        </w:rPr>
        <w:t xml:space="preserve"> </w:t>
      </w:r>
      <w:r w:rsidR="001F3D52" w:rsidRPr="00CF3A28">
        <w:rPr>
          <w:bCs/>
          <w:sz w:val="24"/>
          <w:szCs w:val="24"/>
          <w:vertAlign w:val="superscript"/>
        </w:rPr>
        <w:footnoteReference w:id="25"/>
      </w:r>
      <w:r w:rsidR="00FB004D" w:rsidRPr="00CF3A28">
        <w:rPr>
          <w:bCs/>
          <w:sz w:val="24"/>
          <w:szCs w:val="24"/>
          <w:lang w:val="en-US"/>
        </w:rPr>
        <w:t xml:space="preserve"> </w:t>
      </w:r>
      <w:r w:rsidR="00FB004D" w:rsidRPr="00CF3A28">
        <w:rPr>
          <w:sz w:val="24"/>
          <w:szCs w:val="24"/>
        </w:rPr>
        <w:t>States adopted social democratic and Keynesian goals and policy instruments that, before the war, would never have been accepted by the wealthy classes</w:t>
      </w:r>
      <w:r w:rsidR="00CD37BC" w:rsidRPr="00CF3A28">
        <w:rPr>
          <w:sz w:val="24"/>
          <w:szCs w:val="24"/>
        </w:rPr>
        <w:t xml:space="preserve"> (</w:t>
      </w:r>
      <w:r w:rsidR="00CD37BC" w:rsidRPr="00CF3A28">
        <w:rPr>
          <w:sz w:val="24"/>
          <w:szCs w:val="24"/>
          <w:lang w:val="en-US"/>
        </w:rPr>
        <w:t>Schumpeter 1976: 218)</w:t>
      </w:r>
      <w:r w:rsidR="00FB3648" w:rsidRPr="00CF3A28">
        <w:rPr>
          <w:sz w:val="24"/>
          <w:szCs w:val="24"/>
          <w:lang w:val="en-US"/>
        </w:rPr>
        <w:t>.  State policies require</w:t>
      </w:r>
      <w:r w:rsidR="002609E1" w:rsidRPr="00CF3A28">
        <w:rPr>
          <w:sz w:val="24"/>
          <w:szCs w:val="24"/>
          <w:lang w:val="en-US"/>
        </w:rPr>
        <w:t xml:space="preserve">d capitalists to </w:t>
      </w:r>
      <w:r w:rsidR="00FB004D" w:rsidRPr="00CF3A28">
        <w:rPr>
          <w:sz w:val="24"/>
          <w:szCs w:val="24"/>
        </w:rPr>
        <w:t xml:space="preserve">use the profits they realised from this to increase productive capacity and to allow labour to share in productivity gain, so that wages rose with profit and made possible higher mass consumption possible for new mass consumer goods industries. This more balanced and internally oriented development bought an end to the </w:t>
      </w:r>
      <w:r w:rsidR="00FB3648" w:rsidRPr="00CF3A28">
        <w:rPr>
          <w:sz w:val="24"/>
          <w:szCs w:val="24"/>
        </w:rPr>
        <w:t xml:space="preserve">intense social conflicts and the </w:t>
      </w:r>
      <w:r w:rsidR="00FB004D" w:rsidRPr="00CF3A28">
        <w:rPr>
          <w:sz w:val="24"/>
          <w:szCs w:val="24"/>
        </w:rPr>
        <w:t xml:space="preserve">great movements of colonialism and imperialism that had characterised nineteenth-century Europe. </w:t>
      </w:r>
    </w:p>
    <w:p w:rsidR="00270B35" w:rsidRPr="00CF3A28" w:rsidRDefault="00FB3648" w:rsidP="00CF3A28">
      <w:pPr>
        <w:autoSpaceDE w:val="0"/>
        <w:autoSpaceDN w:val="0"/>
        <w:spacing w:line="240" w:lineRule="auto"/>
        <w:jc w:val="left"/>
        <w:rPr>
          <w:sz w:val="24"/>
          <w:szCs w:val="24"/>
        </w:rPr>
      </w:pPr>
      <w:r w:rsidRPr="00CF3A28">
        <w:rPr>
          <w:sz w:val="24"/>
          <w:szCs w:val="24"/>
          <w:lang w:val="en-US"/>
        </w:rPr>
        <w:t>T</w:t>
      </w:r>
      <w:r w:rsidR="00270B35" w:rsidRPr="00CF3A28">
        <w:rPr>
          <w:sz w:val="24"/>
          <w:szCs w:val="24"/>
          <w:lang w:val="en-US"/>
        </w:rPr>
        <w:t>he Napoleonic wars had been followed by restoration and a century of counter-revolution</w:t>
      </w:r>
      <w:r w:rsidRPr="00CF3A28">
        <w:rPr>
          <w:sz w:val="24"/>
          <w:szCs w:val="24"/>
          <w:lang w:val="en-US"/>
        </w:rPr>
        <w:t>. But</w:t>
      </w:r>
      <w:r w:rsidR="00270B35" w:rsidRPr="00CF3A28">
        <w:rPr>
          <w:sz w:val="24"/>
          <w:szCs w:val="24"/>
          <w:lang w:val="en-US"/>
        </w:rPr>
        <w:t xml:space="preserve"> the vastly increased organizational strength and power of working classes and peasant masses and the need of capitalists to gain their cooperation in a war against socialism, forced an historic class compromise -- </w:t>
      </w:r>
      <w:r w:rsidR="00270B35" w:rsidRPr="00CF3A28">
        <w:rPr>
          <w:sz w:val="24"/>
          <w:szCs w:val="24"/>
        </w:rPr>
        <w:t xml:space="preserve">a political accommodation of working-class demands that made a restoration of the pre-war system impossible. </w:t>
      </w:r>
    </w:p>
    <w:p w:rsidR="00FB004D" w:rsidRPr="00CF3A28" w:rsidRDefault="00FB004D" w:rsidP="00CF3A28">
      <w:pPr>
        <w:autoSpaceDE w:val="0"/>
        <w:autoSpaceDN w:val="0"/>
        <w:spacing w:line="240" w:lineRule="auto"/>
        <w:jc w:val="left"/>
        <w:rPr>
          <w:sz w:val="24"/>
          <w:szCs w:val="24"/>
        </w:rPr>
      </w:pPr>
    </w:p>
    <w:p w:rsidR="004D3ED9" w:rsidRPr="00CF3A28" w:rsidRDefault="004D3ED9" w:rsidP="00CF3A28">
      <w:pPr>
        <w:autoSpaceDE w:val="0"/>
        <w:autoSpaceDN w:val="0"/>
        <w:spacing w:line="240" w:lineRule="auto"/>
        <w:jc w:val="left"/>
        <w:rPr>
          <w:b/>
          <w:sz w:val="24"/>
          <w:szCs w:val="24"/>
        </w:rPr>
      </w:pPr>
      <w:r w:rsidRPr="00CF3A28">
        <w:rPr>
          <w:b/>
          <w:sz w:val="24"/>
          <w:szCs w:val="24"/>
        </w:rPr>
        <w:t>Conclusions</w:t>
      </w:r>
      <w:r w:rsidRPr="00CF3A28">
        <w:rPr>
          <w:b/>
          <w:sz w:val="24"/>
          <w:szCs w:val="24"/>
        </w:rPr>
        <w:tab/>
      </w:r>
    </w:p>
    <w:p w:rsidR="000F6C6D" w:rsidRPr="00CF3A28" w:rsidRDefault="000F6C6D" w:rsidP="00CF3A28">
      <w:pPr>
        <w:autoSpaceDE w:val="0"/>
        <w:autoSpaceDN w:val="0"/>
        <w:spacing w:line="240" w:lineRule="auto"/>
        <w:jc w:val="left"/>
        <w:rPr>
          <w:sz w:val="24"/>
          <w:szCs w:val="24"/>
        </w:rPr>
      </w:pPr>
    </w:p>
    <w:p w:rsidR="00F23D85" w:rsidRPr="00F23D85" w:rsidRDefault="00F23D85" w:rsidP="00F23D85">
      <w:pPr>
        <w:autoSpaceDE w:val="0"/>
        <w:autoSpaceDN w:val="0"/>
        <w:spacing w:line="240" w:lineRule="auto"/>
        <w:jc w:val="left"/>
        <w:rPr>
          <w:sz w:val="24"/>
          <w:szCs w:val="24"/>
          <w:lang w:val="en-US"/>
        </w:rPr>
      </w:pPr>
      <w:r w:rsidRPr="00F23D85">
        <w:rPr>
          <w:sz w:val="24"/>
          <w:szCs w:val="24"/>
          <w:lang w:val="en-US"/>
        </w:rPr>
        <w:t xml:space="preserve">Many scholars see Karl Polanyi’s analysis of Europe’s nineteenth century market system in </w:t>
      </w:r>
      <w:r w:rsidRPr="00F23D85">
        <w:rPr>
          <w:i/>
          <w:sz w:val="24"/>
          <w:szCs w:val="24"/>
          <w:lang w:val="en-US"/>
        </w:rPr>
        <w:t>The Great Transformation</w:t>
      </w:r>
      <w:r w:rsidRPr="00F23D85">
        <w:rPr>
          <w:sz w:val="24"/>
          <w:szCs w:val="24"/>
          <w:lang w:val="en-US"/>
        </w:rPr>
        <w:t xml:space="preserve"> as offering key insights into contemporary trends of change. </w:t>
      </w:r>
      <w:r w:rsidRPr="00F23D85">
        <w:rPr>
          <w:sz w:val="24"/>
          <w:szCs w:val="24"/>
        </w:rPr>
        <w:t>It has been and continues to be a source of inspiration for political-economists, international relations theorists, sociologists, and historians endeavo</w:t>
      </w:r>
      <w:r w:rsidR="007D07CE">
        <w:rPr>
          <w:sz w:val="24"/>
          <w:szCs w:val="24"/>
        </w:rPr>
        <w:t>u</w:t>
      </w:r>
      <w:r w:rsidRPr="00F23D85">
        <w:rPr>
          <w:sz w:val="24"/>
          <w:szCs w:val="24"/>
        </w:rPr>
        <w:t xml:space="preserve">ring to understand </w:t>
      </w:r>
      <w:r w:rsidR="007D07CE">
        <w:rPr>
          <w:sz w:val="24"/>
          <w:szCs w:val="24"/>
        </w:rPr>
        <w:t xml:space="preserve">current </w:t>
      </w:r>
      <w:r w:rsidRPr="00F23D85">
        <w:rPr>
          <w:sz w:val="24"/>
          <w:szCs w:val="24"/>
        </w:rPr>
        <w:t>transformations of national, regional, and global structures.</w:t>
      </w:r>
    </w:p>
    <w:p w:rsidR="00F23D85" w:rsidRPr="00F23D85" w:rsidRDefault="00F23D85" w:rsidP="00F23D85">
      <w:pPr>
        <w:autoSpaceDE w:val="0"/>
        <w:autoSpaceDN w:val="0"/>
        <w:spacing w:line="240" w:lineRule="auto"/>
        <w:jc w:val="left"/>
        <w:rPr>
          <w:sz w:val="24"/>
          <w:szCs w:val="24"/>
          <w:lang w:val="en-US"/>
        </w:rPr>
      </w:pPr>
    </w:p>
    <w:p w:rsidR="00FD04DA" w:rsidRPr="00CF3A28" w:rsidRDefault="005273F8" w:rsidP="00CF3A28">
      <w:pPr>
        <w:autoSpaceDE w:val="0"/>
        <w:autoSpaceDN w:val="0"/>
        <w:spacing w:line="240" w:lineRule="auto"/>
        <w:jc w:val="left"/>
        <w:rPr>
          <w:sz w:val="24"/>
          <w:szCs w:val="24"/>
          <w:lang w:val="en-US"/>
        </w:rPr>
      </w:pPr>
      <w:r w:rsidRPr="00CF3A28">
        <w:rPr>
          <w:sz w:val="24"/>
          <w:szCs w:val="24"/>
          <w:lang w:val="en-US"/>
        </w:rPr>
        <w:t xml:space="preserve">However, </w:t>
      </w:r>
      <w:r w:rsidR="007D07CE">
        <w:rPr>
          <w:sz w:val="24"/>
          <w:szCs w:val="24"/>
          <w:lang w:val="en-US"/>
        </w:rPr>
        <w:t>the</w:t>
      </w:r>
      <w:r w:rsidRPr="00CF3A28">
        <w:rPr>
          <w:sz w:val="24"/>
          <w:szCs w:val="24"/>
          <w:lang w:val="en-US"/>
        </w:rPr>
        <w:t xml:space="preserve"> </w:t>
      </w:r>
      <w:r w:rsidR="0059774E" w:rsidRPr="00CF3A28">
        <w:rPr>
          <w:sz w:val="24"/>
          <w:szCs w:val="24"/>
          <w:lang w:val="en-US"/>
        </w:rPr>
        <w:t xml:space="preserve">‘top down’ </w:t>
      </w:r>
      <w:r w:rsidRPr="00CF3A28">
        <w:rPr>
          <w:sz w:val="24"/>
          <w:szCs w:val="24"/>
          <w:lang w:val="en-US"/>
        </w:rPr>
        <w:t xml:space="preserve">account </w:t>
      </w:r>
      <w:r w:rsidR="007D07CE">
        <w:rPr>
          <w:sz w:val="24"/>
          <w:szCs w:val="24"/>
          <w:lang w:val="en-US"/>
        </w:rPr>
        <w:t xml:space="preserve">that Polanyi offers </w:t>
      </w:r>
      <w:r w:rsidRPr="00CF3A28">
        <w:rPr>
          <w:sz w:val="24"/>
          <w:szCs w:val="24"/>
          <w:lang w:val="en-US"/>
        </w:rPr>
        <w:t xml:space="preserve">of </w:t>
      </w:r>
      <w:r w:rsidR="007D07CE">
        <w:rPr>
          <w:sz w:val="24"/>
          <w:szCs w:val="24"/>
          <w:lang w:val="en-US"/>
        </w:rPr>
        <w:t xml:space="preserve">the rise and demise of </w:t>
      </w:r>
      <w:r w:rsidR="007D07CE" w:rsidRPr="007D07CE">
        <w:rPr>
          <w:sz w:val="24"/>
          <w:szCs w:val="24"/>
          <w:lang w:val="en-US"/>
        </w:rPr>
        <w:t>Europe’s nineteenth century market system</w:t>
      </w:r>
      <w:r w:rsidR="007D07CE">
        <w:rPr>
          <w:sz w:val="24"/>
          <w:szCs w:val="24"/>
          <w:lang w:val="en-US"/>
        </w:rPr>
        <w:t xml:space="preserve"> </w:t>
      </w:r>
      <w:r w:rsidRPr="00CF3A28">
        <w:rPr>
          <w:sz w:val="24"/>
          <w:szCs w:val="24"/>
          <w:lang w:val="en-US"/>
        </w:rPr>
        <w:t xml:space="preserve">is, in important ways, misleading. </w:t>
      </w:r>
      <w:r w:rsidR="0059774E" w:rsidRPr="00CF3A28">
        <w:rPr>
          <w:sz w:val="24"/>
          <w:szCs w:val="24"/>
          <w:lang w:val="en-US"/>
        </w:rPr>
        <w:t>B</w:t>
      </w:r>
      <w:r w:rsidR="007D07CE">
        <w:rPr>
          <w:sz w:val="24"/>
          <w:szCs w:val="24"/>
          <w:lang w:val="en-US"/>
        </w:rPr>
        <w:t>ecause it</w:t>
      </w:r>
      <w:r w:rsidRPr="00CF3A28">
        <w:rPr>
          <w:sz w:val="24"/>
          <w:szCs w:val="24"/>
          <w:lang w:val="en-US"/>
        </w:rPr>
        <w:t xml:space="preserve"> largely ignor</w:t>
      </w:r>
      <w:r w:rsidR="007D07CE">
        <w:rPr>
          <w:sz w:val="24"/>
          <w:szCs w:val="24"/>
          <w:lang w:val="en-US"/>
        </w:rPr>
        <w:t>es</w:t>
      </w:r>
      <w:r w:rsidRPr="00CF3A28">
        <w:rPr>
          <w:sz w:val="24"/>
          <w:szCs w:val="24"/>
          <w:lang w:val="en-US"/>
        </w:rPr>
        <w:t xml:space="preserve"> the </w:t>
      </w:r>
      <w:r w:rsidR="00FB1A7D" w:rsidRPr="00CF3A28">
        <w:rPr>
          <w:sz w:val="24"/>
          <w:szCs w:val="24"/>
          <w:lang w:val="en-US"/>
        </w:rPr>
        <w:t xml:space="preserve">class interests and </w:t>
      </w:r>
      <w:r w:rsidRPr="00CF3A28">
        <w:rPr>
          <w:sz w:val="24"/>
          <w:szCs w:val="24"/>
          <w:lang w:val="en-US"/>
        </w:rPr>
        <w:t>politic</w:t>
      </w:r>
      <w:r w:rsidR="00FB1A7D" w:rsidRPr="00CF3A28">
        <w:rPr>
          <w:sz w:val="24"/>
          <w:szCs w:val="24"/>
          <w:lang w:val="en-US"/>
        </w:rPr>
        <w:t>s that gave rise to</w:t>
      </w:r>
      <w:r w:rsidRPr="00CF3A28">
        <w:rPr>
          <w:sz w:val="24"/>
          <w:szCs w:val="24"/>
          <w:lang w:val="en-US"/>
        </w:rPr>
        <w:t xml:space="preserve"> the </w:t>
      </w:r>
      <w:r w:rsidR="007D07CE">
        <w:rPr>
          <w:sz w:val="24"/>
          <w:szCs w:val="24"/>
          <w:lang w:val="en-US"/>
        </w:rPr>
        <w:t>s</w:t>
      </w:r>
      <w:r w:rsidRPr="00CF3A28">
        <w:rPr>
          <w:sz w:val="24"/>
          <w:szCs w:val="24"/>
          <w:lang w:val="en-US"/>
        </w:rPr>
        <w:t>ystem</w:t>
      </w:r>
      <w:r w:rsidR="00FB1A7D" w:rsidRPr="00CF3A28">
        <w:rPr>
          <w:sz w:val="24"/>
          <w:szCs w:val="24"/>
          <w:lang w:val="en-US"/>
        </w:rPr>
        <w:t xml:space="preserve">, it </w:t>
      </w:r>
      <w:r w:rsidR="0059774E" w:rsidRPr="00CF3A28">
        <w:rPr>
          <w:sz w:val="24"/>
          <w:szCs w:val="24"/>
          <w:lang w:val="en-US"/>
        </w:rPr>
        <w:t>misses</w:t>
      </w:r>
      <w:r w:rsidR="00FB1A7D" w:rsidRPr="00CF3A28">
        <w:rPr>
          <w:sz w:val="24"/>
          <w:szCs w:val="24"/>
          <w:lang w:val="en-US"/>
        </w:rPr>
        <w:t xml:space="preserve"> what is perhaps the most crucial chapter in modern history for understanding contemporary globalization: the </w:t>
      </w:r>
      <w:r w:rsidR="0059774E" w:rsidRPr="00CF3A28">
        <w:rPr>
          <w:sz w:val="24"/>
          <w:szCs w:val="24"/>
          <w:lang w:val="en-US"/>
        </w:rPr>
        <w:t xml:space="preserve">ultimately successful campaign to </w:t>
      </w:r>
      <w:r w:rsidR="00FB1A7D" w:rsidRPr="00CF3A28">
        <w:rPr>
          <w:sz w:val="24"/>
          <w:szCs w:val="24"/>
          <w:lang w:val="en-US"/>
        </w:rPr>
        <w:t>dismantl</w:t>
      </w:r>
      <w:r w:rsidR="0059774E" w:rsidRPr="00CF3A28">
        <w:rPr>
          <w:sz w:val="24"/>
          <w:szCs w:val="24"/>
          <w:lang w:val="en-US"/>
        </w:rPr>
        <w:t>e</w:t>
      </w:r>
      <w:r w:rsidR="00FB1A7D" w:rsidRPr="00CF3A28">
        <w:rPr>
          <w:sz w:val="24"/>
          <w:szCs w:val="24"/>
          <w:lang w:val="en-US"/>
        </w:rPr>
        <w:t xml:space="preserve"> eighteenth century Europe’s systems of national welfare and regulated markets, and the social conflicts which emerged as a result of it.</w:t>
      </w:r>
      <w:r w:rsidR="00A63A9C" w:rsidRPr="00CF3A28">
        <w:rPr>
          <w:sz w:val="24"/>
          <w:szCs w:val="24"/>
          <w:lang w:val="en-US"/>
        </w:rPr>
        <w:t xml:space="preserve"> </w:t>
      </w:r>
      <w:r w:rsidR="007D6D7C" w:rsidRPr="00CF3A28">
        <w:rPr>
          <w:sz w:val="24"/>
          <w:szCs w:val="24"/>
          <w:lang w:val="en-US"/>
        </w:rPr>
        <w:t>The centrality for Polanyi of the absence of multi-lateral great power conflict in Europe – what, in his account, he calls the ‘hundred years’ peace’</w:t>
      </w:r>
      <w:r w:rsidR="0059774E" w:rsidRPr="00CF3A28">
        <w:rPr>
          <w:sz w:val="24"/>
          <w:szCs w:val="24"/>
          <w:lang w:val="en-US"/>
        </w:rPr>
        <w:t>,</w:t>
      </w:r>
      <w:r w:rsidR="007D6D7C" w:rsidRPr="00CF3A28">
        <w:rPr>
          <w:sz w:val="24"/>
          <w:szCs w:val="24"/>
          <w:lang w:val="en-US"/>
        </w:rPr>
        <w:t xml:space="preserve"> and his focus on the </w:t>
      </w:r>
      <w:r w:rsidR="0059774E" w:rsidRPr="00CF3A28">
        <w:rPr>
          <w:sz w:val="24"/>
          <w:szCs w:val="24"/>
          <w:lang w:val="en-US"/>
        </w:rPr>
        <w:t xml:space="preserve">impact of the </w:t>
      </w:r>
      <w:r w:rsidR="007D6D7C" w:rsidRPr="00CF3A28">
        <w:rPr>
          <w:sz w:val="24"/>
          <w:szCs w:val="24"/>
          <w:lang w:val="en-US"/>
        </w:rPr>
        <w:t xml:space="preserve">unregulated market system </w:t>
      </w:r>
      <w:r w:rsidR="0059774E" w:rsidRPr="00CF3A28">
        <w:rPr>
          <w:sz w:val="24"/>
          <w:szCs w:val="24"/>
          <w:lang w:val="en-US"/>
        </w:rPr>
        <w:t xml:space="preserve">on </w:t>
      </w:r>
      <w:r w:rsidR="007D6D7C" w:rsidRPr="00CF3A28">
        <w:rPr>
          <w:sz w:val="24"/>
          <w:szCs w:val="24"/>
          <w:lang w:val="en-US"/>
        </w:rPr>
        <w:t xml:space="preserve">‘society as a whole’, </w:t>
      </w:r>
      <w:r w:rsidR="0059774E" w:rsidRPr="00CF3A28">
        <w:rPr>
          <w:sz w:val="24"/>
          <w:szCs w:val="24"/>
          <w:lang w:val="en-US"/>
        </w:rPr>
        <w:t>causes the recurring</w:t>
      </w:r>
      <w:r w:rsidR="007D6D7C" w:rsidRPr="00CF3A28">
        <w:rPr>
          <w:sz w:val="24"/>
          <w:szCs w:val="24"/>
          <w:lang w:val="en-US"/>
        </w:rPr>
        <w:t xml:space="preserve"> </w:t>
      </w:r>
      <w:r w:rsidRPr="00CF3A28">
        <w:rPr>
          <w:sz w:val="24"/>
          <w:szCs w:val="24"/>
          <w:lang w:val="en-US"/>
        </w:rPr>
        <w:t xml:space="preserve">social conflicts and imperialist wars </w:t>
      </w:r>
      <w:r w:rsidR="0004672E" w:rsidRPr="00CF3A28">
        <w:rPr>
          <w:sz w:val="24"/>
          <w:szCs w:val="24"/>
          <w:lang w:val="en-US"/>
        </w:rPr>
        <w:t xml:space="preserve">that characterized </w:t>
      </w:r>
      <w:r w:rsidRPr="00CF3A28">
        <w:rPr>
          <w:sz w:val="24"/>
          <w:szCs w:val="24"/>
          <w:lang w:val="en-US"/>
        </w:rPr>
        <w:t>Europe’s nineteenth-century industrial expansion</w:t>
      </w:r>
      <w:r w:rsidR="0059774E" w:rsidRPr="00CF3A28">
        <w:rPr>
          <w:sz w:val="24"/>
          <w:szCs w:val="24"/>
          <w:lang w:val="en-US"/>
        </w:rPr>
        <w:t xml:space="preserve"> to fade from view</w:t>
      </w:r>
      <w:r w:rsidRPr="00CF3A28">
        <w:rPr>
          <w:sz w:val="24"/>
          <w:szCs w:val="24"/>
          <w:lang w:val="en-US"/>
        </w:rPr>
        <w:t xml:space="preserve">, and </w:t>
      </w:r>
      <w:r w:rsidR="0059774E" w:rsidRPr="00CF3A28">
        <w:rPr>
          <w:sz w:val="24"/>
          <w:szCs w:val="24"/>
          <w:lang w:val="en-US"/>
        </w:rPr>
        <w:t xml:space="preserve">obscures </w:t>
      </w:r>
      <w:r w:rsidRPr="00CF3A28">
        <w:rPr>
          <w:sz w:val="24"/>
          <w:szCs w:val="24"/>
          <w:lang w:val="en-US"/>
        </w:rPr>
        <w:t xml:space="preserve">their role in bringing about and shaping the outcome of the great transformation which occurred </w:t>
      </w:r>
      <w:r w:rsidR="0004672E" w:rsidRPr="00CF3A28">
        <w:rPr>
          <w:sz w:val="24"/>
          <w:szCs w:val="24"/>
          <w:lang w:val="en-US"/>
        </w:rPr>
        <w:t>following World War II</w:t>
      </w:r>
      <w:r w:rsidRPr="00CF3A28">
        <w:rPr>
          <w:sz w:val="24"/>
          <w:szCs w:val="24"/>
          <w:lang w:val="en-US"/>
        </w:rPr>
        <w:t>.</w:t>
      </w:r>
      <w:r w:rsidR="00B348A0">
        <w:rPr>
          <w:sz w:val="24"/>
          <w:szCs w:val="24"/>
          <w:lang w:val="en-US"/>
        </w:rPr>
        <w:t xml:space="preserve"> </w:t>
      </w:r>
      <w:r w:rsidR="007D07CE">
        <w:rPr>
          <w:sz w:val="24"/>
          <w:szCs w:val="24"/>
          <w:lang w:val="en-US"/>
        </w:rPr>
        <w:t xml:space="preserve"> In contrast to Polanyi’s analysis, a</w:t>
      </w:r>
      <w:r w:rsidR="00A32067">
        <w:rPr>
          <w:sz w:val="24"/>
          <w:szCs w:val="24"/>
          <w:lang w:val="en-US"/>
        </w:rPr>
        <w:t xml:space="preserve"> </w:t>
      </w:r>
      <w:r w:rsidR="00B901E3" w:rsidRPr="00CF3A28">
        <w:rPr>
          <w:sz w:val="24"/>
          <w:szCs w:val="24"/>
          <w:lang w:val="en-US"/>
        </w:rPr>
        <w:t xml:space="preserve">‘bottom up’ perspective </w:t>
      </w:r>
      <w:r w:rsidR="00221189" w:rsidRPr="00CF3A28">
        <w:rPr>
          <w:sz w:val="24"/>
          <w:szCs w:val="24"/>
          <w:lang w:val="en-US"/>
        </w:rPr>
        <w:t>highlights the</w:t>
      </w:r>
      <w:r w:rsidR="00A32067">
        <w:rPr>
          <w:sz w:val="24"/>
          <w:szCs w:val="24"/>
          <w:lang w:val="en-US"/>
        </w:rPr>
        <w:t xml:space="preserve"> social struggles and political dynamics </w:t>
      </w:r>
      <w:r w:rsidR="00A63A9C" w:rsidRPr="00CF3A28">
        <w:rPr>
          <w:sz w:val="24"/>
          <w:szCs w:val="24"/>
          <w:lang w:val="en-US"/>
        </w:rPr>
        <w:t xml:space="preserve">which drove and shaped </w:t>
      </w:r>
      <w:r w:rsidR="00A32067">
        <w:rPr>
          <w:sz w:val="24"/>
          <w:szCs w:val="24"/>
          <w:lang w:val="en-US"/>
        </w:rPr>
        <w:t xml:space="preserve">both </w:t>
      </w:r>
      <w:r w:rsidR="00A63A9C" w:rsidRPr="00CF3A28">
        <w:rPr>
          <w:sz w:val="24"/>
          <w:szCs w:val="24"/>
          <w:lang w:val="en-US"/>
        </w:rPr>
        <w:t xml:space="preserve">the </w:t>
      </w:r>
      <w:r w:rsidR="00270B35" w:rsidRPr="00CF3A28">
        <w:rPr>
          <w:sz w:val="24"/>
          <w:szCs w:val="24"/>
          <w:lang w:val="en-US"/>
        </w:rPr>
        <w:t xml:space="preserve">rise </w:t>
      </w:r>
      <w:r w:rsidR="00A63A9C" w:rsidRPr="00CF3A28">
        <w:rPr>
          <w:sz w:val="24"/>
          <w:szCs w:val="24"/>
          <w:lang w:val="en-US"/>
        </w:rPr>
        <w:t>of</w:t>
      </w:r>
      <w:r w:rsidR="00270B35" w:rsidRPr="00CF3A28">
        <w:rPr>
          <w:sz w:val="24"/>
          <w:szCs w:val="24"/>
          <w:lang w:val="en-US"/>
        </w:rPr>
        <w:t xml:space="preserve"> </w:t>
      </w:r>
      <w:r w:rsidR="00221189" w:rsidRPr="00CF3A28">
        <w:rPr>
          <w:sz w:val="24"/>
          <w:szCs w:val="24"/>
          <w:lang w:val="en-US"/>
        </w:rPr>
        <w:t>Europe’s</w:t>
      </w:r>
      <w:r w:rsidR="00270B35" w:rsidRPr="00CF3A28">
        <w:rPr>
          <w:sz w:val="24"/>
          <w:szCs w:val="24"/>
          <w:lang w:val="en-US"/>
        </w:rPr>
        <w:t xml:space="preserve"> nineteenth </w:t>
      </w:r>
      <w:r w:rsidR="00221189" w:rsidRPr="00CF3A28">
        <w:rPr>
          <w:sz w:val="24"/>
          <w:szCs w:val="24"/>
          <w:lang w:val="en-US"/>
        </w:rPr>
        <w:t>century market system</w:t>
      </w:r>
      <w:r w:rsidR="00270B35" w:rsidRPr="00CF3A28">
        <w:rPr>
          <w:sz w:val="24"/>
          <w:szCs w:val="24"/>
          <w:lang w:val="en-US"/>
        </w:rPr>
        <w:t xml:space="preserve"> and </w:t>
      </w:r>
      <w:r w:rsidR="00A32067">
        <w:rPr>
          <w:sz w:val="24"/>
          <w:szCs w:val="24"/>
          <w:lang w:val="en-US"/>
        </w:rPr>
        <w:t>the outcomes that ensued from its demise</w:t>
      </w:r>
      <w:r w:rsidR="00FC1A10" w:rsidRPr="00CF3A28">
        <w:rPr>
          <w:sz w:val="24"/>
          <w:szCs w:val="24"/>
          <w:lang w:val="en-US"/>
        </w:rPr>
        <w:t>.</w:t>
      </w:r>
      <w:r w:rsidR="00A63A9C" w:rsidRPr="00CF3A28">
        <w:rPr>
          <w:sz w:val="24"/>
          <w:szCs w:val="24"/>
          <w:lang w:val="en-US"/>
        </w:rPr>
        <w:t xml:space="preserve"> </w:t>
      </w:r>
      <w:r w:rsidR="00A32067">
        <w:rPr>
          <w:sz w:val="24"/>
          <w:szCs w:val="24"/>
          <w:lang w:val="en-US"/>
        </w:rPr>
        <w:t>It highlights, too, t</w:t>
      </w:r>
      <w:r w:rsidR="0036305E" w:rsidRPr="00CF3A28">
        <w:rPr>
          <w:sz w:val="24"/>
          <w:szCs w:val="24"/>
          <w:lang w:val="en-US"/>
        </w:rPr>
        <w:t xml:space="preserve">he </w:t>
      </w:r>
      <w:r w:rsidR="00A32067">
        <w:rPr>
          <w:sz w:val="24"/>
          <w:szCs w:val="24"/>
          <w:lang w:val="en-US"/>
        </w:rPr>
        <w:t>emergence of</w:t>
      </w:r>
      <w:r w:rsidR="00270B35" w:rsidRPr="00CF3A28">
        <w:rPr>
          <w:sz w:val="24"/>
          <w:szCs w:val="24"/>
          <w:lang w:val="en-US"/>
        </w:rPr>
        <w:t xml:space="preserve"> a 'double movement'</w:t>
      </w:r>
      <w:r w:rsidR="0036305E" w:rsidRPr="00CF3A28">
        <w:rPr>
          <w:sz w:val="24"/>
          <w:szCs w:val="24"/>
          <w:lang w:val="en-US"/>
        </w:rPr>
        <w:t>, not</w:t>
      </w:r>
      <w:r w:rsidR="00270B35" w:rsidRPr="00CF3A28">
        <w:rPr>
          <w:sz w:val="24"/>
          <w:szCs w:val="24"/>
          <w:lang w:val="en-US"/>
        </w:rPr>
        <w:t xml:space="preserve"> of </w:t>
      </w:r>
      <w:r w:rsidR="00A32067">
        <w:rPr>
          <w:sz w:val="24"/>
          <w:szCs w:val="24"/>
          <w:lang w:val="en-US"/>
        </w:rPr>
        <w:t xml:space="preserve">market </w:t>
      </w:r>
      <w:r w:rsidR="00270B35" w:rsidRPr="00CF3A28">
        <w:rPr>
          <w:sz w:val="24"/>
          <w:szCs w:val="24"/>
          <w:lang w:val="en-US"/>
        </w:rPr>
        <w:t xml:space="preserve">expansion and societal protection, but </w:t>
      </w:r>
      <w:r w:rsidR="00A32067">
        <w:rPr>
          <w:sz w:val="24"/>
          <w:szCs w:val="24"/>
          <w:lang w:val="en-US"/>
        </w:rPr>
        <w:t>of</w:t>
      </w:r>
      <w:r w:rsidR="00270B35" w:rsidRPr="00CF3A28">
        <w:rPr>
          <w:sz w:val="24"/>
          <w:szCs w:val="24"/>
          <w:lang w:val="en-US"/>
        </w:rPr>
        <w:t xml:space="preserve"> </w:t>
      </w:r>
      <w:r w:rsidR="00A32067">
        <w:rPr>
          <w:sz w:val="24"/>
          <w:szCs w:val="24"/>
          <w:lang w:val="en-US"/>
        </w:rPr>
        <w:t>imperialist expansion and social repression</w:t>
      </w:r>
      <w:r w:rsidR="00FD04DA" w:rsidRPr="00CF3A28">
        <w:rPr>
          <w:sz w:val="24"/>
          <w:szCs w:val="24"/>
          <w:lang w:val="en-US"/>
        </w:rPr>
        <w:t>.</w:t>
      </w:r>
    </w:p>
    <w:p w:rsidR="00270B35" w:rsidRPr="00CF3A28" w:rsidRDefault="00FD04DA" w:rsidP="00CF3A28">
      <w:pPr>
        <w:autoSpaceDE w:val="0"/>
        <w:autoSpaceDN w:val="0"/>
        <w:spacing w:line="240" w:lineRule="auto"/>
        <w:jc w:val="left"/>
        <w:rPr>
          <w:sz w:val="24"/>
          <w:szCs w:val="24"/>
          <w:lang w:val="en-US"/>
        </w:rPr>
      </w:pPr>
      <w:r w:rsidRPr="00CF3A28">
        <w:rPr>
          <w:sz w:val="24"/>
          <w:szCs w:val="24"/>
          <w:lang w:val="en-US"/>
        </w:rPr>
        <w:t xml:space="preserve"> </w:t>
      </w:r>
    </w:p>
    <w:p w:rsidR="00E07E89" w:rsidRDefault="00270B35" w:rsidP="00CF3A28">
      <w:pPr>
        <w:autoSpaceDE w:val="0"/>
        <w:autoSpaceDN w:val="0"/>
        <w:spacing w:line="240" w:lineRule="auto"/>
        <w:jc w:val="left"/>
        <w:rPr>
          <w:sz w:val="24"/>
          <w:szCs w:val="24"/>
          <w:lang w:val="en-US"/>
        </w:rPr>
      </w:pPr>
      <w:r w:rsidRPr="00CF3A28">
        <w:rPr>
          <w:sz w:val="24"/>
          <w:szCs w:val="24"/>
        </w:rPr>
        <w:t xml:space="preserve">Polanyi assumed that the collapse of Europe’s nineteenth-century market system in the course of the world wars would make it possible for the economies of European societies to undergo a process of re-embedding and, </w:t>
      </w:r>
      <w:r w:rsidRPr="00CF3A28">
        <w:rPr>
          <w:sz w:val="24"/>
          <w:szCs w:val="24"/>
          <w:lang w:val="en-US"/>
        </w:rPr>
        <w:t>in the view of many</w:t>
      </w:r>
      <w:r w:rsidR="00B901E3" w:rsidRPr="00CF3A28">
        <w:rPr>
          <w:sz w:val="24"/>
          <w:szCs w:val="24"/>
          <w:lang w:val="en-US"/>
        </w:rPr>
        <w:t>,</w:t>
      </w:r>
      <w:r w:rsidRPr="00CF3A28">
        <w:rPr>
          <w:sz w:val="24"/>
          <w:szCs w:val="24"/>
          <w:lang w:val="en-US"/>
        </w:rPr>
        <w:t xml:space="preserve"> European economies </w:t>
      </w:r>
      <w:r w:rsidRPr="00CF3A28">
        <w:rPr>
          <w:i/>
          <w:sz w:val="24"/>
          <w:szCs w:val="24"/>
          <w:lang w:val="en-US"/>
        </w:rPr>
        <w:t>were</w:t>
      </w:r>
      <w:r w:rsidRPr="00CF3A28">
        <w:rPr>
          <w:sz w:val="24"/>
          <w:szCs w:val="24"/>
          <w:lang w:val="en-US"/>
        </w:rPr>
        <w:t xml:space="preserve"> re-embedded</w:t>
      </w:r>
      <w:r w:rsidR="005273F8" w:rsidRPr="00CF3A28">
        <w:rPr>
          <w:sz w:val="24"/>
          <w:szCs w:val="24"/>
          <w:lang w:val="en-US"/>
        </w:rPr>
        <w:t xml:space="preserve"> after 1945</w:t>
      </w:r>
      <w:r w:rsidRPr="00CF3A28">
        <w:rPr>
          <w:sz w:val="24"/>
          <w:szCs w:val="24"/>
          <w:lang w:val="en-US"/>
        </w:rPr>
        <w:t xml:space="preserve">. </w:t>
      </w:r>
      <w:r w:rsidR="00E07E89">
        <w:rPr>
          <w:sz w:val="24"/>
          <w:szCs w:val="24"/>
          <w:lang w:val="en-US"/>
        </w:rPr>
        <w:t xml:space="preserve">A historic post-World War II ‘compromise between capital and </w:t>
      </w:r>
      <w:proofErr w:type="spellStart"/>
      <w:r w:rsidR="00E07E89">
        <w:rPr>
          <w:sz w:val="24"/>
          <w:szCs w:val="24"/>
          <w:lang w:val="en-US"/>
        </w:rPr>
        <w:t>labour</w:t>
      </w:r>
      <w:proofErr w:type="spellEnd"/>
      <w:r w:rsidR="00E07E89">
        <w:rPr>
          <w:sz w:val="24"/>
          <w:szCs w:val="24"/>
          <w:lang w:val="en-US"/>
        </w:rPr>
        <w:t>, saw the introduction of w</w:t>
      </w:r>
      <w:r w:rsidRPr="00CF3A28">
        <w:rPr>
          <w:sz w:val="24"/>
          <w:szCs w:val="24"/>
          <w:lang w:val="en-US"/>
        </w:rPr>
        <w:t xml:space="preserve">elfare reforms </w:t>
      </w:r>
      <w:r w:rsidR="007D07CE">
        <w:rPr>
          <w:sz w:val="24"/>
          <w:szCs w:val="24"/>
          <w:lang w:val="en-US"/>
        </w:rPr>
        <w:t>and the</w:t>
      </w:r>
      <w:r w:rsidR="00E07E89">
        <w:rPr>
          <w:sz w:val="24"/>
          <w:szCs w:val="24"/>
          <w:lang w:val="en-US"/>
        </w:rPr>
        <w:t xml:space="preserve"> </w:t>
      </w:r>
      <w:r w:rsidRPr="00CF3A28">
        <w:rPr>
          <w:sz w:val="24"/>
          <w:szCs w:val="24"/>
          <w:lang w:val="en-US"/>
        </w:rPr>
        <w:t>partial de-</w:t>
      </w:r>
      <w:proofErr w:type="spellStart"/>
      <w:r w:rsidRPr="00CF3A28">
        <w:rPr>
          <w:sz w:val="24"/>
          <w:szCs w:val="24"/>
          <w:lang w:val="en-US"/>
        </w:rPr>
        <w:t>commodifi</w:t>
      </w:r>
      <w:r w:rsidR="007D07CE">
        <w:rPr>
          <w:sz w:val="24"/>
          <w:szCs w:val="24"/>
          <w:lang w:val="en-US"/>
        </w:rPr>
        <w:t>cation</w:t>
      </w:r>
      <w:proofErr w:type="spellEnd"/>
      <w:r w:rsidR="007D07CE">
        <w:rPr>
          <w:sz w:val="24"/>
          <w:szCs w:val="24"/>
          <w:lang w:val="en-US"/>
        </w:rPr>
        <w:t xml:space="preserve"> of</w:t>
      </w:r>
      <w:r w:rsidRPr="00CF3A28">
        <w:rPr>
          <w:sz w:val="24"/>
          <w:szCs w:val="24"/>
          <w:lang w:val="en-US"/>
        </w:rPr>
        <w:t xml:space="preserve"> labor</w:t>
      </w:r>
      <w:r w:rsidR="007D07CE">
        <w:rPr>
          <w:sz w:val="24"/>
          <w:szCs w:val="24"/>
          <w:lang w:val="en-US"/>
        </w:rPr>
        <w:t>;</w:t>
      </w:r>
      <w:r w:rsidRPr="00CF3A28">
        <w:rPr>
          <w:sz w:val="24"/>
          <w:szCs w:val="24"/>
          <w:lang w:val="en-US"/>
        </w:rPr>
        <w:t xml:space="preserve"> </w:t>
      </w:r>
      <w:r w:rsidR="007D07CE">
        <w:rPr>
          <w:sz w:val="24"/>
          <w:szCs w:val="24"/>
          <w:lang w:val="en-US"/>
        </w:rPr>
        <w:t xml:space="preserve">and </w:t>
      </w:r>
      <w:r w:rsidR="00E07E89">
        <w:rPr>
          <w:sz w:val="24"/>
          <w:szCs w:val="24"/>
          <w:lang w:val="en-US"/>
        </w:rPr>
        <w:t xml:space="preserve">of </w:t>
      </w:r>
      <w:r w:rsidRPr="00CF3A28">
        <w:rPr>
          <w:sz w:val="24"/>
          <w:szCs w:val="24"/>
          <w:lang w:val="en-US"/>
        </w:rPr>
        <w:t>market and industry regulation</w:t>
      </w:r>
      <w:r w:rsidR="00E07E89">
        <w:rPr>
          <w:sz w:val="24"/>
          <w:szCs w:val="24"/>
          <w:lang w:val="en-US"/>
        </w:rPr>
        <w:t xml:space="preserve"> that</w:t>
      </w:r>
      <w:r w:rsidRPr="00CF3A28">
        <w:rPr>
          <w:sz w:val="24"/>
          <w:szCs w:val="24"/>
          <w:lang w:val="en-US"/>
        </w:rPr>
        <w:t xml:space="preserve"> made investment and production serve the expansion and integration of national markets. </w:t>
      </w:r>
      <w:r w:rsidR="00FD04DA" w:rsidRPr="00CF3A28">
        <w:rPr>
          <w:sz w:val="24"/>
          <w:szCs w:val="24"/>
          <w:lang w:val="en-US"/>
        </w:rPr>
        <w:t xml:space="preserve">However, </w:t>
      </w:r>
      <w:r w:rsidR="00E07E89">
        <w:rPr>
          <w:sz w:val="24"/>
          <w:szCs w:val="24"/>
          <w:lang w:val="en-US"/>
        </w:rPr>
        <w:t>by</w:t>
      </w:r>
      <w:r w:rsidR="00FD04DA" w:rsidRPr="00CF3A28">
        <w:rPr>
          <w:sz w:val="24"/>
          <w:szCs w:val="24"/>
          <w:lang w:val="en-US"/>
        </w:rPr>
        <w:t xml:space="preserve"> </w:t>
      </w:r>
      <w:r w:rsidRPr="00CF3A28">
        <w:rPr>
          <w:sz w:val="24"/>
          <w:szCs w:val="24"/>
          <w:lang w:val="en-US"/>
        </w:rPr>
        <w:t>the late 1970s</w:t>
      </w:r>
      <w:r w:rsidR="00FD04DA" w:rsidRPr="00CF3A28">
        <w:rPr>
          <w:sz w:val="24"/>
          <w:szCs w:val="24"/>
          <w:lang w:val="en-US"/>
        </w:rPr>
        <w:t xml:space="preserve"> </w:t>
      </w:r>
      <w:r w:rsidR="00C21F86" w:rsidRPr="00CF3A28">
        <w:rPr>
          <w:sz w:val="24"/>
          <w:szCs w:val="24"/>
          <w:lang w:val="en-US"/>
        </w:rPr>
        <w:t xml:space="preserve">a </w:t>
      </w:r>
      <w:r w:rsidRPr="00CF3A28">
        <w:rPr>
          <w:sz w:val="24"/>
          <w:szCs w:val="24"/>
          <w:lang w:val="en-US"/>
        </w:rPr>
        <w:t xml:space="preserve">campaign </w:t>
      </w:r>
      <w:r w:rsidR="00FD04DA" w:rsidRPr="00CF3A28">
        <w:rPr>
          <w:sz w:val="24"/>
          <w:szCs w:val="24"/>
          <w:lang w:val="en-US"/>
        </w:rPr>
        <w:t xml:space="preserve">had emerged </w:t>
      </w:r>
      <w:r w:rsidRPr="00CF3A28">
        <w:rPr>
          <w:sz w:val="24"/>
          <w:szCs w:val="24"/>
          <w:lang w:val="en-US"/>
        </w:rPr>
        <w:t>to reverse th</w:t>
      </w:r>
      <w:r w:rsidR="00E07E89">
        <w:rPr>
          <w:sz w:val="24"/>
          <w:szCs w:val="24"/>
          <w:lang w:val="en-US"/>
        </w:rPr>
        <w:t>is post-war</w:t>
      </w:r>
      <w:r w:rsidRPr="00CF3A28">
        <w:rPr>
          <w:sz w:val="24"/>
          <w:szCs w:val="24"/>
          <w:lang w:val="en-US"/>
        </w:rPr>
        <w:t xml:space="preserve"> compromise</w:t>
      </w:r>
      <w:r w:rsidR="00E07E89">
        <w:rPr>
          <w:sz w:val="24"/>
          <w:szCs w:val="24"/>
          <w:lang w:val="en-US"/>
        </w:rPr>
        <w:t>; and</w:t>
      </w:r>
      <w:r w:rsidR="007D07CE">
        <w:rPr>
          <w:sz w:val="24"/>
          <w:szCs w:val="24"/>
          <w:lang w:val="en-US"/>
        </w:rPr>
        <w:t>,</w:t>
      </w:r>
      <w:r w:rsidR="00E07E89">
        <w:rPr>
          <w:sz w:val="24"/>
          <w:szCs w:val="24"/>
          <w:lang w:val="en-US"/>
        </w:rPr>
        <w:t xml:space="preserve"> since</w:t>
      </w:r>
      <w:r w:rsidR="00FD04DA" w:rsidRPr="00CF3A28">
        <w:rPr>
          <w:sz w:val="24"/>
          <w:szCs w:val="24"/>
          <w:lang w:val="en-US"/>
        </w:rPr>
        <w:t xml:space="preserve"> then, it</w:t>
      </w:r>
      <w:r w:rsidRPr="00CF3A28">
        <w:rPr>
          <w:sz w:val="24"/>
          <w:szCs w:val="24"/>
          <w:lang w:val="en-US"/>
        </w:rPr>
        <w:t xml:space="preserve"> has </w:t>
      </w:r>
      <w:r w:rsidR="00E07E89">
        <w:rPr>
          <w:sz w:val="24"/>
          <w:szCs w:val="24"/>
          <w:lang w:val="en-US"/>
        </w:rPr>
        <w:t>succeeded in bringing</w:t>
      </w:r>
      <w:r w:rsidRPr="00CF3A28">
        <w:rPr>
          <w:sz w:val="24"/>
          <w:szCs w:val="24"/>
          <w:lang w:val="en-US"/>
        </w:rPr>
        <w:t xml:space="preserve"> about the return of features of the </w:t>
      </w:r>
      <w:proofErr w:type="spellStart"/>
      <w:r w:rsidRPr="00CF3A28">
        <w:rPr>
          <w:sz w:val="24"/>
          <w:szCs w:val="24"/>
          <w:lang w:val="en-US"/>
        </w:rPr>
        <w:t>dis</w:t>
      </w:r>
      <w:proofErr w:type="spellEnd"/>
      <w:r w:rsidRPr="00CF3A28">
        <w:rPr>
          <w:sz w:val="24"/>
          <w:szCs w:val="24"/>
          <w:lang w:val="en-US"/>
        </w:rPr>
        <w:t xml:space="preserve">-embedded capitalism that characterized nineteenth-century Europe.  </w:t>
      </w:r>
    </w:p>
    <w:p w:rsidR="00E07E89" w:rsidRDefault="00E07E89" w:rsidP="00CF3A28">
      <w:pPr>
        <w:autoSpaceDE w:val="0"/>
        <w:autoSpaceDN w:val="0"/>
        <w:spacing w:line="240" w:lineRule="auto"/>
        <w:jc w:val="left"/>
        <w:rPr>
          <w:sz w:val="24"/>
          <w:szCs w:val="24"/>
          <w:lang w:val="en-US"/>
        </w:rPr>
      </w:pPr>
    </w:p>
    <w:p w:rsidR="000527A2" w:rsidRPr="000527A2" w:rsidRDefault="00A00310" w:rsidP="000527A2">
      <w:pPr>
        <w:autoSpaceDE w:val="0"/>
        <w:autoSpaceDN w:val="0"/>
        <w:spacing w:line="240" w:lineRule="auto"/>
        <w:jc w:val="left"/>
        <w:rPr>
          <w:sz w:val="24"/>
          <w:szCs w:val="24"/>
          <w:lang w:val="en-US"/>
        </w:rPr>
      </w:pPr>
      <w:r>
        <w:rPr>
          <w:sz w:val="24"/>
          <w:szCs w:val="24"/>
          <w:lang w:val="en-US"/>
        </w:rPr>
        <w:t>In Europe, m</w:t>
      </w:r>
      <w:r w:rsidR="000527A2" w:rsidRPr="000527A2">
        <w:rPr>
          <w:sz w:val="24"/>
          <w:szCs w:val="24"/>
          <w:lang w:val="en-US"/>
        </w:rPr>
        <w:t>arkets</w:t>
      </w:r>
      <w:r>
        <w:rPr>
          <w:sz w:val="24"/>
          <w:szCs w:val="24"/>
          <w:lang w:val="en-US"/>
        </w:rPr>
        <w:t>, it seems,</w:t>
      </w:r>
      <w:r w:rsidR="000527A2" w:rsidRPr="000527A2">
        <w:rPr>
          <w:sz w:val="24"/>
          <w:szCs w:val="24"/>
          <w:lang w:val="en-US"/>
        </w:rPr>
        <w:t xml:space="preserve"> were embedded until the end of the eighteenth century; they were </w:t>
      </w:r>
      <w:r w:rsidR="007D07CE">
        <w:rPr>
          <w:sz w:val="24"/>
          <w:szCs w:val="24"/>
          <w:lang w:val="en-US"/>
        </w:rPr>
        <w:t xml:space="preserve">then </w:t>
      </w:r>
      <w:proofErr w:type="spellStart"/>
      <w:r w:rsidR="000527A2" w:rsidRPr="000527A2">
        <w:rPr>
          <w:sz w:val="24"/>
          <w:szCs w:val="24"/>
          <w:lang w:val="en-US"/>
        </w:rPr>
        <w:t>dis</w:t>
      </w:r>
      <w:proofErr w:type="spellEnd"/>
      <w:r w:rsidR="000527A2" w:rsidRPr="000527A2">
        <w:rPr>
          <w:sz w:val="24"/>
          <w:szCs w:val="24"/>
          <w:lang w:val="en-US"/>
        </w:rPr>
        <w:t xml:space="preserve">-embedded </w:t>
      </w:r>
      <w:r w:rsidR="007D07CE">
        <w:rPr>
          <w:sz w:val="24"/>
          <w:szCs w:val="24"/>
          <w:lang w:val="en-US"/>
        </w:rPr>
        <w:t xml:space="preserve">and remained so </w:t>
      </w:r>
      <w:r w:rsidR="000527A2" w:rsidRPr="000527A2">
        <w:rPr>
          <w:sz w:val="24"/>
          <w:szCs w:val="24"/>
          <w:lang w:val="en-US"/>
        </w:rPr>
        <w:t xml:space="preserve">throughout the nineteenth century. </w:t>
      </w:r>
      <w:r>
        <w:rPr>
          <w:sz w:val="24"/>
          <w:szCs w:val="24"/>
          <w:lang w:val="en-US"/>
        </w:rPr>
        <w:t>T</w:t>
      </w:r>
      <w:r w:rsidR="000527A2" w:rsidRPr="000527A2">
        <w:rPr>
          <w:sz w:val="24"/>
          <w:szCs w:val="24"/>
          <w:lang w:val="en-US"/>
        </w:rPr>
        <w:t>he conclusion of a ‘compromise’ between capital and labor</w:t>
      </w:r>
      <w:r>
        <w:rPr>
          <w:sz w:val="24"/>
          <w:szCs w:val="24"/>
          <w:lang w:val="en-US"/>
        </w:rPr>
        <w:t xml:space="preserve"> </w:t>
      </w:r>
      <w:r w:rsidR="000527A2" w:rsidRPr="000527A2">
        <w:rPr>
          <w:sz w:val="24"/>
          <w:szCs w:val="24"/>
          <w:lang w:val="en-US"/>
        </w:rPr>
        <w:t>led to the re-embedding of European economies</w:t>
      </w:r>
      <w:r>
        <w:rPr>
          <w:sz w:val="24"/>
          <w:szCs w:val="24"/>
          <w:lang w:val="en-US"/>
        </w:rPr>
        <w:t xml:space="preserve"> after World War II</w:t>
      </w:r>
      <w:r w:rsidR="000527A2" w:rsidRPr="000527A2">
        <w:rPr>
          <w:sz w:val="24"/>
          <w:szCs w:val="24"/>
          <w:lang w:val="en-US"/>
        </w:rPr>
        <w:t xml:space="preserve">. However, in recent decades, concerted efforts have been made to reverse this compromise and to return, once again, to the </w:t>
      </w:r>
      <w:proofErr w:type="spellStart"/>
      <w:r w:rsidR="000527A2" w:rsidRPr="000527A2">
        <w:rPr>
          <w:sz w:val="24"/>
          <w:szCs w:val="24"/>
          <w:lang w:val="en-US"/>
        </w:rPr>
        <w:t>dis</w:t>
      </w:r>
      <w:proofErr w:type="spellEnd"/>
      <w:r w:rsidR="000527A2" w:rsidRPr="000527A2">
        <w:rPr>
          <w:sz w:val="24"/>
          <w:szCs w:val="24"/>
          <w:lang w:val="en-US"/>
        </w:rPr>
        <w:t xml:space="preserve">-embedded capitalism that characterized nineteenth-century Europe. </w:t>
      </w:r>
      <w:r>
        <w:rPr>
          <w:sz w:val="24"/>
          <w:szCs w:val="24"/>
          <w:lang w:val="en-US"/>
        </w:rPr>
        <w:t xml:space="preserve"> </w:t>
      </w:r>
      <w:r w:rsidR="000527A2" w:rsidRPr="000527A2">
        <w:rPr>
          <w:sz w:val="24"/>
          <w:szCs w:val="24"/>
          <w:lang w:val="en-US"/>
        </w:rPr>
        <w:t>I</w:t>
      </w:r>
      <w:r w:rsidR="00F237B6">
        <w:rPr>
          <w:sz w:val="24"/>
          <w:szCs w:val="24"/>
          <w:lang w:val="en-US"/>
        </w:rPr>
        <w:t>t appears, then, that in</w:t>
      </w:r>
      <w:r w:rsidR="000527A2" w:rsidRPr="000527A2">
        <w:rPr>
          <w:sz w:val="24"/>
          <w:szCs w:val="24"/>
          <w:lang w:val="en-US"/>
        </w:rPr>
        <w:t xml:space="preserve"> the history of capitalism</w:t>
      </w:r>
      <w:r w:rsidR="00F237B6">
        <w:rPr>
          <w:sz w:val="24"/>
          <w:szCs w:val="24"/>
          <w:lang w:val="en-US"/>
        </w:rPr>
        <w:t xml:space="preserve"> </w:t>
      </w:r>
      <w:r w:rsidR="000527A2" w:rsidRPr="000527A2">
        <w:rPr>
          <w:sz w:val="24"/>
          <w:szCs w:val="24"/>
          <w:lang w:val="en-US"/>
        </w:rPr>
        <w:t xml:space="preserve">there have been phases of nationally embedded and global free market capitalism -- periods when capital is relatively more, and relatively less, free from national state regulation. </w:t>
      </w:r>
    </w:p>
    <w:p w:rsidR="000527A2" w:rsidRPr="000527A2" w:rsidRDefault="000527A2" w:rsidP="000527A2">
      <w:pPr>
        <w:autoSpaceDE w:val="0"/>
        <w:autoSpaceDN w:val="0"/>
        <w:spacing w:line="240" w:lineRule="auto"/>
        <w:jc w:val="left"/>
        <w:rPr>
          <w:sz w:val="24"/>
          <w:szCs w:val="24"/>
          <w:lang w:val="en-US"/>
        </w:rPr>
      </w:pPr>
    </w:p>
    <w:p w:rsidR="000527A2" w:rsidRPr="000527A2" w:rsidRDefault="00F237B6" w:rsidP="000527A2">
      <w:pPr>
        <w:autoSpaceDE w:val="0"/>
        <w:autoSpaceDN w:val="0"/>
        <w:spacing w:line="240" w:lineRule="auto"/>
        <w:jc w:val="left"/>
        <w:rPr>
          <w:sz w:val="24"/>
          <w:szCs w:val="24"/>
        </w:rPr>
      </w:pPr>
      <w:r>
        <w:rPr>
          <w:sz w:val="24"/>
          <w:szCs w:val="24"/>
          <w:lang w:val="en-US"/>
        </w:rPr>
        <w:t>T</w:t>
      </w:r>
      <w:r w:rsidR="000527A2" w:rsidRPr="000527A2">
        <w:rPr>
          <w:sz w:val="24"/>
          <w:szCs w:val="24"/>
          <w:lang w:val="en-US"/>
        </w:rPr>
        <w:t xml:space="preserve">o draw </w:t>
      </w:r>
      <w:r>
        <w:rPr>
          <w:sz w:val="24"/>
          <w:szCs w:val="24"/>
          <w:lang w:val="en-US"/>
        </w:rPr>
        <w:t>the</w:t>
      </w:r>
      <w:r w:rsidR="000527A2" w:rsidRPr="000527A2">
        <w:rPr>
          <w:sz w:val="24"/>
          <w:szCs w:val="24"/>
          <w:lang w:val="en-US"/>
        </w:rPr>
        <w:t xml:space="preserve"> implications </w:t>
      </w:r>
      <w:r>
        <w:rPr>
          <w:sz w:val="24"/>
          <w:szCs w:val="24"/>
          <w:lang w:val="en-US"/>
        </w:rPr>
        <w:t xml:space="preserve">of this history </w:t>
      </w:r>
      <w:r w:rsidR="000527A2" w:rsidRPr="000527A2">
        <w:rPr>
          <w:sz w:val="24"/>
          <w:szCs w:val="24"/>
          <w:lang w:val="en-US"/>
        </w:rPr>
        <w:t xml:space="preserve">for current </w:t>
      </w:r>
      <w:r w:rsidR="00A00310">
        <w:rPr>
          <w:sz w:val="24"/>
          <w:szCs w:val="24"/>
          <w:lang w:val="en-US"/>
        </w:rPr>
        <w:t>trends of change</w:t>
      </w:r>
      <w:r w:rsidR="000527A2" w:rsidRPr="000527A2">
        <w:rPr>
          <w:sz w:val="24"/>
          <w:szCs w:val="24"/>
          <w:lang w:val="en-US"/>
        </w:rPr>
        <w:t xml:space="preserve"> requires an account of the political struggles which dr</w:t>
      </w:r>
      <w:r w:rsidR="00A00310">
        <w:rPr>
          <w:sz w:val="24"/>
          <w:szCs w:val="24"/>
          <w:lang w:val="en-US"/>
        </w:rPr>
        <w:t>o</w:t>
      </w:r>
      <w:r w:rsidR="000527A2" w:rsidRPr="000527A2">
        <w:rPr>
          <w:sz w:val="24"/>
          <w:szCs w:val="24"/>
          <w:lang w:val="en-US"/>
        </w:rPr>
        <w:t>ve and shaped the</w:t>
      </w:r>
      <w:r w:rsidR="00A00310">
        <w:rPr>
          <w:sz w:val="24"/>
          <w:szCs w:val="24"/>
          <w:lang w:val="en-US"/>
        </w:rPr>
        <w:t>se phases</w:t>
      </w:r>
      <w:r w:rsidR="000527A2" w:rsidRPr="000527A2">
        <w:rPr>
          <w:i/>
          <w:sz w:val="24"/>
          <w:szCs w:val="24"/>
          <w:lang w:val="en-US"/>
        </w:rPr>
        <w:t>.</w:t>
      </w:r>
      <w:r w:rsidR="000527A2" w:rsidRPr="000527A2">
        <w:rPr>
          <w:sz w:val="24"/>
          <w:szCs w:val="24"/>
          <w:lang w:val="en-US"/>
        </w:rPr>
        <w:t xml:space="preserve"> </w:t>
      </w:r>
      <w:r>
        <w:rPr>
          <w:sz w:val="24"/>
          <w:szCs w:val="24"/>
          <w:lang w:val="en-US"/>
        </w:rPr>
        <w:t>The changes of recent decades</w:t>
      </w:r>
      <w:r w:rsidR="000527A2" w:rsidRPr="000527A2">
        <w:rPr>
          <w:sz w:val="24"/>
          <w:szCs w:val="24"/>
          <w:lang w:val="en-US"/>
        </w:rPr>
        <w:t xml:space="preserve">, like those that gave rise to </w:t>
      </w:r>
      <w:r>
        <w:rPr>
          <w:sz w:val="24"/>
          <w:szCs w:val="24"/>
          <w:lang w:val="en-US"/>
        </w:rPr>
        <w:t>Europe’s</w:t>
      </w:r>
      <w:r w:rsidR="000527A2" w:rsidRPr="000527A2">
        <w:rPr>
          <w:sz w:val="24"/>
          <w:szCs w:val="24"/>
          <w:lang w:val="en-US"/>
        </w:rPr>
        <w:t xml:space="preserve"> nineteenth-century system</w:t>
      </w:r>
      <w:r>
        <w:rPr>
          <w:sz w:val="24"/>
          <w:szCs w:val="24"/>
          <w:lang w:val="en-US"/>
        </w:rPr>
        <w:t>,</w:t>
      </w:r>
      <w:r w:rsidR="000527A2" w:rsidRPr="000527A2">
        <w:rPr>
          <w:sz w:val="24"/>
          <w:szCs w:val="24"/>
          <w:lang w:val="en-US"/>
        </w:rPr>
        <w:t xml:space="preserve"> </w:t>
      </w:r>
      <w:r>
        <w:rPr>
          <w:sz w:val="24"/>
          <w:szCs w:val="24"/>
          <w:lang w:val="en-US"/>
        </w:rPr>
        <w:t xml:space="preserve">might be seen as </w:t>
      </w:r>
      <w:r w:rsidR="000527A2" w:rsidRPr="000527A2">
        <w:rPr>
          <w:sz w:val="24"/>
          <w:szCs w:val="24"/>
          <w:lang w:val="en-US"/>
        </w:rPr>
        <w:t xml:space="preserve">part of an on-going struggle </w:t>
      </w:r>
      <w:r w:rsidR="000527A2" w:rsidRPr="000527A2">
        <w:rPr>
          <w:sz w:val="24"/>
          <w:szCs w:val="24"/>
        </w:rPr>
        <w:t xml:space="preserve">over the distribution of costs and benefits of industrial capitalism. It is a struggle </w:t>
      </w:r>
      <w:r w:rsidR="000527A2" w:rsidRPr="000527A2">
        <w:rPr>
          <w:sz w:val="24"/>
          <w:szCs w:val="24"/>
          <w:lang w:val="en-US"/>
        </w:rPr>
        <w:t>that began with the deregulation and reorganization of economic relationships</w:t>
      </w:r>
      <w:r>
        <w:rPr>
          <w:sz w:val="24"/>
          <w:szCs w:val="24"/>
          <w:lang w:val="en-US"/>
        </w:rPr>
        <w:t xml:space="preserve"> at the end of the eighteenth century, and</w:t>
      </w:r>
      <w:r w:rsidR="000527A2" w:rsidRPr="000527A2">
        <w:rPr>
          <w:sz w:val="24"/>
          <w:szCs w:val="24"/>
          <w:lang w:val="en-US"/>
        </w:rPr>
        <w:t xml:space="preserve"> </w:t>
      </w:r>
      <w:r>
        <w:rPr>
          <w:sz w:val="24"/>
          <w:szCs w:val="24"/>
          <w:lang w:val="en-US"/>
        </w:rPr>
        <w:t xml:space="preserve">with the </w:t>
      </w:r>
      <w:r w:rsidR="000527A2" w:rsidRPr="000527A2">
        <w:rPr>
          <w:sz w:val="24"/>
          <w:szCs w:val="24"/>
          <w:lang w:val="en-US"/>
        </w:rPr>
        <w:t xml:space="preserve">aggressive external expansion and internal disenfranchisement </w:t>
      </w:r>
      <w:r>
        <w:rPr>
          <w:sz w:val="24"/>
          <w:szCs w:val="24"/>
          <w:lang w:val="en-US"/>
        </w:rPr>
        <w:t>which ensued</w:t>
      </w:r>
      <w:r w:rsidR="000527A2" w:rsidRPr="000527A2">
        <w:rPr>
          <w:sz w:val="24"/>
          <w:szCs w:val="24"/>
          <w:lang w:val="en-US"/>
        </w:rPr>
        <w:t>.</w:t>
      </w:r>
      <w:r>
        <w:rPr>
          <w:sz w:val="24"/>
          <w:szCs w:val="24"/>
          <w:lang w:val="en-US"/>
        </w:rPr>
        <w:t xml:space="preserve"> </w:t>
      </w:r>
      <w:r w:rsidR="000527A2" w:rsidRPr="000527A2">
        <w:rPr>
          <w:sz w:val="24"/>
          <w:szCs w:val="24"/>
          <w:lang w:val="en-US"/>
        </w:rPr>
        <w:t xml:space="preserve"> </w:t>
      </w:r>
      <w:r w:rsidR="00855789">
        <w:rPr>
          <w:sz w:val="24"/>
          <w:szCs w:val="24"/>
        </w:rPr>
        <w:t xml:space="preserve">A </w:t>
      </w:r>
      <w:r w:rsidR="00855789" w:rsidRPr="00855789">
        <w:rPr>
          <w:sz w:val="24"/>
          <w:szCs w:val="24"/>
        </w:rPr>
        <w:t>closer reading of th</w:t>
      </w:r>
      <w:r w:rsidR="00855789">
        <w:rPr>
          <w:sz w:val="24"/>
          <w:szCs w:val="24"/>
        </w:rPr>
        <w:t>i</w:t>
      </w:r>
      <w:r w:rsidR="00855789" w:rsidRPr="00855789">
        <w:rPr>
          <w:sz w:val="24"/>
          <w:szCs w:val="24"/>
        </w:rPr>
        <w:t xml:space="preserve">s struggle than </w:t>
      </w:r>
      <w:r w:rsidR="00855789">
        <w:rPr>
          <w:sz w:val="24"/>
          <w:szCs w:val="24"/>
        </w:rPr>
        <w:t>that found in</w:t>
      </w:r>
      <w:r w:rsidR="00855789" w:rsidRPr="00855789">
        <w:rPr>
          <w:sz w:val="24"/>
          <w:szCs w:val="24"/>
        </w:rPr>
        <w:t xml:space="preserve"> </w:t>
      </w:r>
      <w:r w:rsidR="00855789" w:rsidRPr="00855789">
        <w:rPr>
          <w:i/>
          <w:sz w:val="24"/>
          <w:szCs w:val="24"/>
        </w:rPr>
        <w:t>The Great Transformation</w:t>
      </w:r>
      <w:r w:rsidR="00855789">
        <w:rPr>
          <w:sz w:val="24"/>
          <w:szCs w:val="24"/>
        </w:rPr>
        <w:t xml:space="preserve">, may offer important </w:t>
      </w:r>
      <w:r w:rsidR="000527A2" w:rsidRPr="000527A2">
        <w:rPr>
          <w:sz w:val="24"/>
          <w:szCs w:val="24"/>
          <w:lang w:val="en-US"/>
        </w:rPr>
        <w:t>insights into the forces at work in the rise (once again) of a global market, as well as the forces</w:t>
      </w:r>
      <w:r w:rsidR="000527A2" w:rsidRPr="000527A2">
        <w:rPr>
          <w:sz w:val="24"/>
          <w:szCs w:val="24"/>
        </w:rPr>
        <w:t xml:space="preserve"> of resistance that may be capable either of reversing it, or shaping it in less destructive ways</w:t>
      </w:r>
      <w:r w:rsidR="00855789">
        <w:rPr>
          <w:sz w:val="24"/>
          <w:szCs w:val="24"/>
        </w:rPr>
        <w:t>.</w:t>
      </w:r>
      <w:r w:rsidR="000527A2" w:rsidRPr="000527A2">
        <w:rPr>
          <w:sz w:val="24"/>
          <w:szCs w:val="24"/>
        </w:rPr>
        <w:t xml:space="preserve"> </w:t>
      </w:r>
    </w:p>
    <w:p w:rsidR="000A40EB" w:rsidRPr="00CF3A28" w:rsidRDefault="000A40EB" w:rsidP="00CF3A28">
      <w:pPr>
        <w:autoSpaceDE w:val="0"/>
        <w:autoSpaceDN w:val="0"/>
        <w:spacing w:line="240" w:lineRule="auto"/>
        <w:jc w:val="left"/>
        <w:rPr>
          <w:sz w:val="24"/>
          <w:szCs w:val="24"/>
        </w:rPr>
      </w:pPr>
    </w:p>
    <w:p w:rsidR="00E41515" w:rsidRPr="00CF3A28" w:rsidRDefault="00E41515" w:rsidP="00CF3A28">
      <w:pPr>
        <w:autoSpaceDE w:val="0"/>
        <w:autoSpaceDN w:val="0"/>
        <w:spacing w:line="240" w:lineRule="auto"/>
        <w:jc w:val="left"/>
        <w:rPr>
          <w:sz w:val="24"/>
          <w:szCs w:val="24"/>
        </w:rPr>
      </w:pPr>
    </w:p>
    <w:p w:rsidR="001E3F59" w:rsidRPr="00CF3A28" w:rsidRDefault="001E3F59" w:rsidP="00CF3A28">
      <w:pPr>
        <w:autoSpaceDE w:val="0"/>
        <w:autoSpaceDN w:val="0"/>
        <w:spacing w:line="240" w:lineRule="auto"/>
        <w:jc w:val="left"/>
        <w:rPr>
          <w:sz w:val="24"/>
          <w:szCs w:val="24"/>
        </w:rPr>
      </w:pPr>
    </w:p>
    <w:p w:rsidR="001E3F59" w:rsidRPr="00CF3A28" w:rsidRDefault="001E3F59" w:rsidP="00CF3A28">
      <w:pPr>
        <w:autoSpaceDE w:val="0"/>
        <w:autoSpaceDN w:val="0"/>
        <w:spacing w:line="240" w:lineRule="auto"/>
        <w:jc w:val="left"/>
        <w:rPr>
          <w:sz w:val="24"/>
          <w:szCs w:val="24"/>
          <w:lang w:val="en-US"/>
        </w:rPr>
      </w:pPr>
    </w:p>
    <w:p w:rsidR="001E3F59" w:rsidRPr="00CF3A28" w:rsidRDefault="001E3F59" w:rsidP="00CF3A28">
      <w:pPr>
        <w:autoSpaceDE w:val="0"/>
        <w:autoSpaceDN w:val="0"/>
        <w:spacing w:line="240" w:lineRule="auto"/>
        <w:jc w:val="left"/>
        <w:rPr>
          <w:sz w:val="24"/>
          <w:szCs w:val="24"/>
          <w:lang w:val="en-US"/>
        </w:rPr>
      </w:pPr>
    </w:p>
    <w:p w:rsidR="006434B1" w:rsidRPr="00CF3A28" w:rsidRDefault="006434B1" w:rsidP="00CF3A28">
      <w:pPr>
        <w:spacing w:line="240" w:lineRule="auto"/>
        <w:jc w:val="left"/>
        <w:rPr>
          <w:b/>
          <w:sz w:val="24"/>
          <w:szCs w:val="24"/>
        </w:rPr>
      </w:pPr>
      <w:r w:rsidRPr="00CF3A28">
        <w:rPr>
          <w:b/>
          <w:sz w:val="24"/>
          <w:szCs w:val="24"/>
        </w:rPr>
        <w:br w:type="page"/>
      </w:r>
    </w:p>
    <w:p w:rsidR="00436DCB" w:rsidRPr="00CF3A28" w:rsidRDefault="00363EB2" w:rsidP="00CF3A28">
      <w:pPr>
        <w:autoSpaceDE w:val="0"/>
        <w:autoSpaceDN w:val="0"/>
        <w:spacing w:line="240" w:lineRule="auto"/>
        <w:jc w:val="left"/>
        <w:rPr>
          <w:b/>
          <w:sz w:val="24"/>
          <w:szCs w:val="24"/>
        </w:rPr>
      </w:pPr>
      <w:r w:rsidRPr="00CF3A28">
        <w:rPr>
          <w:b/>
          <w:sz w:val="24"/>
          <w:szCs w:val="24"/>
        </w:rPr>
        <w:t>References</w:t>
      </w:r>
    </w:p>
    <w:p w:rsidR="00436DCB" w:rsidRPr="00CF3A28" w:rsidRDefault="00436DCB"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proofErr w:type="spellStart"/>
      <w:r w:rsidRPr="00CF3A28">
        <w:rPr>
          <w:sz w:val="24"/>
          <w:szCs w:val="24"/>
        </w:rPr>
        <w:t>Aldcroft</w:t>
      </w:r>
      <w:proofErr w:type="spellEnd"/>
      <w:r w:rsidRPr="00CF3A28">
        <w:rPr>
          <w:sz w:val="24"/>
          <w:szCs w:val="24"/>
        </w:rPr>
        <w:t xml:space="preserve">, D. H. </w:t>
      </w:r>
      <w:r w:rsidR="00B13AA8" w:rsidRPr="00CF3A28">
        <w:rPr>
          <w:sz w:val="24"/>
          <w:szCs w:val="24"/>
        </w:rPr>
        <w:t>(</w:t>
      </w:r>
      <w:r w:rsidRPr="00CF3A28">
        <w:rPr>
          <w:sz w:val="24"/>
          <w:szCs w:val="24"/>
        </w:rPr>
        <w:t>1978</w:t>
      </w:r>
      <w:r w:rsidR="00B13AA8" w:rsidRPr="00CF3A28">
        <w:rPr>
          <w:sz w:val="24"/>
          <w:szCs w:val="24"/>
        </w:rPr>
        <w:t>)</w:t>
      </w:r>
      <w:r w:rsidRPr="00CF3A28">
        <w:rPr>
          <w:sz w:val="24"/>
          <w:szCs w:val="24"/>
        </w:rPr>
        <w:t xml:space="preserve">, </w:t>
      </w:r>
      <w:r w:rsidRPr="00CF3A28">
        <w:rPr>
          <w:i/>
          <w:iCs/>
          <w:sz w:val="24"/>
          <w:szCs w:val="24"/>
        </w:rPr>
        <w:t>The European Economy, 1914-1970</w:t>
      </w:r>
      <w:r w:rsidRPr="00CF3A28">
        <w:rPr>
          <w:sz w:val="24"/>
          <w:szCs w:val="24"/>
        </w:rPr>
        <w:t xml:space="preserve">. London: </w:t>
      </w:r>
      <w:proofErr w:type="spellStart"/>
      <w:r w:rsidRPr="00CF3A28">
        <w:rPr>
          <w:sz w:val="24"/>
          <w:szCs w:val="24"/>
        </w:rPr>
        <w:t>Croom</w:t>
      </w:r>
      <w:proofErr w:type="spellEnd"/>
      <w:r w:rsidRPr="00CF3A28">
        <w:rPr>
          <w:sz w:val="24"/>
          <w:szCs w:val="24"/>
        </w:rPr>
        <w:t xml:space="preserve"> Helm.</w:t>
      </w:r>
    </w:p>
    <w:p w:rsidR="00AE7767" w:rsidRPr="00CF3A28" w:rsidRDefault="00AE7767" w:rsidP="00CF3A28">
      <w:pPr>
        <w:autoSpaceDE w:val="0"/>
        <w:autoSpaceDN w:val="0"/>
        <w:spacing w:line="240" w:lineRule="auto"/>
        <w:jc w:val="left"/>
        <w:rPr>
          <w:b/>
          <w:sz w:val="24"/>
          <w:szCs w:val="24"/>
        </w:rPr>
      </w:pPr>
    </w:p>
    <w:p w:rsidR="005619B5" w:rsidRPr="00CF3A28" w:rsidRDefault="005619B5" w:rsidP="00CF3A28">
      <w:pPr>
        <w:autoSpaceDE w:val="0"/>
        <w:autoSpaceDN w:val="0"/>
        <w:spacing w:line="240" w:lineRule="auto"/>
        <w:jc w:val="left"/>
        <w:rPr>
          <w:bCs/>
          <w:sz w:val="24"/>
          <w:szCs w:val="24"/>
        </w:rPr>
      </w:pPr>
      <w:r w:rsidRPr="00CF3A28">
        <w:rPr>
          <w:bCs/>
          <w:sz w:val="24"/>
          <w:szCs w:val="24"/>
        </w:rPr>
        <w:t xml:space="preserve">Anderson, Perry. (1979). </w:t>
      </w:r>
      <w:r w:rsidRPr="00CF3A28">
        <w:rPr>
          <w:bCs/>
          <w:i/>
          <w:iCs/>
          <w:sz w:val="24"/>
          <w:szCs w:val="24"/>
        </w:rPr>
        <w:t>Lineages of the Absolutist State</w:t>
      </w:r>
      <w:r w:rsidRPr="00CF3A28">
        <w:rPr>
          <w:bCs/>
          <w:sz w:val="24"/>
          <w:szCs w:val="24"/>
        </w:rPr>
        <w:t>. London: Verso.</w:t>
      </w:r>
    </w:p>
    <w:p w:rsidR="005619B5" w:rsidRPr="00CF3A28" w:rsidRDefault="005619B5" w:rsidP="00CF3A28">
      <w:pPr>
        <w:autoSpaceDE w:val="0"/>
        <w:autoSpaceDN w:val="0"/>
        <w:spacing w:line="240" w:lineRule="auto"/>
        <w:jc w:val="left"/>
        <w:rPr>
          <w:bCs/>
          <w:sz w:val="24"/>
          <w:szCs w:val="24"/>
        </w:rPr>
      </w:pPr>
    </w:p>
    <w:p w:rsidR="0029477E" w:rsidRPr="00CF3A28" w:rsidRDefault="0029477E" w:rsidP="00CF3A28">
      <w:pPr>
        <w:autoSpaceDE w:val="0"/>
        <w:autoSpaceDN w:val="0"/>
        <w:spacing w:line="240" w:lineRule="auto"/>
        <w:jc w:val="left"/>
        <w:rPr>
          <w:bCs/>
          <w:sz w:val="24"/>
          <w:szCs w:val="24"/>
        </w:rPr>
      </w:pPr>
      <w:proofErr w:type="spellStart"/>
      <w:r w:rsidRPr="00CF3A28">
        <w:rPr>
          <w:bCs/>
          <w:sz w:val="24"/>
          <w:szCs w:val="24"/>
        </w:rPr>
        <w:t>Andreski</w:t>
      </w:r>
      <w:proofErr w:type="spellEnd"/>
      <w:r w:rsidRPr="00CF3A28">
        <w:rPr>
          <w:bCs/>
          <w:sz w:val="24"/>
          <w:szCs w:val="24"/>
        </w:rPr>
        <w:t xml:space="preserve">, </w:t>
      </w:r>
      <w:proofErr w:type="spellStart"/>
      <w:r w:rsidRPr="00CF3A28">
        <w:rPr>
          <w:bCs/>
          <w:sz w:val="24"/>
          <w:szCs w:val="24"/>
        </w:rPr>
        <w:t>Stanislav</w:t>
      </w:r>
      <w:proofErr w:type="spellEnd"/>
      <w:r w:rsidRPr="00CF3A28">
        <w:rPr>
          <w:bCs/>
          <w:sz w:val="24"/>
          <w:szCs w:val="24"/>
        </w:rPr>
        <w:t xml:space="preserve"> (1968)</w:t>
      </w:r>
      <w:r w:rsidR="00B13AA8" w:rsidRPr="00CF3A28">
        <w:rPr>
          <w:bCs/>
          <w:sz w:val="24"/>
          <w:szCs w:val="24"/>
        </w:rPr>
        <w:t>,</w:t>
      </w:r>
      <w:r w:rsidRPr="00CF3A28">
        <w:rPr>
          <w:bCs/>
          <w:sz w:val="24"/>
          <w:szCs w:val="24"/>
        </w:rPr>
        <w:t xml:space="preserve"> </w:t>
      </w:r>
      <w:r w:rsidRPr="00CF3A28">
        <w:rPr>
          <w:bCs/>
          <w:i/>
          <w:iCs/>
          <w:sz w:val="24"/>
          <w:szCs w:val="24"/>
        </w:rPr>
        <w:t>Military Organization and Society</w:t>
      </w:r>
      <w:r w:rsidRPr="00CF3A28">
        <w:rPr>
          <w:bCs/>
          <w:sz w:val="24"/>
          <w:szCs w:val="24"/>
        </w:rPr>
        <w:t xml:space="preserve">. Berkeley and Los Angeles: </w:t>
      </w:r>
    </w:p>
    <w:p w:rsidR="0029477E" w:rsidRPr="00CF3A28" w:rsidRDefault="0029477E" w:rsidP="00CF3A28">
      <w:pPr>
        <w:autoSpaceDE w:val="0"/>
        <w:autoSpaceDN w:val="0"/>
        <w:spacing w:line="240" w:lineRule="auto"/>
        <w:jc w:val="left"/>
        <w:rPr>
          <w:bCs/>
          <w:sz w:val="24"/>
          <w:szCs w:val="24"/>
        </w:rPr>
      </w:pPr>
      <w:r w:rsidRPr="00CF3A28">
        <w:rPr>
          <w:bCs/>
          <w:sz w:val="24"/>
          <w:szCs w:val="24"/>
        </w:rPr>
        <w:t>University of California Press.</w:t>
      </w:r>
    </w:p>
    <w:p w:rsidR="0029477E" w:rsidRPr="00CF3A28" w:rsidRDefault="0029477E" w:rsidP="00CF3A28">
      <w:pPr>
        <w:autoSpaceDE w:val="0"/>
        <w:autoSpaceDN w:val="0"/>
        <w:spacing w:line="240" w:lineRule="auto"/>
        <w:jc w:val="left"/>
        <w:rPr>
          <w:bCs/>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Baker, R. S. </w:t>
      </w:r>
      <w:r w:rsidR="00B13AA8" w:rsidRPr="00CF3A28">
        <w:rPr>
          <w:sz w:val="24"/>
          <w:szCs w:val="24"/>
        </w:rPr>
        <w:t>(</w:t>
      </w:r>
      <w:r w:rsidRPr="00CF3A28">
        <w:rPr>
          <w:sz w:val="24"/>
          <w:szCs w:val="24"/>
        </w:rPr>
        <w:t>1922</w:t>
      </w:r>
      <w:r w:rsidR="00B13AA8" w:rsidRPr="00CF3A28">
        <w:rPr>
          <w:sz w:val="24"/>
          <w:szCs w:val="24"/>
        </w:rPr>
        <w:t>)</w:t>
      </w:r>
      <w:r w:rsidRPr="00CF3A28">
        <w:rPr>
          <w:sz w:val="24"/>
          <w:szCs w:val="24"/>
        </w:rPr>
        <w:t xml:space="preserve">, </w:t>
      </w:r>
      <w:r w:rsidRPr="00CF3A28">
        <w:rPr>
          <w:i/>
          <w:iCs/>
          <w:sz w:val="24"/>
          <w:szCs w:val="24"/>
        </w:rPr>
        <w:t>Woodrow Wilson and World Settlement</w:t>
      </w:r>
      <w:r w:rsidRPr="00CF3A28">
        <w:rPr>
          <w:sz w:val="24"/>
          <w:szCs w:val="24"/>
        </w:rPr>
        <w:t>. New York: Doubleday.</w:t>
      </w:r>
    </w:p>
    <w:p w:rsidR="00436DCB" w:rsidRPr="00CF3A28" w:rsidRDefault="00436DCB"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Benson, L. </w:t>
      </w:r>
      <w:r w:rsidR="00B13AA8" w:rsidRPr="00CF3A28">
        <w:rPr>
          <w:sz w:val="24"/>
          <w:szCs w:val="24"/>
        </w:rPr>
        <w:t>(</w:t>
      </w:r>
      <w:r w:rsidRPr="00CF3A28">
        <w:rPr>
          <w:sz w:val="24"/>
          <w:szCs w:val="24"/>
        </w:rPr>
        <w:t>1989</w:t>
      </w:r>
      <w:r w:rsidR="00B13AA8" w:rsidRPr="00CF3A28">
        <w:rPr>
          <w:sz w:val="24"/>
          <w:szCs w:val="24"/>
        </w:rPr>
        <w:t>)</w:t>
      </w:r>
      <w:r w:rsidRPr="00CF3A28">
        <w:rPr>
          <w:sz w:val="24"/>
          <w:szCs w:val="24"/>
        </w:rPr>
        <w:t>,</w:t>
      </w:r>
      <w:r w:rsidR="00B13AA8" w:rsidRPr="00CF3A28">
        <w:rPr>
          <w:sz w:val="24"/>
          <w:szCs w:val="24"/>
        </w:rPr>
        <w:t xml:space="preserve"> </w:t>
      </w:r>
      <w:r w:rsidRPr="00CF3A28">
        <w:rPr>
          <w:i/>
          <w:iCs/>
          <w:sz w:val="24"/>
          <w:szCs w:val="24"/>
        </w:rPr>
        <w:t xml:space="preserve">The Working Class in Britain, 1850-1939. </w:t>
      </w:r>
      <w:r w:rsidRPr="00CF3A28">
        <w:rPr>
          <w:sz w:val="24"/>
          <w:szCs w:val="24"/>
        </w:rPr>
        <w:t>London: Longman.</w:t>
      </w:r>
    </w:p>
    <w:p w:rsidR="00B13AA8" w:rsidRPr="00CF3A28" w:rsidRDefault="00B13AA8" w:rsidP="00CF3A28">
      <w:pPr>
        <w:autoSpaceDE w:val="0"/>
        <w:autoSpaceDN w:val="0"/>
        <w:spacing w:line="240" w:lineRule="auto"/>
        <w:jc w:val="left"/>
        <w:rPr>
          <w:bCs/>
          <w:sz w:val="24"/>
          <w:szCs w:val="24"/>
        </w:rPr>
      </w:pPr>
    </w:p>
    <w:p w:rsidR="0043350F" w:rsidRPr="00CF3A28" w:rsidRDefault="0043350F" w:rsidP="00CF3A28">
      <w:pPr>
        <w:autoSpaceDE w:val="0"/>
        <w:autoSpaceDN w:val="0"/>
        <w:spacing w:line="240" w:lineRule="auto"/>
        <w:jc w:val="left"/>
        <w:rPr>
          <w:bCs/>
          <w:sz w:val="24"/>
          <w:szCs w:val="24"/>
          <w:lang w:val="en-US"/>
        </w:rPr>
      </w:pPr>
      <w:r w:rsidRPr="00CF3A28">
        <w:rPr>
          <w:bCs/>
          <w:sz w:val="24"/>
          <w:szCs w:val="24"/>
          <w:lang w:val="en-US"/>
        </w:rPr>
        <w:t xml:space="preserve">Bevan, G. P. (1880). On the Strikes of the Past Ten Years. </w:t>
      </w:r>
      <w:r w:rsidRPr="00CF3A28">
        <w:rPr>
          <w:bCs/>
          <w:i/>
          <w:iCs/>
          <w:sz w:val="24"/>
          <w:szCs w:val="24"/>
          <w:lang w:val="en-US"/>
        </w:rPr>
        <w:t>Journal of the Royal Statistical Society</w:t>
      </w:r>
      <w:r w:rsidRPr="00CF3A28">
        <w:rPr>
          <w:bCs/>
          <w:sz w:val="24"/>
          <w:szCs w:val="24"/>
          <w:lang w:val="en-US"/>
        </w:rPr>
        <w:t xml:space="preserve"> 43:35-54.</w:t>
      </w:r>
    </w:p>
    <w:p w:rsidR="0043350F" w:rsidRPr="00CF3A28" w:rsidRDefault="0043350F" w:rsidP="00CF3A28">
      <w:pPr>
        <w:autoSpaceDE w:val="0"/>
        <w:autoSpaceDN w:val="0"/>
        <w:spacing w:line="240" w:lineRule="auto"/>
        <w:jc w:val="left"/>
        <w:rPr>
          <w:bCs/>
          <w:sz w:val="24"/>
          <w:szCs w:val="24"/>
          <w:lang w:val="en-US"/>
        </w:rPr>
      </w:pPr>
    </w:p>
    <w:p w:rsidR="007F3D0A" w:rsidRPr="00CF3A28" w:rsidRDefault="007F3D0A" w:rsidP="00CF3A28">
      <w:pPr>
        <w:autoSpaceDE w:val="0"/>
        <w:autoSpaceDN w:val="0"/>
        <w:spacing w:line="240" w:lineRule="auto"/>
        <w:jc w:val="left"/>
        <w:rPr>
          <w:bCs/>
          <w:sz w:val="24"/>
          <w:szCs w:val="24"/>
          <w:lang w:val="en-US"/>
        </w:rPr>
      </w:pPr>
      <w:r w:rsidRPr="00CF3A28">
        <w:rPr>
          <w:bCs/>
          <w:sz w:val="24"/>
          <w:szCs w:val="24"/>
          <w:lang w:val="en-US"/>
        </w:rPr>
        <w:t xml:space="preserve">Block, Fred. (1977). </w:t>
      </w:r>
      <w:r w:rsidRPr="00CF3A28">
        <w:rPr>
          <w:bCs/>
          <w:i/>
          <w:sz w:val="24"/>
          <w:szCs w:val="24"/>
          <w:lang w:val="en-US"/>
        </w:rPr>
        <w:t>The Origins of International Economic Disorder</w:t>
      </w:r>
      <w:r w:rsidRPr="00CF3A28">
        <w:rPr>
          <w:bCs/>
          <w:sz w:val="24"/>
          <w:szCs w:val="24"/>
          <w:lang w:val="en-US"/>
        </w:rPr>
        <w:t>. Berkeley and Los Angeles: University of California Press.</w:t>
      </w:r>
    </w:p>
    <w:p w:rsidR="00FA6B54" w:rsidRPr="00CF3A28" w:rsidRDefault="00FA6B54" w:rsidP="00CF3A28">
      <w:pPr>
        <w:autoSpaceDE w:val="0"/>
        <w:autoSpaceDN w:val="0"/>
        <w:spacing w:line="240" w:lineRule="auto"/>
        <w:jc w:val="left"/>
        <w:rPr>
          <w:bCs/>
          <w:sz w:val="24"/>
          <w:szCs w:val="24"/>
        </w:rPr>
      </w:pPr>
    </w:p>
    <w:p w:rsidR="00436DCB" w:rsidRPr="00CF3A28" w:rsidRDefault="00436DCB" w:rsidP="00CF3A28">
      <w:pPr>
        <w:autoSpaceDE w:val="0"/>
        <w:autoSpaceDN w:val="0"/>
        <w:spacing w:line="240" w:lineRule="auto"/>
        <w:jc w:val="left"/>
        <w:rPr>
          <w:sz w:val="24"/>
          <w:szCs w:val="24"/>
        </w:rPr>
      </w:pPr>
      <w:proofErr w:type="spellStart"/>
      <w:r w:rsidRPr="00CF3A28">
        <w:rPr>
          <w:sz w:val="24"/>
          <w:szCs w:val="24"/>
        </w:rPr>
        <w:t>Braunthal</w:t>
      </w:r>
      <w:proofErr w:type="spellEnd"/>
      <w:r w:rsidRPr="00CF3A28">
        <w:rPr>
          <w:sz w:val="24"/>
          <w:szCs w:val="24"/>
        </w:rPr>
        <w:t xml:space="preserve">, J. </w:t>
      </w:r>
      <w:r w:rsidR="00B13AA8" w:rsidRPr="00CF3A28">
        <w:rPr>
          <w:sz w:val="24"/>
          <w:szCs w:val="24"/>
        </w:rPr>
        <w:t>(</w:t>
      </w:r>
      <w:r w:rsidRPr="00CF3A28">
        <w:rPr>
          <w:sz w:val="24"/>
          <w:szCs w:val="24"/>
        </w:rPr>
        <w:t>1967</w:t>
      </w:r>
      <w:r w:rsidR="00B13AA8" w:rsidRPr="00CF3A28">
        <w:rPr>
          <w:sz w:val="24"/>
          <w:szCs w:val="24"/>
        </w:rPr>
        <w:t>)</w:t>
      </w:r>
      <w:r w:rsidRPr="00CF3A28">
        <w:rPr>
          <w:sz w:val="24"/>
          <w:szCs w:val="24"/>
        </w:rPr>
        <w:t>,</w:t>
      </w:r>
      <w:r w:rsidR="0029477E" w:rsidRPr="00CF3A28">
        <w:rPr>
          <w:sz w:val="24"/>
          <w:szCs w:val="24"/>
        </w:rPr>
        <w:t xml:space="preserve"> </w:t>
      </w:r>
      <w:r w:rsidRPr="00CF3A28">
        <w:rPr>
          <w:i/>
          <w:iCs/>
          <w:sz w:val="24"/>
          <w:szCs w:val="24"/>
        </w:rPr>
        <w:t>History of the International</w:t>
      </w:r>
      <w:r w:rsidRPr="00CF3A28">
        <w:rPr>
          <w:sz w:val="24"/>
          <w:szCs w:val="24"/>
        </w:rPr>
        <w:t xml:space="preserve">, Vol. I: 1864-1914, translated by Collins, H. and K. Mitchell. New York: </w:t>
      </w:r>
      <w:proofErr w:type="spellStart"/>
      <w:r w:rsidRPr="00CF3A28">
        <w:rPr>
          <w:sz w:val="24"/>
          <w:szCs w:val="24"/>
        </w:rPr>
        <w:t>Praeger</w:t>
      </w:r>
      <w:proofErr w:type="spellEnd"/>
      <w:r w:rsidRPr="00CF3A28">
        <w:rPr>
          <w:sz w:val="24"/>
          <w:szCs w:val="24"/>
        </w:rPr>
        <w:t>.</w:t>
      </w:r>
    </w:p>
    <w:p w:rsidR="00436DCB" w:rsidRPr="00CF3A28" w:rsidRDefault="00436DCB"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proofErr w:type="spellStart"/>
      <w:r w:rsidRPr="00CF3A28">
        <w:rPr>
          <w:sz w:val="24"/>
          <w:szCs w:val="24"/>
        </w:rPr>
        <w:t>Breman</w:t>
      </w:r>
      <w:proofErr w:type="spellEnd"/>
      <w:r w:rsidRPr="00CF3A28">
        <w:rPr>
          <w:sz w:val="24"/>
          <w:szCs w:val="24"/>
        </w:rPr>
        <w:t xml:space="preserve">, Jan. </w:t>
      </w:r>
      <w:r w:rsidR="00B13AA8" w:rsidRPr="00CF3A28">
        <w:rPr>
          <w:sz w:val="24"/>
          <w:szCs w:val="24"/>
        </w:rPr>
        <w:t>(</w:t>
      </w:r>
      <w:r w:rsidRPr="00CF3A28">
        <w:rPr>
          <w:sz w:val="24"/>
          <w:szCs w:val="24"/>
        </w:rPr>
        <w:t>1987</w:t>
      </w:r>
      <w:r w:rsidR="00B13AA8" w:rsidRPr="00CF3A28">
        <w:rPr>
          <w:sz w:val="24"/>
          <w:szCs w:val="24"/>
        </w:rPr>
        <w:t>)</w:t>
      </w:r>
      <w:r w:rsidRPr="00CF3A28">
        <w:rPr>
          <w:sz w:val="24"/>
          <w:szCs w:val="24"/>
        </w:rPr>
        <w:t xml:space="preserve">, </w:t>
      </w:r>
      <w:r w:rsidRPr="00CF3A28">
        <w:rPr>
          <w:i/>
          <w:iCs/>
          <w:sz w:val="24"/>
          <w:szCs w:val="24"/>
        </w:rPr>
        <w:t>Taming the Coolie Beast.</w:t>
      </w:r>
      <w:r w:rsidR="00B13AA8" w:rsidRPr="00CF3A28">
        <w:rPr>
          <w:i/>
          <w:iCs/>
          <w:sz w:val="24"/>
          <w:szCs w:val="24"/>
        </w:rPr>
        <w:t xml:space="preserve"> </w:t>
      </w:r>
      <w:r w:rsidRPr="00CF3A28">
        <w:rPr>
          <w:i/>
          <w:iCs/>
          <w:sz w:val="24"/>
          <w:szCs w:val="24"/>
        </w:rPr>
        <w:t>Plantation Society and the Colonial Order in Southeast</w:t>
      </w:r>
      <w:r w:rsidR="00B13AA8" w:rsidRPr="00CF3A28">
        <w:rPr>
          <w:i/>
          <w:iCs/>
          <w:sz w:val="24"/>
          <w:szCs w:val="24"/>
        </w:rPr>
        <w:t xml:space="preserve"> </w:t>
      </w:r>
      <w:r w:rsidRPr="00CF3A28">
        <w:rPr>
          <w:i/>
          <w:iCs/>
          <w:sz w:val="24"/>
          <w:szCs w:val="24"/>
        </w:rPr>
        <w:t>Asia.</w:t>
      </w:r>
      <w:r w:rsidR="00B13AA8" w:rsidRPr="00CF3A28">
        <w:rPr>
          <w:i/>
          <w:iCs/>
          <w:sz w:val="24"/>
          <w:szCs w:val="24"/>
        </w:rPr>
        <w:t xml:space="preserve"> </w:t>
      </w:r>
      <w:r w:rsidRPr="00CF3A28">
        <w:rPr>
          <w:sz w:val="24"/>
          <w:szCs w:val="24"/>
        </w:rPr>
        <w:t>Delhi: Oxford University Press.</w:t>
      </w:r>
    </w:p>
    <w:p w:rsidR="00436DCB" w:rsidRPr="00CF3A28" w:rsidRDefault="00436DCB"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Callaway, Helen. </w:t>
      </w:r>
      <w:r w:rsidR="00B13AA8" w:rsidRPr="00CF3A28">
        <w:rPr>
          <w:sz w:val="24"/>
          <w:szCs w:val="24"/>
        </w:rPr>
        <w:t>(</w:t>
      </w:r>
      <w:r w:rsidRPr="00CF3A28">
        <w:rPr>
          <w:sz w:val="24"/>
          <w:szCs w:val="24"/>
        </w:rPr>
        <w:t>1987</w:t>
      </w:r>
      <w:r w:rsidR="00B13AA8" w:rsidRPr="00CF3A28">
        <w:rPr>
          <w:sz w:val="24"/>
          <w:szCs w:val="24"/>
        </w:rPr>
        <w:t>)</w:t>
      </w:r>
      <w:r w:rsidRPr="00CF3A28">
        <w:rPr>
          <w:sz w:val="24"/>
          <w:szCs w:val="24"/>
        </w:rPr>
        <w:t xml:space="preserve">, </w:t>
      </w:r>
      <w:r w:rsidRPr="00CF3A28">
        <w:rPr>
          <w:i/>
          <w:iCs/>
          <w:sz w:val="24"/>
          <w:szCs w:val="24"/>
        </w:rPr>
        <w:t>Gender, Culture and Empire: European Women in Colonial Nigeria</w:t>
      </w:r>
      <w:r w:rsidRPr="00CF3A28">
        <w:rPr>
          <w:sz w:val="24"/>
          <w:szCs w:val="24"/>
        </w:rPr>
        <w:t>. Oxford: Macmillan Press.</w:t>
      </w:r>
    </w:p>
    <w:p w:rsidR="00436DCB" w:rsidRPr="00CF3A28" w:rsidRDefault="00436DCB"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proofErr w:type="spellStart"/>
      <w:r w:rsidRPr="00CF3A28">
        <w:rPr>
          <w:sz w:val="24"/>
          <w:szCs w:val="24"/>
        </w:rPr>
        <w:t>Comaroff</w:t>
      </w:r>
      <w:proofErr w:type="spellEnd"/>
      <w:r w:rsidRPr="00CF3A28">
        <w:rPr>
          <w:sz w:val="24"/>
          <w:szCs w:val="24"/>
        </w:rPr>
        <w:t xml:space="preserve">, J. and </w:t>
      </w:r>
      <w:proofErr w:type="spellStart"/>
      <w:r w:rsidRPr="00CF3A28">
        <w:rPr>
          <w:sz w:val="24"/>
          <w:szCs w:val="24"/>
        </w:rPr>
        <w:t>J.Comaroff</w:t>
      </w:r>
      <w:proofErr w:type="spellEnd"/>
      <w:r w:rsidRPr="00CF3A28">
        <w:rPr>
          <w:sz w:val="24"/>
          <w:szCs w:val="24"/>
        </w:rPr>
        <w:t xml:space="preserve"> </w:t>
      </w:r>
      <w:r w:rsidR="00B13AA8" w:rsidRPr="00CF3A28">
        <w:rPr>
          <w:sz w:val="24"/>
          <w:szCs w:val="24"/>
        </w:rPr>
        <w:t>(</w:t>
      </w:r>
      <w:r w:rsidRPr="00CF3A28">
        <w:rPr>
          <w:sz w:val="24"/>
          <w:szCs w:val="24"/>
        </w:rPr>
        <w:t>1986</w:t>
      </w:r>
      <w:r w:rsidR="00B13AA8" w:rsidRPr="00CF3A28">
        <w:rPr>
          <w:sz w:val="24"/>
          <w:szCs w:val="24"/>
        </w:rPr>
        <w:t>)</w:t>
      </w:r>
      <w:r w:rsidRPr="00CF3A28">
        <w:rPr>
          <w:sz w:val="24"/>
          <w:szCs w:val="24"/>
        </w:rPr>
        <w:t xml:space="preserve">, Christianity and Colonialism in South Africa. </w:t>
      </w:r>
      <w:r w:rsidRPr="00CF3A28">
        <w:rPr>
          <w:i/>
          <w:iCs/>
          <w:sz w:val="24"/>
          <w:szCs w:val="24"/>
        </w:rPr>
        <w:t>American Ethnologist</w:t>
      </w:r>
      <w:r w:rsidRPr="00CF3A28">
        <w:rPr>
          <w:sz w:val="24"/>
          <w:szCs w:val="24"/>
        </w:rPr>
        <w:t xml:space="preserve"> 13</w:t>
      </w:r>
      <w:r w:rsidR="00363EB2" w:rsidRPr="00CF3A28">
        <w:rPr>
          <w:sz w:val="24"/>
          <w:szCs w:val="24"/>
        </w:rPr>
        <w:t>:</w:t>
      </w:r>
      <w:r w:rsidRPr="00CF3A28">
        <w:rPr>
          <w:sz w:val="24"/>
          <w:szCs w:val="24"/>
        </w:rPr>
        <w:t>1</w:t>
      </w:r>
      <w:r w:rsidR="00363EB2" w:rsidRPr="00CF3A28">
        <w:rPr>
          <w:sz w:val="24"/>
          <w:szCs w:val="24"/>
        </w:rPr>
        <w:t>,</w:t>
      </w:r>
      <w:r w:rsidRPr="00CF3A28">
        <w:rPr>
          <w:sz w:val="24"/>
          <w:szCs w:val="24"/>
        </w:rPr>
        <w:t xml:space="preserve"> 1-22.</w:t>
      </w:r>
    </w:p>
    <w:p w:rsidR="00436DCB" w:rsidRPr="00CF3A28" w:rsidRDefault="00436DCB"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 </w:t>
      </w:r>
      <w:r w:rsidR="00B13AA8" w:rsidRPr="00CF3A28">
        <w:rPr>
          <w:sz w:val="24"/>
          <w:szCs w:val="24"/>
        </w:rPr>
        <w:t>(</w:t>
      </w:r>
      <w:r w:rsidRPr="00CF3A28">
        <w:rPr>
          <w:sz w:val="24"/>
          <w:szCs w:val="24"/>
        </w:rPr>
        <w:t>1985</w:t>
      </w:r>
      <w:r w:rsidR="00B13AA8" w:rsidRPr="00CF3A28">
        <w:rPr>
          <w:sz w:val="24"/>
          <w:szCs w:val="24"/>
        </w:rPr>
        <w:t>)</w:t>
      </w:r>
      <w:r w:rsidRPr="00CF3A28">
        <w:rPr>
          <w:sz w:val="24"/>
          <w:szCs w:val="24"/>
        </w:rPr>
        <w:t>,</w:t>
      </w:r>
      <w:r w:rsidR="00B13AA8" w:rsidRPr="00CF3A28">
        <w:rPr>
          <w:sz w:val="24"/>
          <w:szCs w:val="24"/>
        </w:rPr>
        <w:t xml:space="preserve"> </w:t>
      </w:r>
      <w:r w:rsidRPr="00CF3A28">
        <w:rPr>
          <w:i/>
          <w:iCs/>
          <w:sz w:val="24"/>
          <w:szCs w:val="24"/>
        </w:rPr>
        <w:t>Body of Power, Spirit of Resistance</w:t>
      </w:r>
      <w:r w:rsidRPr="00CF3A28">
        <w:rPr>
          <w:sz w:val="24"/>
          <w:szCs w:val="24"/>
        </w:rPr>
        <w:t>. Chicago: Chicago University Press.</w:t>
      </w:r>
    </w:p>
    <w:p w:rsidR="00436DCB" w:rsidRPr="00CF3A28" w:rsidRDefault="00436DCB"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Carr, E. H. </w:t>
      </w:r>
      <w:r w:rsidR="00B13AA8" w:rsidRPr="00CF3A28">
        <w:rPr>
          <w:sz w:val="24"/>
          <w:szCs w:val="24"/>
        </w:rPr>
        <w:t>(</w:t>
      </w:r>
      <w:r w:rsidRPr="00CF3A28">
        <w:rPr>
          <w:sz w:val="24"/>
          <w:szCs w:val="24"/>
        </w:rPr>
        <w:t>1945</w:t>
      </w:r>
      <w:r w:rsidR="00B13AA8" w:rsidRPr="00CF3A28">
        <w:rPr>
          <w:sz w:val="24"/>
          <w:szCs w:val="24"/>
        </w:rPr>
        <w:t>)</w:t>
      </w:r>
      <w:r w:rsidRPr="00CF3A28">
        <w:rPr>
          <w:sz w:val="24"/>
          <w:szCs w:val="24"/>
        </w:rPr>
        <w:t xml:space="preserve">, </w:t>
      </w:r>
      <w:r w:rsidRPr="00CF3A28">
        <w:rPr>
          <w:i/>
          <w:iCs/>
          <w:sz w:val="24"/>
          <w:szCs w:val="24"/>
        </w:rPr>
        <w:t>The Soviet Impact on the Western World</w:t>
      </w:r>
      <w:r w:rsidRPr="00CF3A28">
        <w:rPr>
          <w:sz w:val="24"/>
          <w:szCs w:val="24"/>
        </w:rPr>
        <w:t>. New York: Macmillan.</w:t>
      </w:r>
    </w:p>
    <w:p w:rsidR="00436DCB" w:rsidRPr="00CF3A28" w:rsidRDefault="00436DCB"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Cronin, J. E. </w:t>
      </w:r>
      <w:r w:rsidR="00B13AA8" w:rsidRPr="00CF3A28">
        <w:rPr>
          <w:sz w:val="24"/>
          <w:szCs w:val="24"/>
        </w:rPr>
        <w:t>(</w:t>
      </w:r>
      <w:r w:rsidRPr="00CF3A28">
        <w:rPr>
          <w:sz w:val="24"/>
          <w:szCs w:val="24"/>
        </w:rPr>
        <w:t>1989</w:t>
      </w:r>
      <w:r w:rsidR="00B13AA8" w:rsidRPr="00CF3A28">
        <w:rPr>
          <w:sz w:val="24"/>
          <w:szCs w:val="24"/>
        </w:rPr>
        <w:t>)</w:t>
      </w:r>
      <w:r w:rsidRPr="00CF3A28">
        <w:rPr>
          <w:sz w:val="24"/>
          <w:szCs w:val="24"/>
        </w:rPr>
        <w:t>, ‘Strikes and Power in Britain, 1870-1920’</w:t>
      </w:r>
      <w:r w:rsidR="00B13AA8" w:rsidRPr="00CF3A28">
        <w:rPr>
          <w:sz w:val="24"/>
          <w:szCs w:val="24"/>
        </w:rPr>
        <w:t xml:space="preserve">. In L. </w:t>
      </w:r>
      <w:proofErr w:type="spellStart"/>
      <w:r w:rsidR="00B13AA8" w:rsidRPr="00CF3A28">
        <w:rPr>
          <w:sz w:val="24"/>
          <w:szCs w:val="24"/>
        </w:rPr>
        <w:t>Haimson</w:t>
      </w:r>
      <w:proofErr w:type="spellEnd"/>
      <w:r w:rsidR="00B13AA8" w:rsidRPr="00CF3A28">
        <w:rPr>
          <w:sz w:val="24"/>
          <w:szCs w:val="24"/>
        </w:rPr>
        <w:t xml:space="preserve"> and C. Tilly, Eds.</w:t>
      </w:r>
      <w:r w:rsidRPr="00CF3A28">
        <w:rPr>
          <w:sz w:val="24"/>
          <w:szCs w:val="24"/>
        </w:rPr>
        <w:t xml:space="preserve"> </w:t>
      </w:r>
      <w:r w:rsidRPr="00CF3A28">
        <w:rPr>
          <w:i/>
          <w:iCs/>
          <w:sz w:val="24"/>
          <w:szCs w:val="24"/>
        </w:rPr>
        <w:t>Strikes, Wars, and Revolutions in an International Perspective: Strike Waves in the Late Nineteenth and Early Twentieth Centuries</w:t>
      </w:r>
      <w:r w:rsidRPr="00CF3A28">
        <w:rPr>
          <w:sz w:val="24"/>
          <w:szCs w:val="24"/>
        </w:rPr>
        <w:t>. Cambridge: Cambridge University Press</w:t>
      </w:r>
    </w:p>
    <w:p w:rsidR="00436DCB" w:rsidRPr="00CF3A28" w:rsidRDefault="00436DCB"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Doyle, M. W. </w:t>
      </w:r>
      <w:r w:rsidR="00B13AA8" w:rsidRPr="00CF3A28">
        <w:rPr>
          <w:sz w:val="24"/>
          <w:szCs w:val="24"/>
        </w:rPr>
        <w:t>(</w:t>
      </w:r>
      <w:r w:rsidRPr="00CF3A28">
        <w:rPr>
          <w:sz w:val="24"/>
          <w:szCs w:val="24"/>
        </w:rPr>
        <w:t>1997</w:t>
      </w:r>
      <w:r w:rsidR="00B13AA8" w:rsidRPr="00CF3A28">
        <w:rPr>
          <w:sz w:val="24"/>
          <w:szCs w:val="24"/>
        </w:rPr>
        <w:t>)</w:t>
      </w:r>
      <w:r w:rsidRPr="00CF3A28">
        <w:rPr>
          <w:sz w:val="24"/>
          <w:szCs w:val="24"/>
        </w:rPr>
        <w:t xml:space="preserve">, </w:t>
      </w:r>
      <w:r w:rsidRPr="00CF3A28">
        <w:rPr>
          <w:i/>
          <w:iCs/>
          <w:sz w:val="24"/>
          <w:szCs w:val="24"/>
        </w:rPr>
        <w:t>Ways of War and Peace: Realism, Liberalism, and Socialism</w:t>
      </w:r>
      <w:r w:rsidRPr="00CF3A28">
        <w:rPr>
          <w:sz w:val="24"/>
          <w:szCs w:val="24"/>
        </w:rPr>
        <w:t>. New York: W.W. Norton &amp; Co.</w:t>
      </w:r>
    </w:p>
    <w:p w:rsidR="00AE7767" w:rsidRPr="00CF3A28" w:rsidRDefault="00AE7767"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Eng, Robert Y. </w:t>
      </w:r>
      <w:r w:rsidR="00B13AA8" w:rsidRPr="00CF3A28">
        <w:rPr>
          <w:sz w:val="24"/>
          <w:szCs w:val="24"/>
        </w:rPr>
        <w:t>(</w:t>
      </w:r>
      <w:r w:rsidRPr="00CF3A28">
        <w:rPr>
          <w:sz w:val="24"/>
          <w:szCs w:val="24"/>
        </w:rPr>
        <w:t>1990</w:t>
      </w:r>
      <w:r w:rsidR="00B13AA8" w:rsidRPr="00CF3A28">
        <w:rPr>
          <w:sz w:val="24"/>
          <w:szCs w:val="24"/>
        </w:rPr>
        <w:t>)</w:t>
      </w:r>
      <w:r w:rsidRPr="00CF3A28">
        <w:rPr>
          <w:sz w:val="24"/>
          <w:szCs w:val="24"/>
        </w:rPr>
        <w:t xml:space="preserve">, </w:t>
      </w:r>
      <w:proofErr w:type="spellStart"/>
      <w:r w:rsidRPr="00CF3A28">
        <w:rPr>
          <w:sz w:val="24"/>
          <w:szCs w:val="24"/>
        </w:rPr>
        <w:t>Luddism</w:t>
      </w:r>
      <w:proofErr w:type="spellEnd"/>
      <w:r w:rsidRPr="00CF3A28">
        <w:rPr>
          <w:sz w:val="24"/>
          <w:szCs w:val="24"/>
        </w:rPr>
        <w:t xml:space="preserve"> and </w:t>
      </w:r>
      <w:proofErr w:type="spellStart"/>
      <w:r w:rsidRPr="00CF3A28">
        <w:rPr>
          <w:sz w:val="24"/>
          <w:szCs w:val="24"/>
        </w:rPr>
        <w:t>Labor</w:t>
      </w:r>
      <w:proofErr w:type="spellEnd"/>
      <w:r w:rsidRPr="00CF3A28">
        <w:rPr>
          <w:sz w:val="24"/>
          <w:szCs w:val="24"/>
        </w:rPr>
        <w:t xml:space="preserve"> Protest Among Silk Artisans and Workers in</w:t>
      </w:r>
    </w:p>
    <w:p w:rsidR="00436DCB" w:rsidRPr="00CF3A28" w:rsidRDefault="00436DCB" w:rsidP="00CF3A28">
      <w:pPr>
        <w:autoSpaceDE w:val="0"/>
        <w:autoSpaceDN w:val="0"/>
        <w:spacing w:line="240" w:lineRule="auto"/>
        <w:jc w:val="left"/>
        <w:rPr>
          <w:sz w:val="24"/>
          <w:szCs w:val="24"/>
        </w:rPr>
      </w:pPr>
      <w:r w:rsidRPr="00CF3A28">
        <w:rPr>
          <w:sz w:val="24"/>
          <w:szCs w:val="24"/>
        </w:rPr>
        <w:t xml:space="preserve">Jiangnan and Guangdong, 1860–1930, </w:t>
      </w:r>
      <w:r w:rsidRPr="00CF3A28">
        <w:rPr>
          <w:i/>
          <w:iCs/>
          <w:sz w:val="24"/>
          <w:szCs w:val="24"/>
        </w:rPr>
        <w:t>Late Imperial China</w:t>
      </w:r>
      <w:r w:rsidRPr="00CF3A28">
        <w:rPr>
          <w:sz w:val="24"/>
          <w:szCs w:val="24"/>
        </w:rPr>
        <w:t>, 11, 2: 63–101.</w:t>
      </w:r>
    </w:p>
    <w:p w:rsidR="00436DCB" w:rsidRPr="00CF3A28" w:rsidRDefault="00436DCB" w:rsidP="00CF3A28">
      <w:pPr>
        <w:autoSpaceDE w:val="0"/>
        <w:autoSpaceDN w:val="0"/>
        <w:spacing w:line="240" w:lineRule="auto"/>
        <w:jc w:val="left"/>
        <w:rPr>
          <w:sz w:val="24"/>
          <w:szCs w:val="24"/>
        </w:rPr>
      </w:pPr>
    </w:p>
    <w:p w:rsidR="00936F5D" w:rsidRPr="00CF3A28" w:rsidRDefault="00936F5D" w:rsidP="00CF3A28">
      <w:pPr>
        <w:autoSpaceDE w:val="0"/>
        <w:autoSpaceDN w:val="0"/>
        <w:spacing w:line="240" w:lineRule="auto"/>
        <w:jc w:val="left"/>
        <w:rPr>
          <w:bCs/>
          <w:sz w:val="24"/>
          <w:szCs w:val="24"/>
          <w:lang w:val="en-US"/>
        </w:rPr>
      </w:pPr>
      <w:proofErr w:type="spellStart"/>
      <w:r w:rsidRPr="00CF3A28">
        <w:rPr>
          <w:bCs/>
          <w:sz w:val="24"/>
          <w:szCs w:val="24"/>
          <w:lang w:val="en-US"/>
        </w:rPr>
        <w:t>Eversley</w:t>
      </w:r>
      <w:proofErr w:type="spellEnd"/>
      <w:r w:rsidRPr="00CF3A28">
        <w:rPr>
          <w:bCs/>
          <w:sz w:val="24"/>
          <w:szCs w:val="24"/>
          <w:lang w:val="en-US"/>
        </w:rPr>
        <w:t xml:space="preserve">, D. E. C. (1967). The Home Market and Economic Growth in England, 1750-1780. In E.L. Jones, and G. E. </w:t>
      </w:r>
      <w:proofErr w:type="spellStart"/>
      <w:r w:rsidRPr="00CF3A28">
        <w:rPr>
          <w:bCs/>
          <w:sz w:val="24"/>
          <w:szCs w:val="24"/>
          <w:lang w:val="en-US"/>
        </w:rPr>
        <w:t>Mingay</w:t>
      </w:r>
      <w:proofErr w:type="spellEnd"/>
      <w:r w:rsidRPr="00CF3A28">
        <w:rPr>
          <w:bCs/>
          <w:sz w:val="24"/>
          <w:szCs w:val="24"/>
          <w:lang w:val="en-US"/>
        </w:rPr>
        <w:t xml:space="preserve"> (Eds.), </w:t>
      </w:r>
      <w:r w:rsidRPr="00CF3A28">
        <w:rPr>
          <w:bCs/>
          <w:i/>
          <w:iCs/>
          <w:sz w:val="24"/>
          <w:szCs w:val="24"/>
          <w:lang w:val="en-US"/>
        </w:rPr>
        <w:t xml:space="preserve">Land, </w:t>
      </w:r>
      <w:proofErr w:type="spellStart"/>
      <w:r w:rsidRPr="00CF3A28">
        <w:rPr>
          <w:bCs/>
          <w:i/>
          <w:iCs/>
          <w:sz w:val="24"/>
          <w:szCs w:val="24"/>
          <w:lang w:val="en-US"/>
        </w:rPr>
        <w:t>Labour</w:t>
      </w:r>
      <w:proofErr w:type="spellEnd"/>
      <w:r w:rsidRPr="00CF3A28">
        <w:rPr>
          <w:bCs/>
          <w:i/>
          <w:iCs/>
          <w:sz w:val="24"/>
          <w:szCs w:val="24"/>
          <w:lang w:val="en-US"/>
        </w:rPr>
        <w:t>, and Population in the Industrial Revolution</w:t>
      </w:r>
      <w:r w:rsidRPr="00CF3A28">
        <w:rPr>
          <w:bCs/>
          <w:sz w:val="24"/>
          <w:szCs w:val="24"/>
          <w:lang w:val="en-US"/>
        </w:rPr>
        <w:t>. London: Arnold.</w:t>
      </w:r>
    </w:p>
    <w:p w:rsidR="00936F5D" w:rsidRPr="00CF3A28" w:rsidRDefault="00936F5D" w:rsidP="00CF3A28">
      <w:pPr>
        <w:autoSpaceDE w:val="0"/>
        <w:autoSpaceDN w:val="0"/>
        <w:spacing w:line="240" w:lineRule="auto"/>
        <w:jc w:val="left"/>
        <w:rPr>
          <w:bCs/>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Geary, D. </w:t>
      </w:r>
      <w:r w:rsidR="00B13AA8" w:rsidRPr="00CF3A28">
        <w:rPr>
          <w:sz w:val="24"/>
          <w:szCs w:val="24"/>
        </w:rPr>
        <w:t>(</w:t>
      </w:r>
      <w:r w:rsidRPr="00CF3A28">
        <w:rPr>
          <w:sz w:val="24"/>
          <w:szCs w:val="24"/>
        </w:rPr>
        <w:t>1981</w:t>
      </w:r>
      <w:r w:rsidR="00B13AA8" w:rsidRPr="00CF3A28">
        <w:rPr>
          <w:sz w:val="24"/>
          <w:szCs w:val="24"/>
        </w:rPr>
        <w:t>)</w:t>
      </w:r>
      <w:r w:rsidRPr="00CF3A28">
        <w:rPr>
          <w:sz w:val="24"/>
          <w:szCs w:val="24"/>
        </w:rPr>
        <w:t xml:space="preserve">, </w:t>
      </w:r>
      <w:r w:rsidRPr="00CF3A28">
        <w:rPr>
          <w:i/>
          <w:iCs/>
          <w:sz w:val="24"/>
          <w:szCs w:val="24"/>
        </w:rPr>
        <w:t>European Labour Protest, 1848-1939</w:t>
      </w:r>
      <w:r w:rsidRPr="00CF3A28">
        <w:rPr>
          <w:sz w:val="24"/>
          <w:szCs w:val="24"/>
        </w:rPr>
        <w:t xml:space="preserve">. London: </w:t>
      </w:r>
      <w:proofErr w:type="spellStart"/>
      <w:r w:rsidRPr="00CF3A28">
        <w:rPr>
          <w:sz w:val="24"/>
          <w:szCs w:val="24"/>
        </w:rPr>
        <w:t>Croom</w:t>
      </w:r>
      <w:proofErr w:type="spellEnd"/>
      <w:r w:rsidRPr="00CF3A28">
        <w:rPr>
          <w:sz w:val="24"/>
          <w:szCs w:val="24"/>
        </w:rPr>
        <w:t xml:space="preserve"> Helm.</w:t>
      </w:r>
    </w:p>
    <w:p w:rsidR="00436DCB" w:rsidRPr="00CF3A28" w:rsidRDefault="00436DCB" w:rsidP="00CF3A28">
      <w:pPr>
        <w:autoSpaceDE w:val="0"/>
        <w:autoSpaceDN w:val="0"/>
        <w:spacing w:line="240" w:lineRule="auto"/>
        <w:jc w:val="left"/>
        <w:rPr>
          <w:sz w:val="24"/>
          <w:szCs w:val="24"/>
        </w:rPr>
      </w:pPr>
    </w:p>
    <w:p w:rsidR="005619B5" w:rsidRPr="00CF3A28" w:rsidRDefault="005619B5" w:rsidP="00CF3A28">
      <w:pPr>
        <w:autoSpaceDE w:val="0"/>
        <w:autoSpaceDN w:val="0"/>
        <w:spacing w:line="240" w:lineRule="auto"/>
        <w:jc w:val="left"/>
        <w:rPr>
          <w:sz w:val="24"/>
          <w:szCs w:val="24"/>
        </w:rPr>
      </w:pPr>
      <w:r w:rsidRPr="00CF3A28">
        <w:rPr>
          <w:sz w:val="24"/>
          <w:szCs w:val="24"/>
        </w:rPr>
        <w:t>Gillis, John (1983)</w:t>
      </w:r>
      <w:r w:rsidR="00C416B1" w:rsidRPr="00CF3A28">
        <w:rPr>
          <w:sz w:val="24"/>
          <w:szCs w:val="24"/>
        </w:rPr>
        <w:t>,</w:t>
      </w:r>
      <w:r w:rsidRPr="00CF3A28">
        <w:rPr>
          <w:sz w:val="24"/>
          <w:szCs w:val="24"/>
        </w:rPr>
        <w:t xml:space="preserve"> </w:t>
      </w:r>
      <w:r w:rsidRPr="00CF3A28">
        <w:rPr>
          <w:i/>
          <w:sz w:val="24"/>
          <w:szCs w:val="24"/>
        </w:rPr>
        <w:t>The Development of European Society, 1770-1870</w:t>
      </w:r>
      <w:r w:rsidRPr="00CF3A28">
        <w:rPr>
          <w:sz w:val="24"/>
          <w:szCs w:val="24"/>
        </w:rPr>
        <w:t xml:space="preserve">. Boston: Houghton </w:t>
      </w:r>
    </w:p>
    <w:p w:rsidR="005619B5" w:rsidRPr="00CF3A28" w:rsidRDefault="005619B5" w:rsidP="00CF3A28">
      <w:pPr>
        <w:autoSpaceDE w:val="0"/>
        <w:autoSpaceDN w:val="0"/>
        <w:spacing w:line="240" w:lineRule="auto"/>
        <w:jc w:val="left"/>
        <w:rPr>
          <w:sz w:val="24"/>
          <w:szCs w:val="24"/>
        </w:rPr>
      </w:pPr>
      <w:r w:rsidRPr="00CF3A28">
        <w:rPr>
          <w:sz w:val="24"/>
          <w:szCs w:val="24"/>
        </w:rPr>
        <w:t>Mifflin.</w:t>
      </w:r>
    </w:p>
    <w:p w:rsidR="005619B5" w:rsidRPr="00CF3A28" w:rsidRDefault="005619B5"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Gordon, Robert and </w:t>
      </w:r>
      <w:proofErr w:type="spellStart"/>
      <w:r w:rsidRPr="00CF3A28">
        <w:rPr>
          <w:sz w:val="24"/>
          <w:szCs w:val="24"/>
        </w:rPr>
        <w:t>Mervyn</w:t>
      </w:r>
      <w:proofErr w:type="spellEnd"/>
      <w:r w:rsidRPr="00CF3A28">
        <w:rPr>
          <w:sz w:val="24"/>
          <w:szCs w:val="24"/>
        </w:rPr>
        <w:t xml:space="preserve"> </w:t>
      </w:r>
      <w:proofErr w:type="spellStart"/>
      <w:r w:rsidRPr="00CF3A28">
        <w:rPr>
          <w:sz w:val="24"/>
          <w:szCs w:val="24"/>
        </w:rPr>
        <w:t>Meggitt</w:t>
      </w:r>
      <w:proofErr w:type="spellEnd"/>
      <w:r w:rsidRPr="00CF3A28">
        <w:rPr>
          <w:sz w:val="24"/>
          <w:szCs w:val="24"/>
        </w:rPr>
        <w:t>.</w:t>
      </w:r>
      <w:r w:rsidR="00973B07" w:rsidRPr="00CF3A28">
        <w:rPr>
          <w:sz w:val="24"/>
          <w:szCs w:val="24"/>
        </w:rPr>
        <w:t xml:space="preserve"> </w:t>
      </w:r>
      <w:r w:rsidR="00B13AA8" w:rsidRPr="00CF3A28">
        <w:rPr>
          <w:sz w:val="24"/>
          <w:szCs w:val="24"/>
        </w:rPr>
        <w:t>(</w:t>
      </w:r>
      <w:r w:rsidRPr="00CF3A28">
        <w:rPr>
          <w:sz w:val="24"/>
          <w:szCs w:val="24"/>
        </w:rPr>
        <w:t>1985</w:t>
      </w:r>
      <w:r w:rsidR="00B13AA8" w:rsidRPr="00CF3A28">
        <w:rPr>
          <w:sz w:val="24"/>
          <w:szCs w:val="24"/>
        </w:rPr>
        <w:t>)</w:t>
      </w:r>
      <w:r w:rsidR="00C416B1" w:rsidRPr="00CF3A28">
        <w:rPr>
          <w:sz w:val="24"/>
          <w:szCs w:val="24"/>
        </w:rPr>
        <w:t>,</w:t>
      </w:r>
      <w:r w:rsidRPr="00CF3A28">
        <w:rPr>
          <w:sz w:val="24"/>
          <w:szCs w:val="24"/>
        </w:rPr>
        <w:t xml:space="preserve"> ‘The Decline of the </w:t>
      </w:r>
      <w:proofErr w:type="spellStart"/>
      <w:r w:rsidRPr="00CF3A28">
        <w:rPr>
          <w:sz w:val="24"/>
          <w:szCs w:val="24"/>
        </w:rPr>
        <w:t>Kipas</w:t>
      </w:r>
      <w:proofErr w:type="spellEnd"/>
      <w:r w:rsidRPr="00CF3A28">
        <w:rPr>
          <w:sz w:val="24"/>
          <w:szCs w:val="24"/>
        </w:rPr>
        <w:t>’. In R. Go</w:t>
      </w:r>
      <w:r w:rsidR="00973B07" w:rsidRPr="00CF3A28">
        <w:rPr>
          <w:sz w:val="24"/>
          <w:szCs w:val="24"/>
        </w:rPr>
        <w:t>r</w:t>
      </w:r>
      <w:r w:rsidRPr="00CF3A28">
        <w:rPr>
          <w:sz w:val="24"/>
          <w:szCs w:val="24"/>
        </w:rPr>
        <w:t xml:space="preserve">don and M. </w:t>
      </w:r>
      <w:proofErr w:type="spellStart"/>
      <w:r w:rsidRPr="00CF3A28">
        <w:rPr>
          <w:sz w:val="24"/>
          <w:szCs w:val="24"/>
        </w:rPr>
        <w:t>Meggitt</w:t>
      </w:r>
      <w:proofErr w:type="spellEnd"/>
      <w:r w:rsidRPr="00CF3A28">
        <w:rPr>
          <w:sz w:val="24"/>
          <w:szCs w:val="24"/>
        </w:rPr>
        <w:t xml:space="preserve">, eds. </w:t>
      </w:r>
      <w:r w:rsidRPr="00CF3A28">
        <w:rPr>
          <w:i/>
          <w:iCs/>
          <w:sz w:val="24"/>
          <w:szCs w:val="24"/>
        </w:rPr>
        <w:t>Law and Order in the New Guinea Highlands</w:t>
      </w:r>
      <w:r w:rsidRPr="00CF3A28">
        <w:rPr>
          <w:sz w:val="24"/>
          <w:szCs w:val="24"/>
        </w:rPr>
        <w:t>. Hanover: University Press of New England.</w:t>
      </w:r>
    </w:p>
    <w:p w:rsidR="00436DCB" w:rsidRPr="00CF3A28" w:rsidRDefault="00436DCB" w:rsidP="00CF3A28">
      <w:pPr>
        <w:autoSpaceDE w:val="0"/>
        <w:autoSpaceDN w:val="0"/>
        <w:spacing w:line="240" w:lineRule="auto"/>
        <w:jc w:val="left"/>
        <w:rPr>
          <w:bCs/>
          <w:sz w:val="24"/>
          <w:szCs w:val="24"/>
        </w:rPr>
      </w:pPr>
    </w:p>
    <w:p w:rsidR="00CF1F17" w:rsidRPr="00CF3A28" w:rsidRDefault="00CF1F17" w:rsidP="00CF3A28">
      <w:pPr>
        <w:autoSpaceDE w:val="0"/>
        <w:autoSpaceDN w:val="0"/>
        <w:spacing w:line="240" w:lineRule="auto"/>
        <w:jc w:val="left"/>
        <w:rPr>
          <w:bCs/>
          <w:sz w:val="24"/>
          <w:szCs w:val="24"/>
        </w:rPr>
      </w:pPr>
      <w:proofErr w:type="spellStart"/>
      <w:r w:rsidRPr="00CF3A28">
        <w:rPr>
          <w:bCs/>
          <w:sz w:val="24"/>
          <w:szCs w:val="24"/>
        </w:rPr>
        <w:t>Halperin</w:t>
      </w:r>
      <w:proofErr w:type="spellEnd"/>
      <w:r w:rsidRPr="00CF3A28">
        <w:rPr>
          <w:bCs/>
          <w:sz w:val="24"/>
          <w:szCs w:val="24"/>
        </w:rPr>
        <w:t xml:space="preserve">, S. (2013), </w:t>
      </w:r>
      <w:r w:rsidRPr="00CF3A28">
        <w:rPr>
          <w:bCs/>
          <w:i/>
          <w:sz w:val="24"/>
          <w:szCs w:val="24"/>
        </w:rPr>
        <w:t>Re-Envisioning</w:t>
      </w:r>
      <w:r w:rsidRPr="00CF3A28">
        <w:rPr>
          <w:bCs/>
          <w:sz w:val="24"/>
          <w:szCs w:val="24"/>
        </w:rPr>
        <w:t xml:space="preserve"> </w:t>
      </w:r>
      <w:r w:rsidRPr="00CF3A28">
        <w:rPr>
          <w:bCs/>
          <w:i/>
          <w:sz w:val="24"/>
          <w:szCs w:val="24"/>
        </w:rPr>
        <w:t xml:space="preserve">Global Development: a ‘Horizontal Perspective’. </w:t>
      </w:r>
      <w:r w:rsidRPr="00CF3A28">
        <w:rPr>
          <w:bCs/>
          <w:sz w:val="24"/>
          <w:szCs w:val="24"/>
        </w:rPr>
        <w:t xml:space="preserve">London: </w:t>
      </w:r>
      <w:proofErr w:type="spellStart"/>
      <w:r w:rsidRPr="00CF3A28">
        <w:rPr>
          <w:bCs/>
          <w:sz w:val="24"/>
          <w:szCs w:val="24"/>
        </w:rPr>
        <w:t>Routledge</w:t>
      </w:r>
      <w:proofErr w:type="spellEnd"/>
      <w:r w:rsidRPr="00CF3A28">
        <w:rPr>
          <w:bCs/>
          <w:sz w:val="24"/>
          <w:szCs w:val="24"/>
        </w:rPr>
        <w:t>, 2013.</w:t>
      </w:r>
    </w:p>
    <w:p w:rsidR="00CF1F17" w:rsidRPr="00CF3A28" w:rsidRDefault="00CF1F17" w:rsidP="00CF3A28">
      <w:pPr>
        <w:autoSpaceDE w:val="0"/>
        <w:autoSpaceDN w:val="0"/>
        <w:spacing w:line="240" w:lineRule="auto"/>
        <w:jc w:val="left"/>
        <w:rPr>
          <w:bCs/>
          <w:sz w:val="24"/>
          <w:szCs w:val="24"/>
        </w:rPr>
      </w:pPr>
    </w:p>
    <w:p w:rsidR="00436DCB" w:rsidRPr="00CF3A28" w:rsidRDefault="00363EB2" w:rsidP="00CF3A28">
      <w:pPr>
        <w:autoSpaceDE w:val="0"/>
        <w:autoSpaceDN w:val="0"/>
        <w:spacing w:line="240" w:lineRule="auto"/>
        <w:jc w:val="left"/>
        <w:rPr>
          <w:sz w:val="24"/>
          <w:szCs w:val="24"/>
        </w:rPr>
      </w:pPr>
      <w:r w:rsidRPr="00CF3A28">
        <w:rPr>
          <w:sz w:val="24"/>
          <w:szCs w:val="24"/>
        </w:rPr>
        <w:t xml:space="preserve">Halperin, S. </w:t>
      </w:r>
      <w:r w:rsidR="00B13AA8" w:rsidRPr="00CF3A28">
        <w:rPr>
          <w:sz w:val="24"/>
          <w:szCs w:val="24"/>
        </w:rPr>
        <w:t>(</w:t>
      </w:r>
      <w:r w:rsidR="00436DCB" w:rsidRPr="00CF3A28">
        <w:rPr>
          <w:sz w:val="24"/>
          <w:szCs w:val="24"/>
        </w:rPr>
        <w:t>2004</w:t>
      </w:r>
      <w:r w:rsidR="00B13AA8" w:rsidRPr="00CF3A28">
        <w:rPr>
          <w:sz w:val="24"/>
          <w:szCs w:val="24"/>
        </w:rPr>
        <w:t>)</w:t>
      </w:r>
      <w:r w:rsidR="00436DCB" w:rsidRPr="00CF3A28">
        <w:rPr>
          <w:sz w:val="24"/>
          <w:szCs w:val="24"/>
        </w:rPr>
        <w:t>,</w:t>
      </w:r>
      <w:r w:rsidR="00B13AA8" w:rsidRPr="00CF3A28">
        <w:rPr>
          <w:sz w:val="24"/>
          <w:szCs w:val="24"/>
        </w:rPr>
        <w:t xml:space="preserve"> </w:t>
      </w:r>
      <w:r w:rsidR="00436DCB" w:rsidRPr="00CF3A28">
        <w:rPr>
          <w:i/>
          <w:iCs/>
          <w:sz w:val="24"/>
          <w:szCs w:val="24"/>
        </w:rPr>
        <w:t>War and Social Change in Modern Europe: the great transformation revisited</w:t>
      </w:r>
      <w:r w:rsidR="00436DCB" w:rsidRPr="00CF3A28">
        <w:rPr>
          <w:sz w:val="24"/>
          <w:szCs w:val="24"/>
        </w:rPr>
        <w:t xml:space="preserve">. Cambridge: Cambridge University Press. </w:t>
      </w:r>
    </w:p>
    <w:p w:rsidR="005C1DE8" w:rsidRPr="00CF3A28" w:rsidRDefault="005C1DE8"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proofErr w:type="spellStart"/>
      <w:r w:rsidRPr="00CF3A28">
        <w:rPr>
          <w:sz w:val="24"/>
          <w:szCs w:val="24"/>
        </w:rPr>
        <w:t>Hobsbawm</w:t>
      </w:r>
      <w:proofErr w:type="spellEnd"/>
      <w:r w:rsidRPr="00CF3A28">
        <w:rPr>
          <w:sz w:val="24"/>
          <w:szCs w:val="24"/>
        </w:rPr>
        <w:t xml:space="preserve">, E. </w:t>
      </w:r>
      <w:r w:rsidR="00B13AA8" w:rsidRPr="00CF3A28">
        <w:rPr>
          <w:sz w:val="24"/>
          <w:szCs w:val="24"/>
        </w:rPr>
        <w:t>(</w:t>
      </w:r>
      <w:r w:rsidRPr="00CF3A28">
        <w:rPr>
          <w:sz w:val="24"/>
          <w:szCs w:val="24"/>
        </w:rPr>
        <w:t>1968</w:t>
      </w:r>
      <w:r w:rsidR="00B13AA8" w:rsidRPr="00CF3A28">
        <w:rPr>
          <w:sz w:val="24"/>
          <w:szCs w:val="24"/>
        </w:rPr>
        <w:t>)</w:t>
      </w:r>
      <w:r w:rsidRPr="00CF3A28">
        <w:rPr>
          <w:sz w:val="24"/>
          <w:szCs w:val="24"/>
        </w:rPr>
        <w:t xml:space="preserve">, </w:t>
      </w:r>
      <w:r w:rsidRPr="00CF3A28">
        <w:rPr>
          <w:i/>
          <w:iCs/>
          <w:sz w:val="24"/>
          <w:szCs w:val="24"/>
        </w:rPr>
        <w:t>Industry and Empire</w:t>
      </w:r>
      <w:r w:rsidRPr="00CF3A28">
        <w:rPr>
          <w:sz w:val="24"/>
          <w:szCs w:val="24"/>
        </w:rPr>
        <w:t xml:space="preserve">. London: </w:t>
      </w:r>
      <w:proofErr w:type="spellStart"/>
      <w:r w:rsidRPr="00CF3A28">
        <w:rPr>
          <w:sz w:val="24"/>
          <w:szCs w:val="24"/>
        </w:rPr>
        <w:t>Weidenfeld</w:t>
      </w:r>
      <w:proofErr w:type="spellEnd"/>
      <w:r w:rsidRPr="00CF3A28">
        <w:rPr>
          <w:sz w:val="24"/>
          <w:szCs w:val="24"/>
        </w:rPr>
        <w:t xml:space="preserve"> and Nicolson.</w:t>
      </w:r>
    </w:p>
    <w:p w:rsidR="00436DCB" w:rsidRPr="00CF3A28" w:rsidRDefault="00436DCB"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proofErr w:type="spellStart"/>
      <w:r w:rsidRPr="00CF3A28">
        <w:rPr>
          <w:sz w:val="24"/>
          <w:szCs w:val="24"/>
        </w:rPr>
        <w:t>Ingelson</w:t>
      </w:r>
      <w:proofErr w:type="spellEnd"/>
      <w:r w:rsidRPr="00CF3A28">
        <w:rPr>
          <w:sz w:val="24"/>
          <w:szCs w:val="24"/>
        </w:rPr>
        <w:t xml:space="preserve">, John, </w:t>
      </w:r>
      <w:r w:rsidR="00973B07" w:rsidRPr="00CF3A28">
        <w:rPr>
          <w:sz w:val="24"/>
          <w:szCs w:val="24"/>
        </w:rPr>
        <w:t>(</w:t>
      </w:r>
      <w:r w:rsidRPr="00CF3A28">
        <w:rPr>
          <w:sz w:val="24"/>
          <w:szCs w:val="24"/>
        </w:rPr>
        <w:t>1981</w:t>
      </w:r>
      <w:r w:rsidR="00973B07" w:rsidRPr="00CF3A28">
        <w:rPr>
          <w:sz w:val="24"/>
          <w:szCs w:val="24"/>
        </w:rPr>
        <w:t>)</w:t>
      </w:r>
      <w:r w:rsidRPr="00CF3A28">
        <w:rPr>
          <w:sz w:val="24"/>
          <w:szCs w:val="24"/>
        </w:rPr>
        <w:t xml:space="preserve">, Bound Hand and Foot: Railway Workers and the 1923 Strike in Java. </w:t>
      </w:r>
      <w:r w:rsidRPr="00CF3A28">
        <w:rPr>
          <w:i/>
          <w:iCs/>
          <w:sz w:val="24"/>
          <w:szCs w:val="24"/>
        </w:rPr>
        <w:t>Indonesia</w:t>
      </w:r>
      <w:r w:rsidRPr="00CF3A28">
        <w:rPr>
          <w:sz w:val="24"/>
          <w:szCs w:val="24"/>
        </w:rPr>
        <w:t xml:space="preserve"> 31</w:t>
      </w:r>
      <w:r w:rsidR="00363EB2" w:rsidRPr="00CF3A28">
        <w:rPr>
          <w:sz w:val="24"/>
          <w:szCs w:val="24"/>
        </w:rPr>
        <w:t>,</w:t>
      </w:r>
      <w:r w:rsidRPr="00CF3A28">
        <w:rPr>
          <w:sz w:val="24"/>
          <w:szCs w:val="24"/>
        </w:rPr>
        <w:t xml:space="preserve"> 53-88.</w:t>
      </w:r>
    </w:p>
    <w:p w:rsidR="00436DCB" w:rsidRPr="00CF3A28" w:rsidRDefault="00436DCB"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Kennedy, Dane. </w:t>
      </w:r>
      <w:r w:rsidR="00973B07" w:rsidRPr="00CF3A28">
        <w:rPr>
          <w:sz w:val="24"/>
          <w:szCs w:val="24"/>
        </w:rPr>
        <w:t>(</w:t>
      </w:r>
      <w:r w:rsidRPr="00CF3A28">
        <w:rPr>
          <w:sz w:val="24"/>
          <w:szCs w:val="24"/>
        </w:rPr>
        <w:t>1987</w:t>
      </w:r>
      <w:r w:rsidR="00973B07" w:rsidRPr="00CF3A28">
        <w:rPr>
          <w:sz w:val="24"/>
          <w:szCs w:val="24"/>
        </w:rPr>
        <w:t>)</w:t>
      </w:r>
      <w:r w:rsidRPr="00CF3A28">
        <w:rPr>
          <w:sz w:val="24"/>
          <w:szCs w:val="24"/>
        </w:rPr>
        <w:t xml:space="preserve">, </w:t>
      </w:r>
      <w:r w:rsidRPr="00CF3A28">
        <w:rPr>
          <w:i/>
          <w:iCs/>
          <w:sz w:val="24"/>
          <w:szCs w:val="24"/>
        </w:rPr>
        <w:t>Islands of White: Settler Society and Culture in Kenya and Southern Rhodesia, 1890-1939</w:t>
      </w:r>
      <w:r w:rsidRPr="00CF3A28">
        <w:rPr>
          <w:sz w:val="24"/>
          <w:szCs w:val="24"/>
        </w:rPr>
        <w:t>. Durham: Duke University Press.</w:t>
      </w:r>
    </w:p>
    <w:p w:rsidR="00436DCB" w:rsidRPr="00CF3A28" w:rsidRDefault="00436DCB" w:rsidP="00CF3A28">
      <w:pPr>
        <w:autoSpaceDE w:val="0"/>
        <w:autoSpaceDN w:val="0"/>
        <w:spacing w:line="240" w:lineRule="auto"/>
        <w:jc w:val="left"/>
        <w:rPr>
          <w:sz w:val="24"/>
          <w:szCs w:val="24"/>
        </w:rPr>
      </w:pPr>
    </w:p>
    <w:p w:rsidR="00046405" w:rsidRPr="00CF3A28" w:rsidRDefault="00046405" w:rsidP="00CF3A28">
      <w:pPr>
        <w:autoSpaceDE w:val="0"/>
        <w:autoSpaceDN w:val="0"/>
        <w:spacing w:line="240" w:lineRule="auto"/>
        <w:jc w:val="left"/>
        <w:rPr>
          <w:sz w:val="24"/>
          <w:szCs w:val="24"/>
        </w:rPr>
      </w:pPr>
      <w:r w:rsidRPr="00CF3A28">
        <w:rPr>
          <w:sz w:val="24"/>
          <w:szCs w:val="24"/>
        </w:rPr>
        <w:t xml:space="preserve">Lie, John (1993), ‘Visualizing the Invisible Hand: The Social Origins of 'Market Society' in </w:t>
      </w:r>
    </w:p>
    <w:p w:rsidR="00046405" w:rsidRPr="00CF3A28" w:rsidRDefault="00046405" w:rsidP="00CF3A28">
      <w:pPr>
        <w:autoSpaceDE w:val="0"/>
        <w:autoSpaceDN w:val="0"/>
        <w:spacing w:line="240" w:lineRule="auto"/>
        <w:jc w:val="left"/>
        <w:rPr>
          <w:sz w:val="24"/>
          <w:szCs w:val="24"/>
        </w:rPr>
      </w:pPr>
      <w:r w:rsidRPr="00CF3A28">
        <w:rPr>
          <w:sz w:val="24"/>
          <w:szCs w:val="24"/>
        </w:rPr>
        <w:t xml:space="preserve">England, 1550-1750’, </w:t>
      </w:r>
      <w:r w:rsidRPr="00CF3A28">
        <w:rPr>
          <w:i/>
          <w:iCs/>
          <w:sz w:val="24"/>
          <w:szCs w:val="24"/>
        </w:rPr>
        <w:t>Politics &amp; Society</w:t>
      </w:r>
      <w:r w:rsidRPr="00CF3A28">
        <w:rPr>
          <w:sz w:val="24"/>
          <w:szCs w:val="24"/>
        </w:rPr>
        <w:t xml:space="preserve"> 21, 275-306.</w:t>
      </w:r>
    </w:p>
    <w:p w:rsidR="00046405" w:rsidRPr="00CF3A28" w:rsidRDefault="00046405"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Maier, C. </w:t>
      </w:r>
      <w:r w:rsidR="00973B07" w:rsidRPr="00CF3A28">
        <w:rPr>
          <w:sz w:val="24"/>
          <w:szCs w:val="24"/>
        </w:rPr>
        <w:t>(</w:t>
      </w:r>
      <w:r w:rsidRPr="00CF3A28">
        <w:rPr>
          <w:sz w:val="24"/>
          <w:szCs w:val="24"/>
        </w:rPr>
        <w:t>1975</w:t>
      </w:r>
      <w:r w:rsidR="00973B07" w:rsidRPr="00CF3A28">
        <w:rPr>
          <w:sz w:val="24"/>
          <w:szCs w:val="24"/>
        </w:rPr>
        <w:t>)</w:t>
      </w:r>
      <w:r w:rsidRPr="00CF3A28">
        <w:rPr>
          <w:sz w:val="24"/>
          <w:szCs w:val="24"/>
        </w:rPr>
        <w:t xml:space="preserve">, </w:t>
      </w:r>
      <w:r w:rsidRPr="00CF3A28">
        <w:rPr>
          <w:i/>
          <w:iCs/>
          <w:sz w:val="24"/>
          <w:szCs w:val="24"/>
        </w:rPr>
        <w:t>Recasting Bourgeois Europe</w:t>
      </w:r>
      <w:r w:rsidRPr="00CF3A28">
        <w:rPr>
          <w:sz w:val="24"/>
          <w:szCs w:val="24"/>
        </w:rPr>
        <w:t>. Princeton: Princeton University Press.</w:t>
      </w:r>
    </w:p>
    <w:p w:rsidR="00436DCB" w:rsidRPr="00CF3A28" w:rsidRDefault="00436DCB" w:rsidP="00CF3A28">
      <w:pPr>
        <w:autoSpaceDE w:val="0"/>
        <w:autoSpaceDN w:val="0"/>
        <w:spacing w:line="240" w:lineRule="auto"/>
        <w:jc w:val="left"/>
        <w:rPr>
          <w:sz w:val="24"/>
          <w:szCs w:val="24"/>
          <w:lang w:val="en-US"/>
        </w:rPr>
      </w:pPr>
    </w:p>
    <w:p w:rsidR="005619B5" w:rsidRPr="00CF3A28" w:rsidRDefault="005619B5" w:rsidP="00CF3A28">
      <w:pPr>
        <w:autoSpaceDE w:val="0"/>
        <w:autoSpaceDN w:val="0"/>
        <w:spacing w:line="240" w:lineRule="auto"/>
        <w:jc w:val="left"/>
        <w:rPr>
          <w:sz w:val="24"/>
          <w:szCs w:val="24"/>
        </w:rPr>
      </w:pPr>
      <w:r w:rsidRPr="00CF3A28">
        <w:rPr>
          <w:sz w:val="24"/>
          <w:szCs w:val="24"/>
        </w:rPr>
        <w:t xml:space="preserve">Manning, Brian. (1965). The Nobles, the People, and the Constitution. In </w:t>
      </w:r>
      <w:r w:rsidRPr="00CF3A28">
        <w:rPr>
          <w:i/>
          <w:iCs/>
          <w:sz w:val="24"/>
          <w:szCs w:val="24"/>
        </w:rPr>
        <w:t xml:space="preserve">Crisis in Europe, 1560-1660, </w:t>
      </w:r>
      <w:r w:rsidRPr="00CF3A28">
        <w:rPr>
          <w:iCs/>
          <w:sz w:val="24"/>
          <w:szCs w:val="24"/>
        </w:rPr>
        <w:t>edited by Thomas Ashton</w:t>
      </w:r>
      <w:r w:rsidRPr="00CF3A28">
        <w:rPr>
          <w:sz w:val="24"/>
          <w:szCs w:val="24"/>
        </w:rPr>
        <w:t>. London: Routledge &amp; Kegan Paul.</w:t>
      </w:r>
    </w:p>
    <w:p w:rsidR="005619B5" w:rsidRPr="00CF3A28" w:rsidRDefault="005619B5" w:rsidP="00CF3A28">
      <w:pPr>
        <w:autoSpaceDE w:val="0"/>
        <w:autoSpaceDN w:val="0"/>
        <w:spacing w:line="240" w:lineRule="auto"/>
        <w:jc w:val="left"/>
        <w:rPr>
          <w:sz w:val="24"/>
          <w:szCs w:val="24"/>
        </w:rPr>
      </w:pPr>
    </w:p>
    <w:p w:rsidR="00936F5D" w:rsidRPr="00CF3A28" w:rsidRDefault="00936F5D" w:rsidP="00CF3A28">
      <w:pPr>
        <w:autoSpaceDE w:val="0"/>
        <w:autoSpaceDN w:val="0"/>
        <w:spacing w:line="240" w:lineRule="auto"/>
        <w:jc w:val="left"/>
        <w:rPr>
          <w:bCs/>
          <w:sz w:val="24"/>
          <w:szCs w:val="24"/>
          <w:lang w:val="en-US"/>
        </w:rPr>
      </w:pPr>
      <w:r w:rsidRPr="00CF3A28">
        <w:rPr>
          <w:bCs/>
          <w:sz w:val="24"/>
          <w:szCs w:val="24"/>
          <w:lang w:val="en-US"/>
        </w:rPr>
        <w:t xml:space="preserve">Mathias, P. (1983). </w:t>
      </w:r>
      <w:r w:rsidRPr="00CF3A28">
        <w:rPr>
          <w:bCs/>
          <w:i/>
          <w:iCs/>
          <w:sz w:val="24"/>
          <w:szCs w:val="24"/>
          <w:lang w:val="en-US"/>
        </w:rPr>
        <w:t>The First Industrial Nation</w:t>
      </w:r>
      <w:r w:rsidRPr="00CF3A28">
        <w:rPr>
          <w:bCs/>
          <w:sz w:val="24"/>
          <w:szCs w:val="24"/>
          <w:lang w:val="en-US"/>
        </w:rPr>
        <w:t xml:space="preserve">. 2nd </w:t>
      </w:r>
      <w:proofErr w:type="spellStart"/>
      <w:r w:rsidRPr="00CF3A28">
        <w:rPr>
          <w:bCs/>
          <w:sz w:val="24"/>
          <w:szCs w:val="24"/>
          <w:lang w:val="en-US"/>
        </w:rPr>
        <w:t>Edn</w:t>
      </w:r>
      <w:proofErr w:type="spellEnd"/>
      <w:r w:rsidRPr="00CF3A28">
        <w:rPr>
          <w:bCs/>
          <w:sz w:val="24"/>
          <w:szCs w:val="24"/>
          <w:lang w:val="en-US"/>
        </w:rPr>
        <w:t>. New York: Methuen.</w:t>
      </w:r>
    </w:p>
    <w:p w:rsidR="00936F5D" w:rsidRPr="00CF3A28" w:rsidRDefault="00936F5D" w:rsidP="00CF3A28">
      <w:pPr>
        <w:autoSpaceDE w:val="0"/>
        <w:autoSpaceDN w:val="0"/>
        <w:spacing w:line="240" w:lineRule="auto"/>
        <w:jc w:val="left"/>
        <w:rPr>
          <w:bCs/>
          <w:sz w:val="24"/>
          <w:szCs w:val="24"/>
          <w:lang w:val="en-US"/>
        </w:rPr>
      </w:pPr>
    </w:p>
    <w:p w:rsidR="0043350F" w:rsidRPr="00CF3A28" w:rsidRDefault="0043350F" w:rsidP="00CF3A28">
      <w:pPr>
        <w:autoSpaceDE w:val="0"/>
        <w:autoSpaceDN w:val="0"/>
        <w:spacing w:line="240" w:lineRule="auto"/>
        <w:jc w:val="left"/>
        <w:rPr>
          <w:bCs/>
          <w:sz w:val="24"/>
          <w:szCs w:val="24"/>
          <w:lang w:val="en-US"/>
        </w:rPr>
      </w:pPr>
      <w:proofErr w:type="spellStart"/>
      <w:r w:rsidRPr="00CF3A28">
        <w:rPr>
          <w:bCs/>
          <w:sz w:val="24"/>
          <w:szCs w:val="24"/>
          <w:lang w:val="en-US"/>
        </w:rPr>
        <w:t>McKendrick</w:t>
      </w:r>
      <w:proofErr w:type="spellEnd"/>
      <w:r w:rsidRPr="00CF3A28">
        <w:rPr>
          <w:bCs/>
          <w:sz w:val="24"/>
          <w:szCs w:val="24"/>
          <w:lang w:val="en-US"/>
        </w:rPr>
        <w:t xml:space="preserve">, N., J. Brewer and J. H. Plumb. (1982). </w:t>
      </w:r>
      <w:r w:rsidRPr="00CF3A28">
        <w:rPr>
          <w:bCs/>
          <w:i/>
          <w:iCs/>
          <w:sz w:val="24"/>
          <w:szCs w:val="24"/>
          <w:lang w:val="en-US"/>
        </w:rPr>
        <w:t>The Birth of a Consumer Society: The Commercialization of Eighteenth Century England</w:t>
      </w:r>
      <w:r w:rsidRPr="00CF3A28">
        <w:rPr>
          <w:bCs/>
          <w:sz w:val="24"/>
          <w:szCs w:val="24"/>
          <w:lang w:val="en-US"/>
        </w:rPr>
        <w:t xml:space="preserve">. London: </w:t>
      </w:r>
      <w:proofErr w:type="spellStart"/>
      <w:r w:rsidRPr="00CF3A28">
        <w:rPr>
          <w:bCs/>
          <w:sz w:val="24"/>
          <w:szCs w:val="24"/>
          <w:lang w:val="en-US"/>
        </w:rPr>
        <w:t>Europa</w:t>
      </w:r>
      <w:proofErr w:type="spellEnd"/>
      <w:r w:rsidRPr="00CF3A28">
        <w:rPr>
          <w:bCs/>
          <w:sz w:val="24"/>
          <w:szCs w:val="24"/>
          <w:lang w:val="en-US"/>
        </w:rPr>
        <w:t>.</w:t>
      </w:r>
    </w:p>
    <w:p w:rsidR="00502C29" w:rsidRPr="00CF3A28" w:rsidRDefault="00502C29" w:rsidP="00CF3A28">
      <w:pPr>
        <w:autoSpaceDE w:val="0"/>
        <w:autoSpaceDN w:val="0"/>
        <w:spacing w:line="240" w:lineRule="auto"/>
        <w:jc w:val="left"/>
        <w:rPr>
          <w:bCs/>
          <w:sz w:val="24"/>
          <w:szCs w:val="24"/>
        </w:rPr>
      </w:pPr>
    </w:p>
    <w:p w:rsidR="00436DCB" w:rsidRPr="00CF3A28" w:rsidRDefault="00436DCB" w:rsidP="00CF3A28">
      <w:pPr>
        <w:autoSpaceDE w:val="0"/>
        <w:autoSpaceDN w:val="0"/>
        <w:spacing w:line="240" w:lineRule="auto"/>
        <w:jc w:val="left"/>
        <w:rPr>
          <w:sz w:val="24"/>
          <w:szCs w:val="24"/>
        </w:rPr>
      </w:pPr>
      <w:proofErr w:type="spellStart"/>
      <w:r w:rsidRPr="00CF3A28">
        <w:rPr>
          <w:sz w:val="24"/>
          <w:szCs w:val="24"/>
        </w:rPr>
        <w:t>Ogg</w:t>
      </w:r>
      <w:proofErr w:type="spellEnd"/>
      <w:r w:rsidRPr="00CF3A28">
        <w:rPr>
          <w:sz w:val="24"/>
          <w:szCs w:val="24"/>
        </w:rPr>
        <w:t xml:space="preserve">, F. A. </w:t>
      </w:r>
      <w:r w:rsidR="00973B07" w:rsidRPr="00CF3A28">
        <w:rPr>
          <w:sz w:val="24"/>
          <w:szCs w:val="24"/>
        </w:rPr>
        <w:t>(</w:t>
      </w:r>
      <w:r w:rsidRPr="00CF3A28">
        <w:rPr>
          <w:sz w:val="24"/>
          <w:szCs w:val="24"/>
        </w:rPr>
        <w:t>1930</w:t>
      </w:r>
      <w:r w:rsidR="00973B07" w:rsidRPr="00CF3A28">
        <w:rPr>
          <w:sz w:val="24"/>
          <w:szCs w:val="24"/>
        </w:rPr>
        <w:t>)</w:t>
      </w:r>
      <w:r w:rsidRPr="00CF3A28">
        <w:rPr>
          <w:sz w:val="24"/>
          <w:szCs w:val="24"/>
        </w:rPr>
        <w:t xml:space="preserve">, </w:t>
      </w:r>
      <w:r w:rsidRPr="00CF3A28">
        <w:rPr>
          <w:i/>
          <w:iCs/>
          <w:sz w:val="24"/>
          <w:szCs w:val="24"/>
        </w:rPr>
        <w:t>Economic Development of Modern Europe</w:t>
      </w:r>
      <w:r w:rsidRPr="00CF3A28">
        <w:rPr>
          <w:sz w:val="24"/>
          <w:szCs w:val="24"/>
        </w:rPr>
        <w:t xml:space="preserve">. New York: Macmillan. </w:t>
      </w:r>
    </w:p>
    <w:p w:rsidR="00436DCB" w:rsidRPr="00CF3A28" w:rsidRDefault="00436DCB" w:rsidP="00CF3A28">
      <w:pPr>
        <w:autoSpaceDE w:val="0"/>
        <w:autoSpaceDN w:val="0"/>
        <w:spacing w:line="240" w:lineRule="auto"/>
        <w:jc w:val="left"/>
        <w:rPr>
          <w:bCs/>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Orr, Charles A. </w:t>
      </w:r>
      <w:r w:rsidR="00973B07" w:rsidRPr="00CF3A28">
        <w:rPr>
          <w:sz w:val="24"/>
          <w:szCs w:val="24"/>
        </w:rPr>
        <w:t>(</w:t>
      </w:r>
      <w:r w:rsidRPr="00CF3A28">
        <w:rPr>
          <w:sz w:val="24"/>
          <w:szCs w:val="24"/>
        </w:rPr>
        <w:t>1966</w:t>
      </w:r>
      <w:r w:rsidR="00973B07" w:rsidRPr="00CF3A28">
        <w:rPr>
          <w:sz w:val="24"/>
          <w:szCs w:val="24"/>
        </w:rPr>
        <w:t>)</w:t>
      </w:r>
      <w:r w:rsidRPr="00CF3A28">
        <w:rPr>
          <w:sz w:val="24"/>
          <w:szCs w:val="24"/>
        </w:rPr>
        <w:t xml:space="preserve">, Trade Unionism in Colonial Africa. </w:t>
      </w:r>
      <w:r w:rsidRPr="00CF3A28">
        <w:rPr>
          <w:i/>
          <w:sz w:val="24"/>
          <w:szCs w:val="24"/>
        </w:rPr>
        <w:t>The Journal of Modern African Studies</w:t>
      </w:r>
      <w:r w:rsidRPr="00CF3A28">
        <w:rPr>
          <w:sz w:val="24"/>
          <w:szCs w:val="24"/>
        </w:rPr>
        <w:t xml:space="preserve"> 4</w:t>
      </w:r>
      <w:r w:rsidR="00363EB2" w:rsidRPr="00CF3A28">
        <w:rPr>
          <w:sz w:val="24"/>
          <w:szCs w:val="24"/>
        </w:rPr>
        <w:t>:</w:t>
      </w:r>
      <w:r w:rsidRPr="00CF3A28">
        <w:rPr>
          <w:sz w:val="24"/>
          <w:szCs w:val="24"/>
        </w:rPr>
        <w:t>1</w:t>
      </w:r>
      <w:r w:rsidR="00363EB2" w:rsidRPr="00CF3A28">
        <w:rPr>
          <w:sz w:val="24"/>
          <w:szCs w:val="24"/>
        </w:rPr>
        <w:t>,</w:t>
      </w:r>
      <w:r w:rsidRPr="00CF3A28">
        <w:rPr>
          <w:sz w:val="24"/>
          <w:szCs w:val="24"/>
        </w:rPr>
        <w:t xml:space="preserve"> 65-81.</w:t>
      </w:r>
    </w:p>
    <w:p w:rsidR="00436DCB" w:rsidRPr="00CF3A28" w:rsidRDefault="00436DCB" w:rsidP="00CF3A28">
      <w:pPr>
        <w:autoSpaceDE w:val="0"/>
        <w:autoSpaceDN w:val="0"/>
        <w:spacing w:line="240" w:lineRule="auto"/>
        <w:jc w:val="left"/>
        <w:rPr>
          <w:sz w:val="24"/>
          <w:szCs w:val="24"/>
        </w:rPr>
      </w:pPr>
    </w:p>
    <w:p w:rsidR="007F3D0A" w:rsidRPr="00CF3A28" w:rsidRDefault="007F3D0A" w:rsidP="00CF3A28">
      <w:pPr>
        <w:autoSpaceDE w:val="0"/>
        <w:autoSpaceDN w:val="0"/>
        <w:spacing w:line="240" w:lineRule="auto"/>
        <w:jc w:val="left"/>
        <w:rPr>
          <w:sz w:val="24"/>
          <w:szCs w:val="24"/>
          <w:lang w:val="en-US"/>
        </w:rPr>
      </w:pPr>
      <w:proofErr w:type="spellStart"/>
      <w:r w:rsidRPr="00CF3A28">
        <w:rPr>
          <w:sz w:val="24"/>
          <w:szCs w:val="24"/>
          <w:lang w:val="en-US"/>
        </w:rPr>
        <w:t>Pijl</w:t>
      </w:r>
      <w:proofErr w:type="spellEnd"/>
      <w:r w:rsidRPr="00CF3A28">
        <w:rPr>
          <w:sz w:val="24"/>
          <w:szCs w:val="24"/>
          <w:lang w:val="en-US"/>
        </w:rPr>
        <w:t xml:space="preserve">, </w:t>
      </w:r>
      <w:proofErr w:type="spellStart"/>
      <w:r w:rsidRPr="00CF3A28">
        <w:rPr>
          <w:sz w:val="24"/>
          <w:szCs w:val="24"/>
          <w:lang w:val="en-US"/>
        </w:rPr>
        <w:t>Kees</w:t>
      </w:r>
      <w:proofErr w:type="spellEnd"/>
      <w:r w:rsidRPr="00CF3A28">
        <w:rPr>
          <w:sz w:val="24"/>
          <w:szCs w:val="24"/>
          <w:lang w:val="en-US"/>
        </w:rPr>
        <w:t xml:space="preserve"> van der. (1984). </w:t>
      </w:r>
      <w:r w:rsidRPr="00CF3A28">
        <w:rPr>
          <w:i/>
          <w:sz w:val="24"/>
          <w:szCs w:val="24"/>
          <w:lang w:val="en-US"/>
        </w:rPr>
        <w:t>The Making of An Atlantic Ruling Class</w:t>
      </w:r>
      <w:r w:rsidRPr="00CF3A28">
        <w:rPr>
          <w:sz w:val="24"/>
          <w:szCs w:val="24"/>
          <w:lang w:val="en-US"/>
        </w:rPr>
        <w:t>. London: Verso.</w:t>
      </w:r>
    </w:p>
    <w:p w:rsidR="007F3D0A" w:rsidRPr="00CF3A28" w:rsidRDefault="007F3D0A" w:rsidP="00CF3A28">
      <w:pPr>
        <w:autoSpaceDE w:val="0"/>
        <w:autoSpaceDN w:val="0"/>
        <w:spacing w:line="240" w:lineRule="auto"/>
        <w:jc w:val="left"/>
        <w:rPr>
          <w:sz w:val="24"/>
          <w:szCs w:val="24"/>
          <w:lang w:val="en-US"/>
        </w:rPr>
      </w:pPr>
    </w:p>
    <w:p w:rsidR="009B3925" w:rsidRPr="00CF3A28" w:rsidRDefault="009B3925" w:rsidP="00CF3A28">
      <w:pPr>
        <w:autoSpaceDE w:val="0"/>
        <w:autoSpaceDN w:val="0"/>
        <w:spacing w:line="240" w:lineRule="auto"/>
        <w:jc w:val="left"/>
        <w:rPr>
          <w:sz w:val="24"/>
          <w:szCs w:val="24"/>
          <w:lang w:val="en-US"/>
        </w:rPr>
      </w:pPr>
      <w:r w:rsidRPr="00CF3A28">
        <w:rPr>
          <w:sz w:val="24"/>
          <w:szCs w:val="24"/>
          <w:lang w:val="en-US"/>
        </w:rPr>
        <w:t xml:space="preserve">Polanyi, K. (1944). </w:t>
      </w:r>
      <w:r w:rsidRPr="00CF3A28">
        <w:rPr>
          <w:i/>
          <w:iCs/>
          <w:sz w:val="24"/>
          <w:szCs w:val="24"/>
          <w:lang w:val="en-US"/>
        </w:rPr>
        <w:t>The Great Transformation: The Political and Economic Origins of Our Time</w:t>
      </w:r>
      <w:r w:rsidRPr="00CF3A28">
        <w:rPr>
          <w:sz w:val="24"/>
          <w:szCs w:val="24"/>
          <w:lang w:val="en-US"/>
        </w:rPr>
        <w:t>. New York: Farrar and Rinehart.</w:t>
      </w:r>
    </w:p>
    <w:p w:rsidR="009B3925" w:rsidRPr="00CF3A28" w:rsidRDefault="009B3925" w:rsidP="00CF3A28">
      <w:pPr>
        <w:autoSpaceDE w:val="0"/>
        <w:autoSpaceDN w:val="0"/>
        <w:spacing w:line="240" w:lineRule="auto"/>
        <w:jc w:val="left"/>
        <w:rPr>
          <w:sz w:val="24"/>
          <w:szCs w:val="24"/>
          <w:lang w:val="en-US"/>
        </w:rPr>
      </w:pPr>
    </w:p>
    <w:p w:rsidR="009B3925" w:rsidRPr="00CF3A28" w:rsidRDefault="009B3925" w:rsidP="00CF3A28">
      <w:pPr>
        <w:autoSpaceDE w:val="0"/>
        <w:autoSpaceDN w:val="0"/>
        <w:spacing w:line="240" w:lineRule="auto"/>
        <w:jc w:val="left"/>
        <w:rPr>
          <w:sz w:val="24"/>
          <w:szCs w:val="24"/>
          <w:lang w:val="en-US"/>
        </w:rPr>
      </w:pPr>
      <w:r w:rsidRPr="00CF3A28">
        <w:rPr>
          <w:sz w:val="24"/>
          <w:szCs w:val="24"/>
          <w:lang w:val="en-US"/>
        </w:rPr>
        <w:t xml:space="preserve">Polanyi, K. (1945). Universal Capitalism or Regional Planning? </w:t>
      </w:r>
      <w:r w:rsidRPr="00CF3A28">
        <w:rPr>
          <w:i/>
          <w:iCs/>
          <w:sz w:val="24"/>
          <w:szCs w:val="24"/>
          <w:lang w:val="en-US"/>
        </w:rPr>
        <w:t>London Quarterly of World Affairs</w:t>
      </w:r>
      <w:r w:rsidRPr="00CF3A28">
        <w:rPr>
          <w:sz w:val="24"/>
          <w:szCs w:val="24"/>
          <w:lang w:val="en-US"/>
        </w:rPr>
        <w:t xml:space="preserve"> 10:86-91.</w:t>
      </w:r>
    </w:p>
    <w:p w:rsidR="009B3925" w:rsidRPr="00CF3A28" w:rsidRDefault="009B3925" w:rsidP="00CF3A28">
      <w:pPr>
        <w:autoSpaceDE w:val="0"/>
        <w:autoSpaceDN w:val="0"/>
        <w:spacing w:line="240" w:lineRule="auto"/>
        <w:jc w:val="left"/>
        <w:rPr>
          <w:sz w:val="24"/>
          <w:szCs w:val="24"/>
          <w:lang w:val="en-US"/>
        </w:rPr>
      </w:pPr>
    </w:p>
    <w:p w:rsidR="007F3D0A" w:rsidRPr="00CF3A28" w:rsidRDefault="007F3D0A" w:rsidP="00CF3A28">
      <w:pPr>
        <w:autoSpaceDE w:val="0"/>
        <w:autoSpaceDN w:val="0"/>
        <w:spacing w:line="240" w:lineRule="auto"/>
        <w:jc w:val="left"/>
        <w:rPr>
          <w:sz w:val="24"/>
          <w:szCs w:val="24"/>
          <w:lang w:val="en-US"/>
        </w:rPr>
      </w:pPr>
      <w:r w:rsidRPr="00CF3A28">
        <w:rPr>
          <w:sz w:val="24"/>
          <w:szCs w:val="24"/>
          <w:lang w:val="en-US"/>
        </w:rPr>
        <w:t xml:space="preserve">Polanyi, Karl. (1971). </w:t>
      </w:r>
      <w:r w:rsidRPr="00CF3A28">
        <w:rPr>
          <w:i/>
          <w:sz w:val="24"/>
          <w:szCs w:val="24"/>
          <w:lang w:val="en-US"/>
        </w:rPr>
        <w:t>Primitive, Archaic, and Modern Economies: essays of Karl Polanyi</w:t>
      </w:r>
      <w:r w:rsidRPr="00CF3A28">
        <w:rPr>
          <w:sz w:val="24"/>
          <w:szCs w:val="24"/>
          <w:lang w:val="en-US"/>
        </w:rPr>
        <w:t>. Edited by G. Dalton. Boston, Beacon Press.</w:t>
      </w:r>
    </w:p>
    <w:p w:rsidR="007F3D0A" w:rsidRPr="00CF3A28" w:rsidRDefault="007F3D0A" w:rsidP="00CF3A28">
      <w:pPr>
        <w:autoSpaceDE w:val="0"/>
        <w:autoSpaceDN w:val="0"/>
        <w:spacing w:line="240" w:lineRule="auto"/>
        <w:jc w:val="left"/>
        <w:rPr>
          <w:sz w:val="24"/>
          <w:szCs w:val="24"/>
        </w:rPr>
      </w:pPr>
    </w:p>
    <w:p w:rsidR="001B1684" w:rsidRPr="00CF3A28" w:rsidRDefault="001B1684" w:rsidP="00CF3A28">
      <w:pPr>
        <w:autoSpaceDE w:val="0"/>
        <w:autoSpaceDN w:val="0"/>
        <w:spacing w:line="240" w:lineRule="auto"/>
        <w:jc w:val="left"/>
        <w:rPr>
          <w:sz w:val="24"/>
          <w:szCs w:val="24"/>
        </w:rPr>
      </w:pPr>
      <w:proofErr w:type="spellStart"/>
      <w:r w:rsidRPr="00CF3A28">
        <w:rPr>
          <w:sz w:val="24"/>
          <w:szCs w:val="24"/>
        </w:rPr>
        <w:t>Ruggie</w:t>
      </w:r>
      <w:proofErr w:type="spellEnd"/>
      <w:r w:rsidRPr="00CF3A28">
        <w:rPr>
          <w:sz w:val="24"/>
          <w:szCs w:val="24"/>
        </w:rPr>
        <w:t xml:space="preserve">, John (1982), ‘International Regimes, Transactions, and Change: Embedded Liberalism in the </w:t>
      </w:r>
      <w:proofErr w:type="spellStart"/>
      <w:r w:rsidRPr="00CF3A28">
        <w:rPr>
          <w:sz w:val="24"/>
          <w:szCs w:val="24"/>
        </w:rPr>
        <w:t>Postwar</w:t>
      </w:r>
      <w:proofErr w:type="spellEnd"/>
      <w:r w:rsidRPr="00CF3A28">
        <w:rPr>
          <w:sz w:val="24"/>
          <w:szCs w:val="24"/>
        </w:rPr>
        <w:t xml:space="preserve"> Economic Order’, </w:t>
      </w:r>
      <w:r w:rsidRPr="00CF3A28">
        <w:rPr>
          <w:i/>
          <w:iCs/>
          <w:sz w:val="24"/>
          <w:szCs w:val="24"/>
        </w:rPr>
        <w:t>International Organization</w:t>
      </w:r>
      <w:r w:rsidRPr="00CF3A28">
        <w:rPr>
          <w:sz w:val="24"/>
          <w:szCs w:val="24"/>
        </w:rPr>
        <w:t xml:space="preserve"> 36:2, 379-415.</w:t>
      </w:r>
    </w:p>
    <w:p w:rsidR="0040218D" w:rsidRPr="00CF3A28" w:rsidRDefault="0040218D" w:rsidP="00CF3A28">
      <w:pPr>
        <w:autoSpaceDE w:val="0"/>
        <w:autoSpaceDN w:val="0"/>
        <w:spacing w:line="240" w:lineRule="auto"/>
        <w:jc w:val="left"/>
        <w:rPr>
          <w:sz w:val="24"/>
          <w:szCs w:val="24"/>
        </w:rPr>
      </w:pPr>
    </w:p>
    <w:p w:rsidR="00CD37BC" w:rsidRPr="00CF3A28" w:rsidRDefault="00CD37BC" w:rsidP="00CF3A28">
      <w:pPr>
        <w:autoSpaceDE w:val="0"/>
        <w:autoSpaceDN w:val="0"/>
        <w:spacing w:line="240" w:lineRule="auto"/>
        <w:jc w:val="left"/>
        <w:rPr>
          <w:sz w:val="24"/>
          <w:szCs w:val="24"/>
          <w:lang w:val="en-US"/>
        </w:rPr>
      </w:pPr>
      <w:r w:rsidRPr="00CF3A28">
        <w:rPr>
          <w:sz w:val="24"/>
          <w:szCs w:val="24"/>
          <w:lang w:val="en-US"/>
        </w:rPr>
        <w:t xml:space="preserve">Schumpeter, J. A. (1976 [1950]). </w:t>
      </w:r>
      <w:r w:rsidRPr="00CF3A28">
        <w:rPr>
          <w:i/>
          <w:iCs/>
          <w:sz w:val="24"/>
          <w:szCs w:val="24"/>
          <w:lang w:val="en-US"/>
        </w:rPr>
        <w:t>Capitalism, Socialism and Democracy</w:t>
      </w:r>
      <w:r w:rsidRPr="00CF3A28">
        <w:rPr>
          <w:sz w:val="24"/>
          <w:szCs w:val="24"/>
          <w:lang w:val="en-US"/>
        </w:rPr>
        <w:t xml:space="preserve">. London: </w:t>
      </w:r>
      <w:proofErr w:type="spellStart"/>
      <w:r w:rsidRPr="00CF3A28">
        <w:rPr>
          <w:sz w:val="24"/>
          <w:szCs w:val="24"/>
          <w:lang w:val="en-US"/>
        </w:rPr>
        <w:t>Routledge</w:t>
      </w:r>
      <w:proofErr w:type="spellEnd"/>
      <w:r w:rsidRPr="00CF3A28">
        <w:rPr>
          <w:sz w:val="24"/>
          <w:szCs w:val="24"/>
          <w:lang w:val="en-US"/>
        </w:rPr>
        <w:t>.</w:t>
      </w:r>
    </w:p>
    <w:p w:rsidR="00CD37BC" w:rsidRPr="00CF3A28" w:rsidRDefault="00CD37BC"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r w:rsidRPr="00CF3A28">
        <w:rPr>
          <w:sz w:val="24"/>
          <w:szCs w:val="24"/>
        </w:rPr>
        <w:t xml:space="preserve">Schumpeter, J. A. </w:t>
      </w:r>
      <w:r w:rsidR="00973B07" w:rsidRPr="00CF3A28">
        <w:rPr>
          <w:sz w:val="24"/>
          <w:szCs w:val="24"/>
        </w:rPr>
        <w:t>(</w:t>
      </w:r>
      <w:r w:rsidRPr="00CF3A28">
        <w:rPr>
          <w:sz w:val="24"/>
          <w:szCs w:val="24"/>
        </w:rPr>
        <w:t>1955</w:t>
      </w:r>
      <w:r w:rsidR="00973B07" w:rsidRPr="00CF3A28">
        <w:rPr>
          <w:sz w:val="24"/>
          <w:szCs w:val="24"/>
        </w:rPr>
        <w:t>)</w:t>
      </w:r>
      <w:r w:rsidRPr="00CF3A28">
        <w:rPr>
          <w:sz w:val="24"/>
          <w:szCs w:val="24"/>
        </w:rPr>
        <w:t xml:space="preserve">, </w:t>
      </w:r>
      <w:r w:rsidRPr="00CF3A28">
        <w:rPr>
          <w:i/>
          <w:iCs/>
          <w:sz w:val="24"/>
          <w:szCs w:val="24"/>
        </w:rPr>
        <w:t>Imperialism and Social Classes: Two Essays</w:t>
      </w:r>
      <w:r w:rsidRPr="00CF3A28">
        <w:rPr>
          <w:sz w:val="24"/>
          <w:szCs w:val="24"/>
        </w:rPr>
        <w:t>. New York: Meridian Books.</w:t>
      </w:r>
    </w:p>
    <w:p w:rsidR="00436DCB" w:rsidRPr="00CF3A28" w:rsidRDefault="00436DCB" w:rsidP="00CF3A28">
      <w:pPr>
        <w:autoSpaceDE w:val="0"/>
        <w:autoSpaceDN w:val="0"/>
        <w:spacing w:line="240" w:lineRule="auto"/>
        <w:jc w:val="left"/>
        <w:rPr>
          <w:sz w:val="24"/>
          <w:szCs w:val="24"/>
        </w:rPr>
      </w:pPr>
    </w:p>
    <w:p w:rsidR="005919F9" w:rsidRPr="00CF3A28" w:rsidRDefault="005919F9" w:rsidP="00CF3A28">
      <w:pPr>
        <w:autoSpaceDE w:val="0"/>
        <w:autoSpaceDN w:val="0"/>
        <w:spacing w:line="240" w:lineRule="auto"/>
        <w:jc w:val="left"/>
        <w:rPr>
          <w:sz w:val="24"/>
          <w:szCs w:val="24"/>
        </w:rPr>
      </w:pPr>
      <w:r w:rsidRPr="00CF3A28">
        <w:rPr>
          <w:sz w:val="24"/>
          <w:szCs w:val="24"/>
        </w:rPr>
        <w:t xml:space="preserve">Silver, Beverly. (2003).  </w:t>
      </w:r>
      <w:r w:rsidRPr="00CF3A28">
        <w:rPr>
          <w:i/>
          <w:sz w:val="24"/>
          <w:szCs w:val="24"/>
        </w:rPr>
        <w:t xml:space="preserve">Forces of </w:t>
      </w:r>
      <w:proofErr w:type="spellStart"/>
      <w:r w:rsidRPr="00CF3A28">
        <w:rPr>
          <w:i/>
          <w:sz w:val="24"/>
          <w:szCs w:val="24"/>
        </w:rPr>
        <w:t>Labor</w:t>
      </w:r>
      <w:proofErr w:type="spellEnd"/>
      <w:r w:rsidRPr="00CF3A28">
        <w:rPr>
          <w:i/>
          <w:sz w:val="24"/>
          <w:szCs w:val="24"/>
        </w:rPr>
        <w:t>: Workers’ Movements and Globalization Since 1870.</w:t>
      </w:r>
      <w:r w:rsidRPr="00CF3A28">
        <w:rPr>
          <w:sz w:val="24"/>
          <w:szCs w:val="24"/>
        </w:rPr>
        <w:t xml:space="preserve"> Cambridge: Cambridge University Press.</w:t>
      </w:r>
    </w:p>
    <w:p w:rsidR="005919F9" w:rsidRPr="00CF3A28" w:rsidRDefault="005919F9" w:rsidP="00CF3A28">
      <w:pPr>
        <w:autoSpaceDE w:val="0"/>
        <w:autoSpaceDN w:val="0"/>
        <w:spacing w:line="240" w:lineRule="auto"/>
        <w:jc w:val="left"/>
        <w:rPr>
          <w:sz w:val="24"/>
          <w:szCs w:val="24"/>
        </w:rPr>
      </w:pPr>
    </w:p>
    <w:p w:rsidR="005B1180" w:rsidRPr="00CF3A28" w:rsidRDefault="005B1180" w:rsidP="00CF3A28">
      <w:pPr>
        <w:autoSpaceDE w:val="0"/>
        <w:autoSpaceDN w:val="0"/>
        <w:spacing w:line="240" w:lineRule="auto"/>
        <w:jc w:val="left"/>
        <w:rPr>
          <w:sz w:val="24"/>
          <w:szCs w:val="24"/>
        </w:rPr>
      </w:pPr>
      <w:r w:rsidRPr="00CF3A28">
        <w:rPr>
          <w:sz w:val="24"/>
          <w:szCs w:val="24"/>
        </w:rPr>
        <w:t xml:space="preserve">Sorokin, </w:t>
      </w:r>
      <w:proofErr w:type="spellStart"/>
      <w:r w:rsidRPr="00CF3A28">
        <w:rPr>
          <w:sz w:val="24"/>
          <w:szCs w:val="24"/>
        </w:rPr>
        <w:t>Pitirim</w:t>
      </w:r>
      <w:proofErr w:type="spellEnd"/>
      <w:r w:rsidRPr="00CF3A28">
        <w:rPr>
          <w:sz w:val="24"/>
          <w:szCs w:val="24"/>
        </w:rPr>
        <w:t xml:space="preserve">. (1927), </w:t>
      </w:r>
      <w:r w:rsidRPr="00CF3A28">
        <w:rPr>
          <w:i/>
          <w:iCs/>
          <w:sz w:val="24"/>
          <w:szCs w:val="24"/>
        </w:rPr>
        <w:t>Social Mobility.</w:t>
      </w:r>
      <w:r w:rsidRPr="00CF3A28">
        <w:rPr>
          <w:sz w:val="24"/>
          <w:szCs w:val="24"/>
        </w:rPr>
        <w:t xml:space="preserve"> London: Harper.</w:t>
      </w:r>
    </w:p>
    <w:p w:rsidR="005B1180" w:rsidRPr="00CF3A28" w:rsidRDefault="005B1180" w:rsidP="00CF3A28">
      <w:pPr>
        <w:autoSpaceDE w:val="0"/>
        <w:autoSpaceDN w:val="0"/>
        <w:spacing w:line="240" w:lineRule="auto"/>
        <w:jc w:val="left"/>
        <w:rPr>
          <w:sz w:val="24"/>
          <w:szCs w:val="24"/>
        </w:rPr>
      </w:pPr>
    </w:p>
    <w:p w:rsidR="00436DCB" w:rsidRPr="00CF3A28" w:rsidRDefault="00436DCB" w:rsidP="00CF3A28">
      <w:pPr>
        <w:autoSpaceDE w:val="0"/>
        <w:autoSpaceDN w:val="0"/>
        <w:spacing w:line="240" w:lineRule="auto"/>
        <w:jc w:val="left"/>
        <w:rPr>
          <w:sz w:val="24"/>
          <w:szCs w:val="24"/>
        </w:rPr>
      </w:pPr>
      <w:proofErr w:type="spellStart"/>
      <w:r w:rsidRPr="00CF3A28">
        <w:rPr>
          <w:sz w:val="24"/>
          <w:szCs w:val="24"/>
        </w:rPr>
        <w:t>Stoler</w:t>
      </w:r>
      <w:proofErr w:type="spellEnd"/>
      <w:r w:rsidRPr="00CF3A28">
        <w:rPr>
          <w:sz w:val="24"/>
          <w:szCs w:val="24"/>
        </w:rPr>
        <w:t xml:space="preserve">, Ann Laura </w:t>
      </w:r>
      <w:r w:rsidR="00973B07" w:rsidRPr="00CF3A28">
        <w:rPr>
          <w:sz w:val="24"/>
          <w:szCs w:val="24"/>
        </w:rPr>
        <w:t>(</w:t>
      </w:r>
      <w:r w:rsidRPr="00CF3A28">
        <w:rPr>
          <w:sz w:val="24"/>
          <w:szCs w:val="24"/>
        </w:rPr>
        <w:t>1989</w:t>
      </w:r>
      <w:r w:rsidR="00973B07" w:rsidRPr="00CF3A28">
        <w:rPr>
          <w:sz w:val="24"/>
          <w:szCs w:val="24"/>
        </w:rPr>
        <w:t>)</w:t>
      </w:r>
      <w:r w:rsidRPr="00CF3A28">
        <w:rPr>
          <w:sz w:val="24"/>
          <w:szCs w:val="24"/>
        </w:rPr>
        <w:t xml:space="preserve">, Rethinking Colonial Categories: European Communities and the Boundaries of Rule, </w:t>
      </w:r>
      <w:r w:rsidRPr="00CF3A28">
        <w:rPr>
          <w:i/>
          <w:sz w:val="24"/>
          <w:szCs w:val="24"/>
        </w:rPr>
        <w:t>Comparative Studies in Society and History</w:t>
      </w:r>
      <w:r w:rsidRPr="00CF3A28">
        <w:rPr>
          <w:sz w:val="24"/>
          <w:szCs w:val="24"/>
        </w:rPr>
        <w:t xml:space="preserve"> 31</w:t>
      </w:r>
      <w:r w:rsidR="00363EB2" w:rsidRPr="00CF3A28">
        <w:rPr>
          <w:sz w:val="24"/>
          <w:szCs w:val="24"/>
        </w:rPr>
        <w:t>:</w:t>
      </w:r>
      <w:r w:rsidRPr="00CF3A28">
        <w:rPr>
          <w:sz w:val="24"/>
          <w:szCs w:val="24"/>
        </w:rPr>
        <w:t>1</w:t>
      </w:r>
      <w:r w:rsidR="00363EB2" w:rsidRPr="00CF3A28">
        <w:rPr>
          <w:sz w:val="24"/>
          <w:szCs w:val="24"/>
        </w:rPr>
        <w:t>,</w:t>
      </w:r>
      <w:r w:rsidRPr="00CF3A28">
        <w:rPr>
          <w:sz w:val="24"/>
          <w:szCs w:val="24"/>
        </w:rPr>
        <w:t xml:space="preserve"> 134-161.</w:t>
      </w:r>
    </w:p>
    <w:p w:rsidR="00436DCB" w:rsidRPr="00CF3A28" w:rsidRDefault="00436DCB" w:rsidP="00CF3A28">
      <w:pPr>
        <w:autoSpaceDE w:val="0"/>
        <w:autoSpaceDN w:val="0"/>
        <w:spacing w:line="240" w:lineRule="auto"/>
        <w:jc w:val="left"/>
        <w:rPr>
          <w:sz w:val="24"/>
          <w:szCs w:val="24"/>
          <w:lang w:val="en-US"/>
        </w:rPr>
      </w:pPr>
    </w:p>
    <w:p w:rsidR="00A56397" w:rsidRPr="00CF3A28" w:rsidRDefault="00A56397" w:rsidP="00CF3A28">
      <w:pPr>
        <w:autoSpaceDE w:val="0"/>
        <w:autoSpaceDN w:val="0"/>
        <w:spacing w:line="240" w:lineRule="auto"/>
        <w:jc w:val="left"/>
        <w:rPr>
          <w:sz w:val="24"/>
          <w:szCs w:val="24"/>
        </w:rPr>
      </w:pPr>
      <w:r w:rsidRPr="00CF3A28">
        <w:rPr>
          <w:sz w:val="24"/>
          <w:szCs w:val="24"/>
          <w:lang w:val="en-US"/>
        </w:rPr>
        <w:t>Thane, Pat. (</w:t>
      </w:r>
      <w:r w:rsidRPr="00CF3A28">
        <w:rPr>
          <w:sz w:val="24"/>
          <w:szCs w:val="24"/>
        </w:rPr>
        <w:t xml:space="preserve">1998), Histories of the Welfare State. In </w:t>
      </w:r>
      <w:r w:rsidRPr="00CF3A28">
        <w:rPr>
          <w:iCs/>
          <w:sz w:val="24"/>
          <w:szCs w:val="24"/>
        </w:rPr>
        <w:t>W. Lamont, ed.</w:t>
      </w:r>
      <w:r w:rsidRPr="00CF3A28">
        <w:rPr>
          <w:sz w:val="24"/>
          <w:szCs w:val="24"/>
        </w:rPr>
        <w:t xml:space="preserve"> </w:t>
      </w:r>
      <w:r w:rsidRPr="00CF3A28">
        <w:rPr>
          <w:i/>
          <w:iCs/>
          <w:sz w:val="24"/>
          <w:szCs w:val="24"/>
        </w:rPr>
        <w:t xml:space="preserve">Historical Controversies and Historians. </w:t>
      </w:r>
      <w:r w:rsidRPr="00CF3A28">
        <w:rPr>
          <w:sz w:val="24"/>
          <w:szCs w:val="24"/>
        </w:rPr>
        <w:t>London: UCL Press.</w:t>
      </w:r>
    </w:p>
    <w:p w:rsidR="00436DCB" w:rsidRPr="00CF3A28" w:rsidRDefault="00436DCB" w:rsidP="00CF3A28">
      <w:pPr>
        <w:autoSpaceDE w:val="0"/>
        <w:autoSpaceDN w:val="0"/>
        <w:spacing w:line="240" w:lineRule="auto"/>
        <w:jc w:val="left"/>
        <w:rPr>
          <w:sz w:val="24"/>
          <w:szCs w:val="24"/>
          <w:lang w:val="en-US"/>
        </w:rPr>
      </w:pPr>
    </w:p>
    <w:p w:rsidR="005B1180" w:rsidRPr="00CF3A28" w:rsidRDefault="005B1180" w:rsidP="00CF3A28">
      <w:pPr>
        <w:autoSpaceDE w:val="0"/>
        <w:autoSpaceDN w:val="0"/>
        <w:spacing w:line="240" w:lineRule="auto"/>
        <w:jc w:val="left"/>
        <w:rPr>
          <w:sz w:val="24"/>
          <w:szCs w:val="24"/>
          <w:lang w:val="en-US"/>
        </w:rPr>
      </w:pPr>
      <w:proofErr w:type="spellStart"/>
      <w:r w:rsidRPr="00CF3A28">
        <w:rPr>
          <w:sz w:val="24"/>
          <w:szCs w:val="24"/>
        </w:rPr>
        <w:t>Titmuss</w:t>
      </w:r>
      <w:proofErr w:type="spellEnd"/>
      <w:r w:rsidRPr="00CF3A28">
        <w:rPr>
          <w:sz w:val="24"/>
          <w:szCs w:val="24"/>
        </w:rPr>
        <w:t xml:space="preserve">, Richard. M. (1958), </w:t>
      </w:r>
      <w:r w:rsidRPr="00CF3A28">
        <w:rPr>
          <w:i/>
          <w:iCs/>
          <w:sz w:val="24"/>
          <w:szCs w:val="24"/>
        </w:rPr>
        <w:t>Essays on the Welfare State.</w:t>
      </w:r>
      <w:r w:rsidRPr="00CF3A28">
        <w:rPr>
          <w:sz w:val="24"/>
          <w:szCs w:val="24"/>
        </w:rPr>
        <w:t xml:space="preserve"> Boston: Beacon Press.</w:t>
      </w:r>
    </w:p>
    <w:p w:rsidR="00436DCB" w:rsidRPr="00CF3A28" w:rsidRDefault="00436DCB" w:rsidP="00CF3A28">
      <w:pPr>
        <w:autoSpaceDE w:val="0"/>
        <w:autoSpaceDN w:val="0"/>
        <w:spacing w:line="240" w:lineRule="auto"/>
        <w:jc w:val="left"/>
        <w:rPr>
          <w:sz w:val="24"/>
          <w:szCs w:val="24"/>
        </w:rPr>
      </w:pPr>
    </w:p>
    <w:sectPr w:rsidR="00436DCB" w:rsidRPr="00CF3A28" w:rsidSect="00436DCB">
      <w:footerReference w:type="even" r:id="rId8"/>
      <w:footerReference w:type="default" r:id="rId9"/>
      <w:footerReference w:type="first" r:id="rId10"/>
      <w:pgSz w:w="12242" w:h="15842" w:code="1"/>
      <w:pgMar w:top="1247" w:right="1106" w:bottom="1440"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ED" w:rsidRDefault="00FC23ED" w:rsidP="00B8466A">
      <w:r>
        <w:separator/>
      </w:r>
    </w:p>
  </w:endnote>
  <w:endnote w:type="continuationSeparator" w:id="0">
    <w:p w:rsidR="00FC23ED" w:rsidRDefault="00FC23ED" w:rsidP="00B84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F9" w:rsidRDefault="004063C8">
    <w:pPr>
      <w:pStyle w:val="Footer"/>
      <w:framePr w:wrap="around" w:vAnchor="text" w:hAnchor="margin" w:xAlign="right" w:y="1"/>
      <w:rPr>
        <w:rStyle w:val="PageNumber"/>
      </w:rPr>
    </w:pPr>
    <w:r>
      <w:rPr>
        <w:rStyle w:val="PageNumber"/>
      </w:rPr>
      <w:fldChar w:fldCharType="begin"/>
    </w:r>
    <w:r w:rsidR="00356AF9">
      <w:rPr>
        <w:rStyle w:val="PageNumber"/>
      </w:rPr>
      <w:instrText xml:space="preserve">PAGE  </w:instrText>
    </w:r>
    <w:r>
      <w:rPr>
        <w:rStyle w:val="PageNumber"/>
      </w:rPr>
      <w:fldChar w:fldCharType="end"/>
    </w:r>
  </w:p>
  <w:p w:rsidR="00356AF9" w:rsidRDefault="00356A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F9" w:rsidRDefault="004063C8">
    <w:pPr>
      <w:pStyle w:val="Footer"/>
      <w:framePr w:wrap="around" w:vAnchor="text" w:hAnchor="margin" w:xAlign="right" w:y="1"/>
      <w:rPr>
        <w:rStyle w:val="PageNumber"/>
      </w:rPr>
    </w:pPr>
    <w:r>
      <w:rPr>
        <w:rStyle w:val="PageNumber"/>
      </w:rPr>
      <w:fldChar w:fldCharType="begin"/>
    </w:r>
    <w:r w:rsidR="00356AF9">
      <w:rPr>
        <w:rStyle w:val="PageNumber"/>
      </w:rPr>
      <w:instrText xml:space="preserve">PAGE  </w:instrText>
    </w:r>
    <w:r>
      <w:rPr>
        <w:rStyle w:val="PageNumber"/>
      </w:rPr>
      <w:fldChar w:fldCharType="separate"/>
    </w:r>
    <w:r w:rsidR="00EA23B0">
      <w:rPr>
        <w:rStyle w:val="PageNumber"/>
        <w:noProof/>
      </w:rPr>
      <w:t>2</w:t>
    </w:r>
    <w:r>
      <w:rPr>
        <w:rStyle w:val="PageNumber"/>
      </w:rPr>
      <w:fldChar w:fldCharType="end"/>
    </w:r>
  </w:p>
  <w:p w:rsidR="00356AF9" w:rsidRDefault="00356AF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45360"/>
      <w:docPartObj>
        <w:docPartGallery w:val="Page Numbers (Bottom of Page)"/>
        <w:docPartUnique/>
      </w:docPartObj>
    </w:sdtPr>
    <w:sdtContent>
      <w:p w:rsidR="00356AF9" w:rsidRDefault="004063C8">
        <w:pPr>
          <w:pStyle w:val="Footer"/>
          <w:jc w:val="center"/>
        </w:pPr>
        <w:fldSimple w:instr=" PAGE   \* MERGEFORMAT ">
          <w:r w:rsidR="00EA23B0">
            <w:rPr>
              <w:noProof/>
            </w:rPr>
            <w:t>1</w:t>
          </w:r>
        </w:fldSimple>
      </w:p>
    </w:sdtContent>
  </w:sdt>
  <w:p w:rsidR="00356AF9" w:rsidRDefault="00356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ED" w:rsidRDefault="00FC23ED" w:rsidP="00B8466A">
      <w:r>
        <w:separator/>
      </w:r>
    </w:p>
  </w:footnote>
  <w:footnote w:type="continuationSeparator" w:id="0">
    <w:p w:rsidR="00FC23ED" w:rsidRDefault="00FC23ED" w:rsidP="00B8466A">
      <w:r>
        <w:continuationSeparator/>
      </w:r>
    </w:p>
  </w:footnote>
  <w:footnote w:id="1">
    <w:p w:rsidR="00356AF9" w:rsidRPr="00432EC3" w:rsidRDefault="00356AF9" w:rsidP="00CF3A28">
      <w:pPr>
        <w:pStyle w:val="FootnoteText"/>
        <w:spacing w:line="240" w:lineRule="auto"/>
        <w:jc w:val="left"/>
        <w:rPr>
          <w:sz w:val="22"/>
          <w:szCs w:val="22"/>
        </w:rPr>
      </w:pPr>
      <w:r w:rsidRPr="00432EC3">
        <w:rPr>
          <w:sz w:val="22"/>
          <w:szCs w:val="22"/>
        </w:rPr>
        <w:tab/>
      </w:r>
      <w:r w:rsidRPr="00432EC3">
        <w:rPr>
          <w:rStyle w:val="FootnoteReference"/>
          <w:sz w:val="22"/>
          <w:szCs w:val="22"/>
        </w:rPr>
        <w:footnoteRef/>
      </w:r>
      <w:r>
        <w:rPr>
          <w:sz w:val="22"/>
          <w:szCs w:val="22"/>
        </w:rPr>
        <w:t xml:space="preserve"> </w:t>
      </w:r>
      <w:r w:rsidRPr="00432EC3">
        <w:rPr>
          <w:sz w:val="22"/>
          <w:szCs w:val="22"/>
          <w:lang w:val="en-GB"/>
        </w:rPr>
        <w:t xml:space="preserve">A year after the publication of </w:t>
      </w:r>
      <w:r w:rsidRPr="00432EC3">
        <w:rPr>
          <w:i/>
          <w:iCs/>
          <w:sz w:val="22"/>
          <w:szCs w:val="22"/>
          <w:lang w:val="en-GB"/>
        </w:rPr>
        <w:t>The Great Transformation</w:t>
      </w:r>
      <w:r w:rsidRPr="00432EC3">
        <w:rPr>
          <w:sz w:val="22"/>
          <w:szCs w:val="22"/>
          <w:lang w:val="en-GB"/>
        </w:rPr>
        <w:t xml:space="preserve">, Polanyi </w:t>
      </w:r>
      <w:r>
        <w:rPr>
          <w:sz w:val="22"/>
          <w:szCs w:val="22"/>
          <w:lang w:val="en-GB"/>
        </w:rPr>
        <w:t>invoked this analytical schema in</w:t>
      </w:r>
      <w:r w:rsidRPr="00432EC3">
        <w:rPr>
          <w:sz w:val="22"/>
          <w:szCs w:val="22"/>
          <w:lang w:val="en-GB"/>
        </w:rPr>
        <w:t xml:space="preserve"> an article on the transformation of liberal capitalism</w:t>
      </w:r>
      <w:r>
        <w:rPr>
          <w:sz w:val="22"/>
          <w:szCs w:val="22"/>
          <w:lang w:val="en-GB"/>
        </w:rPr>
        <w:t>. To</w:t>
      </w:r>
      <w:r w:rsidRPr="00432EC3">
        <w:rPr>
          <w:sz w:val="22"/>
          <w:szCs w:val="22"/>
          <w:lang w:val="en-GB"/>
        </w:rPr>
        <w:t xml:space="preserve"> understand the transformation of liberal capitalism</w:t>
      </w:r>
      <w:r>
        <w:rPr>
          <w:sz w:val="22"/>
          <w:szCs w:val="22"/>
          <w:lang w:val="en-GB"/>
        </w:rPr>
        <w:t>, he argued,</w:t>
      </w:r>
      <w:r w:rsidRPr="00432EC3">
        <w:rPr>
          <w:sz w:val="22"/>
          <w:szCs w:val="22"/>
          <w:lang w:val="en-GB"/>
        </w:rPr>
        <w:t xml:space="preserve"> we must look, first, to the international environment, 'since it is in the international field that the methods of private enterprise have broken down</w:t>
      </w:r>
      <w:r>
        <w:rPr>
          <w:sz w:val="22"/>
          <w:szCs w:val="22"/>
          <w:lang w:val="en-GB"/>
        </w:rPr>
        <w:t xml:space="preserve"> </w:t>
      </w:r>
      <w:r w:rsidRPr="00432EC3">
        <w:rPr>
          <w:sz w:val="22"/>
          <w:szCs w:val="22"/>
          <w:lang w:val="en-GB"/>
        </w:rPr>
        <w:t>--</w:t>
      </w:r>
      <w:r>
        <w:rPr>
          <w:sz w:val="22"/>
          <w:szCs w:val="22"/>
          <w:lang w:val="en-GB"/>
        </w:rPr>
        <w:t xml:space="preserve"> </w:t>
      </w:r>
      <w:r w:rsidRPr="00432EC3">
        <w:rPr>
          <w:sz w:val="22"/>
          <w:szCs w:val="22"/>
          <w:lang w:val="en-GB"/>
        </w:rPr>
        <w:t>as shown by the failure of the gold standard; and it is in that field that adherence to such methods constitutes a direct obstacle to practical solutions' (Polanyi 1945: 89).</w:t>
      </w:r>
      <w:r>
        <w:rPr>
          <w:sz w:val="22"/>
          <w:szCs w:val="22"/>
          <w:lang w:val="en-GB"/>
        </w:rPr>
        <w:t xml:space="preserve">              </w:t>
      </w:r>
    </w:p>
  </w:footnote>
  <w:footnote w:id="2">
    <w:p w:rsidR="00356AF9" w:rsidRPr="00432EC3" w:rsidRDefault="00356AF9" w:rsidP="00CF3A28">
      <w:pPr>
        <w:pStyle w:val="FootnoteText"/>
        <w:spacing w:line="240" w:lineRule="auto"/>
        <w:jc w:val="left"/>
        <w:rPr>
          <w:sz w:val="22"/>
          <w:szCs w:val="22"/>
        </w:rPr>
      </w:pPr>
      <w:r w:rsidRPr="00432EC3">
        <w:rPr>
          <w:sz w:val="22"/>
          <w:szCs w:val="22"/>
        </w:rPr>
        <w:tab/>
      </w:r>
      <w:r w:rsidRPr="00432EC3">
        <w:rPr>
          <w:rStyle w:val="FootnoteReference"/>
          <w:sz w:val="22"/>
          <w:szCs w:val="22"/>
        </w:rPr>
        <w:footnoteRef/>
      </w:r>
      <w:r w:rsidRPr="00432EC3">
        <w:rPr>
          <w:sz w:val="22"/>
          <w:szCs w:val="22"/>
        </w:rPr>
        <w:t xml:space="preserve"> The hybrid system that this created was later characterized by John </w:t>
      </w:r>
      <w:proofErr w:type="spellStart"/>
      <w:r w:rsidRPr="00432EC3">
        <w:rPr>
          <w:sz w:val="22"/>
          <w:szCs w:val="22"/>
        </w:rPr>
        <w:t>Ruggie</w:t>
      </w:r>
      <w:proofErr w:type="spellEnd"/>
      <w:r w:rsidRPr="00432EC3">
        <w:rPr>
          <w:sz w:val="22"/>
          <w:szCs w:val="22"/>
        </w:rPr>
        <w:t xml:space="preserve"> as one of ‘embedded liberalism’ (</w:t>
      </w:r>
      <w:proofErr w:type="spellStart"/>
      <w:r w:rsidRPr="00432EC3">
        <w:rPr>
          <w:sz w:val="22"/>
          <w:szCs w:val="22"/>
        </w:rPr>
        <w:t>Ruggie</w:t>
      </w:r>
      <w:proofErr w:type="spellEnd"/>
      <w:r w:rsidRPr="00432EC3">
        <w:rPr>
          <w:sz w:val="22"/>
          <w:szCs w:val="22"/>
        </w:rPr>
        <w:t xml:space="preserve"> 1982). </w:t>
      </w:r>
    </w:p>
  </w:footnote>
  <w:footnote w:id="3">
    <w:p w:rsidR="00356AF9" w:rsidRPr="00432EC3" w:rsidRDefault="00356AF9" w:rsidP="00CF3A28">
      <w:pPr>
        <w:pStyle w:val="FootnoteText"/>
        <w:tabs>
          <w:tab w:val="left" w:pos="0"/>
        </w:tabs>
        <w:suppressAutoHyphens/>
        <w:spacing w:line="240" w:lineRule="auto"/>
        <w:ind w:right="658"/>
        <w:jc w:val="left"/>
        <w:rPr>
          <w:sz w:val="22"/>
          <w:szCs w:val="22"/>
        </w:rPr>
      </w:pPr>
      <w:r>
        <w:rPr>
          <w:sz w:val="22"/>
          <w:szCs w:val="22"/>
        </w:rPr>
        <w:tab/>
      </w:r>
      <w:r w:rsidRPr="00432EC3">
        <w:rPr>
          <w:rStyle w:val="FootnoteReference"/>
          <w:sz w:val="22"/>
          <w:szCs w:val="22"/>
        </w:rPr>
        <w:footnoteRef/>
      </w:r>
      <w:r w:rsidRPr="00432EC3">
        <w:rPr>
          <w:sz w:val="22"/>
          <w:szCs w:val="22"/>
        </w:rPr>
        <w:t xml:space="preserve"> </w:t>
      </w:r>
      <w:r w:rsidRPr="00B17ECA">
        <w:rPr>
          <w:sz w:val="22"/>
          <w:szCs w:val="22"/>
          <w:lang w:val="en-GB"/>
        </w:rPr>
        <w:t>See Polanyi's article, 'Our Obsolete Market Mentality' (1947), reprinted in Polanyi 1971: 59-77.</w:t>
      </w:r>
      <w:r>
        <w:rPr>
          <w:sz w:val="22"/>
          <w:szCs w:val="22"/>
          <w:lang w:val="en-GB"/>
        </w:rPr>
        <w:t xml:space="preserve"> </w:t>
      </w:r>
      <w:r w:rsidRPr="00432EC3">
        <w:rPr>
          <w:sz w:val="22"/>
          <w:szCs w:val="22"/>
        </w:rPr>
        <w:t>For insightful analyses</w:t>
      </w:r>
      <w:r>
        <w:rPr>
          <w:sz w:val="22"/>
          <w:szCs w:val="22"/>
        </w:rPr>
        <w:t xml:space="preserve"> of US policies at this time</w:t>
      </w:r>
      <w:r w:rsidRPr="00432EC3">
        <w:rPr>
          <w:sz w:val="22"/>
          <w:szCs w:val="22"/>
        </w:rPr>
        <w:t xml:space="preserve">, see, e.g. Block 1977, </w:t>
      </w:r>
      <w:r>
        <w:rPr>
          <w:sz w:val="22"/>
          <w:szCs w:val="22"/>
        </w:rPr>
        <w:t>v</w:t>
      </w:r>
      <w:r w:rsidRPr="00432EC3">
        <w:rPr>
          <w:sz w:val="22"/>
          <w:szCs w:val="22"/>
        </w:rPr>
        <w:t xml:space="preserve">an </w:t>
      </w:r>
      <w:proofErr w:type="spellStart"/>
      <w:r w:rsidRPr="00432EC3">
        <w:rPr>
          <w:sz w:val="22"/>
          <w:szCs w:val="22"/>
        </w:rPr>
        <w:t>der</w:t>
      </w:r>
      <w:proofErr w:type="spellEnd"/>
      <w:r w:rsidRPr="00432EC3">
        <w:rPr>
          <w:sz w:val="22"/>
          <w:szCs w:val="22"/>
        </w:rPr>
        <w:t xml:space="preserve"> </w:t>
      </w:r>
      <w:proofErr w:type="spellStart"/>
      <w:r w:rsidRPr="00432EC3">
        <w:rPr>
          <w:sz w:val="22"/>
          <w:szCs w:val="22"/>
        </w:rPr>
        <w:t>Pijl</w:t>
      </w:r>
      <w:proofErr w:type="spellEnd"/>
      <w:r w:rsidRPr="00432EC3">
        <w:rPr>
          <w:sz w:val="22"/>
          <w:szCs w:val="22"/>
        </w:rPr>
        <w:t xml:space="preserve"> 1984: 50</w:t>
      </w:r>
      <w:r w:rsidRPr="00432EC3">
        <w:rPr>
          <w:sz w:val="22"/>
          <w:szCs w:val="22"/>
        </w:rPr>
        <w:noBreakHyphen/>
        <w:t xml:space="preserve">137.  </w:t>
      </w:r>
    </w:p>
  </w:footnote>
  <w:footnote w:id="4">
    <w:p w:rsidR="00356AF9" w:rsidRPr="00432EC3" w:rsidRDefault="00356AF9" w:rsidP="00CF3A28">
      <w:pPr>
        <w:pStyle w:val="FootnoteText"/>
        <w:spacing w:line="240" w:lineRule="auto"/>
        <w:jc w:val="left"/>
        <w:rPr>
          <w:sz w:val="22"/>
          <w:szCs w:val="22"/>
        </w:rPr>
      </w:pPr>
      <w:r w:rsidRPr="00432EC3">
        <w:rPr>
          <w:sz w:val="22"/>
          <w:szCs w:val="22"/>
        </w:rPr>
        <w:tab/>
      </w:r>
      <w:r w:rsidRPr="00432EC3">
        <w:rPr>
          <w:rStyle w:val="FootnoteReference"/>
          <w:sz w:val="22"/>
          <w:szCs w:val="22"/>
        </w:rPr>
        <w:footnoteRef/>
      </w:r>
      <w:r w:rsidRPr="00432EC3">
        <w:rPr>
          <w:sz w:val="22"/>
          <w:szCs w:val="22"/>
        </w:rPr>
        <w:t xml:space="preserve"> </w:t>
      </w:r>
      <w:r>
        <w:rPr>
          <w:sz w:val="22"/>
          <w:szCs w:val="22"/>
        </w:rPr>
        <w:t>While</w:t>
      </w:r>
      <w:r w:rsidRPr="00C022DE">
        <w:rPr>
          <w:sz w:val="22"/>
          <w:szCs w:val="22"/>
          <w:lang w:val="en-GB"/>
        </w:rPr>
        <w:t xml:space="preserve"> </w:t>
      </w:r>
      <w:r>
        <w:rPr>
          <w:sz w:val="22"/>
          <w:szCs w:val="22"/>
          <w:lang w:val="en-GB"/>
        </w:rPr>
        <w:t xml:space="preserve">endeavouring to </w:t>
      </w:r>
      <w:r w:rsidRPr="00C022DE">
        <w:rPr>
          <w:sz w:val="22"/>
          <w:szCs w:val="22"/>
          <w:lang w:val="en-GB"/>
        </w:rPr>
        <w:t>writ</w:t>
      </w:r>
      <w:r>
        <w:rPr>
          <w:sz w:val="22"/>
          <w:szCs w:val="22"/>
          <w:lang w:val="en-GB"/>
        </w:rPr>
        <w:t>e</w:t>
      </w:r>
      <w:r w:rsidRPr="00C022DE">
        <w:rPr>
          <w:sz w:val="22"/>
          <w:szCs w:val="22"/>
          <w:lang w:val="en-GB"/>
        </w:rPr>
        <w:t xml:space="preserve"> class struggles back into the analytical narrative, the</w:t>
      </w:r>
      <w:r>
        <w:rPr>
          <w:sz w:val="22"/>
          <w:szCs w:val="22"/>
          <w:lang w:val="en-GB"/>
        </w:rPr>
        <w:t xml:space="preserve"> focus is</w:t>
      </w:r>
      <w:r w:rsidRPr="00C022DE">
        <w:rPr>
          <w:sz w:val="22"/>
          <w:szCs w:val="22"/>
          <w:lang w:val="en-GB"/>
        </w:rPr>
        <w:t xml:space="preserve"> </w:t>
      </w:r>
      <w:r>
        <w:rPr>
          <w:sz w:val="22"/>
          <w:szCs w:val="22"/>
          <w:lang w:val="en-GB"/>
        </w:rPr>
        <w:t xml:space="preserve">not on working classes and </w:t>
      </w:r>
      <w:r w:rsidRPr="00C022DE">
        <w:rPr>
          <w:sz w:val="22"/>
          <w:szCs w:val="22"/>
          <w:lang w:val="en-GB"/>
        </w:rPr>
        <w:t>labo</w:t>
      </w:r>
      <w:r>
        <w:rPr>
          <w:sz w:val="22"/>
          <w:szCs w:val="22"/>
          <w:lang w:val="en-GB"/>
        </w:rPr>
        <w:t>u</w:t>
      </w:r>
      <w:r w:rsidRPr="00C022DE">
        <w:rPr>
          <w:sz w:val="22"/>
          <w:szCs w:val="22"/>
          <w:lang w:val="en-GB"/>
        </w:rPr>
        <w:t>r mobilization</w:t>
      </w:r>
      <w:r>
        <w:rPr>
          <w:sz w:val="22"/>
          <w:szCs w:val="22"/>
          <w:lang w:val="en-GB"/>
        </w:rPr>
        <w:t xml:space="preserve">, but on </w:t>
      </w:r>
      <w:r w:rsidRPr="00C022DE">
        <w:rPr>
          <w:sz w:val="22"/>
          <w:szCs w:val="22"/>
          <w:lang w:val="en-GB"/>
        </w:rPr>
        <w:t>the broad configuration of class forces and structures which included both dominant and working classes.</w:t>
      </w:r>
    </w:p>
  </w:footnote>
  <w:footnote w:id="5">
    <w:p w:rsidR="00356AF9" w:rsidRPr="00497BD2" w:rsidRDefault="00356AF9" w:rsidP="00CF3A28">
      <w:pPr>
        <w:suppressAutoHyphens/>
        <w:spacing w:line="240" w:lineRule="auto"/>
        <w:jc w:val="left"/>
        <w:rPr>
          <w:szCs w:val="22"/>
        </w:rPr>
      </w:pPr>
      <w:r w:rsidRPr="00257C41">
        <w:rPr>
          <w:szCs w:val="22"/>
        </w:rPr>
        <w:tab/>
      </w:r>
      <w:r w:rsidRPr="00257C41">
        <w:rPr>
          <w:rStyle w:val="FootnoteReference"/>
          <w:szCs w:val="22"/>
        </w:rPr>
        <w:footnoteRef/>
      </w:r>
      <w:r w:rsidRPr="00257C41">
        <w:rPr>
          <w:szCs w:val="22"/>
        </w:rPr>
        <w:t xml:space="preserve"> Some argue that England did not have an absolute monarchy because it was constrained by p</w:t>
      </w:r>
      <w:r w:rsidRPr="00497BD2">
        <w:rPr>
          <w:szCs w:val="22"/>
        </w:rPr>
        <w:t>arliament.</w:t>
      </w:r>
      <w:r w:rsidRPr="00497BD2">
        <w:rPr>
          <w:rStyle w:val="FootnoteReference"/>
          <w:szCs w:val="22"/>
          <w:vertAlign w:val="baseline"/>
        </w:rPr>
        <w:t xml:space="preserve"> </w:t>
      </w:r>
      <w:r w:rsidRPr="00497BD2">
        <w:rPr>
          <w:szCs w:val="22"/>
        </w:rPr>
        <w:t xml:space="preserve">But, as Brian Manning points out, England’s parliament played an essential part in the establishment of the absolute state under Henry VIII and Elizabeth I, and was an integral part of it (1965: 250-51; see, also, Anderson 1974: 113-42). </w:t>
      </w:r>
    </w:p>
  </w:footnote>
  <w:footnote w:id="6">
    <w:p w:rsidR="00356AF9" w:rsidRPr="00497BD2" w:rsidRDefault="00356AF9" w:rsidP="00CF3A28">
      <w:pPr>
        <w:pStyle w:val="FootnoteText"/>
        <w:spacing w:line="240" w:lineRule="auto"/>
        <w:jc w:val="left"/>
        <w:rPr>
          <w:sz w:val="22"/>
          <w:szCs w:val="22"/>
        </w:rPr>
      </w:pPr>
      <w:r w:rsidRPr="00497BD2">
        <w:rPr>
          <w:sz w:val="22"/>
          <w:szCs w:val="22"/>
        </w:rPr>
        <w:tab/>
      </w:r>
      <w:r w:rsidRPr="00497BD2">
        <w:rPr>
          <w:rStyle w:val="FootnoteReference"/>
          <w:sz w:val="22"/>
          <w:szCs w:val="22"/>
        </w:rPr>
        <w:footnoteRef/>
      </w:r>
      <w:r w:rsidRPr="00497BD2">
        <w:rPr>
          <w:sz w:val="22"/>
          <w:szCs w:val="22"/>
        </w:rPr>
        <w:t xml:space="preserve"> In England, state</w:t>
      </w:r>
      <w:r w:rsidRPr="00497BD2">
        <w:rPr>
          <w:sz w:val="22"/>
          <w:szCs w:val="22"/>
          <w:lang w:val="en-GB"/>
        </w:rPr>
        <w:t xml:space="preserve"> regulations prevented middlemen merchants from bypassing or cornering the market, ensured quality control, a ‘just price’, and an adequate domestic supply of goods; and market courts enforced them (Lie 1993, 282).</w:t>
      </w:r>
    </w:p>
  </w:footnote>
  <w:footnote w:id="7">
    <w:p w:rsidR="00356AF9" w:rsidRPr="00E94486" w:rsidRDefault="00356AF9" w:rsidP="00CF3A28">
      <w:pPr>
        <w:spacing w:line="240" w:lineRule="auto"/>
        <w:jc w:val="left"/>
        <w:rPr>
          <w:rFonts w:eastAsia="Calibri"/>
          <w:szCs w:val="22"/>
        </w:rPr>
      </w:pPr>
      <w:r w:rsidRPr="00497BD2">
        <w:rPr>
          <w:rFonts w:eastAsia="Calibri"/>
          <w:szCs w:val="22"/>
        </w:rPr>
        <w:tab/>
      </w:r>
      <w:r w:rsidRPr="00497BD2">
        <w:rPr>
          <w:rStyle w:val="FootnoteReference"/>
          <w:rFonts w:eastAsia="Calibri"/>
          <w:szCs w:val="22"/>
        </w:rPr>
        <w:footnoteRef/>
      </w:r>
      <w:r w:rsidRPr="00497BD2">
        <w:rPr>
          <w:rFonts w:eastAsia="Calibri"/>
          <w:szCs w:val="22"/>
        </w:rPr>
        <w:t xml:space="preserve"> This approximates to what Polanyi </w:t>
      </w:r>
      <w:r>
        <w:rPr>
          <w:rFonts w:eastAsia="Calibri"/>
          <w:szCs w:val="22"/>
        </w:rPr>
        <w:t>characterises as</w:t>
      </w:r>
      <w:r w:rsidRPr="00497BD2">
        <w:rPr>
          <w:rFonts w:eastAsia="Calibri"/>
          <w:szCs w:val="22"/>
        </w:rPr>
        <w:t xml:space="preserve"> ‘embedded’ markets.  For a comprehensive d</w:t>
      </w:r>
      <w:r w:rsidRPr="00A74A91">
        <w:rPr>
          <w:rFonts w:eastAsia="Calibri"/>
          <w:szCs w:val="22"/>
        </w:rPr>
        <w:t>iscussion of the various interpretations</w:t>
      </w:r>
      <w:r>
        <w:rPr>
          <w:rFonts w:eastAsia="Calibri"/>
          <w:szCs w:val="22"/>
        </w:rPr>
        <w:t xml:space="preserve"> of </w:t>
      </w:r>
      <w:r w:rsidRPr="00502C29">
        <w:rPr>
          <w:rFonts w:eastAsia="Calibri"/>
          <w:szCs w:val="22"/>
        </w:rPr>
        <w:t>what, for Polanyi, ‘embedding’ and ‘</w:t>
      </w:r>
      <w:proofErr w:type="spellStart"/>
      <w:r w:rsidRPr="00502C29">
        <w:rPr>
          <w:rFonts w:eastAsia="Calibri"/>
          <w:szCs w:val="22"/>
        </w:rPr>
        <w:t>disembedding</w:t>
      </w:r>
      <w:proofErr w:type="spellEnd"/>
      <w:r w:rsidRPr="00502C29">
        <w:rPr>
          <w:rFonts w:eastAsia="Calibri"/>
          <w:szCs w:val="22"/>
        </w:rPr>
        <w:t>’ constitute</w:t>
      </w:r>
      <w:r>
        <w:rPr>
          <w:rFonts w:eastAsia="Calibri"/>
          <w:szCs w:val="22"/>
        </w:rPr>
        <w:t>, s</w:t>
      </w:r>
      <w:r w:rsidRPr="00E94486">
        <w:rPr>
          <w:szCs w:val="22"/>
        </w:rPr>
        <w:t xml:space="preserve">ee Dale 2011  </w:t>
      </w:r>
    </w:p>
  </w:footnote>
  <w:footnote w:id="8">
    <w:p w:rsidR="00356AF9" w:rsidRPr="00257C41" w:rsidRDefault="00356AF9" w:rsidP="00CF3A28">
      <w:pPr>
        <w:spacing w:line="240" w:lineRule="auto"/>
        <w:ind w:firstLine="720"/>
        <w:jc w:val="left"/>
        <w:rPr>
          <w:rStyle w:val="FootnoteReference"/>
          <w:szCs w:val="22"/>
          <w:vertAlign w:val="baseline"/>
        </w:rPr>
      </w:pPr>
      <w:r w:rsidRPr="00257C41">
        <w:rPr>
          <w:rStyle w:val="FootnoteReference"/>
          <w:szCs w:val="22"/>
        </w:rPr>
        <w:footnoteRef/>
      </w:r>
      <w:r w:rsidRPr="00257C41">
        <w:rPr>
          <w:rStyle w:val="FootnoteReference"/>
          <w:szCs w:val="22"/>
          <w:vertAlign w:val="baseline"/>
        </w:rPr>
        <w:t xml:space="preserve"> </w:t>
      </w:r>
      <w:r w:rsidRPr="00257C41">
        <w:rPr>
          <w:szCs w:val="22"/>
        </w:rPr>
        <w:t>In her study of this system, Pat Thane concludes that ‘There is a real question as to whether the vastly richer Britain of the twentieth century is relatively more or less generous to its poor that the England of the seventeenth and eighteenth centuries’ (1998: 55).</w:t>
      </w:r>
    </w:p>
  </w:footnote>
  <w:footnote w:id="9">
    <w:p w:rsidR="00356AF9" w:rsidRPr="001D506D" w:rsidRDefault="00356AF9" w:rsidP="00CF3A28">
      <w:pPr>
        <w:spacing w:line="240" w:lineRule="auto"/>
        <w:ind w:firstLine="720"/>
        <w:jc w:val="left"/>
        <w:rPr>
          <w:rStyle w:val="FootnoteReference"/>
          <w:szCs w:val="22"/>
        </w:rPr>
      </w:pPr>
      <w:r w:rsidRPr="001D506D">
        <w:rPr>
          <w:rStyle w:val="FootnoteReference"/>
          <w:szCs w:val="22"/>
        </w:rPr>
        <w:footnoteRef/>
      </w:r>
      <w:r w:rsidRPr="001D506D">
        <w:rPr>
          <w:szCs w:val="22"/>
        </w:rPr>
        <w:t xml:space="preserve"> The legal measures were never fully implemented, however, because of resistance from aristocratic office-holders whose job was to apply them</w:t>
      </w:r>
      <w:r w:rsidRPr="001D506D">
        <w:rPr>
          <w:rStyle w:val="FootnoteReference"/>
          <w:szCs w:val="22"/>
          <w:vertAlign w:val="baseline"/>
        </w:rPr>
        <w:t>.</w:t>
      </w:r>
    </w:p>
  </w:footnote>
  <w:footnote w:id="10">
    <w:p w:rsidR="005C5616" w:rsidRPr="001D506D" w:rsidRDefault="005C5616" w:rsidP="00CF3A28">
      <w:pPr>
        <w:spacing w:line="240" w:lineRule="auto"/>
        <w:jc w:val="left"/>
        <w:rPr>
          <w:szCs w:val="22"/>
        </w:rPr>
      </w:pPr>
      <w:r w:rsidRPr="001D506D">
        <w:rPr>
          <w:szCs w:val="22"/>
          <w:vertAlign w:val="superscript"/>
        </w:rPr>
        <w:tab/>
        <w:t>10</w:t>
      </w:r>
      <w:r w:rsidRPr="001D506D">
        <w:rPr>
          <w:szCs w:val="22"/>
        </w:rPr>
        <w:t xml:space="preserve"> </w:t>
      </w:r>
      <w:r w:rsidRPr="005C5616">
        <w:rPr>
          <w:bCs/>
          <w:szCs w:val="22"/>
          <w:lang w:val="en-US"/>
        </w:rPr>
        <w:t>Initially, the impetus to industrial growth in Britain was the home market.</w:t>
      </w:r>
      <w:r w:rsidRPr="005C5616">
        <w:rPr>
          <w:szCs w:val="22"/>
        </w:rPr>
        <w:t xml:space="preserve"> </w:t>
      </w:r>
      <w:r w:rsidRPr="001D506D">
        <w:rPr>
          <w:szCs w:val="22"/>
        </w:rPr>
        <w:t>‘Between 1750 and 1780, the overseas market did not play a major role in providing the justification of the expansion for the country as a whole. If for some sectors, and some areas, exports were already vitally important, this certainly was not known to those responsible for the conduct of other sectors’ (</w:t>
      </w:r>
      <w:proofErr w:type="spellStart"/>
      <w:r w:rsidRPr="001D506D">
        <w:rPr>
          <w:szCs w:val="22"/>
        </w:rPr>
        <w:t>Eversley</w:t>
      </w:r>
      <w:proofErr w:type="spellEnd"/>
      <w:r w:rsidRPr="001D506D">
        <w:rPr>
          <w:szCs w:val="22"/>
        </w:rPr>
        <w:t xml:space="preserve"> 1967: 221; see, also, Mathias 1983: 16, 94).  </w:t>
      </w:r>
    </w:p>
  </w:footnote>
  <w:footnote w:id="11">
    <w:p w:rsidR="00356AF9" w:rsidRPr="001D506D" w:rsidRDefault="00356AF9" w:rsidP="00CF3A28">
      <w:pPr>
        <w:pStyle w:val="FootnoteText"/>
        <w:spacing w:line="240" w:lineRule="auto"/>
        <w:jc w:val="left"/>
        <w:rPr>
          <w:sz w:val="22"/>
          <w:szCs w:val="22"/>
        </w:rPr>
      </w:pPr>
      <w:r w:rsidRPr="001D506D">
        <w:rPr>
          <w:sz w:val="22"/>
          <w:szCs w:val="22"/>
        </w:rPr>
        <w:tab/>
      </w:r>
      <w:r w:rsidRPr="001D506D">
        <w:rPr>
          <w:rStyle w:val="FootnoteReference"/>
          <w:sz w:val="22"/>
          <w:szCs w:val="22"/>
        </w:rPr>
        <w:footnoteRef/>
      </w:r>
      <w:r w:rsidRPr="001D506D">
        <w:rPr>
          <w:sz w:val="22"/>
          <w:szCs w:val="22"/>
        </w:rPr>
        <w:t xml:space="preserve"> </w:t>
      </w:r>
      <w:r w:rsidRPr="001D506D">
        <w:rPr>
          <w:bCs/>
          <w:sz w:val="22"/>
          <w:szCs w:val="22"/>
        </w:rPr>
        <w:t xml:space="preserve">During the eighteenth century, Britain’s industrial output quadrupled, and the bulk of this output was mass consumption goods. As </w:t>
      </w:r>
      <w:proofErr w:type="spellStart"/>
      <w:r w:rsidRPr="001D506D">
        <w:rPr>
          <w:bCs/>
          <w:sz w:val="22"/>
          <w:szCs w:val="22"/>
        </w:rPr>
        <w:t>McKendrick</w:t>
      </w:r>
      <w:proofErr w:type="spellEnd"/>
      <w:r w:rsidRPr="001D506D">
        <w:rPr>
          <w:bCs/>
          <w:sz w:val="22"/>
          <w:szCs w:val="22"/>
        </w:rPr>
        <w:t xml:space="preserve">, Brewer, and Plumb have argued, it is ‘extremely improbable that all this extra consumption could be absorbed by the top layers of income’ (1982: 29). </w:t>
      </w:r>
    </w:p>
  </w:footnote>
  <w:footnote w:id="12">
    <w:p w:rsidR="00356AF9" w:rsidRPr="001D506D" w:rsidRDefault="00356AF9" w:rsidP="00CF3A28">
      <w:pPr>
        <w:autoSpaceDE w:val="0"/>
        <w:autoSpaceDN w:val="0"/>
        <w:spacing w:line="240" w:lineRule="auto"/>
        <w:ind w:firstLine="720"/>
        <w:jc w:val="left"/>
        <w:rPr>
          <w:szCs w:val="22"/>
        </w:rPr>
      </w:pPr>
      <w:r w:rsidRPr="001D506D">
        <w:rPr>
          <w:rStyle w:val="FootnoteReference"/>
          <w:szCs w:val="22"/>
        </w:rPr>
        <w:footnoteRef/>
      </w:r>
      <w:r w:rsidRPr="001D506D">
        <w:rPr>
          <w:szCs w:val="22"/>
        </w:rPr>
        <w:t xml:space="preserve"> </w:t>
      </w:r>
      <w:r w:rsidRPr="001D506D">
        <w:rPr>
          <w:szCs w:val="22"/>
          <w:lang w:val="en-US"/>
        </w:rPr>
        <w:t>Sumptuary laws, official documents, records of elite complaints, and public pronouncements about excessive popular consumption attest to the ubiquity of this concern throughout the world.</w:t>
      </w:r>
      <w:r w:rsidRPr="001D506D">
        <w:rPr>
          <w:szCs w:val="22"/>
        </w:rPr>
        <w:t xml:space="preserve"> </w:t>
      </w:r>
    </w:p>
  </w:footnote>
  <w:footnote w:id="13">
    <w:p w:rsidR="00356AF9" w:rsidRPr="00776A1A" w:rsidRDefault="00356AF9" w:rsidP="00CF3A28">
      <w:pPr>
        <w:pStyle w:val="FootnoteText"/>
        <w:spacing w:line="240" w:lineRule="auto"/>
        <w:jc w:val="left"/>
        <w:rPr>
          <w:sz w:val="22"/>
          <w:szCs w:val="22"/>
        </w:rPr>
      </w:pPr>
      <w:r w:rsidRPr="00776A1A">
        <w:rPr>
          <w:sz w:val="22"/>
          <w:szCs w:val="22"/>
        </w:rPr>
        <w:tab/>
      </w:r>
      <w:r w:rsidRPr="00776A1A">
        <w:rPr>
          <w:rStyle w:val="FootnoteReference"/>
          <w:sz w:val="22"/>
          <w:szCs w:val="22"/>
        </w:rPr>
        <w:footnoteRef/>
      </w:r>
      <w:r w:rsidRPr="00776A1A">
        <w:rPr>
          <w:sz w:val="22"/>
          <w:szCs w:val="22"/>
        </w:rPr>
        <w:t xml:space="preserve"> </w:t>
      </w:r>
      <w:r w:rsidRPr="00776A1A">
        <w:rPr>
          <w:bCs/>
          <w:sz w:val="22"/>
          <w:szCs w:val="22"/>
          <w:lang w:val="en-GB"/>
        </w:rPr>
        <w:t>Lie 1993: 283. These reforms were similar to those which, today, we associate with the welfare state and with progressive liberalism. Attempts to capture this contradiction in terms are seen in such phrases as 'enlightened despotism' and 'liberal absolutism'. However, the word survives as a key analytic term in the study of early modern Europe, together with its negative connotations and the hostility that it was originally meant to express.</w:t>
      </w:r>
    </w:p>
  </w:footnote>
  <w:footnote w:id="14">
    <w:p w:rsidR="00356AF9" w:rsidRPr="00760FC9" w:rsidRDefault="00356AF9" w:rsidP="00CF3A28">
      <w:pPr>
        <w:pStyle w:val="FootnoteText"/>
        <w:spacing w:line="240" w:lineRule="auto"/>
        <w:jc w:val="left"/>
        <w:rPr>
          <w:sz w:val="22"/>
          <w:szCs w:val="22"/>
        </w:rPr>
      </w:pPr>
      <w:r w:rsidRPr="00760FC9">
        <w:rPr>
          <w:spacing w:val="-3"/>
          <w:sz w:val="22"/>
          <w:szCs w:val="22"/>
        </w:rPr>
        <w:tab/>
      </w:r>
      <w:r w:rsidRPr="00760FC9">
        <w:rPr>
          <w:rStyle w:val="FootnoteReference"/>
          <w:sz w:val="22"/>
          <w:szCs w:val="22"/>
        </w:rPr>
        <w:footnoteRef/>
      </w:r>
      <w:r w:rsidRPr="00760FC9">
        <w:rPr>
          <w:spacing w:val="-3"/>
          <w:sz w:val="22"/>
          <w:szCs w:val="22"/>
        </w:rPr>
        <w:t xml:space="preserve"> Between 1830 and 1914 about 50 million Europeans, 30 per cent of Europe's population in 1830, immigrated to the Americas. </w:t>
      </w:r>
      <w:r w:rsidRPr="00760FC9">
        <w:rPr>
          <w:sz w:val="22"/>
          <w:szCs w:val="22"/>
        </w:rPr>
        <w:t xml:space="preserve">The Americas provided markets for European products </w:t>
      </w:r>
      <w:r w:rsidRPr="00760FC9">
        <w:rPr>
          <w:i/>
          <w:sz w:val="22"/>
          <w:szCs w:val="22"/>
        </w:rPr>
        <w:t>overseas, rather than locally</w:t>
      </w:r>
      <w:r w:rsidRPr="00760FC9">
        <w:rPr>
          <w:sz w:val="22"/>
          <w:szCs w:val="22"/>
        </w:rPr>
        <w:t>, thus enabling Europeans to expand production without dangerously impacting social relations at home.</w:t>
      </w:r>
    </w:p>
  </w:footnote>
  <w:footnote w:id="15">
    <w:p w:rsidR="00356AF9" w:rsidRPr="006E07CA" w:rsidRDefault="00356AF9" w:rsidP="00CF3A28">
      <w:pPr>
        <w:pStyle w:val="FootnoteText"/>
        <w:spacing w:line="240" w:lineRule="auto"/>
        <w:jc w:val="left"/>
        <w:rPr>
          <w:sz w:val="22"/>
          <w:szCs w:val="22"/>
        </w:rPr>
      </w:pPr>
      <w:r>
        <w:tab/>
      </w:r>
      <w:r w:rsidRPr="006E07CA">
        <w:rPr>
          <w:rStyle w:val="FootnoteReference"/>
          <w:sz w:val="22"/>
          <w:szCs w:val="22"/>
        </w:rPr>
        <w:footnoteRef/>
      </w:r>
      <w:r w:rsidRPr="006E07CA">
        <w:rPr>
          <w:sz w:val="22"/>
          <w:szCs w:val="22"/>
        </w:rPr>
        <w:t xml:space="preserve"> </w:t>
      </w:r>
      <w:r w:rsidRPr="006E07CA">
        <w:rPr>
          <w:sz w:val="22"/>
          <w:szCs w:val="22"/>
          <w:lang w:val="en-GB"/>
        </w:rPr>
        <w:t>The building industries grew by expanding employment rather than by introducing innovations in organization or technology. In the 1930s, half the industry's workforce still practiced 'their traditional handicrafts, especially in house building, largely untouched by mechanization' (Benson 1989: 20). By 1913 the output of Britain’s electrical industry was little more than a third of Germany's (</w:t>
      </w:r>
      <w:proofErr w:type="spellStart"/>
      <w:r w:rsidRPr="006E07CA">
        <w:rPr>
          <w:sz w:val="22"/>
          <w:szCs w:val="22"/>
          <w:lang w:val="en-GB"/>
        </w:rPr>
        <w:t>Hobsbawm</w:t>
      </w:r>
      <w:proofErr w:type="spellEnd"/>
      <w:r w:rsidRPr="006E07CA">
        <w:rPr>
          <w:sz w:val="22"/>
          <w:szCs w:val="22"/>
          <w:lang w:val="en-GB"/>
        </w:rPr>
        <w:t xml:space="preserve"> 1968: 180). Before World War II, the great majority of those employed in the transport sector worked for a small employer or were self-employed (Benson 1989, 22-23). It was only in the 1890s that automatic machine-tools production was introduced there, and as a result of the desire of employers 'to break down the hold of the skilled craftsmen in the industry' (</w:t>
      </w:r>
      <w:proofErr w:type="spellStart"/>
      <w:r w:rsidRPr="006E07CA">
        <w:rPr>
          <w:sz w:val="22"/>
          <w:szCs w:val="22"/>
          <w:lang w:val="en-GB"/>
        </w:rPr>
        <w:t>Hobsbawm</w:t>
      </w:r>
      <w:proofErr w:type="spellEnd"/>
      <w:r w:rsidRPr="006E07CA">
        <w:rPr>
          <w:sz w:val="22"/>
          <w:szCs w:val="22"/>
          <w:lang w:val="en-GB"/>
        </w:rPr>
        <w:t xml:space="preserve"> 1968: 181). Gas manufacture was mechanized late, and as a result of pressure from trade unions. Coal production increased--from 49 million tons in 1850 to 147 million in 1880--not by introducing labour saving techniques, but by increasing the numbers of coalminers. In the 1930s, 'more than 40% of British coal was cut and practically 50% conveyed without the aid of machinery' (Benson 1989: 16). Though Britain had pioneered major innovations in steel production, she was slow to apply the new methods and failed to keep up with subsequent improvements. Though British industrialization was based on the expansion of capital goods production for railway building, rapid technical improvement came, even here, only when compelled by military competition and the modernizing armaments industry.</w:t>
      </w:r>
    </w:p>
  </w:footnote>
  <w:footnote w:id="16">
    <w:p w:rsidR="00356AF9" w:rsidRPr="007F62C6" w:rsidRDefault="00356AF9" w:rsidP="00CF3A28">
      <w:pPr>
        <w:pStyle w:val="FootnoteText"/>
        <w:spacing w:line="240" w:lineRule="auto"/>
        <w:jc w:val="left"/>
        <w:rPr>
          <w:sz w:val="22"/>
          <w:szCs w:val="22"/>
        </w:rPr>
      </w:pPr>
      <w:r>
        <w:tab/>
      </w:r>
      <w:r w:rsidRPr="007F62C6">
        <w:rPr>
          <w:rStyle w:val="FootnoteReference"/>
          <w:sz w:val="22"/>
          <w:szCs w:val="22"/>
        </w:rPr>
        <w:footnoteRef/>
      </w:r>
      <w:r w:rsidRPr="007F62C6">
        <w:rPr>
          <w:sz w:val="22"/>
          <w:szCs w:val="22"/>
        </w:rPr>
        <w:t xml:space="preserve"> The absence of agrarian reform, the social and political isolation of agrarian labor, low agricultural land taxes (which offset price controls and taxes on agricultural exports when they were unavoidable), the monopolization of domestic industry and international trade through the creation of cartels and syndicates, attest to this</w:t>
      </w:r>
      <w:r>
        <w:rPr>
          <w:sz w:val="22"/>
          <w:szCs w:val="22"/>
        </w:rPr>
        <w:t>.</w:t>
      </w:r>
      <w:r w:rsidRPr="007F62C6">
        <w:rPr>
          <w:sz w:val="22"/>
          <w:szCs w:val="22"/>
        </w:rPr>
        <w:t xml:space="preserve"> </w:t>
      </w:r>
    </w:p>
  </w:footnote>
  <w:footnote w:id="17">
    <w:p w:rsidR="006B4DEB" w:rsidRDefault="006B4DEB" w:rsidP="00CF3A28">
      <w:pPr>
        <w:pStyle w:val="FootnoteText"/>
        <w:spacing w:line="240" w:lineRule="auto"/>
        <w:jc w:val="left"/>
      </w:pPr>
      <w:r>
        <w:tab/>
      </w:r>
      <w:r w:rsidRPr="00D00EA4">
        <w:rPr>
          <w:rStyle w:val="FootnoteReference"/>
          <w:sz w:val="22"/>
          <w:szCs w:val="22"/>
        </w:rPr>
        <w:footnoteRef/>
      </w:r>
      <w:r w:rsidRPr="00D00EA4">
        <w:rPr>
          <w:sz w:val="22"/>
          <w:szCs w:val="22"/>
        </w:rPr>
        <w:t xml:space="preserve"> Externally-oriented expansion requires a system of stable exchange rates, and the gold standard system was developed to provide this. It was stable, between 1871 and 1914, because the absence of effective democratic representation in European societies meant that working classes were unable to put pressure on governments when restrictive monetary policies created unemployment.</w:t>
      </w:r>
    </w:p>
  </w:footnote>
  <w:footnote w:id="18">
    <w:p w:rsidR="00356AF9" w:rsidRPr="007F62C6" w:rsidRDefault="00356AF9" w:rsidP="00CF3A28">
      <w:pPr>
        <w:pStyle w:val="FootnoteText"/>
        <w:spacing w:line="240" w:lineRule="auto"/>
        <w:jc w:val="left"/>
        <w:rPr>
          <w:sz w:val="22"/>
          <w:szCs w:val="22"/>
        </w:rPr>
      </w:pPr>
      <w:r w:rsidRPr="007F62C6">
        <w:rPr>
          <w:sz w:val="22"/>
          <w:szCs w:val="22"/>
        </w:rPr>
        <w:tab/>
      </w:r>
      <w:r w:rsidRPr="007F62C6">
        <w:rPr>
          <w:rStyle w:val="FootnoteReference"/>
          <w:sz w:val="22"/>
          <w:szCs w:val="22"/>
        </w:rPr>
        <w:footnoteRef/>
      </w:r>
      <w:r w:rsidRPr="007F62C6">
        <w:rPr>
          <w:sz w:val="22"/>
          <w:szCs w:val="22"/>
        </w:rPr>
        <w:t xml:space="preserve"> </w:t>
      </w:r>
      <w:r w:rsidRPr="007F62C6">
        <w:rPr>
          <w:sz w:val="22"/>
          <w:szCs w:val="22"/>
          <w:lang w:val="en-GB"/>
        </w:rPr>
        <w:t>It was this concern motivated it to sponsor numerous anti-revolutionary military actions in Europe.</w:t>
      </w:r>
    </w:p>
  </w:footnote>
  <w:footnote w:id="19">
    <w:p w:rsidR="00356AF9" w:rsidRPr="00367DBC" w:rsidRDefault="00356AF9" w:rsidP="00CF3A28">
      <w:pPr>
        <w:pStyle w:val="FootnoteText"/>
        <w:spacing w:line="240" w:lineRule="auto"/>
        <w:jc w:val="left"/>
        <w:rPr>
          <w:sz w:val="22"/>
          <w:szCs w:val="22"/>
        </w:rPr>
      </w:pPr>
      <w:r>
        <w:rPr>
          <w:sz w:val="22"/>
          <w:szCs w:val="22"/>
        </w:rPr>
        <w:tab/>
      </w:r>
      <w:r w:rsidRPr="00367DBC">
        <w:rPr>
          <w:rStyle w:val="FootnoteReference"/>
          <w:sz w:val="22"/>
          <w:szCs w:val="22"/>
        </w:rPr>
        <w:footnoteRef/>
      </w:r>
      <w:r w:rsidRPr="00367DBC">
        <w:rPr>
          <w:sz w:val="22"/>
          <w:szCs w:val="22"/>
        </w:rPr>
        <w:t xml:space="preserve"> Bevan 1880, p. 37.</w:t>
      </w:r>
    </w:p>
  </w:footnote>
  <w:footnote w:id="20">
    <w:p w:rsidR="00356AF9" w:rsidRPr="00257C41" w:rsidRDefault="00356AF9" w:rsidP="00CF3A28">
      <w:pPr>
        <w:pStyle w:val="BodyText"/>
        <w:spacing w:after="0" w:line="240" w:lineRule="auto"/>
        <w:ind w:right="-510"/>
        <w:jc w:val="left"/>
        <w:rPr>
          <w:sz w:val="22"/>
          <w:szCs w:val="22"/>
        </w:rPr>
      </w:pPr>
      <w:r w:rsidRPr="00257C41">
        <w:rPr>
          <w:sz w:val="22"/>
          <w:szCs w:val="22"/>
        </w:rPr>
        <w:tab/>
      </w:r>
      <w:r w:rsidRPr="00257C41">
        <w:rPr>
          <w:rStyle w:val="FootnoteReference"/>
          <w:sz w:val="22"/>
          <w:szCs w:val="22"/>
        </w:rPr>
        <w:footnoteRef/>
      </w:r>
      <w:r w:rsidRPr="00257C41">
        <w:rPr>
          <w:sz w:val="22"/>
          <w:szCs w:val="22"/>
        </w:rPr>
        <w:t xml:space="preserve"> </w:t>
      </w:r>
      <w:r>
        <w:rPr>
          <w:sz w:val="22"/>
          <w:szCs w:val="22"/>
        </w:rPr>
        <w:t>And</w:t>
      </w:r>
      <w:r w:rsidRPr="00886F55">
        <w:rPr>
          <w:sz w:val="22"/>
          <w:szCs w:val="22"/>
          <w:lang w:val="en-US"/>
        </w:rPr>
        <w:t xml:space="preserve"> </w:t>
      </w:r>
      <w:r w:rsidR="006F7EF0">
        <w:rPr>
          <w:sz w:val="22"/>
          <w:szCs w:val="22"/>
          <w:lang w:val="en-US"/>
        </w:rPr>
        <w:t xml:space="preserve">at the same time, </w:t>
      </w:r>
      <w:r w:rsidRPr="00886F55">
        <w:rPr>
          <w:sz w:val="22"/>
          <w:szCs w:val="22"/>
          <w:lang w:val="en-US"/>
        </w:rPr>
        <w:t xml:space="preserve">trade-union </w:t>
      </w:r>
      <w:r w:rsidRPr="00886F55">
        <w:rPr>
          <w:iCs/>
          <w:sz w:val="22"/>
          <w:szCs w:val="22"/>
        </w:rPr>
        <w:t>movements increased exponentially</w:t>
      </w:r>
      <w:r>
        <w:rPr>
          <w:iCs/>
          <w:sz w:val="22"/>
          <w:szCs w:val="22"/>
        </w:rPr>
        <w:t>.</w:t>
      </w:r>
      <w:r w:rsidRPr="00886F55">
        <w:rPr>
          <w:sz w:val="22"/>
          <w:szCs w:val="22"/>
        </w:rPr>
        <w:t xml:space="preserve"> </w:t>
      </w:r>
      <w:r>
        <w:rPr>
          <w:sz w:val="22"/>
          <w:szCs w:val="22"/>
        </w:rPr>
        <w:t>This occurred n</w:t>
      </w:r>
      <w:proofErr w:type="spellStart"/>
      <w:r w:rsidRPr="00181221">
        <w:rPr>
          <w:iCs/>
          <w:sz w:val="22"/>
          <w:szCs w:val="22"/>
          <w:lang w:val="en-US"/>
        </w:rPr>
        <w:t>ot</w:t>
      </w:r>
      <w:proofErr w:type="spellEnd"/>
      <w:r w:rsidRPr="00181221">
        <w:rPr>
          <w:iCs/>
          <w:sz w:val="22"/>
          <w:szCs w:val="22"/>
          <w:lang w:val="en-US"/>
        </w:rPr>
        <w:t xml:space="preserve"> only in Europe, but in Africa, the Americas</w:t>
      </w:r>
      <w:r>
        <w:rPr>
          <w:iCs/>
          <w:sz w:val="22"/>
          <w:szCs w:val="22"/>
          <w:lang w:val="en-US"/>
        </w:rPr>
        <w:t>,</w:t>
      </w:r>
      <w:r w:rsidRPr="00181221">
        <w:rPr>
          <w:iCs/>
          <w:sz w:val="22"/>
          <w:szCs w:val="22"/>
          <w:lang w:val="en-US"/>
        </w:rPr>
        <w:t xml:space="preserve"> Asia, and the Middle East</w:t>
      </w:r>
      <w:r>
        <w:rPr>
          <w:iCs/>
          <w:sz w:val="22"/>
          <w:szCs w:val="22"/>
          <w:lang w:val="en-US"/>
        </w:rPr>
        <w:t>.</w:t>
      </w:r>
      <w:r w:rsidRPr="00181221">
        <w:rPr>
          <w:iCs/>
          <w:sz w:val="22"/>
          <w:szCs w:val="22"/>
        </w:rPr>
        <w:t xml:space="preserve"> </w:t>
      </w:r>
      <w:r w:rsidRPr="00181221">
        <w:rPr>
          <w:sz w:val="22"/>
          <w:szCs w:val="22"/>
        </w:rPr>
        <w:t>European workers</w:t>
      </w:r>
      <w:r>
        <w:rPr>
          <w:sz w:val="22"/>
          <w:szCs w:val="22"/>
        </w:rPr>
        <w:t xml:space="preserve">, </w:t>
      </w:r>
      <w:r w:rsidRPr="00181221">
        <w:rPr>
          <w:sz w:val="22"/>
          <w:szCs w:val="22"/>
        </w:rPr>
        <w:t xml:space="preserve">found in all the large cities of the world, cooperated with indigenous workers </w:t>
      </w:r>
      <w:r>
        <w:rPr>
          <w:sz w:val="22"/>
          <w:szCs w:val="22"/>
        </w:rPr>
        <w:t xml:space="preserve">and </w:t>
      </w:r>
      <w:r w:rsidRPr="00181221">
        <w:rPr>
          <w:sz w:val="22"/>
          <w:szCs w:val="22"/>
        </w:rPr>
        <w:t>promoted trade unionism</w:t>
      </w:r>
      <w:r w:rsidRPr="006C2419">
        <w:rPr>
          <w:sz w:val="22"/>
          <w:szCs w:val="22"/>
        </w:rPr>
        <w:t>.</w:t>
      </w:r>
      <w:r>
        <w:rPr>
          <w:sz w:val="22"/>
          <w:szCs w:val="22"/>
        </w:rPr>
        <w:t xml:space="preserve"> See </w:t>
      </w:r>
      <w:proofErr w:type="spellStart"/>
      <w:r w:rsidRPr="00257C41">
        <w:rPr>
          <w:sz w:val="22"/>
          <w:szCs w:val="22"/>
        </w:rPr>
        <w:t>Stoler</w:t>
      </w:r>
      <w:proofErr w:type="spellEnd"/>
      <w:r w:rsidRPr="00257C41">
        <w:rPr>
          <w:sz w:val="22"/>
          <w:szCs w:val="22"/>
        </w:rPr>
        <w:t xml:space="preserve"> 1989, </w:t>
      </w:r>
      <w:proofErr w:type="spellStart"/>
      <w:r w:rsidRPr="00257C41">
        <w:rPr>
          <w:sz w:val="22"/>
          <w:szCs w:val="22"/>
        </w:rPr>
        <w:t>Comaroff</w:t>
      </w:r>
      <w:proofErr w:type="spellEnd"/>
      <w:r>
        <w:rPr>
          <w:sz w:val="22"/>
          <w:szCs w:val="22"/>
        </w:rPr>
        <w:t xml:space="preserve"> and </w:t>
      </w:r>
      <w:proofErr w:type="spellStart"/>
      <w:r>
        <w:rPr>
          <w:sz w:val="22"/>
          <w:szCs w:val="22"/>
        </w:rPr>
        <w:t>Comaroff</w:t>
      </w:r>
      <w:proofErr w:type="spellEnd"/>
      <w:r w:rsidRPr="00257C41">
        <w:rPr>
          <w:sz w:val="22"/>
          <w:szCs w:val="22"/>
        </w:rPr>
        <w:t xml:space="preserve"> 1985, 1986; Gordon and </w:t>
      </w:r>
      <w:proofErr w:type="spellStart"/>
      <w:r w:rsidRPr="00257C41">
        <w:rPr>
          <w:sz w:val="22"/>
          <w:szCs w:val="22"/>
        </w:rPr>
        <w:t>Meggitt</w:t>
      </w:r>
      <w:proofErr w:type="spellEnd"/>
      <w:r w:rsidRPr="00257C41">
        <w:rPr>
          <w:sz w:val="22"/>
          <w:szCs w:val="22"/>
        </w:rPr>
        <w:t xml:space="preserve"> 1985, </w:t>
      </w:r>
      <w:proofErr w:type="spellStart"/>
      <w:r w:rsidRPr="00257C41">
        <w:rPr>
          <w:sz w:val="22"/>
          <w:szCs w:val="22"/>
        </w:rPr>
        <w:t>Breman</w:t>
      </w:r>
      <w:proofErr w:type="spellEnd"/>
      <w:r w:rsidRPr="00257C41">
        <w:rPr>
          <w:sz w:val="22"/>
          <w:szCs w:val="22"/>
        </w:rPr>
        <w:t xml:space="preserve"> 1987, Callaway 1987, Kennedy 1987</w:t>
      </w:r>
      <w:r>
        <w:rPr>
          <w:sz w:val="22"/>
          <w:szCs w:val="22"/>
        </w:rPr>
        <w:t xml:space="preserve">, </w:t>
      </w:r>
      <w:proofErr w:type="spellStart"/>
      <w:r>
        <w:rPr>
          <w:sz w:val="22"/>
          <w:szCs w:val="22"/>
        </w:rPr>
        <w:t>Engelson</w:t>
      </w:r>
      <w:proofErr w:type="spellEnd"/>
      <w:r>
        <w:rPr>
          <w:sz w:val="22"/>
          <w:szCs w:val="22"/>
        </w:rPr>
        <w:t xml:space="preserve"> 1981, Orr 1966.</w:t>
      </w:r>
    </w:p>
  </w:footnote>
  <w:footnote w:id="21">
    <w:p w:rsidR="00356AF9" w:rsidRPr="00257C41" w:rsidRDefault="00356AF9" w:rsidP="00CF3A28">
      <w:pPr>
        <w:spacing w:line="240" w:lineRule="auto"/>
        <w:ind w:right="-510"/>
        <w:jc w:val="left"/>
        <w:rPr>
          <w:szCs w:val="22"/>
        </w:rPr>
      </w:pPr>
      <w:r w:rsidRPr="00257C41">
        <w:rPr>
          <w:szCs w:val="22"/>
        </w:rPr>
        <w:tab/>
      </w:r>
      <w:r w:rsidRPr="00257C41">
        <w:rPr>
          <w:rStyle w:val="FootnoteReference"/>
          <w:spacing w:val="-3"/>
          <w:szCs w:val="22"/>
        </w:rPr>
        <w:footnoteRef/>
      </w:r>
      <w:r w:rsidRPr="00257C41">
        <w:rPr>
          <w:szCs w:val="22"/>
        </w:rPr>
        <w:t xml:space="preserve"> The scope of these expansionist ambitions was detailed in the set of treaties concluded by all the belligerents in the war that began in 1914, treaties which </w:t>
      </w:r>
      <w:r w:rsidRPr="00257C41">
        <w:rPr>
          <w:szCs w:val="22"/>
          <w:lang w:val="en-US"/>
        </w:rPr>
        <w:t>clearly expressed their hope of achieving vast extensions of their territories, both within and outside Europe, as a result of the war. These</w:t>
      </w:r>
      <w:r w:rsidRPr="00257C41">
        <w:rPr>
          <w:szCs w:val="22"/>
        </w:rPr>
        <w:t xml:space="preserve"> treaties were published in the official journal of the Soviets, and in the </w:t>
      </w:r>
      <w:r w:rsidRPr="00257C41">
        <w:rPr>
          <w:i/>
          <w:szCs w:val="22"/>
        </w:rPr>
        <w:t>Manchester Guardian</w:t>
      </w:r>
      <w:r w:rsidRPr="00257C41">
        <w:rPr>
          <w:szCs w:val="22"/>
        </w:rPr>
        <w:t xml:space="preserve">. A good summary is found in Baker 1922: I, </w:t>
      </w:r>
      <w:r>
        <w:rPr>
          <w:szCs w:val="22"/>
        </w:rPr>
        <w:t>c</w:t>
      </w:r>
      <w:r w:rsidRPr="00257C41">
        <w:rPr>
          <w:szCs w:val="22"/>
        </w:rPr>
        <w:t>hap</w:t>
      </w:r>
      <w:r>
        <w:rPr>
          <w:szCs w:val="22"/>
        </w:rPr>
        <w:t>ter</w:t>
      </w:r>
      <w:r w:rsidRPr="00257C41">
        <w:rPr>
          <w:szCs w:val="22"/>
        </w:rPr>
        <w:t xml:space="preserve"> 2.</w:t>
      </w:r>
    </w:p>
  </w:footnote>
  <w:footnote w:id="22">
    <w:p w:rsidR="00356AF9" w:rsidRPr="00257C41" w:rsidRDefault="00356AF9" w:rsidP="00CF3A28">
      <w:pPr>
        <w:pStyle w:val="FootnoteText"/>
        <w:spacing w:line="240" w:lineRule="auto"/>
        <w:ind w:firstLine="720"/>
        <w:jc w:val="left"/>
        <w:rPr>
          <w:sz w:val="22"/>
          <w:szCs w:val="22"/>
        </w:rPr>
      </w:pPr>
      <w:r w:rsidRPr="00257C41">
        <w:rPr>
          <w:rStyle w:val="FootnoteReference"/>
          <w:sz w:val="22"/>
          <w:szCs w:val="22"/>
        </w:rPr>
        <w:footnoteRef/>
      </w:r>
      <w:r w:rsidRPr="00257C41">
        <w:rPr>
          <w:sz w:val="22"/>
          <w:szCs w:val="22"/>
        </w:rPr>
        <w:t xml:space="preserve"> See, e.g., Marwick 1980: chap</w:t>
      </w:r>
      <w:r>
        <w:rPr>
          <w:sz w:val="22"/>
          <w:szCs w:val="22"/>
        </w:rPr>
        <w:t>ter</w:t>
      </w:r>
      <w:r w:rsidRPr="00257C41">
        <w:rPr>
          <w:sz w:val="22"/>
          <w:szCs w:val="22"/>
        </w:rPr>
        <w:t xml:space="preserve"> 11, </w:t>
      </w:r>
      <w:proofErr w:type="spellStart"/>
      <w:r w:rsidRPr="00257C41">
        <w:rPr>
          <w:sz w:val="22"/>
          <w:szCs w:val="22"/>
        </w:rPr>
        <w:t>Titmuss</w:t>
      </w:r>
      <w:proofErr w:type="spellEnd"/>
      <w:r w:rsidRPr="00257C41">
        <w:rPr>
          <w:sz w:val="22"/>
          <w:szCs w:val="22"/>
        </w:rPr>
        <w:t xml:space="preserve"> 1958: 86, </w:t>
      </w:r>
      <w:proofErr w:type="spellStart"/>
      <w:r w:rsidRPr="00257C41">
        <w:rPr>
          <w:sz w:val="22"/>
          <w:szCs w:val="22"/>
        </w:rPr>
        <w:t>Andreski</w:t>
      </w:r>
      <w:proofErr w:type="spellEnd"/>
      <w:r w:rsidRPr="00257C41">
        <w:rPr>
          <w:sz w:val="22"/>
          <w:szCs w:val="22"/>
        </w:rPr>
        <w:t xml:space="preserve"> 1954: 33-38, Sorokin 1927.</w:t>
      </w:r>
    </w:p>
  </w:footnote>
  <w:footnote w:id="23">
    <w:p w:rsidR="00356AF9" w:rsidRPr="00257C41" w:rsidRDefault="00356AF9" w:rsidP="00CF3A28">
      <w:pPr>
        <w:pStyle w:val="FootnoteText"/>
        <w:tabs>
          <w:tab w:val="left" w:pos="-720"/>
        </w:tabs>
        <w:suppressAutoHyphens/>
        <w:spacing w:line="240" w:lineRule="auto"/>
        <w:jc w:val="left"/>
        <w:rPr>
          <w:spacing w:val="-3"/>
          <w:sz w:val="22"/>
          <w:szCs w:val="22"/>
        </w:rPr>
      </w:pPr>
      <w:r w:rsidRPr="00257C41">
        <w:rPr>
          <w:spacing w:val="-3"/>
          <w:sz w:val="22"/>
          <w:szCs w:val="22"/>
        </w:rPr>
        <w:tab/>
      </w:r>
      <w:r w:rsidRPr="00257C41">
        <w:rPr>
          <w:rStyle w:val="FootnoteReference"/>
          <w:spacing w:val="-3"/>
          <w:sz w:val="22"/>
          <w:szCs w:val="22"/>
        </w:rPr>
        <w:footnoteRef/>
      </w:r>
      <w:r w:rsidRPr="00257C41">
        <w:rPr>
          <w:spacing w:val="-3"/>
          <w:sz w:val="22"/>
          <w:szCs w:val="22"/>
        </w:rPr>
        <w:t xml:space="preserve"> See, e.g. </w:t>
      </w:r>
      <w:proofErr w:type="spellStart"/>
      <w:r w:rsidRPr="00257C41">
        <w:rPr>
          <w:spacing w:val="-3"/>
          <w:sz w:val="22"/>
          <w:szCs w:val="22"/>
        </w:rPr>
        <w:t>Braunthal</w:t>
      </w:r>
      <w:proofErr w:type="spellEnd"/>
      <w:r w:rsidRPr="00257C41">
        <w:rPr>
          <w:spacing w:val="-3"/>
          <w:sz w:val="22"/>
          <w:szCs w:val="22"/>
        </w:rPr>
        <w:t xml:space="preserve"> 1967: 355, Schumpeter 1950: 353, Carr 1945: 20</w:t>
      </w:r>
      <w:r w:rsidRPr="00257C41">
        <w:rPr>
          <w:sz w:val="22"/>
          <w:szCs w:val="22"/>
        </w:rPr>
        <w:t>–</w:t>
      </w:r>
      <w:r w:rsidRPr="00257C41">
        <w:rPr>
          <w:spacing w:val="-3"/>
          <w:sz w:val="22"/>
          <w:szCs w:val="22"/>
        </w:rPr>
        <w:t>1; and, for other works Doyle 1997: 317</w:t>
      </w:r>
      <w:r w:rsidRPr="00257C41">
        <w:rPr>
          <w:sz w:val="22"/>
          <w:szCs w:val="22"/>
        </w:rPr>
        <w:t>–</w:t>
      </w:r>
      <w:r w:rsidRPr="00257C41">
        <w:rPr>
          <w:spacing w:val="-3"/>
          <w:sz w:val="22"/>
          <w:szCs w:val="22"/>
        </w:rPr>
        <w:t>9, and esp</w:t>
      </w:r>
      <w:r>
        <w:rPr>
          <w:spacing w:val="-3"/>
          <w:sz w:val="22"/>
          <w:szCs w:val="22"/>
        </w:rPr>
        <w:t>ecially</w:t>
      </w:r>
      <w:r w:rsidRPr="00257C41">
        <w:rPr>
          <w:spacing w:val="-3"/>
          <w:sz w:val="22"/>
          <w:szCs w:val="22"/>
        </w:rPr>
        <w:t xml:space="preserve"> 318n9.</w:t>
      </w:r>
    </w:p>
  </w:footnote>
  <w:footnote w:id="24">
    <w:p w:rsidR="00356AF9" w:rsidRPr="00257C41" w:rsidRDefault="00356AF9" w:rsidP="00CF3A28">
      <w:pPr>
        <w:pStyle w:val="FootnoteText"/>
        <w:spacing w:line="240" w:lineRule="auto"/>
        <w:jc w:val="left"/>
        <w:rPr>
          <w:sz w:val="22"/>
          <w:szCs w:val="22"/>
        </w:rPr>
      </w:pPr>
      <w:r w:rsidRPr="00257C41">
        <w:rPr>
          <w:sz w:val="22"/>
          <w:szCs w:val="22"/>
        </w:rPr>
        <w:tab/>
      </w:r>
      <w:r w:rsidRPr="00257C41">
        <w:rPr>
          <w:rStyle w:val="FootnoteReference"/>
          <w:sz w:val="22"/>
          <w:szCs w:val="22"/>
        </w:rPr>
        <w:footnoteRef/>
      </w:r>
      <w:r w:rsidRPr="00257C41">
        <w:rPr>
          <w:sz w:val="22"/>
          <w:szCs w:val="22"/>
        </w:rPr>
        <w:t xml:space="preserve"> </w:t>
      </w:r>
      <w:proofErr w:type="spellStart"/>
      <w:r w:rsidRPr="00257C41">
        <w:rPr>
          <w:sz w:val="22"/>
          <w:szCs w:val="22"/>
        </w:rPr>
        <w:t>Ogg</w:t>
      </w:r>
      <w:proofErr w:type="spellEnd"/>
      <w:r w:rsidRPr="00257C41">
        <w:rPr>
          <w:sz w:val="22"/>
          <w:szCs w:val="22"/>
        </w:rPr>
        <w:t xml:space="preserve"> 1930: 759–97. </w:t>
      </w:r>
      <w:r w:rsidRPr="00257C41">
        <w:rPr>
          <w:rFonts w:eastAsia="Calibri"/>
          <w:sz w:val="22"/>
          <w:szCs w:val="22"/>
          <w:lang w:eastAsia="en-GB"/>
        </w:rPr>
        <w:t>T</w:t>
      </w:r>
      <w:r w:rsidRPr="00257C41">
        <w:rPr>
          <w:spacing w:val="-2"/>
          <w:sz w:val="22"/>
          <w:szCs w:val="22"/>
        </w:rPr>
        <w:t>rade union membership doubled in Britain (from 4 to 8 million; Geary 1981: 151</w:t>
      </w:r>
      <w:r w:rsidRPr="00257C41">
        <w:rPr>
          <w:sz w:val="22"/>
          <w:szCs w:val="22"/>
        </w:rPr>
        <w:t>–</w:t>
      </w:r>
      <w:r w:rsidRPr="00257C41">
        <w:rPr>
          <w:spacing w:val="-2"/>
          <w:sz w:val="22"/>
          <w:szCs w:val="22"/>
        </w:rPr>
        <w:t xml:space="preserve">5); in Italy, having doubled during the war, it nearly doubled again by 1920 </w:t>
      </w:r>
      <w:r w:rsidRPr="00257C41">
        <w:rPr>
          <w:sz w:val="22"/>
          <w:szCs w:val="22"/>
        </w:rPr>
        <w:t xml:space="preserve">(Maier 1975: 47). </w:t>
      </w:r>
    </w:p>
  </w:footnote>
  <w:footnote w:id="25">
    <w:p w:rsidR="00356AF9" w:rsidRPr="00257C41" w:rsidRDefault="00356AF9" w:rsidP="00CF3A28">
      <w:pPr>
        <w:spacing w:line="240" w:lineRule="auto"/>
        <w:jc w:val="left"/>
        <w:rPr>
          <w:szCs w:val="22"/>
        </w:rPr>
      </w:pPr>
      <w:r w:rsidRPr="00257C41">
        <w:rPr>
          <w:szCs w:val="22"/>
        </w:rPr>
        <w:tab/>
      </w:r>
      <w:r w:rsidRPr="00257C41">
        <w:rPr>
          <w:rStyle w:val="FootnoteReference"/>
          <w:szCs w:val="22"/>
        </w:rPr>
        <w:footnoteRef/>
      </w:r>
      <w:r w:rsidRPr="00257C41">
        <w:rPr>
          <w:szCs w:val="22"/>
        </w:rPr>
        <w:t xml:space="preserve"> Fascism and the sacrifices entailed in defeating it effectively discredited the old right throughout Europe. Thus, even where workers were not mobilised for the war effort as, for instance, in France, the balance of political power after the war shifted in their favour.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EE9"/>
    <w:multiLevelType w:val="multilevel"/>
    <w:tmpl w:val="83ACECDC"/>
    <w:lvl w:ilvl="0">
      <w:start w:val="5"/>
      <w:numFmt w:val="decimal"/>
      <w:lvlText w:val="%1"/>
      <w:legacy w:legacy="1" w:legacySpace="0" w:legacyIndent="0"/>
      <w:lvlJc w:val="left"/>
      <w:pPr>
        <w:ind w:left="0" w:firstLine="0"/>
      </w:pPr>
    </w:lvl>
    <w:lvl w:ilvl="1">
      <w:start w:val="30"/>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num w:numId="1">
    <w:abstractNumId w:val="0"/>
    <w:lvlOverride w:ilvl="0">
      <w:startOverride w:val="5"/>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noPunctuationKerning/>
  <w:characterSpacingControl w:val="doNotCompress"/>
  <w:footnotePr>
    <w:footnote w:id="-1"/>
    <w:footnote w:id="0"/>
  </w:footnotePr>
  <w:endnotePr>
    <w:endnote w:id="-1"/>
    <w:endnote w:id="0"/>
  </w:endnotePr>
  <w:compat/>
  <w:rsids>
    <w:rsidRoot w:val="007D3F59"/>
    <w:rsid w:val="00000183"/>
    <w:rsid w:val="00001435"/>
    <w:rsid w:val="00002CF2"/>
    <w:rsid w:val="0000353D"/>
    <w:rsid w:val="0000502B"/>
    <w:rsid w:val="00005F58"/>
    <w:rsid w:val="00006A78"/>
    <w:rsid w:val="00021B53"/>
    <w:rsid w:val="00022028"/>
    <w:rsid w:val="0002769F"/>
    <w:rsid w:val="00031784"/>
    <w:rsid w:val="00041BB4"/>
    <w:rsid w:val="00046405"/>
    <w:rsid w:val="0004672E"/>
    <w:rsid w:val="000527A2"/>
    <w:rsid w:val="00066E48"/>
    <w:rsid w:val="00085D3A"/>
    <w:rsid w:val="000968A8"/>
    <w:rsid w:val="000A3DE7"/>
    <w:rsid w:val="000A40EB"/>
    <w:rsid w:val="000A5797"/>
    <w:rsid w:val="000A7B48"/>
    <w:rsid w:val="000B566E"/>
    <w:rsid w:val="000D14C1"/>
    <w:rsid w:val="000D5EB6"/>
    <w:rsid w:val="000E1366"/>
    <w:rsid w:val="000E2BF0"/>
    <w:rsid w:val="000E31B9"/>
    <w:rsid w:val="000F6C6D"/>
    <w:rsid w:val="00101D45"/>
    <w:rsid w:val="00111FAC"/>
    <w:rsid w:val="001146FF"/>
    <w:rsid w:val="001345BD"/>
    <w:rsid w:val="00137556"/>
    <w:rsid w:val="00141A65"/>
    <w:rsid w:val="001444F1"/>
    <w:rsid w:val="00144E50"/>
    <w:rsid w:val="00145292"/>
    <w:rsid w:val="0015251A"/>
    <w:rsid w:val="00153066"/>
    <w:rsid w:val="0016135E"/>
    <w:rsid w:val="00161B34"/>
    <w:rsid w:val="0016736D"/>
    <w:rsid w:val="00171A02"/>
    <w:rsid w:val="00172596"/>
    <w:rsid w:val="00173551"/>
    <w:rsid w:val="00181221"/>
    <w:rsid w:val="00190B8F"/>
    <w:rsid w:val="00195C80"/>
    <w:rsid w:val="001A0091"/>
    <w:rsid w:val="001A4F85"/>
    <w:rsid w:val="001A5A9C"/>
    <w:rsid w:val="001A6372"/>
    <w:rsid w:val="001A6381"/>
    <w:rsid w:val="001B0976"/>
    <w:rsid w:val="001B1684"/>
    <w:rsid w:val="001B6F70"/>
    <w:rsid w:val="001C087E"/>
    <w:rsid w:val="001C6BA1"/>
    <w:rsid w:val="001D2249"/>
    <w:rsid w:val="001D4585"/>
    <w:rsid w:val="001D506D"/>
    <w:rsid w:val="001D5334"/>
    <w:rsid w:val="001E168A"/>
    <w:rsid w:val="001E3F59"/>
    <w:rsid w:val="001E7908"/>
    <w:rsid w:val="001F22AD"/>
    <w:rsid w:val="001F262A"/>
    <w:rsid w:val="001F3D52"/>
    <w:rsid w:val="001F46B7"/>
    <w:rsid w:val="001F6510"/>
    <w:rsid w:val="00200C5A"/>
    <w:rsid w:val="0020784E"/>
    <w:rsid w:val="00211CA3"/>
    <w:rsid w:val="00221189"/>
    <w:rsid w:val="00226854"/>
    <w:rsid w:val="00227E39"/>
    <w:rsid w:val="00230116"/>
    <w:rsid w:val="00231B29"/>
    <w:rsid w:val="00233425"/>
    <w:rsid w:val="00244A93"/>
    <w:rsid w:val="00246CC0"/>
    <w:rsid w:val="00247733"/>
    <w:rsid w:val="00257C41"/>
    <w:rsid w:val="002609E1"/>
    <w:rsid w:val="00265145"/>
    <w:rsid w:val="00270686"/>
    <w:rsid w:val="00270B35"/>
    <w:rsid w:val="00272568"/>
    <w:rsid w:val="00272614"/>
    <w:rsid w:val="00280C6D"/>
    <w:rsid w:val="0028367F"/>
    <w:rsid w:val="00287616"/>
    <w:rsid w:val="0029367D"/>
    <w:rsid w:val="0029477E"/>
    <w:rsid w:val="002B4FE9"/>
    <w:rsid w:val="002B57AD"/>
    <w:rsid w:val="002B5881"/>
    <w:rsid w:val="002C0C50"/>
    <w:rsid w:val="002C0F8A"/>
    <w:rsid w:val="002C37F0"/>
    <w:rsid w:val="002C757C"/>
    <w:rsid w:val="002D7D76"/>
    <w:rsid w:val="002E1038"/>
    <w:rsid w:val="002E47C0"/>
    <w:rsid w:val="002F2745"/>
    <w:rsid w:val="002F33C2"/>
    <w:rsid w:val="003005E0"/>
    <w:rsid w:val="00300C0A"/>
    <w:rsid w:val="0030302A"/>
    <w:rsid w:val="00314EB3"/>
    <w:rsid w:val="00315172"/>
    <w:rsid w:val="00315DFF"/>
    <w:rsid w:val="00321AEA"/>
    <w:rsid w:val="00330BD9"/>
    <w:rsid w:val="00337E68"/>
    <w:rsid w:val="003470BA"/>
    <w:rsid w:val="003474F6"/>
    <w:rsid w:val="003477CC"/>
    <w:rsid w:val="00350AB0"/>
    <w:rsid w:val="00352B46"/>
    <w:rsid w:val="00352BF6"/>
    <w:rsid w:val="00356AF9"/>
    <w:rsid w:val="00361CC3"/>
    <w:rsid w:val="0036305E"/>
    <w:rsid w:val="00363EB2"/>
    <w:rsid w:val="00363F09"/>
    <w:rsid w:val="00365F21"/>
    <w:rsid w:val="0037016B"/>
    <w:rsid w:val="00370EAE"/>
    <w:rsid w:val="00371932"/>
    <w:rsid w:val="00383284"/>
    <w:rsid w:val="00387707"/>
    <w:rsid w:val="00393EB8"/>
    <w:rsid w:val="003973E3"/>
    <w:rsid w:val="003A243B"/>
    <w:rsid w:val="003C1EA6"/>
    <w:rsid w:val="003C29E1"/>
    <w:rsid w:val="003C4929"/>
    <w:rsid w:val="003C55F1"/>
    <w:rsid w:val="003D143B"/>
    <w:rsid w:val="003D5374"/>
    <w:rsid w:val="003D53CA"/>
    <w:rsid w:val="003D6EDE"/>
    <w:rsid w:val="003E0BD7"/>
    <w:rsid w:val="003F1EEF"/>
    <w:rsid w:val="003F7D12"/>
    <w:rsid w:val="0040218D"/>
    <w:rsid w:val="004063C8"/>
    <w:rsid w:val="00415536"/>
    <w:rsid w:val="0041672F"/>
    <w:rsid w:val="00432EC3"/>
    <w:rsid w:val="0043350F"/>
    <w:rsid w:val="00434726"/>
    <w:rsid w:val="004368D2"/>
    <w:rsid w:val="00436DCB"/>
    <w:rsid w:val="0044330A"/>
    <w:rsid w:val="00450D88"/>
    <w:rsid w:val="004532D2"/>
    <w:rsid w:val="00456247"/>
    <w:rsid w:val="00460F39"/>
    <w:rsid w:val="00467B96"/>
    <w:rsid w:val="0047214B"/>
    <w:rsid w:val="00476AEE"/>
    <w:rsid w:val="0048065A"/>
    <w:rsid w:val="00481C5C"/>
    <w:rsid w:val="0048755D"/>
    <w:rsid w:val="00491FE6"/>
    <w:rsid w:val="00492B03"/>
    <w:rsid w:val="0049438E"/>
    <w:rsid w:val="004947CC"/>
    <w:rsid w:val="00497BD2"/>
    <w:rsid w:val="00497E00"/>
    <w:rsid w:val="004A1BEA"/>
    <w:rsid w:val="004A27D1"/>
    <w:rsid w:val="004B2347"/>
    <w:rsid w:val="004C101D"/>
    <w:rsid w:val="004C7D86"/>
    <w:rsid w:val="004D2DE8"/>
    <w:rsid w:val="004D3ED9"/>
    <w:rsid w:val="004E434D"/>
    <w:rsid w:val="004E68AF"/>
    <w:rsid w:val="004F61F3"/>
    <w:rsid w:val="00500A16"/>
    <w:rsid w:val="00502C29"/>
    <w:rsid w:val="005046E6"/>
    <w:rsid w:val="00504A89"/>
    <w:rsid w:val="005065FC"/>
    <w:rsid w:val="00512822"/>
    <w:rsid w:val="00520FE9"/>
    <w:rsid w:val="005234D4"/>
    <w:rsid w:val="005262EC"/>
    <w:rsid w:val="005273F8"/>
    <w:rsid w:val="0053184C"/>
    <w:rsid w:val="00532311"/>
    <w:rsid w:val="00542AA1"/>
    <w:rsid w:val="00544B7A"/>
    <w:rsid w:val="0054742A"/>
    <w:rsid w:val="005577E1"/>
    <w:rsid w:val="005619B5"/>
    <w:rsid w:val="0056329F"/>
    <w:rsid w:val="00564C51"/>
    <w:rsid w:val="00565674"/>
    <w:rsid w:val="005710FD"/>
    <w:rsid w:val="00580D77"/>
    <w:rsid w:val="00583237"/>
    <w:rsid w:val="0058532A"/>
    <w:rsid w:val="005919F9"/>
    <w:rsid w:val="00597318"/>
    <w:rsid w:val="0059774E"/>
    <w:rsid w:val="005A02A2"/>
    <w:rsid w:val="005A6DFE"/>
    <w:rsid w:val="005B1180"/>
    <w:rsid w:val="005B2EA7"/>
    <w:rsid w:val="005B4051"/>
    <w:rsid w:val="005C1DE8"/>
    <w:rsid w:val="005C5616"/>
    <w:rsid w:val="005D00F5"/>
    <w:rsid w:val="005D18E9"/>
    <w:rsid w:val="005D40A8"/>
    <w:rsid w:val="005D7421"/>
    <w:rsid w:val="005E76BA"/>
    <w:rsid w:val="00602A4C"/>
    <w:rsid w:val="00603F6C"/>
    <w:rsid w:val="00604244"/>
    <w:rsid w:val="00604871"/>
    <w:rsid w:val="00606810"/>
    <w:rsid w:val="00613EEF"/>
    <w:rsid w:val="006346EB"/>
    <w:rsid w:val="0063636A"/>
    <w:rsid w:val="006365E3"/>
    <w:rsid w:val="0064097F"/>
    <w:rsid w:val="006428DD"/>
    <w:rsid w:val="006434B1"/>
    <w:rsid w:val="00643592"/>
    <w:rsid w:val="006447C1"/>
    <w:rsid w:val="00644DAF"/>
    <w:rsid w:val="00652354"/>
    <w:rsid w:val="006626D6"/>
    <w:rsid w:val="00665A78"/>
    <w:rsid w:val="00666204"/>
    <w:rsid w:val="00672793"/>
    <w:rsid w:val="0067728A"/>
    <w:rsid w:val="006801F0"/>
    <w:rsid w:val="00682750"/>
    <w:rsid w:val="00683F14"/>
    <w:rsid w:val="00684F85"/>
    <w:rsid w:val="0068762C"/>
    <w:rsid w:val="00692FB1"/>
    <w:rsid w:val="00695045"/>
    <w:rsid w:val="006955AD"/>
    <w:rsid w:val="006A23BD"/>
    <w:rsid w:val="006B409E"/>
    <w:rsid w:val="006B4DEB"/>
    <w:rsid w:val="006B5920"/>
    <w:rsid w:val="006C2419"/>
    <w:rsid w:val="006D134C"/>
    <w:rsid w:val="006D377B"/>
    <w:rsid w:val="006D4621"/>
    <w:rsid w:val="006D4B5F"/>
    <w:rsid w:val="006D6DA1"/>
    <w:rsid w:val="006E07CA"/>
    <w:rsid w:val="006E199D"/>
    <w:rsid w:val="006E5AF1"/>
    <w:rsid w:val="006F5889"/>
    <w:rsid w:val="006F7EF0"/>
    <w:rsid w:val="00701F78"/>
    <w:rsid w:val="00702497"/>
    <w:rsid w:val="00703346"/>
    <w:rsid w:val="00703E31"/>
    <w:rsid w:val="00704887"/>
    <w:rsid w:val="00707774"/>
    <w:rsid w:val="00717650"/>
    <w:rsid w:val="007346F8"/>
    <w:rsid w:val="0073505F"/>
    <w:rsid w:val="007412D1"/>
    <w:rsid w:val="00744A92"/>
    <w:rsid w:val="00747C8E"/>
    <w:rsid w:val="00760FC9"/>
    <w:rsid w:val="00763CE2"/>
    <w:rsid w:val="00770FDB"/>
    <w:rsid w:val="00775FEE"/>
    <w:rsid w:val="00776A1A"/>
    <w:rsid w:val="007806F3"/>
    <w:rsid w:val="00782599"/>
    <w:rsid w:val="00783CBF"/>
    <w:rsid w:val="00785E3E"/>
    <w:rsid w:val="00785EAB"/>
    <w:rsid w:val="00794761"/>
    <w:rsid w:val="007A1F45"/>
    <w:rsid w:val="007A6FA4"/>
    <w:rsid w:val="007C3EA8"/>
    <w:rsid w:val="007C4F4C"/>
    <w:rsid w:val="007D07CE"/>
    <w:rsid w:val="007D0F3A"/>
    <w:rsid w:val="007D1C6B"/>
    <w:rsid w:val="007D3F59"/>
    <w:rsid w:val="007D6D7C"/>
    <w:rsid w:val="007F3870"/>
    <w:rsid w:val="007F3D0A"/>
    <w:rsid w:val="007F62C6"/>
    <w:rsid w:val="008033EB"/>
    <w:rsid w:val="00803736"/>
    <w:rsid w:val="0080406D"/>
    <w:rsid w:val="00805D7C"/>
    <w:rsid w:val="008136A9"/>
    <w:rsid w:val="00817A10"/>
    <w:rsid w:val="00832F4B"/>
    <w:rsid w:val="008423A4"/>
    <w:rsid w:val="008425D0"/>
    <w:rsid w:val="00843D16"/>
    <w:rsid w:val="00855789"/>
    <w:rsid w:val="00861A83"/>
    <w:rsid w:val="008664E5"/>
    <w:rsid w:val="008707A3"/>
    <w:rsid w:val="00873FBF"/>
    <w:rsid w:val="00883872"/>
    <w:rsid w:val="00886F55"/>
    <w:rsid w:val="008930AE"/>
    <w:rsid w:val="008943BF"/>
    <w:rsid w:val="00897D47"/>
    <w:rsid w:val="008A28CB"/>
    <w:rsid w:val="008B4C4A"/>
    <w:rsid w:val="008D480D"/>
    <w:rsid w:val="008D5185"/>
    <w:rsid w:val="008D7156"/>
    <w:rsid w:val="008D77B4"/>
    <w:rsid w:val="008E19E2"/>
    <w:rsid w:val="008E2309"/>
    <w:rsid w:val="008E568E"/>
    <w:rsid w:val="008E6A34"/>
    <w:rsid w:val="008F07D6"/>
    <w:rsid w:val="008F2ADC"/>
    <w:rsid w:val="008F2C81"/>
    <w:rsid w:val="008F44DA"/>
    <w:rsid w:val="009015AF"/>
    <w:rsid w:val="00903F64"/>
    <w:rsid w:val="00922B81"/>
    <w:rsid w:val="0092331E"/>
    <w:rsid w:val="009342BB"/>
    <w:rsid w:val="00936F5D"/>
    <w:rsid w:val="00955803"/>
    <w:rsid w:val="00961577"/>
    <w:rsid w:val="00961CF8"/>
    <w:rsid w:val="0096200A"/>
    <w:rsid w:val="009630D6"/>
    <w:rsid w:val="0096616E"/>
    <w:rsid w:val="00967206"/>
    <w:rsid w:val="00967DBC"/>
    <w:rsid w:val="009730F9"/>
    <w:rsid w:val="00973463"/>
    <w:rsid w:val="00973B07"/>
    <w:rsid w:val="00974B1E"/>
    <w:rsid w:val="00975981"/>
    <w:rsid w:val="00980601"/>
    <w:rsid w:val="009820BD"/>
    <w:rsid w:val="00984CBA"/>
    <w:rsid w:val="00984CF9"/>
    <w:rsid w:val="0098533E"/>
    <w:rsid w:val="00991D0E"/>
    <w:rsid w:val="009925AC"/>
    <w:rsid w:val="009A135A"/>
    <w:rsid w:val="009A238B"/>
    <w:rsid w:val="009A58C6"/>
    <w:rsid w:val="009B3925"/>
    <w:rsid w:val="009B4AE0"/>
    <w:rsid w:val="009B7E19"/>
    <w:rsid w:val="009C69FE"/>
    <w:rsid w:val="009D2D0B"/>
    <w:rsid w:val="009D4ECB"/>
    <w:rsid w:val="009F35C5"/>
    <w:rsid w:val="009F7837"/>
    <w:rsid w:val="009F7886"/>
    <w:rsid w:val="00A00310"/>
    <w:rsid w:val="00A102D5"/>
    <w:rsid w:val="00A14A25"/>
    <w:rsid w:val="00A14BC8"/>
    <w:rsid w:val="00A24976"/>
    <w:rsid w:val="00A25C50"/>
    <w:rsid w:val="00A32067"/>
    <w:rsid w:val="00A37EB9"/>
    <w:rsid w:val="00A40A8B"/>
    <w:rsid w:val="00A427E9"/>
    <w:rsid w:val="00A43D29"/>
    <w:rsid w:val="00A4556A"/>
    <w:rsid w:val="00A53F6A"/>
    <w:rsid w:val="00A54C83"/>
    <w:rsid w:val="00A56397"/>
    <w:rsid w:val="00A5756D"/>
    <w:rsid w:val="00A609B2"/>
    <w:rsid w:val="00A60D7A"/>
    <w:rsid w:val="00A63A9C"/>
    <w:rsid w:val="00A718DD"/>
    <w:rsid w:val="00A74A91"/>
    <w:rsid w:val="00A75A09"/>
    <w:rsid w:val="00A86AAB"/>
    <w:rsid w:val="00A86AEB"/>
    <w:rsid w:val="00A91DA6"/>
    <w:rsid w:val="00A944CE"/>
    <w:rsid w:val="00AA6FE9"/>
    <w:rsid w:val="00AA7CEC"/>
    <w:rsid w:val="00AB0B94"/>
    <w:rsid w:val="00AC1F4D"/>
    <w:rsid w:val="00AC3C3C"/>
    <w:rsid w:val="00AD1967"/>
    <w:rsid w:val="00AD3629"/>
    <w:rsid w:val="00AD7412"/>
    <w:rsid w:val="00AD7C73"/>
    <w:rsid w:val="00AD7E0C"/>
    <w:rsid w:val="00AE7767"/>
    <w:rsid w:val="00AF1859"/>
    <w:rsid w:val="00AF3541"/>
    <w:rsid w:val="00B067F8"/>
    <w:rsid w:val="00B11083"/>
    <w:rsid w:val="00B116FF"/>
    <w:rsid w:val="00B13AA8"/>
    <w:rsid w:val="00B147F2"/>
    <w:rsid w:val="00B16121"/>
    <w:rsid w:val="00B17ECA"/>
    <w:rsid w:val="00B2013B"/>
    <w:rsid w:val="00B20694"/>
    <w:rsid w:val="00B253D7"/>
    <w:rsid w:val="00B270D9"/>
    <w:rsid w:val="00B33DC5"/>
    <w:rsid w:val="00B34851"/>
    <w:rsid w:val="00B348A0"/>
    <w:rsid w:val="00B34BD8"/>
    <w:rsid w:val="00B34E7A"/>
    <w:rsid w:val="00B42BFD"/>
    <w:rsid w:val="00B51CFA"/>
    <w:rsid w:val="00B552BC"/>
    <w:rsid w:val="00B64822"/>
    <w:rsid w:val="00B653E8"/>
    <w:rsid w:val="00B65961"/>
    <w:rsid w:val="00B701DD"/>
    <w:rsid w:val="00B71142"/>
    <w:rsid w:val="00B716DB"/>
    <w:rsid w:val="00B72962"/>
    <w:rsid w:val="00B80899"/>
    <w:rsid w:val="00B8466A"/>
    <w:rsid w:val="00B84CE1"/>
    <w:rsid w:val="00B857D7"/>
    <w:rsid w:val="00B901E3"/>
    <w:rsid w:val="00B911C4"/>
    <w:rsid w:val="00B958EC"/>
    <w:rsid w:val="00BB17BE"/>
    <w:rsid w:val="00BC5139"/>
    <w:rsid w:val="00BD06B5"/>
    <w:rsid w:val="00BD30A5"/>
    <w:rsid w:val="00BD7C2E"/>
    <w:rsid w:val="00BE07CC"/>
    <w:rsid w:val="00C0118D"/>
    <w:rsid w:val="00C022DE"/>
    <w:rsid w:val="00C137AA"/>
    <w:rsid w:val="00C15773"/>
    <w:rsid w:val="00C17FCA"/>
    <w:rsid w:val="00C21F86"/>
    <w:rsid w:val="00C23094"/>
    <w:rsid w:val="00C314A4"/>
    <w:rsid w:val="00C363C0"/>
    <w:rsid w:val="00C4055C"/>
    <w:rsid w:val="00C416B1"/>
    <w:rsid w:val="00C42091"/>
    <w:rsid w:val="00C557C6"/>
    <w:rsid w:val="00C67AC7"/>
    <w:rsid w:val="00C84D1D"/>
    <w:rsid w:val="00C87045"/>
    <w:rsid w:val="00C93B4C"/>
    <w:rsid w:val="00C942EA"/>
    <w:rsid w:val="00C96735"/>
    <w:rsid w:val="00CB373A"/>
    <w:rsid w:val="00CB37BF"/>
    <w:rsid w:val="00CC6511"/>
    <w:rsid w:val="00CD0518"/>
    <w:rsid w:val="00CD2DB0"/>
    <w:rsid w:val="00CD37BC"/>
    <w:rsid w:val="00CE0944"/>
    <w:rsid w:val="00CE1097"/>
    <w:rsid w:val="00CE7722"/>
    <w:rsid w:val="00CF1F17"/>
    <w:rsid w:val="00CF2486"/>
    <w:rsid w:val="00CF28E2"/>
    <w:rsid w:val="00CF3A28"/>
    <w:rsid w:val="00D00EA4"/>
    <w:rsid w:val="00D03044"/>
    <w:rsid w:val="00D046DE"/>
    <w:rsid w:val="00D06DC8"/>
    <w:rsid w:val="00D0736E"/>
    <w:rsid w:val="00D10C10"/>
    <w:rsid w:val="00D16258"/>
    <w:rsid w:val="00D236E5"/>
    <w:rsid w:val="00D247D8"/>
    <w:rsid w:val="00D27EA5"/>
    <w:rsid w:val="00D30DF8"/>
    <w:rsid w:val="00D33548"/>
    <w:rsid w:val="00D37BAA"/>
    <w:rsid w:val="00D37C55"/>
    <w:rsid w:val="00D41F45"/>
    <w:rsid w:val="00D43059"/>
    <w:rsid w:val="00D43FD6"/>
    <w:rsid w:val="00D4617A"/>
    <w:rsid w:val="00D4649E"/>
    <w:rsid w:val="00D46C38"/>
    <w:rsid w:val="00D4700F"/>
    <w:rsid w:val="00D542E0"/>
    <w:rsid w:val="00D63292"/>
    <w:rsid w:val="00D661AB"/>
    <w:rsid w:val="00D66E96"/>
    <w:rsid w:val="00D73168"/>
    <w:rsid w:val="00D73D45"/>
    <w:rsid w:val="00D73EA1"/>
    <w:rsid w:val="00D81BDA"/>
    <w:rsid w:val="00D859F4"/>
    <w:rsid w:val="00DA4831"/>
    <w:rsid w:val="00DA6BAA"/>
    <w:rsid w:val="00DB1B9C"/>
    <w:rsid w:val="00DB289B"/>
    <w:rsid w:val="00DB3248"/>
    <w:rsid w:val="00DB49DB"/>
    <w:rsid w:val="00DC464F"/>
    <w:rsid w:val="00DD1828"/>
    <w:rsid w:val="00DD45E7"/>
    <w:rsid w:val="00DD53C9"/>
    <w:rsid w:val="00DE1B6D"/>
    <w:rsid w:val="00DE5736"/>
    <w:rsid w:val="00DE75A0"/>
    <w:rsid w:val="00DE779A"/>
    <w:rsid w:val="00DF0FBF"/>
    <w:rsid w:val="00DF556F"/>
    <w:rsid w:val="00E07E89"/>
    <w:rsid w:val="00E124BF"/>
    <w:rsid w:val="00E15CDE"/>
    <w:rsid w:val="00E17E21"/>
    <w:rsid w:val="00E20692"/>
    <w:rsid w:val="00E21E00"/>
    <w:rsid w:val="00E2322B"/>
    <w:rsid w:val="00E27424"/>
    <w:rsid w:val="00E41515"/>
    <w:rsid w:val="00E55667"/>
    <w:rsid w:val="00E55E73"/>
    <w:rsid w:val="00E606BB"/>
    <w:rsid w:val="00E60C2C"/>
    <w:rsid w:val="00E6117F"/>
    <w:rsid w:val="00E6265B"/>
    <w:rsid w:val="00E643CC"/>
    <w:rsid w:val="00E6449B"/>
    <w:rsid w:val="00E646A8"/>
    <w:rsid w:val="00E742F4"/>
    <w:rsid w:val="00E77D2A"/>
    <w:rsid w:val="00E80A31"/>
    <w:rsid w:val="00E82CB4"/>
    <w:rsid w:val="00E839AA"/>
    <w:rsid w:val="00E94486"/>
    <w:rsid w:val="00E948B1"/>
    <w:rsid w:val="00EA23B0"/>
    <w:rsid w:val="00EB0839"/>
    <w:rsid w:val="00ED2740"/>
    <w:rsid w:val="00ED4810"/>
    <w:rsid w:val="00ED4BDA"/>
    <w:rsid w:val="00ED6C33"/>
    <w:rsid w:val="00F00239"/>
    <w:rsid w:val="00F00ED0"/>
    <w:rsid w:val="00F16918"/>
    <w:rsid w:val="00F16BC4"/>
    <w:rsid w:val="00F171AD"/>
    <w:rsid w:val="00F237B6"/>
    <w:rsid w:val="00F23D85"/>
    <w:rsid w:val="00F3123A"/>
    <w:rsid w:val="00F454AE"/>
    <w:rsid w:val="00F5037D"/>
    <w:rsid w:val="00F506BE"/>
    <w:rsid w:val="00F52439"/>
    <w:rsid w:val="00F536A1"/>
    <w:rsid w:val="00F65BA4"/>
    <w:rsid w:val="00F664FB"/>
    <w:rsid w:val="00F66B00"/>
    <w:rsid w:val="00F715C3"/>
    <w:rsid w:val="00F8059B"/>
    <w:rsid w:val="00F80B93"/>
    <w:rsid w:val="00F866CC"/>
    <w:rsid w:val="00F961AD"/>
    <w:rsid w:val="00F976F8"/>
    <w:rsid w:val="00FA5BA1"/>
    <w:rsid w:val="00FA6B54"/>
    <w:rsid w:val="00FB004D"/>
    <w:rsid w:val="00FB137D"/>
    <w:rsid w:val="00FB1A7D"/>
    <w:rsid w:val="00FB1F51"/>
    <w:rsid w:val="00FB3648"/>
    <w:rsid w:val="00FB53E8"/>
    <w:rsid w:val="00FB5B6F"/>
    <w:rsid w:val="00FB7D9E"/>
    <w:rsid w:val="00FC1A10"/>
    <w:rsid w:val="00FC23ED"/>
    <w:rsid w:val="00FC4C03"/>
    <w:rsid w:val="00FC6F53"/>
    <w:rsid w:val="00FD04DA"/>
    <w:rsid w:val="00FD07D9"/>
    <w:rsid w:val="00FD123F"/>
    <w:rsid w:val="00FD6317"/>
    <w:rsid w:val="00FF3366"/>
    <w:rsid w:val="00FF4F50"/>
    <w:rsid w:val="00FF5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E0"/>
    <w:pPr>
      <w:widowControl w:val="0"/>
      <w:adjustRightInd w:val="0"/>
      <w:spacing w:line="360" w:lineRule="atLeast"/>
      <w:jc w:val="both"/>
      <w:textAlignment w:val="baseline"/>
    </w:pPr>
    <w:rPr>
      <w:sz w:val="22"/>
      <w:lang w:val="en-GB"/>
    </w:rPr>
  </w:style>
  <w:style w:type="paragraph" w:styleId="Heading1">
    <w:name w:val="heading 1"/>
    <w:basedOn w:val="Normal"/>
    <w:next w:val="Normal"/>
    <w:qFormat/>
    <w:rsid w:val="00D542E0"/>
    <w:pPr>
      <w:keepNext/>
      <w:overflowPunct w:val="0"/>
      <w:autoSpaceDE w:val="0"/>
      <w:autoSpaceDN w:val="0"/>
      <w:spacing w:before="240" w:after="60"/>
      <w:outlineLvl w:val="0"/>
    </w:pPr>
    <w:rPr>
      <w:rFonts w:ascii="Arial" w:hAnsi="Arial"/>
      <w:b/>
      <w:kern w:val="32"/>
      <w:sz w:val="32"/>
      <w:lang w:val="en-US"/>
    </w:rPr>
  </w:style>
  <w:style w:type="paragraph" w:styleId="Heading2">
    <w:name w:val="heading 2"/>
    <w:basedOn w:val="Normal"/>
    <w:next w:val="Normal"/>
    <w:qFormat/>
    <w:rsid w:val="00D542E0"/>
    <w:pPr>
      <w:keepNext/>
      <w:autoSpaceDE w:val="0"/>
      <w:autoSpaceDN w:val="0"/>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D542E0"/>
    <w:rPr>
      <w:vertAlign w:val="superscript"/>
    </w:rPr>
  </w:style>
  <w:style w:type="paragraph" w:styleId="FootnoteText">
    <w:name w:val="footnote text"/>
    <w:basedOn w:val="Normal"/>
    <w:uiPriority w:val="99"/>
    <w:rsid w:val="00D542E0"/>
    <w:rPr>
      <w:sz w:val="20"/>
      <w:lang w:val="en-US"/>
    </w:rPr>
  </w:style>
  <w:style w:type="paragraph" w:styleId="Footer">
    <w:name w:val="footer"/>
    <w:basedOn w:val="Normal"/>
    <w:link w:val="FooterChar"/>
    <w:uiPriority w:val="99"/>
    <w:rsid w:val="00D542E0"/>
    <w:pPr>
      <w:tabs>
        <w:tab w:val="center" w:pos="4153"/>
        <w:tab w:val="right" w:pos="8306"/>
      </w:tabs>
    </w:pPr>
  </w:style>
  <w:style w:type="character" w:styleId="PageNumber">
    <w:name w:val="page number"/>
    <w:basedOn w:val="DefaultParagraphFont"/>
    <w:semiHidden/>
    <w:rsid w:val="00D542E0"/>
  </w:style>
  <w:style w:type="paragraph" w:styleId="NormalWeb">
    <w:name w:val="Normal (Web)"/>
    <w:basedOn w:val="Normal"/>
    <w:semiHidden/>
    <w:rsid w:val="00D542E0"/>
    <w:pPr>
      <w:spacing w:before="100" w:beforeAutospacing="1" w:after="100" w:afterAutospacing="1"/>
    </w:pPr>
    <w:rPr>
      <w:color w:val="000000"/>
      <w:sz w:val="24"/>
      <w:szCs w:val="24"/>
    </w:rPr>
  </w:style>
  <w:style w:type="character" w:styleId="Hyperlink">
    <w:name w:val="Hyperlink"/>
    <w:basedOn w:val="DefaultParagraphFont"/>
    <w:semiHidden/>
    <w:rsid w:val="00D542E0"/>
    <w:rPr>
      <w:color w:val="0000FF"/>
      <w:u w:val="single"/>
    </w:rPr>
  </w:style>
  <w:style w:type="character" w:styleId="EndnoteReference">
    <w:name w:val="endnote reference"/>
    <w:basedOn w:val="DefaultParagraphFont"/>
    <w:semiHidden/>
    <w:rsid w:val="00D542E0"/>
    <w:rPr>
      <w:vertAlign w:val="superscript"/>
    </w:rPr>
  </w:style>
  <w:style w:type="paragraph" w:styleId="EndnoteText">
    <w:name w:val="endnote text"/>
    <w:basedOn w:val="Normal"/>
    <w:semiHidden/>
    <w:rsid w:val="00D542E0"/>
    <w:rPr>
      <w:sz w:val="20"/>
    </w:rPr>
  </w:style>
  <w:style w:type="paragraph" w:styleId="Header">
    <w:name w:val="header"/>
    <w:basedOn w:val="Normal"/>
    <w:link w:val="HeaderChar"/>
    <w:uiPriority w:val="99"/>
    <w:semiHidden/>
    <w:unhideWhenUsed/>
    <w:rsid w:val="008943BF"/>
    <w:pPr>
      <w:tabs>
        <w:tab w:val="center" w:pos="4680"/>
        <w:tab w:val="right" w:pos="9360"/>
      </w:tabs>
    </w:pPr>
  </w:style>
  <w:style w:type="character" w:customStyle="1" w:styleId="HeaderChar">
    <w:name w:val="Header Char"/>
    <w:basedOn w:val="DefaultParagraphFont"/>
    <w:link w:val="Header"/>
    <w:uiPriority w:val="99"/>
    <w:semiHidden/>
    <w:rsid w:val="008943BF"/>
    <w:rPr>
      <w:sz w:val="22"/>
      <w:lang w:val="en-GB"/>
    </w:rPr>
  </w:style>
  <w:style w:type="character" w:customStyle="1" w:styleId="FooterChar">
    <w:name w:val="Footer Char"/>
    <w:basedOn w:val="DefaultParagraphFont"/>
    <w:link w:val="Footer"/>
    <w:uiPriority w:val="99"/>
    <w:rsid w:val="008943BF"/>
    <w:rPr>
      <w:sz w:val="22"/>
      <w:lang w:val="en-GB"/>
    </w:rPr>
  </w:style>
  <w:style w:type="paragraph" w:styleId="BodyText">
    <w:name w:val="Body Text"/>
    <w:basedOn w:val="Normal"/>
    <w:link w:val="BodyTextChar"/>
    <w:rsid w:val="00436DCB"/>
    <w:pPr>
      <w:spacing w:after="120"/>
    </w:pPr>
    <w:rPr>
      <w:sz w:val="24"/>
      <w:szCs w:val="24"/>
    </w:rPr>
  </w:style>
  <w:style w:type="character" w:customStyle="1" w:styleId="BodyTextChar">
    <w:name w:val="Body Text Char"/>
    <w:basedOn w:val="DefaultParagraphFont"/>
    <w:link w:val="BodyText"/>
    <w:rsid w:val="00436DCB"/>
    <w:rPr>
      <w:sz w:val="24"/>
      <w:szCs w:val="24"/>
      <w:lang w:val="en-GB"/>
    </w:rPr>
  </w:style>
  <w:style w:type="paragraph" w:styleId="BalloonText">
    <w:name w:val="Balloon Text"/>
    <w:basedOn w:val="Normal"/>
    <w:link w:val="BalloonTextChar"/>
    <w:uiPriority w:val="99"/>
    <w:semiHidden/>
    <w:unhideWhenUsed/>
    <w:rsid w:val="005C1DE8"/>
    <w:rPr>
      <w:rFonts w:ascii="Tahoma" w:hAnsi="Tahoma" w:cs="Tahoma"/>
      <w:sz w:val="16"/>
      <w:szCs w:val="16"/>
    </w:rPr>
  </w:style>
  <w:style w:type="character" w:customStyle="1" w:styleId="BalloonTextChar">
    <w:name w:val="Balloon Text Char"/>
    <w:basedOn w:val="DefaultParagraphFont"/>
    <w:link w:val="BalloonText"/>
    <w:uiPriority w:val="99"/>
    <w:semiHidden/>
    <w:rsid w:val="005C1DE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398362254">
      <w:bodyDiv w:val="1"/>
      <w:marLeft w:val="0"/>
      <w:marRight w:val="0"/>
      <w:marTop w:val="0"/>
      <w:marBottom w:val="0"/>
      <w:divBdr>
        <w:top w:val="none" w:sz="0" w:space="0" w:color="auto"/>
        <w:left w:val="none" w:sz="0" w:space="0" w:color="auto"/>
        <w:bottom w:val="none" w:sz="0" w:space="0" w:color="auto"/>
        <w:right w:val="none" w:sz="0" w:space="0" w:color="auto"/>
      </w:divBdr>
      <w:divsChild>
        <w:div w:id="1872762937">
          <w:marLeft w:val="0"/>
          <w:marRight w:val="0"/>
          <w:marTop w:val="0"/>
          <w:marBottom w:val="0"/>
          <w:divBdr>
            <w:top w:val="none" w:sz="0" w:space="0" w:color="auto"/>
            <w:left w:val="none" w:sz="0" w:space="0" w:color="auto"/>
            <w:bottom w:val="none" w:sz="0" w:space="0" w:color="auto"/>
            <w:right w:val="none" w:sz="0" w:space="0" w:color="auto"/>
          </w:divBdr>
          <w:divsChild>
            <w:div w:id="89008851">
              <w:marLeft w:val="0"/>
              <w:marRight w:val="0"/>
              <w:marTop w:val="0"/>
              <w:marBottom w:val="0"/>
              <w:divBdr>
                <w:top w:val="none" w:sz="0" w:space="0" w:color="auto"/>
                <w:left w:val="none" w:sz="0" w:space="0" w:color="auto"/>
                <w:bottom w:val="none" w:sz="0" w:space="0" w:color="auto"/>
                <w:right w:val="none" w:sz="0" w:space="0" w:color="auto"/>
              </w:divBdr>
              <w:divsChild>
                <w:div w:id="1810056303">
                  <w:marLeft w:val="0"/>
                  <w:marRight w:val="0"/>
                  <w:marTop w:val="0"/>
                  <w:marBottom w:val="0"/>
                  <w:divBdr>
                    <w:top w:val="none" w:sz="0" w:space="0" w:color="auto"/>
                    <w:left w:val="none" w:sz="0" w:space="0" w:color="auto"/>
                    <w:bottom w:val="none" w:sz="0" w:space="0" w:color="auto"/>
                    <w:right w:val="none" w:sz="0" w:space="0" w:color="auto"/>
                  </w:divBdr>
                  <w:divsChild>
                    <w:div w:id="222718152">
                      <w:marLeft w:val="0"/>
                      <w:marRight w:val="0"/>
                      <w:marTop w:val="0"/>
                      <w:marBottom w:val="0"/>
                      <w:divBdr>
                        <w:top w:val="none" w:sz="0" w:space="0" w:color="auto"/>
                        <w:left w:val="none" w:sz="0" w:space="0" w:color="auto"/>
                        <w:bottom w:val="none" w:sz="0" w:space="0" w:color="auto"/>
                        <w:right w:val="none" w:sz="0" w:space="0" w:color="auto"/>
                      </w:divBdr>
                      <w:divsChild>
                        <w:div w:id="769354983">
                          <w:marLeft w:val="0"/>
                          <w:marRight w:val="0"/>
                          <w:marTop w:val="0"/>
                          <w:marBottom w:val="0"/>
                          <w:divBdr>
                            <w:top w:val="none" w:sz="0" w:space="0" w:color="auto"/>
                            <w:left w:val="none" w:sz="0" w:space="0" w:color="auto"/>
                            <w:bottom w:val="none" w:sz="0" w:space="0" w:color="auto"/>
                            <w:right w:val="none" w:sz="0" w:space="0" w:color="auto"/>
                          </w:divBdr>
                        </w:div>
                        <w:div w:id="788352977">
                          <w:marLeft w:val="0"/>
                          <w:marRight w:val="0"/>
                          <w:marTop w:val="63"/>
                          <w:marBottom w:val="63"/>
                          <w:divBdr>
                            <w:top w:val="none" w:sz="0" w:space="0" w:color="auto"/>
                            <w:left w:val="none" w:sz="0" w:space="0" w:color="auto"/>
                            <w:bottom w:val="none" w:sz="0" w:space="0" w:color="auto"/>
                            <w:right w:val="none" w:sz="0" w:space="0" w:color="auto"/>
                          </w:divBdr>
                        </w:div>
                      </w:divsChild>
                    </w:div>
                    <w:div w:id="845441730">
                      <w:marLeft w:val="0"/>
                      <w:marRight w:val="0"/>
                      <w:marTop w:val="0"/>
                      <w:marBottom w:val="0"/>
                      <w:divBdr>
                        <w:top w:val="none" w:sz="0" w:space="0" w:color="auto"/>
                        <w:left w:val="none" w:sz="0" w:space="0" w:color="auto"/>
                        <w:bottom w:val="none" w:sz="0" w:space="0" w:color="auto"/>
                        <w:right w:val="none" w:sz="0" w:space="0" w:color="auto"/>
                      </w:divBdr>
                      <w:divsChild>
                        <w:div w:id="128523457">
                          <w:marLeft w:val="0"/>
                          <w:marRight w:val="0"/>
                          <w:marTop w:val="0"/>
                          <w:marBottom w:val="250"/>
                          <w:divBdr>
                            <w:top w:val="none" w:sz="0" w:space="0" w:color="auto"/>
                            <w:left w:val="none" w:sz="0" w:space="0" w:color="auto"/>
                            <w:bottom w:val="none" w:sz="0" w:space="0" w:color="auto"/>
                            <w:right w:val="none" w:sz="0" w:space="0" w:color="auto"/>
                          </w:divBdr>
                          <w:divsChild>
                            <w:div w:id="509880873">
                              <w:marLeft w:val="0"/>
                              <w:marRight w:val="0"/>
                              <w:marTop w:val="0"/>
                              <w:marBottom w:val="0"/>
                              <w:divBdr>
                                <w:top w:val="none" w:sz="0" w:space="0" w:color="auto"/>
                                <w:left w:val="none" w:sz="0" w:space="0" w:color="auto"/>
                                <w:bottom w:val="single" w:sz="4" w:space="1" w:color="10A010"/>
                                <w:right w:val="none" w:sz="0" w:space="0" w:color="auto"/>
                              </w:divBdr>
                            </w:div>
                          </w:divsChild>
                        </w:div>
                        <w:div w:id="1478959161">
                          <w:marLeft w:val="0"/>
                          <w:marRight w:val="0"/>
                          <w:marTop w:val="0"/>
                          <w:marBottom w:val="250"/>
                          <w:divBdr>
                            <w:top w:val="none" w:sz="0" w:space="0" w:color="auto"/>
                            <w:left w:val="none" w:sz="0" w:space="0" w:color="auto"/>
                            <w:bottom w:val="none" w:sz="0" w:space="0" w:color="auto"/>
                            <w:right w:val="none" w:sz="0" w:space="0" w:color="auto"/>
                          </w:divBdr>
                          <w:divsChild>
                            <w:div w:id="617687996">
                              <w:marLeft w:val="0"/>
                              <w:marRight w:val="0"/>
                              <w:marTop w:val="0"/>
                              <w:marBottom w:val="0"/>
                              <w:divBdr>
                                <w:top w:val="none" w:sz="0" w:space="0" w:color="auto"/>
                                <w:left w:val="none" w:sz="0" w:space="0" w:color="auto"/>
                                <w:bottom w:val="single" w:sz="4" w:space="1" w:color="10A010"/>
                                <w:right w:val="none" w:sz="0" w:space="0" w:color="auto"/>
                              </w:divBdr>
                            </w:div>
                          </w:divsChild>
                        </w:div>
                        <w:div w:id="1940721733">
                          <w:marLeft w:val="0"/>
                          <w:marRight w:val="0"/>
                          <w:marTop w:val="0"/>
                          <w:marBottom w:val="250"/>
                          <w:divBdr>
                            <w:top w:val="none" w:sz="0" w:space="0" w:color="auto"/>
                            <w:left w:val="none" w:sz="0" w:space="0" w:color="auto"/>
                            <w:bottom w:val="none" w:sz="0" w:space="0" w:color="auto"/>
                            <w:right w:val="none" w:sz="0" w:space="0" w:color="auto"/>
                          </w:divBdr>
                          <w:divsChild>
                            <w:div w:id="467862071">
                              <w:marLeft w:val="0"/>
                              <w:marRight w:val="0"/>
                              <w:marTop w:val="0"/>
                              <w:marBottom w:val="0"/>
                              <w:divBdr>
                                <w:top w:val="none" w:sz="0" w:space="0" w:color="auto"/>
                                <w:left w:val="none" w:sz="0" w:space="0" w:color="auto"/>
                                <w:bottom w:val="single" w:sz="4" w:space="1" w:color="10A010"/>
                                <w:right w:val="none" w:sz="0" w:space="0" w:color="auto"/>
                              </w:divBdr>
                            </w:div>
                          </w:divsChild>
                        </w:div>
                      </w:divsChild>
                    </w:div>
                  </w:divsChild>
                </w:div>
              </w:divsChild>
            </w:div>
          </w:divsChild>
        </w:div>
      </w:divsChild>
    </w:div>
    <w:div w:id="1917352617">
      <w:bodyDiv w:val="1"/>
      <w:marLeft w:val="0"/>
      <w:marRight w:val="0"/>
      <w:marTop w:val="0"/>
      <w:marBottom w:val="0"/>
      <w:divBdr>
        <w:top w:val="none" w:sz="0" w:space="0" w:color="auto"/>
        <w:left w:val="none" w:sz="0" w:space="0" w:color="auto"/>
        <w:bottom w:val="none" w:sz="0" w:space="0" w:color="auto"/>
        <w:right w:val="none" w:sz="0" w:space="0" w:color="auto"/>
      </w:divBdr>
      <w:divsChild>
        <w:div w:id="1469127855">
          <w:marLeft w:val="0"/>
          <w:marRight w:val="0"/>
          <w:marTop w:val="0"/>
          <w:marBottom w:val="0"/>
          <w:divBdr>
            <w:top w:val="none" w:sz="0" w:space="0" w:color="auto"/>
            <w:left w:val="none" w:sz="0" w:space="0" w:color="auto"/>
            <w:bottom w:val="none" w:sz="0" w:space="0" w:color="auto"/>
            <w:right w:val="none" w:sz="0" w:space="0" w:color="auto"/>
          </w:divBdr>
          <w:divsChild>
            <w:div w:id="1995602197">
              <w:marLeft w:val="0"/>
              <w:marRight w:val="0"/>
              <w:marTop w:val="0"/>
              <w:marBottom w:val="0"/>
              <w:divBdr>
                <w:top w:val="none" w:sz="0" w:space="0" w:color="auto"/>
                <w:left w:val="none" w:sz="0" w:space="0" w:color="auto"/>
                <w:bottom w:val="none" w:sz="0" w:space="0" w:color="auto"/>
                <w:right w:val="none" w:sz="0" w:space="0" w:color="auto"/>
              </w:divBdr>
              <w:divsChild>
                <w:div w:id="1701470655">
                  <w:marLeft w:val="0"/>
                  <w:marRight w:val="0"/>
                  <w:marTop w:val="0"/>
                  <w:marBottom w:val="0"/>
                  <w:divBdr>
                    <w:top w:val="none" w:sz="0" w:space="0" w:color="auto"/>
                    <w:left w:val="none" w:sz="0" w:space="0" w:color="auto"/>
                    <w:bottom w:val="none" w:sz="0" w:space="0" w:color="auto"/>
                    <w:right w:val="none" w:sz="0" w:space="0" w:color="auto"/>
                  </w:divBdr>
                  <w:divsChild>
                    <w:div w:id="1658218980">
                      <w:marLeft w:val="0"/>
                      <w:marRight w:val="0"/>
                      <w:marTop w:val="0"/>
                      <w:marBottom w:val="0"/>
                      <w:divBdr>
                        <w:top w:val="none" w:sz="0" w:space="0" w:color="auto"/>
                        <w:left w:val="none" w:sz="0" w:space="0" w:color="auto"/>
                        <w:bottom w:val="none" w:sz="0" w:space="0" w:color="auto"/>
                        <w:right w:val="none" w:sz="0" w:space="0" w:color="auto"/>
                      </w:divBdr>
                      <w:divsChild>
                        <w:div w:id="356195576">
                          <w:marLeft w:val="0"/>
                          <w:marRight w:val="0"/>
                          <w:marTop w:val="0"/>
                          <w:marBottom w:val="300"/>
                          <w:divBdr>
                            <w:top w:val="none" w:sz="0" w:space="0" w:color="auto"/>
                            <w:left w:val="none" w:sz="0" w:space="0" w:color="auto"/>
                            <w:bottom w:val="none" w:sz="0" w:space="0" w:color="auto"/>
                            <w:right w:val="none" w:sz="0" w:space="0" w:color="auto"/>
                          </w:divBdr>
                          <w:divsChild>
                            <w:div w:id="1534269188">
                              <w:marLeft w:val="0"/>
                              <w:marRight w:val="0"/>
                              <w:marTop w:val="0"/>
                              <w:marBottom w:val="0"/>
                              <w:divBdr>
                                <w:top w:val="none" w:sz="0" w:space="0" w:color="auto"/>
                                <w:left w:val="none" w:sz="0" w:space="0" w:color="auto"/>
                                <w:bottom w:val="single" w:sz="6" w:space="1" w:color="10A010"/>
                                <w:right w:val="none" w:sz="0" w:space="0" w:color="auto"/>
                              </w:divBdr>
                            </w:div>
                          </w:divsChild>
                        </w:div>
                        <w:div w:id="1226598730">
                          <w:marLeft w:val="0"/>
                          <w:marRight w:val="0"/>
                          <w:marTop w:val="0"/>
                          <w:marBottom w:val="300"/>
                          <w:divBdr>
                            <w:top w:val="none" w:sz="0" w:space="0" w:color="auto"/>
                            <w:left w:val="none" w:sz="0" w:space="0" w:color="auto"/>
                            <w:bottom w:val="none" w:sz="0" w:space="0" w:color="auto"/>
                            <w:right w:val="none" w:sz="0" w:space="0" w:color="auto"/>
                          </w:divBdr>
                          <w:divsChild>
                            <w:div w:id="9525646">
                              <w:marLeft w:val="0"/>
                              <w:marRight w:val="0"/>
                              <w:marTop w:val="0"/>
                              <w:marBottom w:val="0"/>
                              <w:divBdr>
                                <w:top w:val="none" w:sz="0" w:space="0" w:color="auto"/>
                                <w:left w:val="none" w:sz="0" w:space="0" w:color="auto"/>
                                <w:bottom w:val="single" w:sz="6" w:space="1" w:color="10A010"/>
                                <w:right w:val="none" w:sz="0" w:space="0" w:color="auto"/>
                              </w:divBdr>
                            </w:div>
                          </w:divsChild>
                        </w:div>
                        <w:div w:id="1327660821">
                          <w:marLeft w:val="0"/>
                          <w:marRight w:val="0"/>
                          <w:marTop w:val="0"/>
                          <w:marBottom w:val="300"/>
                          <w:divBdr>
                            <w:top w:val="none" w:sz="0" w:space="0" w:color="auto"/>
                            <w:left w:val="none" w:sz="0" w:space="0" w:color="auto"/>
                            <w:bottom w:val="none" w:sz="0" w:space="0" w:color="auto"/>
                            <w:right w:val="none" w:sz="0" w:space="0" w:color="auto"/>
                          </w:divBdr>
                          <w:divsChild>
                            <w:div w:id="677657052">
                              <w:marLeft w:val="0"/>
                              <w:marRight w:val="0"/>
                              <w:marTop w:val="0"/>
                              <w:marBottom w:val="0"/>
                              <w:divBdr>
                                <w:top w:val="none" w:sz="0" w:space="0" w:color="auto"/>
                                <w:left w:val="none" w:sz="0" w:space="0" w:color="auto"/>
                                <w:bottom w:val="single" w:sz="6" w:space="1" w:color="10A010"/>
                                <w:right w:val="none" w:sz="0" w:space="0" w:color="auto"/>
                              </w:divBdr>
                            </w:div>
                          </w:divsChild>
                        </w:div>
                      </w:divsChild>
                    </w:div>
                    <w:div w:id="1867133257">
                      <w:marLeft w:val="0"/>
                      <w:marRight w:val="0"/>
                      <w:marTop w:val="0"/>
                      <w:marBottom w:val="0"/>
                      <w:divBdr>
                        <w:top w:val="none" w:sz="0" w:space="0" w:color="auto"/>
                        <w:left w:val="none" w:sz="0" w:space="0" w:color="auto"/>
                        <w:bottom w:val="none" w:sz="0" w:space="0" w:color="auto"/>
                        <w:right w:val="none" w:sz="0" w:space="0" w:color="auto"/>
                      </w:divBdr>
                      <w:divsChild>
                        <w:div w:id="1699576153">
                          <w:marLeft w:val="0"/>
                          <w:marRight w:val="0"/>
                          <w:marTop w:val="75"/>
                          <w:marBottom w:val="75"/>
                          <w:divBdr>
                            <w:top w:val="none" w:sz="0" w:space="0" w:color="auto"/>
                            <w:left w:val="none" w:sz="0" w:space="0" w:color="auto"/>
                            <w:bottom w:val="none" w:sz="0" w:space="0" w:color="auto"/>
                            <w:right w:val="none" w:sz="0" w:space="0" w:color="auto"/>
                          </w:divBdr>
                        </w:div>
                        <w:div w:id="17143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0916D-A84B-4B00-A6C6-3F14E36E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5732</Words>
  <Characters>32678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GSiSS Proposed Programme for Postgraduate Induction - October 2002 (draft)</vt:lpstr>
    </vt:vector>
  </TitlesOfParts>
  <Company>Unknown Organization</Company>
  <LinksUpToDate>false</LinksUpToDate>
  <CharactersWithSpaces>38334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GSiSS Proposed Programme for Postgraduate Induction - October 2002 (draft)</dc:title>
  <dc:creator>Unknown User</dc:creator>
  <cp:lastModifiedBy>Sandra Halperin</cp:lastModifiedBy>
  <cp:revision>2</cp:revision>
  <cp:lastPrinted>2018-02-28T15:52:00Z</cp:lastPrinted>
  <dcterms:created xsi:type="dcterms:W3CDTF">2018-08-06T15:46:00Z</dcterms:created>
  <dcterms:modified xsi:type="dcterms:W3CDTF">2018-08-06T15:46:00Z</dcterms:modified>
</cp:coreProperties>
</file>